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As filed with the Securities and Exchange Commission on May 17, 2007</w:t>
      </w:r>
    </w:p>
    <w:p>
      <w:pPr>
        <w:spacing w:after="0" w:line="252"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-730885</wp:posOffset>
            </wp:positionH>
            <wp:positionV relativeFrom="paragraph">
              <wp:posOffset>17145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2167255</wp:posOffset>
            </wp:positionH>
            <wp:positionV relativeFrom="paragraph">
              <wp:posOffset>237490</wp:posOffset>
            </wp:positionV>
            <wp:extent cx="14490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S-8</w:t>
      </w:r>
    </w:p>
    <w:p>
      <w:pPr>
        <w:spacing w:after="0" w:line="26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2167255</wp:posOffset>
            </wp:positionH>
            <wp:positionV relativeFrom="paragraph">
              <wp:posOffset>248920</wp:posOffset>
            </wp:positionV>
            <wp:extent cx="1449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ITRON, INC.</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59"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9"/>
              </w:rPr>
              <w:t>Washington</w:t>
            </w:r>
          </w:p>
        </w:tc>
        <w:tc>
          <w:tcPr>
            <w:tcW w:w="5480" w:type="dxa"/>
            <w:vAlign w:val="bottom"/>
            <w:gridSpan w:val="2"/>
          </w:tcPr>
          <w:p>
            <w:pPr>
              <w:jc w:val="right"/>
              <w:ind w:right="1310"/>
              <w:spacing w:after="0"/>
              <w:rPr>
                <w:sz w:val="20"/>
                <w:szCs w:val="20"/>
                <w:color w:val="auto"/>
              </w:rPr>
            </w:pPr>
            <w:r>
              <w:rPr>
                <w:rFonts w:ascii="Arial" w:cs="Arial" w:eastAsia="Arial" w:hAnsi="Arial"/>
                <w:sz w:val="18"/>
                <w:szCs w:val="18"/>
                <w:b w:val="1"/>
                <w:bCs w:val="1"/>
                <w:color w:val="auto"/>
              </w:rPr>
              <w:t>91-1011792</w:t>
            </w:r>
          </w:p>
        </w:tc>
      </w:tr>
      <w:tr>
        <w:trPr>
          <w:trHeight w:val="198"/>
        </w:trPr>
        <w:tc>
          <w:tcPr>
            <w:tcW w:w="36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(State or other jurisdiction of incorporation or</w:t>
            </w:r>
          </w:p>
        </w:tc>
        <w:tc>
          <w:tcPr>
            <w:tcW w:w="1820" w:type="dxa"/>
            <w:vAlign w:val="bottom"/>
          </w:tcPr>
          <w:p>
            <w:pPr>
              <w:spacing w:after="0"/>
              <w:rPr>
                <w:sz w:val="17"/>
                <w:szCs w:val="17"/>
                <w:color w:val="auto"/>
              </w:rPr>
            </w:pPr>
          </w:p>
        </w:tc>
        <w:tc>
          <w:tcPr>
            <w:tcW w:w="366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2"/>
              </w:rPr>
              <w:t>(I.R.S. Employer Identification No.)</w:t>
            </w:r>
          </w:p>
        </w:tc>
      </w:tr>
      <w:tr>
        <w:trPr>
          <w:trHeight w:val="234"/>
        </w:trPr>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0"/>
              </w:rPr>
              <w:t>organization)</w:t>
            </w:r>
          </w:p>
        </w:tc>
        <w:tc>
          <w:tcPr>
            <w:tcW w:w="1820" w:type="dxa"/>
            <w:vAlign w:val="bottom"/>
          </w:tcPr>
          <w:p>
            <w:pPr>
              <w:spacing w:after="0"/>
              <w:rPr>
                <w:sz w:val="20"/>
                <w:szCs w:val="20"/>
                <w:color w:val="auto"/>
              </w:rPr>
            </w:pPr>
          </w:p>
        </w:tc>
        <w:tc>
          <w:tcPr>
            <w:tcW w:w="3660" w:type="dxa"/>
            <w:vAlign w:val="bottom"/>
          </w:tcPr>
          <w:p>
            <w:pPr>
              <w:spacing w:after="0"/>
              <w:rPr>
                <w:sz w:val="20"/>
                <w:szCs w:val="20"/>
                <w:color w:val="auto"/>
              </w:rPr>
            </w:pPr>
          </w:p>
        </w:tc>
      </w:tr>
    </w:tbl>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2111 N. Molter Road</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Liberty Lake, Washington 99019</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(Address of principal executive offices, including zip code)</w:t>
      </w:r>
    </w:p>
    <w:p>
      <w:pPr>
        <w:spacing w:after="0" w:line="23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AMENDED AND RESTATED 2000 STOCK INCENTIVE PLAN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(Full title of the plan)</w:t>
      </w:r>
    </w:p>
    <w:p>
      <w:pPr>
        <w:spacing w:after="0" w:line="23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John W. Holleran</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Sr. Vice President, General Counsel and Corporate Secretary</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Itron, Inc.</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2111 N. Molter Road</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Liberty Lake, Washington 99019</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(509) 924-9900</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2167255</wp:posOffset>
            </wp:positionH>
            <wp:positionV relativeFrom="paragraph">
              <wp:posOffset>237490</wp:posOffset>
            </wp:positionV>
            <wp:extent cx="14490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Copy to:</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Andrew Bor</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Perkins Coie LLP</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1201 Third Avenue, Suite 4800</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Seattle, Washington 98101-3099</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(206) 359-8000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-732790</wp:posOffset>
            </wp:positionH>
            <wp:positionV relativeFrom="paragraph">
              <wp:posOffset>381000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20"/>
          </w:cols>
          <w:pgMar w:left="1400" w:top="229" w:right="13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47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Proposed Maximum</w:t>
            </w:r>
          </w:p>
        </w:tc>
        <w:tc>
          <w:tcPr>
            <w:tcW w:w="20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Proposed Maximum</w:t>
            </w:r>
          </w:p>
        </w:tc>
        <w:tc>
          <w:tcPr>
            <w:tcW w:w="1340" w:type="dxa"/>
            <w:vAlign w:val="bottom"/>
            <w:tcBorders>
              <w:top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Amount to be</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2"/>
              </w:rPr>
              <w:t>Offering Price Per</w:t>
            </w: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91"/>
              </w:rPr>
              <w:t>Aggregate Offering Price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3"/>
              </w:rPr>
              <w:t>Amount of</w:t>
            </w:r>
          </w:p>
        </w:tc>
      </w:tr>
      <w:tr>
        <w:trPr>
          <w:trHeight w:val="241"/>
        </w:trPr>
        <w:tc>
          <w:tcPr>
            <w:tcW w:w="20" w:type="dxa"/>
            <w:vAlign w:val="bottom"/>
          </w:tcPr>
          <w:p>
            <w:pPr>
              <w:spacing w:after="0"/>
              <w:rPr>
                <w:sz w:val="20"/>
                <w:szCs w:val="20"/>
                <w:color w:val="auto"/>
              </w:rPr>
            </w:pPr>
          </w:p>
        </w:tc>
        <w:tc>
          <w:tcPr>
            <w:tcW w:w="4760" w:type="dxa"/>
            <w:vAlign w:val="bottom"/>
            <w:tcBorders>
              <w:bottom w:val="single" w:sz="8" w:color="auto"/>
            </w:tcBorders>
          </w:tcPr>
          <w:p>
            <w:pPr>
              <w:ind w:left="1040"/>
              <w:spacing w:after="0"/>
              <w:rPr>
                <w:sz w:val="20"/>
                <w:szCs w:val="20"/>
                <w:color w:val="auto"/>
              </w:rPr>
            </w:pPr>
            <w:r>
              <w:rPr>
                <w:rFonts w:ascii="Arial" w:cs="Arial" w:eastAsia="Arial" w:hAnsi="Arial"/>
                <w:sz w:val="18"/>
                <w:szCs w:val="18"/>
                <w:b w:val="1"/>
                <w:bCs w:val="1"/>
                <w:color w:val="auto"/>
              </w:rPr>
              <w:t>Title of Securities to be Registered</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Registered (1)</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Share (2)</w:t>
            </w:r>
          </w:p>
        </w:tc>
        <w:tc>
          <w:tcPr>
            <w:tcW w:w="20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Registration Fee</w:t>
            </w:r>
          </w:p>
        </w:tc>
      </w:tr>
      <w:tr>
        <w:trPr>
          <w:trHeight w:val="202"/>
        </w:trPr>
        <w:tc>
          <w:tcPr>
            <w:tcW w:w="20" w:type="dxa"/>
            <w:vAlign w:val="bottom"/>
          </w:tcPr>
          <w:p>
            <w:pPr>
              <w:spacing w:after="0"/>
              <w:rPr>
                <w:sz w:val="17"/>
                <w:szCs w:val="17"/>
                <w:color w:val="auto"/>
              </w:rPr>
            </w:pPr>
          </w:p>
        </w:tc>
        <w:tc>
          <w:tcPr>
            <w:tcW w:w="4760" w:type="dxa"/>
            <w:vAlign w:val="bottom"/>
          </w:tcPr>
          <w:p>
            <w:pPr>
              <w:spacing w:after="0" w:line="201" w:lineRule="exact"/>
              <w:rPr>
                <w:sz w:val="20"/>
                <w:szCs w:val="20"/>
                <w:color w:val="auto"/>
              </w:rPr>
            </w:pPr>
            <w:r>
              <w:rPr>
                <w:rFonts w:ascii="Arial" w:cs="Arial" w:eastAsia="Arial" w:hAnsi="Arial"/>
                <w:sz w:val="18"/>
                <w:szCs w:val="18"/>
                <w:color w:val="auto"/>
                <w:w w:val="92"/>
              </w:rPr>
              <w:t>Common Stock, no par value, together with associated preferred</w:t>
            </w:r>
          </w:p>
        </w:tc>
        <w:tc>
          <w:tcPr>
            <w:tcW w:w="13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share purchase rights, under the Itron, Inc. Amended and</w:t>
            </w:r>
          </w:p>
        </w:tc>
        <w:tc>
          <w:tcPr>
            <w:tcW w:w="1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7"/>
        </w:trPr>
        <w:tc>
          <w:tcPr>
            <w:tcW w:w="4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Restated 2000 Stock Incentive Plan</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750,000</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$68.30</w:t>
            </w:r>
          </w:p>
        </w:tc>
        <w:tc>
          <w:tcPr>
            <w:tcW w:w="2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$51,225,000</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$1,572.61</w:t>
            </w:r>
          </w:p>
        </w:tc>
      </w:tr>
    </w:tbl>
    <w:p>
      <w:pPr>
        <w:spacing w:after="0" w:line="229" w:lineRule="exact"/>
        <w:rPr>
          <w:sz w:val="20"/>
          <w:szCs w:val="20"/>
          <w:color w:val="auto"/>
        </w:rPr>
      </w:pPr>
    </w:p>
    <w:p>
      <w:pPr>
        <w:ind w:left="420" w:hanging="412"/>
        <w:spacing w:after="0" w:line="308" w:lineRule="auto"/>
        <w:tabs>
          <w:tab w:leader="none" w:pos="42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Includes an indeterminate number of additional shares which may be necessary to adjust the number of shares reserved for issuance pursuant to the plan as the result of any future stock split, stock dividend or similar adjustment of the Registrant’s outstanding Common Stock.</w:t>
      </w:r>
    </w:p>
    <w:p>
      <w:pPr>
        <w:spacing w:after="0" w:line="173" w:lineRule="exact"/>
        <w:rPr>
          <w:rFonts w:ascii="Arial" w:cs="Arial" w:eastAsia="Arial" w:hAnsi="Arial"/>
          <w:sz w:val="17"/>
          <w:szCs w:val="17"/>
          <w:color w:val="auto"/>
        </w:rPr>
      </w:pPr>
    </w:p>
    <w:p>
      <w:pPr>
        <w:jc w:val="both"/>
        <w:ind w:left="420" w:hanging="412"/>
        <w:spacing w:after="0" w:line="286" w:lineRule="auto"/>
        <w:tabs>
          <w:tab w:leader="none" w:pos="420"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solely for the purpose of calculating the registration fee pursuant to Rule 457(c) and Rule 457(h) under the Securities Act of 1933, as amended. The proposed maximum offering price per share is estimated to be $68.30 based on the average of the high ($69.30) and low ($67.30) sales prices of Itron, Inc.’s Common Stock on May 14, 2007, as reported for such date by the NASDAQ Global Select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documents filed with the Securities and Exchange Commission (the “Commission”) by the Registrant, Itron, Inc., a Washington corporation (“Itron” or the “Registrant”), are hereby incorporated by reference in this Registration Statement:</w:t>
      </w:r>
    </w:p>
    <w:p>
      <w:pPr>
        <w:spacing w:after="0" w:line="197" w:lineRule="exact"/>
        <w:rPr>
          <w:sz w:val="20"/>
          <w:szCs w:val="20"/>
          <w:color w:val="auto"/>
        </w:rPr>
      </w:pPr>
    </w:p>
    <w:p>
      <w:pPr>
        <w:ind w:left="820" w:right="20" w:hanging="231"/>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Annual Report on Form 10-K for the year ended December 31, 2006, filed on February 23, 2007, which contains audited financial statements for the most recent fiscal year for which such statements have been filed;</w:t>
      </w:r>
    </w:p>
    <w:p>
      <w:pPr>
        <w:spacing w:after="0" w:line="197" w:lineRule="exact"/>
        <w:rPr>
          <w:rFonts w:ascii="Arial" w:cs="Arial" w:eastAsia="Arial" w:hAnsi="Arial"/>
          <w:sz w:val="18"/>
          <w:szCs w:val="18"/>
          <w:color w:val="auto"/>
        </w:rPr>
      </w:pPr>
    </w:p>
    <w:p>
      <w:pPr>
        <w:ind w:left="820" w:hanging="242"/>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Quarterly Report on Form 10-Q for the quarter ended March 31, 2007, filed on May 8, 2007, which contains unaudited interim financial statements;</w:t>
      </w:r>
    </w:p>
    <w:p>
      <w:pPr>
        <w:spacing w:after="0" w:line="197" w:lineRule="exact"/>
        <w:rPr>
          <w:rFonts w:ascii="Arial" w:cs="Arial" w:eastAsia="Arial" w:hAnsi="Arial"/>
          <w:sz w:val="18"/>
          <w:szCs w:val="18"/>
          <w:color w:val="auto"/>
        </w:rPr>
      </w:pPr>
    </w:p>
    <w:p>
      <w:pPr>
        <w:ind w:left="820" w:right="20" w:hanging="231"/>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Current Reports on Form 8-K, filed on February 23, 2007, February 28, 2007, March 2, 2007 (except for Item 7.01 and related Item 9.01) and April 24, 2007 (except for Item 7.01 and related Item 9.01); and</w:t>
      </w:r>
    </w:p>
    <w:p>
      <w:pPr>
        <w:spacing w:after="0" w:line="197" w:lineRule="exact"/>
        <w:rPr>
          <w:rFonts w:ascii="Arial" w:cs="Arial" w:eastAsia="Arial" w:hAnsi="Arial"/>
          <w:sz w:val="18"/>
          <w:szCs w:val="18"/>
          <w:color w:val="auto"/>
        </w:rPr>
      </w:pPr>
    </w:p>
    <w:p>
      <w:pPr>
        <w:jc w:val="both"/>
        <w:ind w:left="820" w:hanging="242"/>
        <w:spacing w:after="0" w:line="259"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Registrant’s Common Stock contained in the Registration Statement on Form 8-A filed on September 18, 1993, and the description of the Registrant’s Preferred Share Purchase Rights contained in the Registration Statement on Form 8-A filed on December 16, 2002, under Section 12(g) of the Securities Exchange Act of 1934, as amended (the “Exchange Act”), including any amendments or reports filed for the purpose of updating such descriptions.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documents filed by the Registrant pursuant to Sections 13(a), 13(c), 14 or 15(d) of the Exchange Act after the date hereof, and prior to the filing of a post-effective amendment which indicates that the securities offered hereby have been sold or which deregisters the securities covered hereby then remaining unsold, shall also be deemed to be incorporated by reference into this Registration Statement and to be a part hereof commencing on the respective dates on which such documents are filed.</w:t>
      </w:r>
    </w:p>
    <w:p>
      <w:pPr>
        <w:spacing w:after="0" w:line="21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Description of Securities.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25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Under the Washington Business Corporation Act, a corporation may indemnify directors against reasonable expenses for liability incurred in the defense of any proceeding to which such individuals were a party because of their position with the corporation. The director must have acted in good faith and reasonably believed that the conduct in the individual’s official capacity was in the best interests of the corporation and in all other cases that the conduct at least was not opposed to the corporation’s best interests. Indemnity is available for criminal proceedings if the individual had no reasonable cause to believe the conduct was unlawful. The Washington Business Corporation Act prohibits indemnification, however, in connection with any proceeding by or in the right of the corporation in which the individual is adjudged liable to the corporation or in connection with any other proceeding in which the individual was charged with and found liable for receiving an improper personal benefit. Washington law also provides for discretionary indemnification of officers. Under no circumstances, however, may any director or officer be indemnified for:</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 w:name="page4"/>
    <w:bookmarkEnd w:id="3"/>
    <w:p>
      <w:pPr>
        <w:ind w:left="720" w:hanging="280"/>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acts or omissions finally adjudged to be intentional misconduct or a knowing violation of the law;</w:t>
      </w:r>
    </w:p>
    <w:p>
      <w:pPr>
        <w:spacing w:after="0" w:line="279" w:lineRule="exact"/>
        <w:rPr>
          <w:rFonts w:ascii="Arial" w:cs="Arial" w:eastAsia="Arial" w:hAnsi="Arial"/>
          <w:sz w:val="18"/>
          <w:szCs w:val="18"/>
          <w:color w:val="auto"/>
        </w:rPr>
      </w:pPr>
    </w:p>
    <w:p>
      <w:pPr>
        <w:ind w:left="720" w:hanging="280"/>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conduct of a director or officer finally adjudged to be an unlawful distribution; or</w:t>
      </w:r>
    </w:p>
    <w:p>
      <w:pPr>
        <w:spacing w:after="0" w:line="279" w:lineRule="exact"/>
        <w:rPr>
          <w:rFonts w:ascii="Arial" w:cs="Arial" w:eastAsia="Arial" w:hAnsi="Arial"/>
          <w:sz w:val="18"/>
          <w:szCs w:val="18"/>
          <w:color w:val="auto"/>
        </w:rPr>
      </w:pPr>
    </w:p>
    <w:p>
      <w:pPr>
        <w:ind w:left="720" w:hanging="280"/>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transaction with respect to which it was finally adjudged that the director or officer personally received a benefit in money, property or services to which the director or officer was not legally entitled.</w:t>
      </w:r>
    </w:p>
    <w:p>
      <w:pPr>
        <w:spacing w:after="0" w:line="19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Section 10 of Itron’s amended and restated bylaws provides this indemnification to directors and officers to the full extent of the law. This right to indemnification includes the right to advancement of expenses upon an undertaking by the director or officer to repay the expenses if it is later determined that such indemnitee was not entitled to indemnification. Under Itron’s amended and restated bylaws, this right to indemnification is a contract right. Itron’s amended and restated bylaws provide that it may maintain insurance to protect any director or officer against any loss, liability or expense whether or not Itron would have the power to indemnify such person against such loss, liability or expense under the Washington Business Corporation Act.</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Itron’s amended and restated bylaws also authorize Itron to enter into contracts with any director or officer in furtherance of the provisions of the bylaws regarding indemnification and to create a trust fund, grant a security interest or use other means to ensure the payment of amounts necessary to effect this indemnification.</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Unless limited by the corporation’s articles of incorporation, Washington law requires indemnification if the director or officer is wholly successful on the merits of the action or otherwise. Any indemnification of a director in a derivative action must be reported to the shareholders in writing with or before notice of the next shareholders’ meeting. Article 9 of Itron’s amended and restated articles of incorporation provides that a director will not be liable to Itron or its shareholders for monetary damages for conduct as a director to the full extent of Washington law.</w:t>
      </w:r>
    </w:p>
    <w:p>
      <w:pPr>
        <w:spacing w:after="0" w:line="21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Exhibit</w:t>
            </w:r>
          </w:p>
        </w:tc>
        <w:tc>
          <w:tcPr>
            <w:tcW w:w="8120" w:type="dxa"/>
            <w:vAlign w:val="bottom"/>
          </w:tcPr>
          <w:p>
            <w:pPr>
              <w:spacing w:after="0"/>
              <w:rPr>
                <w:sz w:val="18"/>
                <w:szCs w:val="18"/>
                <w:color w:val="auto"/>
              </w:rPr>
            </w:pPr>
          </w:p>
        </w:tc>
      </w:tr>
      <w:tr>
        <w:trPr>
          <w:trHeight w:val="241"/>
        </w:trPr>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Number</w:t>
            </w:r>
          </w:p>
        </w:tc>
        <w:tc>
          <w:tcPr>
            <w:tcW w:w="8120" w:type="dxa"/>
            <w:vAlign w:val="bottom"/>
          </w:tcPr>
          <w:p>
            <w:pPr>
              <w:ind w:left="3620"/>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4.1</w:t>
            </w:r>
          </w:p>
        </w:tc>
        <w:tc>
          <w:tcPr>
            <w:tcW w:w="220" w:type="dxa"/>
            <w:vAlign w:val="bottom"/>
          </w:tcPr>
          <w:p>
            <w:pPr>
              <w:spacing w:after="0"/>
              <w:rPr>
                <w:sz w:val="17"/>
                <w:szCs w:val="17"/>
                <w:color w:val="auto"/>
              </w:rPr>
            </w:pPr>
          </w:p>
        </w:tc>
        <w:tc>
          <w:tcPr>
            <w:tcW w:w="81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Rights Agreement between Itron, Inc. and Mellon Investor Services LLC, as Rights Agent, dated as of</w:t>
            </w:r>
          </w:p>
        </w:tc>
      </w:tr>
      <w:tr>
        <w:trPr>
          <w:trHeight w:val="216"/>
        </w:trPr>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w w:val="98"/>
              </w:rPr>
              <w:t>December 11, 2002 (filed as Exhibit 4.1 to the Itron, Inc. Registration of Securities on Form 8-A, filed on</w:t>
            </w:r>
          </w:p>
        </w:tc>
      </w:tr>
      <w:tr>
        <w:trPr>
          <w:trHeight w:val="230"/>
        </w:trPr>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December 16, 2002, File No. 0-22418).</w:t>
            </w:r>
          </w:p>
        </w:tc>
      </w:tr>
      <w:tr>
        <w:trPr>
          <w:trHeight w:val="432"/>
        </w:trPr>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8120" w:type="dxa"/>
            <w:vAlign w:val="bottom"/>
          </w:tcPr>
          <w:p>
            <w:pPr>
              <w:spacing w:after="0"/>
              <w:rPr>
                <w:sz w:val="20"/>
                <w:szCs w:val="20"/>
                <w:color w:val="auto"/>
              </w:rPr>
            </w:pPr>
            <w:r>
              <w:rPr>
                <w:rFonts w:ascii="Arial" w:cs="Arial" w:eastAsia="Arial" w:hAnsi="Arial"/>
                <w:sz w:val="18"/>
                <w:szCs w:val="18"/>
                <w:color w:val="auto"/>
              </w:rPr>
              <w:t>Opinion of Perkins Coie LLP regarding legality of the Common Stock being registered.</w:t>
            </w:r>
          </w:p>
        </w:tc>
      </w:tr>
      <w:tr>
        <w:trPr>
          <w:trHeight w:val="432"/>
        </w:trPr>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23.1</w:t>
            </w:r>
          </w:p>
        </w:tc>
        <w:tc>
          <w:tcPr>
            <w:tcW w:w="8120" w:type="dxa"/>
            <w:vAlign w:val="bottom"/>
          </w:tcPr>
          <w:p>
            <w:pPr>
              <w:spacing w:after="0"/>
              <w:rPr>
                <w:sz w:val="20"/>
                <w:szCs w:val="20"/>
                <w:color w:val="auto"/>
              </w:rPr>
            </w:pPr>
            <w:r>
              <w:rPr>
                <w:rFonts w:ascii="Arial" w:cs="Arial" w:eastAsia="Arial" w:hAnsi="Arial"/>
                <w:sz w:val="18"/>
                <w:szCs w:val="18"/>
                <w:color w:val="auto"/>
              </w:rPr>
              <w:t>Consent of Deloitte &amp; Touche LLP, Independent Registered Public Accounting Firm.</w:t>
            </w:r>
          </w:p>
        </w:tc>
      </w:tr>
      <w:tr>
        <w:trPr>
          <w:trHeight w:val="432"/>
        </w:trPr>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23.2</w:t>
            </w:r>
          </w:p>
        </w:tc>
        <w:tc>
          <w:tcPr>
            <w:tcW w:w="8120" w:type="dxa"/>
            <w:vAlign w:val="bottom"/>
          </w:tcPr>
          <w:p>
            <w:pPr>
              <w:spacing w:after="0"/>
              <w:rPr>
                <w:sz w:val="20"/>
                <w:szCs w:val="20"/>
                <w:color w:val="auto"/>
              </w:rPr>
            </w:pPr>
            <w:r>
              <w:rPr>
                <w:rFonts w:ascii="Arial" w:cs="Arial" w:eastAsia="Arial" w:hAnsi="Arial"/>
                <w:sz w:val="18"/>
                <w:szCs w:val="18"/>
                <w:color w:val="auto"/>
              </w:rPr>
              <w:t>Consent of Perkins Coie LLP (included in opinion filed as Exhibit 5.1).</w:t>
            </w:r>
          </w:p>
        </w:tc>
      </w:tr>
      <w:tr>
        <w:trPr>
          <w:trHeight w:val="432"/>
        </w:trPr>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24.1</w:t>
            </w:r>
          </w:p>
        </w:tc>
        <w:tc>
          <w:tcPr>
            <w:tcW w:w="8120" w:type="dxa"/>
            <w:vAlign w:val="bottom"/>
          </w:tcPr>
          <w:p>
            <w:pPr>
              <w:spacing w:after="0"/>
              <w:rPr>
                <w:sz w:val="20"/>
                <w:szCs w:val="20"/>
                <w:color w:val="auto"/>
              </w:rPr>
            </w:pPr>
            <w:r>
              <w:rPr>
                <w:rFonts w:ascii="Arial" w:cs="Arial" w:eastAsia="Arial" w:hAnsi="Arial"/>
                <w:sz w:val="18"/>
                <w:szCs w:val="18"/>
                <w:color w:val="auto"/>
              </w:rPr>
              <w:t>Power of Attorney (see signature page).</w:t>
            </w:r>
          </w:p>
        </w:tc>
      </w:tr>
      <w:tr>
        <w:trPr>
          <w:trHeight w:val="418"/>
        </w:trPr>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99.1</w:t>
            </w:r>
          </w:p>
        </w:tc>
        <w:tc>
          <w:tcPr>
            <w:tcW w:w="8120" w:type="dxa"/>
            <w:vAlign w:val="bottom"/>
          </w:tcPr>
          <w:p>
            <w:pPr>
              <w:spacing w:after="0"/>
              <w:rPr>
                <w:sz w:val="20"/>
                <w:szCs w:val="20"/>
                <w:color w:val="auto"/>
              </w:rPr>
            </w:pPr>
            <w:r>
              <w:rPr>
                <w:rFonts w:ascii="Arial" w:cs="Arial" w:eastAsia="Arial" w:hAnsi="Arial"/>
                <w:sz w:val="18"/>
                <w:szCs w:val="18"/>
                <w:color w:val="auto"/>
                <w:w w:val="93"/>
              </w:rPr>
              <w:t>Itron, Inc. Amended and Restated 2000 Stock Incentive Plan (incorporated by reference to Appendix A to the</w:t>
            </w:r>
          </w:p>
        </w:tc>
      </w:tr>
      <w:tr>
        <w:trPr>
          <w:trHeight w:val="230"/>
        </w:trPr>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Definitive Proxy Statement on Schedule 14A filed with the Commission on March 26, 2007).</w:t>
            </w: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56" w:lineRule="exact"/>
        <w:rPr>
          <w:sz w:val="20"/>
          <w:szCs w:val="20"/>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52" w:lineRule="exact"/>
        <w:rPr>
          <w:rFonts w:ascii="Arial" w:cs="Arial" w:eastAsia="Arial" w:hAnsi="Arial"/>
          <w:sz w:val="18"/>
          <w:szCs w:val="18"/>
          <w:color w:val="auto"/>
        </w:rPr>
      </w:pPr>
    </w:p>
    <w:p>
      <w:pPr>
        <w:ind w:left="540" w:hanging="373"/>
        <w:spacing w:after="0"/>
        <w:tabs>
          <w:tab w:leader="none" w:pos="5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52" w:lineRule="exact"/>
        <w:rPr>
          <w:rFonts w:ascii="Arial" w:cs="Arial" w:eastAsia="Arial" w:hAnsi="Arial"/>
          <w:sz w:val="18"/>
          <w:szCs w:val="18"/>
          <w:color w:val="auto"/>
        </w:rPr>
      </w:pPr>
    </w:p>
    <w:p>
      <w:pPr>
        <w:ind w:left="780" w:hanging="313"/>
        <w:spacing w:after="0"/>
        <w:tabs>
          <w:tab w:leader="none" w:pos="78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 (the “Securities Act”);</w:t>
      </w:r>
    </w:p>
    <w:p>
      <w:pPr>
        <w:spacing w:after="0" w:line="279" w:lineRule="exact"/>
        <w:rPr>
          <w:sz w:val="20"/>
          <w:szCs w:val="20"/>
          <w:color w:val="auto"/>
        </w:rPr>
      </w:pPr>
    </w:p>
    <w:p>
      <w:pPr>
        <w:jc w:val="both"/>
        <w:ind w:left="800" w:hanging="306"/>
        <w:spacing w:after="0" w:line="264"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w:t>
      </w:r>
    </w:p>
    <w:p>
      <w:pPr>
        <w:spacing w:after="0" w:line="208" w:lineRule="exact"/>
        <w:rPr>
          <w:sz w:val="20"/>
          <w:szCs w:val="20"/>
          <w:color w:val="auto"/>
        </w:rPr>
      </w:pPr>
    </w:p>
    <w:p>
      <w:pPr>
        <w:jc w:val="both"/>
        <w:ind w:left="800" w:hanging="319"/>
        <w:spacing w:after="0" w:line="257" w:lineRule="auto"/>
        <w:tabs>
          <w:tab w:leader="none" w:pos="800" w:val="left"/>
        </w:tabs>
        <w:numPr>
          <w:ilvl w:val="2"/>
          <w:numId w:val="6"/>
        </w:numPr>
        <w:rPr>
          <w:rFonts w:ascii="Arial" w:cs="Arial" w:eastAsia="Arial" w:hAnsi="Arial"/>
          <w:sz w:val="18"/>
          <w:szCs w:val="18"/>
          <w:color w:val="auto"/>
        </w:rPr>
      </w:pPr>
      <w:r>
        <w:rPr>
          <w:rFonts w:ascii="Arial" w:cs="Arial" w:eastAsia="Arial" w:hAnsi="Arial"/>
          <w:sz w:val="18"/>
          <w:szCs w:val="18"/>
          <w:color w:val="auto"/>
        </w:rPr>
        <w:t xml:space="preserve">To include any material information with respect to the plan of distribution not previously disclosed in this Registration Statement or any material change to such information in this Registration Statement;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above do not apply if the information required to be included in a post-effective amendment by those paragraphs is contained in periodic reports filed or furnished to the Commission by the Registrant pursuant to Section 13 or Section 15(d) of the Exchange Act that are incorporated by reference in this Registration Statement.</w:t>
      </w:r>
    </w:p>
    <w:p>
      <w:pPr>
        <w:spacing w:after="0" w:line="215" w:lineRule="exact"/>
        <w:rPr>
          <w:rFonts w:ascii="Arial" w:cs="Arial" w:eastAsia="Arial" w:hAnsi="Arial"/>
          <w:sz w:val="18"/>
          <w:szCs w:val="18"/>
          <w:color w:val="auto"/>
        </w:rPr>
      </w:pPr>
    </w:p>
    <w:p>
      <w:pPr>
        <w:jc w:val="both"/>
        <w:ind w:left="540" w:hanging="389"/>
        <w:spacing w:after="0" w:line="264" w:lineRule="auto"/>
        <w:tabs>
          <w:tab w:leader="none" w:pos="54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Arial" w:cs="Arial" w:eastAsia="Arial" w:hAnsi="Arial"/>
          <w:sz w:val="18"/>
          <w:szCs w:val="18"/>
          <w:color w:val="auto"/>
        </w:rPr>
      </w:pPr>
    </w:p>
    <w:p>
      <w:pPr>
        <w:ind w:left="540" w:right="120" w:hanging="389"/>
        <w:spacing w:after="0" w:line="277" w:lineRule="auto"/>
        <w:tabs>
          <w:tab w:leader="none" w:pos="540"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97"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213" w:lineRule="exact"/>
        <w:rPr>
          <w:rFonts w:ascii="Arial" w:cs="Arial" w:eastAsia="Arial" w:hAnsi="Arial"/>
          <w:sz w:val="18"/>
          <w:szCs w:val="18"/>
          <w:color w:val="auto"/>
        </w:rPr>
      </w:pPr>
    </w:p>
    <w:p>
      <w:pPr>
        <w:jc w:val="both"/>
        <w:ind w:left="280" w:hanging="272"/>
        <w:spacing w:after="0" w:line="291" w:lineRule="auto"/>
        <w:tabs>
          <w:tab w:leader="none" w:pos="28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rFonts w:ascii="Arial" w:cs="Arial" w:eastAsia="Arial" w:hAnsi="Arial"/>
          <w:sz w:val="16"/>
          <w:szCs w:val="16"/>
          <w:color w:val="auto"/>
        </w:rPr>
      </w:pPr>
    </w:p>
    <w:p>
      <w:pPr>
        <w:spacing w:after="0" w:line="232" w:lineRule="exact"/>
        <w:rPr>
          <w:rFonts w:ascii="Arial" w:cs="Arial" w:eastAsia="Arial" w:hAnsi="Arial"/>
          <w:sz w:val="16"/>
          <w:szCs w:val="16"/>
          <w:color w:val="auto"/>
        </w:rPr>
      </w:pPr>
    </w:p>
    <w:p>
      <w:pPr>
        <w:ind w:left="5700" w:hanging="130"/>
        <w:spacing w:after="0"/>
        <w:tabs>
          <w:tab w:leader="none" w:pos="5700" w:val="left"/>
        </w:tabs>
        <w:numPr>
          <w:ilvl w:val="3"/>
          <w:numId w:val="8"/>
        </w:numPr>
        <w:rPr>
          <w:rFonts w:ascii="Arial" w:cs="Arial" w:eastAsia="Arial" w:hAnsi="Arial"/>
          <w:sz w:val="14"/>
          <w:szCs w:val="14"/>
          <w:color w:val="auto"/>
        </w:rPr>
      </w:pPr>
      <w:r>
        <w:rPr>
          <w:rFonts w:ascii="Arial" w:cs="Arial" w:eastAsia="Arial" w:hAnsi="Arial"/>
          <w:sz w:val="14"/>
          <w:szCs w:val="14"/>
          <w:color w:val="auto"/>
        </w:rPr>
        <w: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Liberty Lake, State of Washington, on the 17</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May, 2007.</w:t>
      </w:r>
    </w:p>
    <w:p>
      <w:pPr>
        <w:spacing w:after="0" w:line="74" w:lineRule="exact"/>
        <w:rPr>
          <w:sz w:val="20"/>
          <w:szCs w:val="20"/>
          <w:color w:val="auto"/>
        </w:rPr>
      </w:pPr>
    </w:p>
    <w:p>
      <w:pPr>
        <w:jc w:val="center"/>
        <w:ind w:left="6840"/>
        <w:spacing w:after="0"/>
        <w:rPr>
          <w:sz w:val="20"/>
          <w:szCs w:val="20"/>
          <w:color w:val="auto"/>
        </w:rPr>
      </w:pPr>
      <w:r>
        <w:rPr>
          <w:rFonts w:ascii="Arial" w:cs="Arial" w:eastAsia="Arial" w:hAnsi="Arial"/>
          <w:sz w:val="22"/>
          <w:szCs w:val="22"/>
          <w:color w:val="auto"/>
        </w:rPr>
        <w:t>ITRON, INC.</w:t>
      </w:r>
    </w:p>
    <w:p>
      <w:pPr>
        <w:spacing w:after="0" w:line="233" w:lineRule="exact"/>
        <w:rPr>
          <w:sz w:val="20"/>
          <w:szCs w:val="20"/>
          <w:color w:val="auto"/>
        </w:rPr>
      </w:pPr>
    </w:p>
    <w:p>
      <w:pPr>
        <w:ind w:left="7760"/>
        <w:spacing w:after="0"/>
        <w:rPr>
          <w:sz w:val="20"/>
          <w:szCs w:val="20"/>
          <w:color w:val="auto"/>
        </w:rPr>
      </w:pPr>
      <w:r>
        <w:rPr>
          <w:rFonts w:ascii="Arial" w:cs="Arial" w:eastAsia="Arial" w:hAnsi="Arial"/>
          <w:sz w:val="22"/>
          <w:szCs w:val="22"/>
          <w:color w:val="auto"/>
        </w:rPr>
        <w:t>/</w:t>
      </w:r>
      <w:r>
        <w:rPr>
          <w:rFonts w:ascii="Arial" w:cs="Arial" w:eastAsia="Arial" w:hAnsi="Arial"/>
          <w:sz w:val="18"/>
          <w:szCs w:val="18"/>
          <w:color w:val="auto"/>
        </w:rPr>
        <w:t>S</w:t>
      </w:r>
      <w:r>
        <w:rPr>
          <w:rFonts w:ascii="Arial" w:cs="Arial" w:eastAsia="Arial" w:hAnsi="Arial"/>
          <w:sz w:val="22"/>
          <w:szCs w:val="22"/>
          <w:color w:val="auto"/>
        </w:rPr>
        <w:t>/  S</w:t>
      </w:r>
      <w:r>
        <w:rPr>
          <w:rFonts w:ascii="Arial" w:cs="Arial" w:eastAsia="Arial" w:hAnsi="Arial"/>
          <w:sz w:val="18"/>
          <w:szCs w:val="18"/>
          <w:color w:val="auto"/>
        </w:rPr>
        <w:t>TEVEN</w:t>
      </w:r>
      <w:r>
        <w:rPr>
          <w:rFonts w:ascii="Arial" w:cs="Arial" w:eastAsia="Arial" w:hAnsi="Arial"/>
          <w:sz w:val="22"/>
          <w:szCs w:val="22"/>
          <w:color w:val="auto"/>
        </w:rPr>
        <w:t xml:space="preserve"> M. H</w:t>
      </w:r>
      <w:r>
        <w:rPr>
          <w:rFonts w:ascii="Arial" w:cs="Arial" w:eastAsia="Arial" w:hAnsi="Arial"/>
          <w:sz w:val="18"/>
          <w:szCs w:val="18"/>
          <w:color w:val="auto"/>
        </w:rPr>
        <w:t>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7620</wp:posOffset>
            </wp:positionV>
            <wp:extent cx="290703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07030" cy="17145"/>
                    </a:xfrm>
                    <a:prstGeom prst="rect">
                      <a:avLst/>
                    </a:prstGeom>
                    <a:noFill/>
                  </pic:spPr>
                </pic:pic>
              </a:graphicData>
            </a:graphic>
          </wp:anchor>
        </w:drawing>
      </w:r>
    </w:p>
    <w:p>
      <w:pPr>
        <w:spacing w:after="0" w:line="2" w:lineRule="exact"/>
        <w:rPr>
          <w:sz w:val="20"/>
          <w:szCs w:val="20"/>
          <w:color w:val="auto"/>
        </w:rPr>
      </w:pPr>
    </w:p>
    <w:p>
      <w:pPr>
        <w:ind w:left="8260"/>
        <w:spacing w:after="0"/>
        <w:rPr>
          <w:sz w:val="20"/>
          <w:szCs w:val="20"/>
          <w:color w:val="auto"/>
        </w:rPr>
      </w:pPr>
      <w:r>
        <w:rPr>
          <w:rFonts w:ascii="Arial" w:cs="Arial" w:eastAsia="Arial" w:hAnsi="Arial"/>
          <w:sz w:val="18"/>
          <w:szCs w:val="18"/>
          <w:b w:val="1"/>
          <w:bCs w:val="1"/>
          <w:color w:val="auto"/>
        </w:rPr>
        <w:t>Steven M. Helmbrecht</w:t>
      </w:r>
    </w:p>
    <w:p>
      <w:pPr>
        <w:spacing w:after="0" w:line="26"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Sr. Vice President and Chief Financial Officer</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56"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Each person whose individual signature appears below hereby authorizes LeRoy D. Nosbaum and Steven M. Helmbrecht, or either of them, as attorneys-in-fact with full power of substitution, to execute in the name and on the behalf of each person, individually and in each capacity stated below, and to file, any and all amendments to this Registration Statement, including any and all post-effective amendments.</w:t>
      </w:r>
    </w:p>
    <w:p>
      <w:pPr>
        <w:spacing w:after="0" w:line="208"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below on the 17</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May, 2007.</w:t>
      </w:r>
    </w:p>
    <w:p>
      <w:pPr>
        <w:sectPr>
          <w:pgSz w:w="11900" w:h="16838" w:orient="portrait"/>
          <w:cols w:equalWidth="0" w:num="1">
            <w:col w:w="11420"/>
          </w:cols>
          <w:pgMar w:left="240" w:top="364" w:right="239" w:bottom="1440" w:gutter="0" w:footer="0" w:header="0"/>
        </w:sectPr>
      </w:pPr>
    </w:p>
    <w:p>
      <w:pPr>
        <w:spacing w:after="0" w:line="68" w:lineRule="exact"/>
        <w:rPr>
          <w:sz w:val="20"/>
          <w:szCs w:val="20"/>
          <w:color w:val="auto"/>
        </w:rPr>
      </w:pPr>
    </w:p>
    <w:p>
      <w:pPr>
        <w:jc w:val="center"/>
        <w:ind w:left="102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17145</wp:posOffset>
            </wp:positionV>
            <wp:extent cx="31559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55950" cy="17145"/>
                    </a:xfrm>
                    <a:prstGeom prst="rect">
                      <a:avLst/>
                    </a:prstGeom>
                    <a:noFill/>
                  </pic:spPr>
                </pic:pic>
              </a:graphicData>
            </a:graphic>
          </wp:anchor>
        </w:drawing>
      </w:r>
    </w:p>
    <w:p>
      <w:pPr>
        <w:spacing w:after="0" w:line="256" w:lineRule="exact"/>
        <w:rPr>
          <w:sz w:val="20"/>
          <w:szCs w:val="20"/>
          <w:color w:val="auto"/>
        </w:rPr>
      </w:pPr>
    </w:p>
    <w:p>
      <w:pPr>
        <w:jc w:val="center"/>
        <w:ind w:left="1020"/>
        <w:spacing w:after="0"/>
        <w:rPr>
          <w:sz w:val="20"/>
          <w:szCs w:val="20"/>
          <w:color w:val="auto"/>
        </w:rPr>
      </w:pPr>
      <w:r>
        <w:rPr>
          <w:rFonts w:ascii="Arial" w:cs="Arial" w:eastAsia="Arial" w:hAnsi="Arial"/>
          <w:sz w:val="22"/>
          <w:szCs w:val="22"/>
          <w:color w:val="auto"/>
        </w:rPr>
        <w:t>/</w:t>
      </w:r>
      <w:r>
        <w:rPr>
          <w:rFonts w:ascii="Arial" w:cs="Arial" w:eastAsia="Arial" w:hAnsi="Arial"/>
          <w:sz w:val="18"/>
          <w:szCs w:val="18"/>
          <w:color w:val="auto"/>
        </w:rPr>
        <w:t>S</w:t>
      </w:r>
      <w:r>
        <w:rPr>
          <w:rFonts w:ascii="Arial" w:cs="Arial" w:eastAsia="Arial" w:hAnsi="Arial"/>
          <w:sz w:val="22"/>
          <w:szCs w:val="22"/>
          <w:color w:val="auto"/>
        </w:rPr>
        <w:t>/ L</w:t>
      </w:r>
      <w:r>
        <w:rPr>
          <w:rFonts w:ascii="Arial" w:cs="Arial" w:eastAsia="Arial" w:hAnsi="Arial"/>
          <w:sz w:val="18"/>
          <w:szCs w:val="18"/>
          <w:color w:val="auto"/>
        </w:rPr>
        <w:t>E</w:t>
      </w:r>
      <w:r>
        <w:rPr>
          <w:rFonts w:ascii="Arial" w:cs="Arial" w:eastAsia="Arial" w:hAnsi="Arial"/>
          <w:sz w:val="22"/>
          <w:szCs w:val="22"/>
          <w:color w:val="auto"/>
        </w:rPr>
        <w:t>R</w:t>
      </w:r>
      <w:r>
        <w:rPr>
          <w:rFonts w:ascii="Arial" w:cs="Arial" w:eastAsia="Arial" w:hAnsi="Arial"/>
          <w:sz w:val="18"/>
          <w:szCs w:val="18"/>
          <w:color w:val="auto"/>
        </w:rPr>
        <w:t>OY</w:t>
      </w:r>
      <w:r>
        <w:rPr>
          <w:rFonts w:ascii="Arial" w:cs="Arial" w:eastAsia="Arial" w:hAnsi="Arial"/>
          <w:sz w:val="22"/>
          <w:szCs w:val="22"/>
          <w:color w:val="auto"/>
        </w:rPr>
        <w:t xml:space="preserve"> D. N</w:t>
      </w:r>
      <w:r>
        <w:rPr>
          <w:rFonts w:ascii="Arial" w:cs="Arial" w:eastAsia="Arial" w:hAnsi="Arial"/>
          <w:sz w:val="18"/>
          <w:szCs w:val="18"/>
          <w:color w:val="auto"/>
        </w:rPr>
        <w:t>OSBAUM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7620</wp:posOffset>
            </wp:positionV>
            <wp:extent cx="31559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55950" cy="17145"/>
                    </a:xfrm>
                    <a:prstGeom prst="rect">
                      <a:avLst/>
                    </a:prstGeom>
                    <a:noFill/>
                  </pic:spPr>
                </pic:pic>
              </a:graphicData>
            </a:graphic>
          </wp:anchor>
        </w:drawing>
      </w:r>
    </w:p>
    <w:p>
      <w:pPr>
        <w:spacing w:after="0" w:line="2" w:lineRule="exact"/>
        <w:rPr>
          <w:sz w:val="20"/>
          <w:szCs w:val="20"/>
          <w:color w:val="auto"/>
        </w:rPr>
      </w:pPr>
    </w:p>
    <w:p>
      <w:pPr>
        <w:jc w:val="center"/>
        <w:ind w:left="1020"/>
        <w:spacing w:after="0"/>
        <w:rPr>
          <w:sz w:val="20"/>
          <w:szCs w:val="20"/>
          <w:color w:val="auto"/>
        </w:rPr>
      </w:pPr>
      <w:r>
        <w:rPr>
          <w:rFonts w:ascii="Arial" w:cs="Arial" w:eastAsia="Arial" w:hAnsi="Arial"/>
          <w:sz w:val="18"/>
          <w:szCs w:val="18"/>
          <w:b w:val="1"/>
          <w:bCs w:val="1"/>
          <w:color w:val="auto"/>
        </w:rPr>
        <w:t>LeRoy D. Nosbaum</w:t>
      </w:r>
    </w:p>
    <w:p>
      <w:pPr>
        <w:spacing w:after="0" w:line="248" w:lineRule="exact"/>
        <w:rPr>
          <w:sz w:val="20"/>
          <w:szCs w:val="20"/>
          <w:color w:val="auto"/>
        </w:rPr>
      </w:pPr>
    </w:p>
    <w:p>
      <w:pPr>
        <w:jc w:val="center"/>
        <w:ind w:left="1020"/>
        <w:spacing w:after="0"/>
        <w:rPr>
          <w:sz w:val="20"/>
          <w:szCs w:val="20"/>
          <w:color w:val="auto"/>
        </w:rPr>
      </w:pPr>
      <w:r>
        <w:rPr>
          <w:rFonts w:ascii="Arial" w:cs="Arial" w:eastAsia="Arial" w:hAnsi="Arial"/>
          <w:sz w:val="22"/>
          <w:szCs w:val="22"/>
          <w:color w:val="auto"/>
        </w:rPr>
        <w:t>/</w:t>
      </w:r>
      <w:r>
        <w:rPr>
          <w:rFonts w:ascii="Arial" w:cs="Arial" w:eastAsia="Arial" w:hAnsi="Arial"/>
          <w:sz w:val="18"/>
          <w:szCs w:val="18"/>
          <w:color w:val="auto"/>
        </w:rPr>
        <w:t>S</w:t>
      </w:r>
      <w:r>
        <w:rPr>
          <w:rFonts w:ascii="Arial" w:cs="Arial" w:eastAsia="Arial" w:hAnsi="Arial"/>
          <w:sz w:val="22"/>
          <w:szCs w:val="22"/>
          <w:color w:val="auto"/>
        </w:rPr>
        <w:t>/ S</w:t>
      </w:r>
      <w:r>
        <w:rPr>
          <w:rFonts w:ascii="Arial" w:cs="Arial" w:eastAsia="Arial" w:hAnsi="Arial"/>
          <w:sz w:val="18"/>
          <w:szCs w:val="18"/>
          <w:color w:val="auto"/>
        </w:rPr>
        <w:t>TEVEN</w:t>
      </w:r>
      <w:r>
        <w:rPr>
          <w:rFonts w:ascii="Arial" w:cs="Arial" w:eastAsia="Arial" w:hAnsi="Arial"/>
          <w:sz w:val="22"/>
          <w:szCs w:val="22"/>
          <w:color w:val="auto"/>
        </w:rPr>
        <w:t xml:space="preserve"> M. H</w:t>
      </w:r>
      <w:r>
        <w:rPr>
          <w:rFonts w:ascii="Arial" w:cs="Arial" w:eastAsia="Arial" w:hAnsi="Arial"/>
          <w:sz w:val="18"/>
          <w:szCs w:val="18"/>
          <w:color w:val="auto"/>
        </w:rPr>
        <w:t>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7620</wp:posOffset>
            </wp:positionV>
            <wp:extent cx="31559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55950" cy="17145"/>
                    </a:xfrm>
                    <a:prstGeom prst="rect">
                      <a:avLst/>
                    </a:prstGeom>
                    <a:noFill/>
                  </pic:spPr>
                </pic:pic>
              </a:graphicData>
            </a:graphic>
          </wp:anchor>
        </w:drawing>
      </w:r>
    </w:p>
    <w:p>
      <w:pPr>
        <w:spacing w:after="0" w:line="2" w:lineRule="exact"/>
        <w:rPr>
          <w:sz w:val="20"/>
          <w:szCs w:val="20"/>
          <w:color w:val="auto"/>
        </w:rPr>
      </w:pPr>
    </w:p>
    <w:p>
      <w:pPr>
        <w:jc w:val="center"/>
        <w:ind w:left="1020"/>
        <w:spacing w:after="0"/>
        <w:rPr>
          <w:sz w:val="20"/>
          <w:szCs w:val="20"/>
          <w:color w:val="auto"/>
        </w:rPr>
      </w:pPr>
      <w:r>
        <w:rPr>
          <w:rFonts w:ascii="Arial" w:cs="Arial" w:eastAsia="Arial" w:hAnsi="Arial"/>
          <w:sz w:val="18"/>
          <w:szCs w:val="18"/>
          <w:b w:val="1"/>
          <w:bCs w:val="1"/>
          <w:color w:val="auto"/>
        </w:rPr>
        <w:t>Steven M. Helmbrecht</w:t>
      </w:r>
    </w:p>
    <w:p>
      <w:pPr>
        <w:spacing w:after="0" w:line="248" w:lineRule="exact"/>
        <w:rPr>
          <w:sz w:val="20"/>
          <w:szCs w:val="20"/>
          <w:color w:val="auto"/>
        </w:rPr>
      </w:pPr>
    </w:p>
    <w:p>
      <w:pPr>
        <w:jc w:val="center"/>
        <w:ind w:left="1020"/>
        <w:spacing w:after="0"/>
        <w:rPr>
          <w:sz w:val="20"/>
          <w:szCs w:val="20"/>
          <w:color w:val="auto"/>
        </w:rPr>
      </w:pPr>
      <w:r>
        <w:rPr>
          <w:rFonts w:ascii="Arial" w:cs="Arial" w:eastAsia="Arial" w:hAnsi="Arial"/>
          <w:sz w:val="22"/>
          <w:szCs w:val="22"/>
          <w:color w:val="auto"/>
        </w:rPr>
        <w:t>/</w:t>
      </w:r>
      <w:r>
        <w:rPr>
          <w:rFonts w:ascii="Arial" w:cs="Arial" w:eastAsia="Arial" w:hAnsi="Arial"/>
          <w:sz w:val="18"/>
          <w:szCs w:val="18"/>
          <w:color w:val="auto"/>
        </w:rPr>
        <w:t>S</w:t>
      </w:r>
      <w:r>
        <w:rPr>
          <w:rFonts w:ascii="Arial" w:cs="Arial" w:eastAsia="Arial" w:hAnsi="Arial"/>
          <w:sz w:val="22"/>
          <w:szCs w:val="22"/>
          <w:color w:val="auto"/>
        </w:rPr>
        <w:t>/ M</w:t>
      </w:r>
      <w:r>
        <w:rPr>
          <w:rFonts w:ascii="Arial" w:cs="Arial" w:eastAsia="Arial" w:hAnsi="Arial"/>
          <w:sz w:val="18"/>
          <w:szCs w:val="18"/>
          <w:color w:val="auto"/>
        </w:rPr>
        <w:t>ICHAEL</w:t>
      </w:r>
      <w:r>
        <w:rPr>
          <w:rFonts w:ascii="Arial" w:cs="Arial" w:eastAsia="Arial" w:hAnsi="Arial"/>
          <w:sz w:val="22"/>
          <w:szCs w:val="22"/>
          <w:color w:val="auto"/>
        </w:rPr>
        <w:t xml:space="preserve"> B. B</w:t>
      </w:r>
      <w:r>
        <w:rPr>
          <w:rFonts w:ascii="Arial" w:cs="Arial" w:eastAsia="Arial" w:hAnsi="Arial"/>
          <w:sz w:val="18"/>
          <w:szCs w:val="18"/>
          <w:color w:val="auto"/>
        </w:rPr>
        <w:t>RACY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7620</wp:posOffset>
            </wp:positionV>
            <wp:extent cx="31559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55950" cy="17145"/>
                    </a:xfrm>
                    <a:prstGeom prst="rect">
                      <a:avLst/>
                    </a:prstGeom>
                    <a:noFill/>
                  </pic:spPr>
                </pic:pic>
              </a:graphicData>
            </a:graphic>
          </wp:anchor>
        </w:drawing>
      </w:r>
    </w:p>
    <w:p>
      <w:pPr>
        <w:spacing w:after="0" w:line="2" w:lineRule="exact"/>
        <w:rPr>
          <w:sz w:val="20"/>
          <w:szCs w:val="20"/>
          <w:color w:val="auto"/>
        </w:rPr>
      </w:pPr>
    </w:p>
    <w:p>
      <w:pPr>
        <w:jc w:val="center"/>
        <w:ind w:left="1020"/>
        <w:spacing w:after="0"/>
        <w:rPr>
          <w:sz w:val="20"/>
          <w:szCs w:val="20"/>
          <w:color w:val="auto"/>
        </w:rPr>
      </w:pPr>
      <w:r>
        <w:rPr>
          <w:rFonts w:ascii="Arial" w:cs="Arial" w:eastAsia="Arial" w:hAnsi="Arial"/>
          <w:sz w:val="18"/>
          <w:szCs w:val="18"/>
          <w:b w:val="1"/>
          <w:bCs w:val="1"/>
          <w:color w:val="auto"/>
        </w:rPr>
        <w:t>Michael B. Bracy</w:t>
      </w:r>
    </w:p>
    <w:p>
      <w:pPr>
        <w:spacing w:after="0" w:line="248" w:lineRule="exact"/>
        <w:rPr>
          <w:sz w:val="20"/>
          <w:szCs w:val="20"/>
          <w:color w:val="auto"/>
        </w:rPr>
      </w:pPr>
    </w:p>
    <w:p>
      <w:pPr>
        <w:jc w:val="center"/>
        <w:ind w:left="1020"/>
        <w:spacing w:after="0"/>
        <w:rPr>
          <w:sz w:val="20"/>
          <w:szCs w:val="20"/>
          <w:color w:val="auto"/>
        </w:rPr>
      </w:pPr>
      <w:r>
        <w:rPr>
          <w:rFonts w:ascii="Arial" w:cs="Arial" w:eastAsia="Arial" w:hAnsi="Arial"/>
          <w:sz w:val="22"/>
          <w:szCs w:val="22"/>
          <w:color w:val="auto"/>
        </w:rPr>
        <w:t>/</w:t>
      </w:r>
      <w:r>
        <w:rPr>
          <w:rFonts w:ascii="Arial" w:cs="Arial" w:eastAsia="Arial" w:hAnsi="Arial"/>
          <w:sz w:val="18"/>
          <w:szCs w:val="18"/>
          <w:color w:val="auto"/>
        </w:rPr>
        <w:t>S</w:t>
      </w:r>
      <w:r>
        <w:rPr>
          <w:rFonts w:ascii="Arial" w:cs="Arial" w:eastAsia="Arial" w:hAnsi="Arial"/>
          <w:sz w:val="22"/>
          <w:szCs w:val="22"/>
          <w:color w:val="auto"/>
        </w:rPr>
        <w:t>/ T</w:t>
      </w:r>
      <w:r>
        <w:rPr>
          <w:rFonts w:ascii="Arial" w:cs="Arial" w:eastAsia="Arial" w:hAnsi="Arial"/>
          <w:sz w:val="18"/>
          <w:szCs w:val="18"/>
          <w:color w:val="auto"/>
        </w:rPr>
        <w:t>ED</w:t>
      </w:r>
      <w:r>
        <w:rPr>
          <w:rFonts w:ascii="Arial" w:cs="Arial" w:eastAsia="Arial" w:hAnsi="Arial"/>
          <w:sz w:val="22"/>
          <w:szCs w:val="22"/>
          <w:color w:val="auto"/>
        </w:rPr>
        <w:t xml:space="preserve"> C. D</w:t>
      </w:r>
      <w:r>
        <w:rPr>
          <w:rFonts w:ascii="Arial" w:cs="Arial" w:eastAsia="Arial" w:hAnsi="Arial"/>
          <w:sz w:val="18"/>
          <w:szCs w:val="18"/>
          <w:color w:val="auto"/>
        </w:rPr>
        <w:t>E</w:t>
      </w:r>
      <w:r>
        <w:rPr>
          <w:rFonts w:ascii="Arial" w:cs="Arial" w:eastAsia="Arial" w:hAnsi="Arial"/>
          <w:sz w:val="22"/>
          <w:szCs w:val="22"/>
          <w:color w:val="auto"/>
        </w:rPr>
        <w:t>M</w:t>
      </w:r>
      <w:r>
        <w:rPr>
          <w:rFonts w:ascii="Arial" w:cs="Arial" w:eastAsia="Arial" w:hAnsi="Arial"/>
          <w:sz w:val="18"/>
          <w:szCs w:val="18"/>
          <w:color w:val="auto"/>
        </w:rPr>
        <w:t>ERRITT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7620</wp:posOffset>
            </wp:positionV>
            <wp:extent cx="31559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55950" cy="17145"/>
                    </a:xfrm>
                    <a:prstGeom prst="rect">
                      <a:avLst/>
                    </a:prstGeom>
                    <a:noFill/>
                  </pic:spPr>
                </pic:pic>
              </a:graphicData>
            </a:graphic>
          </wp:anchor>
        </w:drawing>
      </w:r>
    </w:p>
    <w:p>
      <w:pPr>
        <w:spacing w:after="0" w:line="2" w:lineRule="exact"/>
        <w:rPr>
          <w:sz w:val="20"/>
          <w:szCs w:val="20"/>
          <w:color w:val="auto"/>
        </w:rPr>
      </w:pPr>
    </w:p>
    <w:p>
      <w:pPr>
        <w:jc w:val="center"/>
        <w:ind w:left="1020"/>
        <w:spacing w:after="0"/>
        <w:rPr>
          <w:sz w:val="20"/>
          <w:szCs w:val="20"/>
          <w:color w:val="auto"/>
        </w:rPr>
      </w:pPr>
      <w:r>
        <w:rPr>
          <w:rFonts w:ascii="Arial" w:cs="Arial" w:eastAsia="Arial" w:hAnsi="Arial"/>
          <w:sz w:val="18"/>
          <w:szCs w:val="18"/>
          <w:b w:val="1"/>
          <w:bCs w:val="1"/>
          <w:color w:val="auto"/>
        </w:rPr>
        <w:t>Ted C. DeMerritt</w:t>
      </w:r>
    </w:p>
    <w:p>
      <w:pPr>
        <w:spacing w:after="0" w:line="248" w:lineRule="exact"/>
        <w:rPr>
          <w:sz w:val="20"/>
          <w:szCs w:val="20"/>
          <w:color w:val="auto"/>
        </w:rPr>
      </w:pPr>
    </w:p>
    <w:p>
      <w:pPr>
        <w:jc w:val="center"/>
        <w:ind w:left="1020"/>
        <w:spacing w:after="0"/>
        <w:rPr>
          <w:sz w:val="20"/>
          <w:szCs w:val="20"/>
          <w:color w:val="auto"/>
        </w:rPr>
      </w:pPr>
      <w:r>
        <w:rPr>
          <w:rFonts w:ascii="Arial" w:cs="Arial" w:eastAsia="Arial" w:hAnsi="Arial"/>
          <w:sz w:val="22"/>
          <w:szCs w:val="22"/>
          <w:color w:val="auto"/>
        </w:rPr>
        <w:t>/</w:t>
      </w:r>
      <w:r>
        <w:rPr>
          <w:rFonts w:ascii="Arial" w:cs="Arial" w:eastAsia="Arial" w:hAnsi="Arial"/>
          <w:sz w:val="18"/>
          <w:szCs w:val="18"/>
          <w:color w:val="auto"/>
        </w:rPr>
        <w:t>S</w:t>
      </w:r>
      <w:r>
        <w:rPr>
          <w:rFonts w:ascii="Arial" w:cs="Arial" w:eastAsia="Arial" w:hAnsi="Arial"/>
          <w:sz w:val="22"/>
          <w:szCs w:val="22"/>
          <w:color w:val="auto"/>
        </w:rPr>
        <w:t>/ K</w:t>
      </w:r>
      <w:r>
        <w:rPr>
          <w:rFonts w:ascii="Arial" w:cs="Arial" w:eastAsia="Arial" w:hAnsi="Arial"/>
          <w:sz w:val="18"/>
          <w:szCs w:val="18"/>
          <w:color w:val="auto"/>
        </w:rPr>
        <w:t>IRBY</w:t>
      </w:r>
      <w:r>
        <w:rPr>
          <w:rFonts w:ascii="Arial" w:cs="Arial" w:eastAsia="Arial" w:hAnsi="Arial"/>
          <w:sz w:val="22"/>
          <w:szCs w:val="22"/>
          <w:color w:val="auto"/>
        </w:rPr>
        <w:t xml:space="preserve"> A. D</w:t>
      </w:r>
      <w:r>
        <w:rPr>
          <w:rFonts w:ascii="Arial" w:cs="Arial" w:eastAsia="Arial" w:hAnsi="Arial"/>
          <w:sz w:val="18"/>
          <w:szCs w:val="18"/>
          <w:color w:val="auto"/>
        </w:rPr>
        <w:t>YESS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7620</wp:posOffset>
            </wp:positionV>
            <wp:extent cx="31559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55950" cy="17145"/>
                    </a:xfrm>
                    <a:prstGeom prst="rect">
                      <a:avLst/>
                    </a:prstGeom>
                    <a:noFill/>
                  </pic:spPr>
                </pic:pic>
              </a:graphicData>
            </a:graphic>
          </wp:anchor>
        </w:drawing>
      </w:r>
    </w:p>
    <w:p>
      <w:pPr>
        <w:spacing w:after="0" w:line="2" w:lineRule="exact"/>
        <w:rPr>
          <w:sz w:val="20"/>
          <w:szCs w:val="20"/>
          <w:color w:val="auto"/>
        </w:rPr>
      </w:pPr>
    </w:p>
    <w:p>
      <w:pPr>
        <w:jc w:val="center"/>
        <w:ind w:left="1020"/>
        <w:spacing w:after="0"/>
        <w:rPr>
          <w:sz w:val="20"/>
          <w:szCs w:val="20"/>
          <w:color w:val="auto"/>
        </w:rPr>
      </w:pPr>
      <w:r>
        <w:rPr>
          <w:rFonts w:ascii="Arial" w:cs="Arial" w:eastAsia="Arial" w:hAnsi="Arial"/>
          <w:sz w:val="18"/>
          <w:szCs w:val="18"/>
          <w:b w:val="1"/>
          <w:bCs w:val="1"/>
          <w:color w:val="auto"/>
        </w:rPr>
        <w:t>Kirby A. Dyess</w:t>
      </w:r>
    </w:p>
    <w:p>
      <w:pPr>
        <w:spacing w:after="0" w:line="248" w:lineRule="exact"/>
        <w:rPr>
          <w:sz w:val="20"/>
          <w:szCs w:val="20"/>
          <w:color w:val="auto"/>
        </w:rPr>
      </w:pPr>
    </w:p>
    <w:p>
      <w:pPr>
        <w:jc w:val="center"/>
        <w:ind w:left="1020"/>
        <w:spacing w:after="0"/>
        <w:rPr>
          <w:sz w:val="20"/>
          <w:szCs w:val="20"/>
          <w:color w:val="auto"/>
        </w:rPr>
      </w:pPr>
      <w:r>
        <w:rPr>
          <w:rFonts w:ascii="Arial" w:cs="Arial" w:eastAsia="Arial" w:hAnsi="Arial"/>
          <w:sz w:val="22"/>
          <w:szCs w:val="22"/>
          <w:color w:val="auto"/>
        </w:rPr>
        <w:t>/</w:t>
      </w:r>
      <w:r>
        <w:rPr>
          <w:rFonts w:ascii="Arial" w:cs="Arial" w:eastAsia="Arial" w:hAnsi="Arial"/>
          <w:sz w:val="18"/>
          <w:szCs w:val="18"/>
          <w:color w:val="auto"/>
        </w:rPr>
        <w:t>S</w:t>
      </w:r>
      <w:r>
        <w:rPr>
          <w:rFonts w:ascii="Arial" w:cs="Arial" w:eastAsia="Arial" w:hAnsi="Arial"/>
          <w:sz w:val="22"/>
          <w:szCs w:val="22"/>
          <w:color w:val="auto"/>
        </w:rPr>
        <w:t>/ J</w:t>
      </w:r>
      <w:r>
        <w:rPr>
          <w:rFonts w:ascii="Arial" w:cs="Arial" w:eastAsia="Arial" w:hAnsi="Arial"/>
          <w:sz w:val="18"/>
          <w:szCs w:val="18"/>
          <w:color w:val="auto"/>
        </w:rPr>
        <w:t>ON</w:t>
      </w:r>
      <w:r>
        <w:rPr>
          <w:rFonts w:ascii="Arial" w:cs="Arial" w:eastAsia="Arial" w:hAnsi="Arial"/>
          <w:sz w:val="22"/>
          <w:szCs w:val="22"/>
          <w:color w:val="auto"/>
        </w:rPr>
        <w:t xml:space="preserve"> E. E</w:t>
      </w:r>
      <w:r>
        <w:rPr>
          <w:rFonts w:ascii="Arial" w:cs="Arial" w:eastAsia="Arial" w:hAnsi="Arial"/>
          <w:sz w:val="18"/>
          <w:szCs w:val="18"/>
          <w:color w:val="auto"/>
        </w:rPr>
        <w:t>LIASSEN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7620</wp:posOffset>
            </wp:positionV>
            <wp:extent cx="31559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55950" cy="17145"/>
                    </a:xfrm>
                    <a:prstGeom prst="rect">
                      <a:avLst/>
                    </a:prstGeom>
                    <a:noFill/>
                  </pic:spPr>
                </pic:pic>
              </a:graphicData>
            </a:graphic>
          </wp:anchor>
        </w:drawing>
      </w:r>
    </w:p>
    <w:p>
      <w:pPr>
        <w:spacing w:after="0" w:line="2" w:lineRule="exact"/>
        <w:rPr>
          <w:sz w:val="20"/>
          <w:szCs w:val="20"/>
          <w:color w:val="auto"/>
        </w:rPr>
      </w:pPr>
    </w:p>
    <w:p>
      <w:pPr>
        <w:jc w:val="center"/>
        <w:ind w:left="1020"/>
        <w:spacing w:after="0"/>
        <w:rPr>
          <w:sz w:val="20"/>
          <w:szCs w:val="20"/>
          <w:color w:val="auto"/>
        </w:rPr>
      </w:pPr>
      <w:r>
        <w:rPr>
          <w:rFonts w:ascii="Arial" w:cs="Arial" w:eastAsia="Arial" w:hAnsi="Arial"/>
          <w:sz w:val="18"/>
          <w:szCs w:val="18"/>
          <w:b w:val="1"/>
          <w:bCs w:val="1"/>
          <w:color w:val="auto"/>
        </w:rPr>
        <w:t>Jon E. Eliassen</w:t>
      </w:r>
    </w:p>
    <w:p>
      <w:pPr>
        <w:spacing w:after="0" w:line="248" w:lineRule="exact"/>
        <w:rPr>
          <w:sz w:val="20"/>
          <w:szCs w:val="20"/>
          <w:color w:val="auto"/>
        </w:rPr>
      </w:pPr>
    </w:p>
    <w:p>
      <w:pPr>
        <w:jc w:val="center"/>
        <w:ind w:left="1020"/>
        <w:spacing w:after="0"/>
        <w:rPr>
          <w:sz w:val="20"/>
          <w:szCs w:val="20"/>
          <w:color w:val="auto"/>
        </w:rPr>
      </w:pPr>
      <w:r>
        <w:rPr>
          <w:rFonts w:ascii="Arial" w:cs="Arial" w:eastAsia="Arial" w:hAnsi="Arial"/>
          <w:sz w:val="19"/>
          <w:szCs w:val="19"/>
          <w:color w:val="auto"/>
        </w:rPr>
        <w:t>/</w:t>
      </w:r>
      <w:r>
        <w:rPr>
          <w:rFonts w:ascii="Arial" w:cs="Arial" w:eastAsia="Arial" w:hAnsi="Arial"/>
          <w:sz w:val="16"/>
          <w:szCs w:val="16"/>
          <w:color w:val="auto"/>
        </w:rPr>
        <w:t>S</w:t>
      </w:r>
      <w:r>
        <w:rPr>
          <w:rFonts w:ascii="Arial" w:cs="Arial" w:eastAsia="Arial" w:hAnsi="Arial"/>
          <w:sz w:val="19"/>
          <w:szCs w:val="19"/>
          <w:color w:val="auto"/>
        </w:rPr>
        <w:t>/ C</w:t>
      </w:r>
      <w:r>
        <w:rPr>
          <w:rFonts w:ascii="Arial" w:cs="Arial" w:eastAsia="Arial" w:hAnsi="Arial"/>
          <w:sz w:val="16"/>
          <w:szCs w:val="16"/>
          <w:color w:val="auto"/>
        </w:rPr>
        <w:t>HARLES</w:t>
      </w:r>
      <w:r>
        <w:rPr>
          <w:rFonts w:ascii="Arial" w:cs="Arial" w:eastAsia="Arial" w:hAnsi="Arial"/>
          <w:sz w:val="19"/>
          <w:szCs w:val="19"/>
          <w:color w:val="auto"/>
        </w:rPr>
        <w:t xml:space="preserve"> H. G</w:t>
      </w:r>
      <w:r>
        <w:rPr>
          <w:rFonts w:ascii="Arial" w:cs="Arial" w:eastAsia="Arial" w:hAnsi="Arial"/>
          <w:sz w:val="16"/>
          <w:szCs w:val="16"/>
          <w:color w:val="auto"/>
        </w:rPr>
        <w:t>AYLORD</w:t>
      </w:r>
      <w:r>
        <w:rPr>
          <w:rFonts w:ascii="Arial" w:cs="Arial" w:eastAsia="Arial" w:hAnsi="Arial"/>
          <w:sz w:val="19"/>
          <w:szCs w:val="19"/>
          <w:color w:val="auto"/>
        </w:rPr>
        <w:t>, J</w:t>
      </w:r>
      <w:r>
        <w:rPr>
          <w:rFonts w:ascii="Arial" w:cs="Arial" w:eastAsia="Arial" w:hAnsi="Arial"/>
          <w:sz w:val="16"/>
          <w:szCs w:val="16"/>
          <w:color w:val="auto"/>
        </w:rPr>
        <w:t>R</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29210</wp:posOffset>
            </wp:positionV>
            <wp:extent cx="31559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55950" cy="17145"/>
                    </a:xfrm>
                    <a:prstGeom prst="rect">
                      <a:avLst/>
                    </a:prstGeom>
                    <a:noFill/>
                  </pic:spPr>
                </pic:pic>
              </a:graphicData>
            </a:graphic>
          </wp:anchor>
        </w:drawing>
      </w:r>
    </w:p>
    <w:p>
      <w:pPr>
        <w:spacing w:after="0" w:line="36" w:lineRule="exact"/>
        <w:rPr>
          <w:sz w:val="20"/>
          <w:szCs w:val="20"/>
          <w:color w:val="auto"/>
        </w:rPr>
      </w:pPr>
    </w:p>
    <w:p>
      <w:pPr>
        <w:jc w:val="center"/>
        <w:ind w:left="1020"/>
        <w:spacing w:after="0"/>
        <w:rPr>
          <w:sz w:val="20"/>
          <w:szCs w:val="20"/>
          <w:color w:val="auto"/>
        </w:rPr>
      </w:pPr>
      <w:r>
        <w:rPr>
          <w:rFonts w:ascii="Arial" w:cs="Arial" w:eastAsia="Arial" w:hAnsi="Arial"/>
          <w:sz w:val="18"/>
          <w:szCs w:val="18"/>
          <w:b w:val="1"/>
          <w:bCs w:val="1"/>
          <w:color w:val="auto"/>
        </w:rPr>
        <w:t>Charles H. Gaylord, Jr.</w:t>
      </w:r>
    </w:p>
    <w:p>
      <w:pPr>
        <w:spacing w:after="0" w:line="248" w:lineRule="exact"/>
        <w:rPr>
          <w:sz w:val="20"/>
          <w:szCs w:val="20"/>
          <w:color w:val="auto"/>
        </w:rPr>
      </w:pPr>
    </w:p>
    <w:p>
      <w:pPr>
        <w:jc w:val="center"/>
        <w:ind w:left="1020"/>
        <w:spacing w:after="0"/>
        <w:rPr>
          <w:sz w:val="20"/>
          <w:szCs w:val="20"/>
          <w:color w:val="auto"/>
        </w:rPr>
      </w:pPr>
      <w:r>
        <w:rPr>
          <w:rFonts w:ascii="Arial" w:cs="Arial" w:eastAsia="Arial" w:hAnsi="Arial"/>
          <w:sz w:val="22"/>
          <w:szCs w:val="22"/>
          <w:color w:val="auto"/>
        </w:rPr>
        <w:t>/</w:t>
      </w:r>
      <w:r>
        <w:rPr>
          <w:rFonts w:ascii="Arial" w:cs="Arial" w:eastAsia="Arial" w:hAnsi="Arial"/>
          <w:sz w:val="18"/>
          <w:szCs w:val="18"/>
          <w:color w:val="auto"/>
        </w:rPr>
        <w:t>S</w:t>
      </w:r>
      <w:r>
        <w:rPr>
          <w:rFonts w:ascii="Arial" w:cs="Arial" w:eastAsia="Arial" w:hAnsi="Arial"/>
          <w:sz w:val="22"/>
          <w:szCs w:val="22"/>
          <w:color w:val="auto"/>
        </w:rPr>
        <w:t>/ T</w:t>
      </w:r>
      <w:r>
        <w:rPr>
          <w:rFonts w:ascii="Arial" w:cs="Arial" w:eastAsia="Arial" w:hAnsi="Arial"/>
          <w:sz w:val="18"/>
          <w:szCs w:val="18"/>
          <w:color w:val="auto"/>
        </w:rPr>
        <w:t>HOMAS</w:t>
      </w:r>
      <w:r>
        <w:rPr>
          <w:rFonts w:ascii="Arial" w:cs="Arial" w:eastAsia="Arial" w:hAnsi="Arial"/>
          <w:sz w:val="22"/>
          <w:szCs w:val="22"/>
          <w:color w:val="auto"/>
        </w:rPr>
        <w:t xml:space="preserve"> S. G</w:t>
      </w:r>
      <w:r>
        <w:rPr>
          <w:rFonts w:ascii="Arial" w:cs="Arial" w:eastAsia="Arial" w:hAnsi="Arial"/>
          <w:sz w:val="18"/>
          <w:szCs w:val="18"/>
          <w:color w:val="auto"/>
        </w:rPr>
        <w:t>LANVILLE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7620</wp:posOffset>
            </wp:positionV>
            <wp:extent cx="31559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55950" cy="17145"/>
                    </a:xfrm>
                    <a:prstGeom prst="rect">
                      <a:avLst/>
                    </a:prstGeom>
                    <a:noFill/>
                  </pic:spPr>
                </pic:pic>
              </a:graphicData>
            </a:graphic>
          </wp:anchor>
        </w:drawing>
      </w:r>
    </w:p>
    <w:p>
      <w:pPr>
        <w:spacing w:after="0" w:line="2" w:lineRule="exact"/>
        <w:rPr>
          <w:sz w:val="20"/>
          <w:szCs w:val="20"/>
          <w:color w:val="auto"/>
        </w:rPr>
      </w:pPr>
    </w:p>
    <w:p>
      <w:pPr>
        <w:jc w:val="center"/>
        <w:ind w:left="1020"/>
        <w:spacing w:after="0"/>
        <w:rPr>
          <w:sz w:val="20"/>
          <w:szCs w:val="20"/>
          <w:color w:val="auto"/>
        </w:rPr>
      </w:pPr>
      <w:r>
        <w:rPr>
          <w:rFonts w:ascii="Arial" w:cs="Arial" w:eastAsia="Arial" w:hAnsi="Arial"/>
          <w:sz w:val="18"/>
          <w:szCs w:val="18"/>
          <w:b w:val="1"/>
          <w:bCs w:val="1"/>
          <w:color w:val="auto"/>
        </w:rPr>
        <w:t>Thomas S. Glanville</w:t>
      </w:r>
    </w:p>
    <w:p>
      <w:pPr>
        <w:spacing w:after="0" w:line="248" w:lineRule="exact"/>
        <w:rPr>
          <w:sz w:val="20"/>
          <w:szCs w:val="20"/>
          <w:color w:val="auto"/>
        </w:rPr>
      </w:pPr>
    </w:p>
    <w:p>
      <w:pPr>
        <w:jc w:val="center"/>
        <w:ind w:left="1020"/>
        <w:spacing w:after="0"/>
        <w:rPr>
          <w:sz w:val="20"/>
          <w:szCs w:val="20"/>
          <w:color w:val="auto"/>
        </w:rPr>
      </w:pPr>
      <w:r>
        <w:rPr>
          <w:rFonts w:ascii="Arial" w:cs="Arial" w:eastAsia="Arial" w:hAnsi="Arial"/>
          <w:sz w:val="22"/>
          <w:szCs w:val="22"/>
          <w:color w:val="auto"/>
        </w:rPr>
        <w:t>/S/ S</w:t>
      </w:r>
      <w:r>
        <w:rPr>
          <w:rFonts w:ascii="Arial" w:cs="Arial" w:eastAsia="Arial" w:hAnsi="Arial"/>
          <w:sz w:val="18"/>
          <w:szCs w:val="18"/>
          <w:color w:val="auto"/>
        </w:rPr>
        <w:t>HARON</w:t>
      </w:r>
      <w:r>
        <w:rPr>
          <w:rFonts w:ascii="Arial" w:cs="Arial" w:eastAsia="Arial" w:hAnsi="Arial"/>
          <w:sz w:val="22"/>
          <w:szCs w:val="22"/>
          <w:color w:val="auto"/>
        </w:rPr>
        <w:t xml:space="preserve"> L. N</w:t>
      </w:r>
      <w:r>
        <w:rPr>
          <w:rFonts w:ascii="Arial" w:cs="Arial" w:eastAsia="Arial" w:hAnsi="Arial"/>
          <w:sz w:val="18"/>
          <w:szCs w:val="18"/>
          <w:color w:val="auto"/>
        </w:rPr>
        <w:t>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7620</wp:posOffset>
            </wp:positionV>
            <wp:extent cx="31559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55950" cy="17145"/>
                    </a:xfrm>
                    <a:prstGeom prst="rect">
                      <a:avLst/>
                    </a:prstGeom>
                    <a:noFill/>
                  </pic:spPr>
                </pic:pic>
              </a:graphicData>
            </a:graphic>
          </wp:anchor>
        </w:drawing>
      </w:r>
    </w:p>
    <w:p>
      <w:pPr>
        <w:spacing w:after="0" w:line="2" w:lineRule="exact"/>
        <w:rPr>
          <w:sz w:val="20"/>
          <w:szCs w:val="20"/>
          <w:color w:val="auto"/>
        </w:rPr>
      </w:pPr>
    </w:p>
    <w:p>
      <w:pPr>
        <w:jc w:val="center"/>
        <w:ind w:left="1020"/>
        <w:spacing w:after="0"/>
        <w:rPr>
          <w:sz w:val="20"/>
          <w:szCs w:val="20"/>
          <w:color w:val="auto"/>
        </w:rPr>
      </w:pPr>
      <w:r>
        <w:rPr>
          <w:rFonts w:ascii="Arial" w:cs="Arial" w:eastAsia="Arial" w:hAnsi="Arial"/>
          <w:sz w:val="18"/>
          <w:szCs w:val="18"/>
          <w:b w:val="1"/>
          <w:bCs w:val="1"/>
          <w:color w:val="auto"/>
        </w:rPr>
        <w:t>Sharon L. Nelson</w:t>
      </w:r>
    </w:p>
    <w:p>
      <w:pPr>
        <w:spacing w:after="0" w:line="248" w:lineRule="exact"/>
        <w:rPr>
          <w:sz w:val="20"/>
          <w:szCs w:val="20"/>
          <w:color w:val="auto"/>
        </w:rPr>
      </w:pPr>
    </w:p>
    <w:p>
      <w:pPr>
        <w:jc w:val="center"/>
        <w:ind w:left="1020"/>
        <w:spacing w:after="0"/>
        <w:rPr>
          <w:sz w:val="20"/>
          <w:szCs w:val="20"/>
          <w:color w:val="auto"/>
        </w:rPr>
      </w:pPr>
      <w:r>
        <w:rPr>
          <w:rFonts w:ascii="Arial" w:cs="Arial" w:eastAsia="Arial" w:hAnsi="Arial"/>
          <w:sz w:val="22"/>
          <w:szCs w:val="22"/>
          <w:color w:val="auto"/>
        </w:rPr>
        <w:t>/S/ G</w:t>
      </w:r>
      <w:r>
        <w:rPr>
          <w:rFonts w:ascii="Arial" w:cs="Arial" w:eastAsia="Arial" w:hAnsi="Arial"/>
          <w:sz w:val="18"/>
          <w:szCs w:val="18"/>
          <w:color w:val="auto"/>
        </w:rPr>
        <w:t>ARY</w:t>
      </w:r>
      <w:r>
        <w:rPr>
          <w:rFonts w:ascii="Arial" w:cs="Arial" w:eastAsia="Arial" w:hAnsi="Arial"/>
          <w:sz w:val="22"/>
          <w:szCs w:val="22"/>
          <w:color w:val="auto"/>
        </w:rPr>
        <w:t xml:space="preserve"> E. P</w:t>
      </w:r>
      <w:r>
        <w:rPr>
          <w:rFonts w:ascii="Arial" w:cs="Arial" w:eastAsia="Arial" w:hAnsi="Arial"/>
          <w:sz w:val="18"/>
          <w:szCs w:val="18"/>
          <w:color w:val="auto"/>
        </w:rPr>
        <w:t>RUITT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7620</wp:posOffset>
            </wp:positionV>
            <wp:extent cx="31559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55950" cy="17145"/>
                    </a:xfrm>
                    <a:prstGeom prst="rect">
                      <a:avLst/>
                    </a:prstGeom>
                    <a:noFill/>
                  </pic:spPr>
                </pic:pic>
              </a:graphicData>
            </a:graphic>
          </wp:anchor>
        </w:drawing>
      </w:r>
    </w:p>
    <w:p>
      <w:pPr>
        <w:spacing w:after="0" w:line="2" w:lineRule="exact"/>
        <w:rPr>
          <w:sz w:val="20"/>
          <w:szCs w:val="20"/>
          <w:color w:val="auto"/>
        </w:rPr>
      </w:pPr>
    </w:p>
    <w:p>
      <w:pPr>
        <w:jc w:val="center"/>
        <w:ind w:left="1020"/>
        <w:spacing w:after="0"/>
        <w:rPr>
          <w:sz w:val="20"/>
          <w:szCs w:val="20"/>
          <w:color w:val="auto"/>
        </w:rPr>
      </w:pPr>
      <w:r>
        <w:rPr>
          <w:rFonts w:ascii="Arial" w:cs="Arial" w:eastAsia="Arial" w:hAnsi="Arial"/>
          <w:sz w:val="18"/>
          <w:szCs w:val="18"/>
          <w:b w:val="1"/>
          <w:bCs w:val="1"/>
          <w:color w:val="auto"/>
        </w:rPr>
        <w:t>Gary E. Pruitt</w:t>
      </w:r>
    </w:p>
    <w:p>
      <w:pPr>
        <w:spacing w:after="0" w:line="248" w:lineRule="exact"/>
        <w:rPr>
          <w:sz w:val="20"/>
          <w:szCs w:val="20"/>
          <w:color w:val="auto"/>
        </w:rPr>
      </w:pPr>
    </w:p>
    <w:p>
      <w:pPr>
        <w:jc w:val="center"/>
        <w:ind w:left="1020"/>
        <w:spacing w:after="0"/>
        <w:rPr>
          <w:sz w:val="20"/>
          <w:szCs w:val="20"/>
          <w:color w:val="auto"/>
        </w:rPr>
      </w:pPr>
      <w:r>
        <w:rPr>
          <w:rFonts w:ascii="Arial" w:cs="Arial" w:eastAsia="Arial" w:hAnsi="Arial"/>
          <w:sz w:val="22"/>
          <w:szCs w:val="22"/>
          <w:color w:val="auto"/>
        </w:rPr>
        <w:t>/S/ G</w:t>
      </w:r>
      <w:r>
        <w:rPr>
          <w:rFonts w:ascii="Arial" w:cs="Arial" w:eastAsia="Arial" w:hAnsi="Arial"/>
          <w:sz w:val="18"/>
          <w:szCs w:val="18"/>
          <w:color w:val="auto"/>
        </w:rPr>
        <w:t>RAHAM</w:t>
      </w:r>
      <w:r>
        <w:rPr>
          <w:rFonts w:ascii="Arial" w:cs="Arial" w:eastAsia="Arial" w:hAnsi="Arial"/>
          <w:sz w:val="22"/>
          <w:szCs w:val="22"/>
          <w:color w:val="auto"/>
        </w:rPr>
        <w:t xml:space="preserve"> M. W</w:t>
      </w:r>
      <w:r>
        <w:rPr>
          <w:rFonts w:ascii="Arial" w:cs="Arial" w:eastAsia="Arial" w:hAnsi="Arial"/>
          <w:sz w:val="18"/>
          <w:szCs w:val="18"/>
          <w:color w:val="auto"/>
        </w:rPr>
        <w:t>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7620</wp:posOffset>
            </wp:positionV>
            <wp:extent cx="31559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55950" cy="17145"/>
                    </a:xfrm>
                    <a:prstGeom prst="rect">
                      <a:avLst/>
                    </a:prstGeom>
                    <a:noFill/>
                  </pic:spPr>
                </pic:pic>
              </a:graphicData>
            </a:graphic>
          </wp:anchor>
        </w:drawing>
      </w:r>
    </w:p>
    <w:p>
      <w:pPr>
        <w:spacing w:after="0" w:line="2" w:lineRule="exact"/>
        <w:rPr>
          <w:sz w:val="20"/>
          <w:szCs w:val="20"/>
          <w:color w:val="auto"/>
        </w:rPr>
      </w:pPr>
    </w:p>
    <w:p>
      <w:pPr>
        <w:jc w:val="center"/>
        <w:ind w:left="1020"/>
        <w:spacing w:after="0"/>
        <w:rPr>
          <w:sz w:val="20"/>
          <w:szCs w:val="20"/>
          <w:color w:val="auto"/>
        </w:rPr>
      </w:pPr>
      <w:r>
        <w:rPr>
          <w:rFonts w:ascii="Arial" w:cs="Arial" w:eastAsia="Arial" w:hAnsi="Arial"/>
          <w:sz w:val="18"/>
          <w:szCs w:val="18"/>
          <w:b w:val="1"/>
          <w:bCs w:val="1"/>
          <w:color w:val="auto"/>
        </w:rPr>
        <w:t>Graham M. Wilson</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17145</wp:posOffset>
            </wp:positionV>
            <wp:extent cx="317309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73095" cy="17145"/>
                    </a:xfrm>
                    <a:prstGeom prst="rect">
                      <a:avLst/>
                    </a:prstGeom>
                    <a:noFill/>
                  </pic:spPr>
                </pic:pic>
              </a:graphicData>
            </a:graphic>
          </wp:anchor>
        </w:drawing>
      </w:r>
    </w:p>
    <w:p>
      <w:pPr>
        <w:spacing w:after="0" w:line="317" w:lineRule="exact"/>
        <w:rPr>
          <w:sz w:val="20"/>
          <w:szCs w:val="20"/>
          <w:color w:val="auto"/>
        </w:rPr>
      </w:pPr>
    </w:p>
    <w:p>
      <w:pPr>
        <w:ind w:right="1840"/>
        <w:spacing w:after="0" w:line="277" w:lineRule="auto"/>
        <w:rPr>
          <w:sz w:val="20"/>
          <w:szCs w:val="20"/>
          <w:color w:val="auto"/>
        </w:rPr>
      </w:pPr>
      <w:r>
        <w:rPr>
          <w:rFonts w:ascii="Arial" w:cs="Arial" w:eastAsia="Arial" w:hAnsi="Arial"/>
          <w:sz w:val="18"/>
          <w:szCs w:val="18"/>
          <w:color w:val="auto"/>
        </w:rPr>
        <w:t>Chairman of the Board and Chief Executive Officer (Principal Executive Officer)</w:t>
      </w:r>
    </w:p>
    <w:p>
      <w:pPr>
        <w:spacing w:after="0" w:line="25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Sr. Vice President and Chief Financial Officer</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(Principal Financial and Accounting Officer)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413" w:lineRule="exact"/>
        <w:rPr>
          <w:sz w:val="20"/>
          <w:szCs w:val="20"/>
          <w:color w:val="auto"/>
        </w:rPr>
      </w:pPr>
    </w:p>
    <w:p>
      <w:pPr>
        <w:sectPr>
          <w:pgSz w:w="11900" w:h="16838" w:orient="portrait"/>
          <w:cols w:equalWidth="0" w:num="2">
            <w:col w:w="5120" w:space="720"/>
            <w:col w:w="5580"/>
          </w:cols>
          <w:pgMar w:left="240" w:top="364" w:right="239" w:bottom="1440" w:gutter="0" w:footer="0" w:header="0"/>
          <w:type w:val="continuous"/>
        </w:sectPr>
      </w:pP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II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120" w:type="dxa"/>
            <w:vAlign w:val="bottom"/>
          </w:tcPr>
          <w:p>
            <w:pPr>
              <w:ind w:left="3800"/>
              <w:spacing w:after="0"/>
              <w:rPr>
                <w:sz w:val="20"/>
                <w:szCs w:val="20"/>
                <w:color w:val="auto"/>
              </w:rPr>
            </w:pPr>
            <w:r>
              <w:rPr>
                <w:rFonts w:ascii="Arial" w:cs="Arial" w:eastAsia="Arial" w:hAnsi="Arial"/>
                <w:sz w:val="18"/>
                <w:szCs w:val="18"/>
                <w:b w:val="1"/>
                <w:bCs w:val="1"/>
                <w:color w:val="auto"/>
              </w:rPr>
              <w:t>INDEX TO EXHIBITS</w:t>
            </w:r>
          </w:p>
        </w:tc>
        <w:tc>
          <w:tcPr>
            <w:tcW w:w="2280" w:type="dxa"/>
            <w:vAlign w:val="bottom"/>
          </w:tcPr>
          <w:p>
            <w:pPr>
              <w:spacing w:after="0"/>
              <w:rPr>
                <w:sz w:val="20"/>
                <w:szCs w:val="20"/>
                <w:color w:val="auto"/>
              </w:rPr>
            </w:pPr>
          </w:p>
        </w:tc>
      </w:tr>
      <w:tr>
        <w:trPr>
          <w:trHeight w:val="441"/>
        </w:trPr>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Exhibit</w:t>
            </w:r>
          </w:p>
        </w:tc>
        <w:tc>
          <w:tcPr>
            <w:tcW w:w="81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41"/>
        </w:trPr>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Number</w:t>
            </w:r>
          </w:p>
        </w:tc>
        <w:tc>
          <w:tcPr>
            <w:tcW w:w="8120" w:type="dxa"/>
            <w:vAlign w:val="bottom"/>
          </w:tcPr>
          <w:p>
            <w:pPr>
              <w:ind w:left="3620"/>
              <w:spacing w:after="0"/>
              <w:rPr>
                <w:sz w:val="20"/>
                <w:szCs w:val="20"/>
                <w:color w:val="auto"/>
              </w:rPr>
            </w:pPr>
            <w:r>
              <w:rPr>
                <w:rFonts w:ascii="Arial" w:cs="Arial" w:eastAsia="Arial" w:hAnsi="Arial"/>
                <w:sz w:val="18"/>
                <w:szCs w:val="18"/>
                <w:b w:val="1"/>
                <w:bCs w:val="1"/>
                <w:color w:val="auto"/>
              </w:rPr>
              <w:t>Description</w:t>
            </w:r>
          </w:p>
        </w:tc>
        <w:tc>
          <w:tcPr>
            <w:tcW w:w="2280" w:type="dxa"/>
            <w:vAlign w:val="bottom"/>
          </w:tcPr>
          <w:p>
            <w:pPr>
              <w:spacing w:after="0"/>
              <w:rPr>
                <w:sz w:val="20"/>
                <w:szCs w:val="20"/>
                <w:color w:val="auto"/>
              </w:rPr>
            </w:pPr>
          </w:p>
        </w:tc>
      </w:tr>
      <w:tr>
        <w:trPr>
          <w:trHeight w:val="202"/>
        </w:trPr>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4.1</w:t>
            </w:r>
          </w:p>
        </w:tc>
        <w:tc>
          <w:tcPr>
            <w:tcW w:w="220" w:type="dxa"/>
            <w:vAlign w:val="bottom"/>
          </w:tcPr>
          <w:p>
            <w:pPr>
              <w:spacing w:after="0"/>
              <w:rPr>
                <w:sz w:val="17"/>
                <w:szCs w:val="17"/>
                <w:color w:val="auto"/>
              </w:rPr>
            </w:pPr>
          </w:p>
        </w:tc>
        <w:tc>
          <w:tcPr>
            <w:tcW w:w="81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Rights Agreement between Itron, Inc. and Mellon Investor Services LLC, as Rights Agent, dated as of</w:t>
            </w:r>
          </w:p>
        </w:tc>
        <w:tc>
          <w:tcPr>
            <w:tcW w:w="2280" w:type="dxa"/>
            <w:vAlign w:val="bottom"/>
          </w:tcPr>
          <w:p>
            <w:pPr>
              <w:spacing w:after="0"/>
              <w:rPr>
                <w:sz w:val="17"/>
                <w:szCs w:val="17"/>
                <w:color w:val="auto"/>
              </w:rPr>
            </w:pPr>
          </w:p>
        </w:tc>
      </w:tr>
      <w:tr>
        <w:trPr>
          <w:trHeight w:val="216"/>
        </w:trPr>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w w:val="98"/>
              </w:rPr>
              <w:t>December 11, 2002 (filed as Exhibit 4.1 to the Itron, Inc. Registration of Securities on Form 8-A, filed on</w:t>
            </w:r>
          </w:p>
        </w:tc>
        <w:tc>
          <w:tcPr>
            <w:tcW w:w="228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December 16, 2002, File No. 0-22418).</w:t>
            </w:r>
          </w:p>
        </w:tc>
        <w:tc>
          <w:tcPr>
            <w:tcW w:w="2280" w:type="dxa"/>
            <w:vAlign w:val="bottom"/>
          </w:tcPr>
          <w:p>
            <w:pPr>
              <w:spacing w:after="0"/>
              <w:rPr>
                <w:sz w:val="20"/>
                <w:szCs w:val="20"/>
                <w:color w:val="auto"/>
              </w:rPr>
            </w:pPr>
          </w:p>
        </w:tc>
      </w:tr>
      <w:tr>
        <w:trPr>
          <w:trHeight w:val="432"/>
        </w:trPr>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8120" w:type="dxa"/>
            <w:vAlign w:val="bottom"/>
          </w:tcPr>
          <w:p>
            <w:pPr>
              <w:spacing w:after="0"/>
              <w:rPr>
                <w:sz w:val="20"/>
                <w:szCs w:val="20"/>
                <w:color w:val="auto"/>
              </w:rPr>
            </w:pPr>
            <w:r>
              <w:rPr>
                <w:rFonts w:ascii="Arial" w:cs="Arial" w:eastAsia="Arial" w:hAnsi="Arial"/>
                <w:sz w:val="18"/>
                <w:szCs w:val="18"/>
                <w:color w:val="auto"/>
              </w:rPr>
              <w:t>Opinion of Perkins Coie LLP regarding legality of the Common Stock being registered.</w:t>
            </w:r>
          </w:p>
        </w:tc>
        <w:tc>
          <w:tcPr>
            <w:tcW w:w="2280" w:type="dxa"/>
            <w:vAlign w:val="bottom"/>
          </w:tcPr>
          <w:p>
            <w:pPr>
              <w:spacing w:after="0"/>
              <w:rPr>
                <w:sz w:val="24"/>
                <w:szCs w:val="24"/>
                <w:color w:val="auto"/>
              </w:rPr>
            </w:pPr>
          </w:p>
        </w:tc>
      </w:tr>
      <w:tr>
        <w:trPr>
          <w:trHeight w:val="432"/>
        </w:trPr>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23.1</w:t>
            </w:r>
          </w:p>
        </w:tc>
        <w:tc>
          <w:tcPr>
            <w:tcW w:w="8120" w:type="dxa"/>
            <w:vAlign w:val="bottom"/>
          </w:tcPr>
          <w:p>
            <w:pPr>
              <w:spacing w:after="0"/>
              <w:rPr>
                <w:sz w:val="20"/>
                <w:szCs w:val="20"/>
                <w:color w:val="auto"/>
              </w:rPr>
            </w:pPr>
            <w:r>
              <w:rPr>
                <w:rFonts w:ascii="Arial" w:cs="Arial" w:eastAsia="Arial" w:hAnsi="Arial"/>
                <w:sz w:val="18"/>
                <w:szCs w:val="18"/>
                <w:color w:val="auto"/>
              </w:rPr>
              <w:t>Consent of Deloitte &amp; Touche LLP, Independent Registered Public Accounting Firm.</w:t>
            </w:r>
          </w:p>
        </w:tc>
        <w:tc>
          <w:tcPr>
            <w:tcW w:w="2280" w:type="dxa"/>
            <w:vAlign w:val="bottom"/>
          </w:tcPr>
          <w:p>
            <w:pPr>
              <w:spacing w:after="0"/>
              <w:rPr>
                <w:sz w:val="24"/>
                <w:szCs w:val="24"/>
                <w:color w:val="auto"/>
              </w:rPr>
            </w:pPr>
          </w:p>
        </w:tc>
      </w:tr>
      <w:tr>
        <w:trPr>
          <w:trHeight w:val="432"/>
        </w:trPr>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23.2</w:t>
            </w:r>
          </w:p>
        </w:tc>
        <w:tc>
          <w:tcPr>
            <w:tcW w:w="8120" w:type="dxa"/>
            <w:vAlign w:val="bottom"/>
          </w:tcPr>
          <w:p>
            <w:pPr>
              <w:spacing w:after="0"/>
              <w:rPr>
                <w:sz w:val="20"/>
                <w:szCs w:val="20"/>
                <w:color w:val="auto"/>
              </w:rPr>
            </w:pPr>
            <w:r>
              <w:rPr>
                <w:rFonts w:ascii="Arial" w:cs="Arial" w:eastAsia="Arial" w:hAnsi="Arial"/>
                <w:sz w:val="18"/>
                <w:szCs w:val="18"/>
                <w:color w:val="auto"/>
              </w:rPr>
              <w:t>Consent of Perkins Coie LLP (included in opinion filed as Exhibit 5.1).</w:t>
            </w:r>
          </w:p>
        </w:tc>
        <w:tc>
          <w:tcPr>
            <w:tcW w:w="2280" w:type="dxa"/>
            <w:vAlign w:val="bottom"/>
          </w:tcPr>
          <w:p>
            <w:pPr>
              <w:spacing w:after="0"/>
              <w:rPr>
                <w:sz w:val="24"/>
                <w:szCs w:val="24"/>
                <w:color w:val="auto"/>
              </w:rPr>
            </w:pPr>
          </w:p>
        </w:tc>
      </w:tr>
      <w:tr>
        <w:trPr>
          <w:trHeight w:val="432"/>
        </w:trPr>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24.1</w:t>
            </w:r>
          </w:p>
        </w:tc>
        <w:tc>
          <w:tcPr>
            <w:tcW w:w="8120" w:type="dxa"/>
            <w:vAlign w:val="bottom"/>
          </w:tcPr>
          <w:p>
            <w:pPr>
              <w:spacing w:after="0"/>
              <w:rPr>
                <w:sz w:val="20"/>
                <w:szCs w:val="20"/>
                <w:color w:val="auto"/>
              </w:rPr>
            </w:pPr>
            <w:r>
              <w:rPr>
                <w:rFonts w:ascii="Arial" w:cs="Arial" w:eastAsia="Arial" w:hAnsi="Arial"/>
                <w:sz w:val="18"/>
                <w:szCs w:val="18"/>
                <w:color w:val="auto"/>
              </w:rPr>
              <w:t>Power of Attorney (see signature page).</w:t>
            </w:r>
          </w:p>
        </w:tc>
        <w:tc>
          <w:tcPr>
            <w:tcW w:w="2280" w:type="dxa"/>
            <w:vAlign w:val="bottom"/>
          </w:tcPr>
          <w:p>
            <w:pPr>
              <w:spacing w:after="0"/>
              <w:rPr>
                <w:sz w:val="24"/>
                <w:szCs w:val="24"/>
                <w:color w:val="auto"/>
              </w:rPr>
            </w:pPr>
          </w:p>
        </w:tc>
      </w:tr>
      <w:tr>
        <w:trPr>
          <w:trHeight w:val="418"/>
        </w:trPr>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99.1</w:t>
            </w:r>
          </w:p>
        </w:tc>
        <w:tc>
          <w:tcPr>
            <w:tcW w:w="8120" w:type="dxa"/>
            <w:vAlign w:val="bottom"/>
          </w:tcPr>
          <w:p>
            <w:pPr>
              <w:spacing w:after="0"/>
              <w:rPr>
                <w:sz w:val="20"/>
                <w:szCs w:val="20"/>
                <w:color w:val="auto"/>
              </w:rPr>
            </w:pPr>
            <w:r>
              <w:rPr>
                <w:rFonts w:ascii="Arial" w:cs="Arial" w:eastAsia="Arial" w:hAnsi="Arial"/>
                <w:sz w:val="18"/>
                <w:szCs w:val="18"/>
                <w:color w:val="auto"/>
                <w:w w:val="93"/>
              </w:rPr>
              <w:t>Itron, Inc. Amended and Restated 2000 Stock Incentive Plan (incorporated by reference to Appendix A to the</w:t>
            </w:r>
          </w:p>
        </w:tc>
        <w:tc>
          <w:tcPr>
            <w:tcW w:w="2280" w:type="dxa"/>
            <w:vAlign w:val="bottom"/>
          </w:tcPr>
          <w:p>
            <w:pPr>
              <w:spacing w:after="0"/>
              <w:rPr>
                <w:sz w:val="24"/>
                <w:szCs w:val="24"/>
                <w:color w:val="auto"/>
              </w:rPr>
            </w:pPr>
          </w:p>
        </w:tc>
      </w:tr>
      <w:tr>
        <w:trPr>
          <w:trHeight w:val="230"/>
        </w:trPr>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Definitive Proxy Statement on Schedule 14A filed with the Commission on March 26, 2007).</w:t>
            </w:r>
          </w:p>
        </w:tc>
        <w:tc>
          <w:tcPr>
            <w:tcW w:w="2280" w:type="dxa"/>
            <w:vAlign w:val="bottom"/>
          </w:tcPr>
          <w:p>
            <w:pPr>
              <w:spacing w:after="0"/>
              <w:rPr>
                <w:sz w:val="20"/>
                <w:szCs w:val="20"/>
                <w:color w:val="auto"/>
              </w:rPr>
            </w:pPr>
          </w:p>
        </w:tc>
      </w:tr>
      <w:tr>
        <w:trPr>
          <w:trHeight w:val="605"/>
        </w:trPr>
        <w:tc>
          <w:tcPr>
            <w:tcW w:w="8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12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 w:name="page8"/>
    <w:bookmarkEnd w:id="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32"/>
          <w:szCs w:val="32"/>
          <w:b w:val="1"/>
          <w:bCs w:val="1"/>
          <w:color w:val="auto"/>
        </w:rPr>
        <w:t>P</w:t>
      </w:r>
      <w:r>
        <w:rPr>
          <w:rFonts w:ascii="Arial" w:cs="Arial" w:eastAsia="Arial" w:hAnsi="Arial"/>
          <w:sz w:val="21"/>
          <w:szCs w:val="21"/>
          <w:b w:val="1"/>
          <w:bCs w:val="1"/>
          <w:color w:val="auto"/>
        </w:rPr>
        <w:t>ERKINS</w:t>
      </w:r>
      <w:r>
        <w:rPr>
          <w:rFonts w:ascii="Arial" w:cs="Arial" w:eastAsia="Arial" w:hAnsi="Arial"/>
          <w:sz w:val="32"/>
          <w:szCs w:val="32"/>
          <w:b w:val="1"/>
          <w:bCs w:val="1"/>
          <w:color w:val="auto"/>
        </w:rPr>
        <w:t xml:space="preserve"> C</w:t>
      </w:r>
      <w:r>
        <w:rPr>
          <w:rFonts w:ascii="Arial" w:cs="Arial" w:eastAsia="Arial" w:hAnsi="Arial"/>
          <w:sz w:val="21"/>
          <w:szCs w:val="21"/>
          <w:b w:val="1"/>
          <w:bCs w:val="1"/>
          <w:color w:val="auto"/>
        </w:rPr>
        <w:t>OIE</w:t>
      </w:r>
      <w:r>
        <w:rPr>
          <w:rFonts w:ascii="Arial" w:cs="Arial" w:eastAsia="Arial" w:hAnsi="Arial"/>
          <w:sz w:val="32"/>
          <w:szCs w:val="32"/>
          <w:b w:val="1"/>
          <w:bCs w:val="1"/>
          <w:color w:val="auto"/>
        </w:rPr>
        <w:t xml:space="preserve"> LLP</w:t>
      </w:r>
    </w:p>
    <w:p>
      <w:pPr>
        <w:spacing w:after="0" w:line="2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1201 THIRD AVENUE, SUITE 4800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SEATTLE, WA 98101-3099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PHONE: 206 359-8000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206 359-9000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WWW.PERKINSCOIE.COM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May 17, 2007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Itron,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2111 N. Molter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Liberty Lake, WA 99019</w:t>
      </w:r>
    </w:p>
    <w:p>
      <w:pPr>
        <w:spacing w:after="0" w:line="23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Registration Statement on Form S-8 of Shares of Common Stock, no par value, of Itron, Inc.</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acted as counsel to you in connection with the preparation of a Registration Statement on Form S-8 (the "Registration Statement") under the Securities Act of 1933, as amended (the "Act"), which you are filing with the Securities and Exchange Commission with respect to up to 750,000 shares of common stock, no par value (the “Shares”), which may be issued under the Itron, Inc. Amended and Restated 2000 Stock Incentive Plan (the “Plan”).</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examined the Registration Statement and such documents and records of Itron, Inc. as we have deemed necessary for the purpose of this opinion. In giving this opinion, we are assuming the authenticity of all instruments presented to us as originals, the conformity with originals of all instruments presented to us as copies and the genuineness of all signatures.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upon and subject to the foregoing, we are of the opinion that any Shares that may be issued pursuant to the Plan as original issuance shares have been duly authorized and that, upon the due execution by Itron, Inc. of any certificates representing such Shares, the registration by its registrar of such Shares and the sale thereof, and the receipt of consideration therefore, by Itron, Inc. in accordance with the terms of the Plan, such shares will be validly issued, fully paid and nonassessable.</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hereby consent to the filing of this opinion as an exhibit to the Registration Statement. In giving such consent, we do not admit that we are in the category of persons whose consent is required under Section 7 of the Act.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 Perkins Coie LLP</w:t>
      </w:r>
    </w:p>
    <w:p>
      <w:pPr>
        <w:sectPr>
          <w:pgSz w:w="11900" w:h="16838" w:orient="portrait"/>
          <w:cols w:equalWidth="0" w:num="1">
            <w:col w:w="11420"/>
          </w:cols>
          <w:pgMar w:left="240" w:top="364"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23.1</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4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We consent to the incorporation by reference in this Registration Statement on Form S-8 of our reports dated February 22, 2007, relating to the financial statements and financial statement schedule of Itron, Inc. and subsidiaries (which report expresses an unqualified opinion and includes an explanatory paragraph relating to the adoption of Statement of Financial Accounting Standards No. 123(R), </w:t>
      </w:r>
      <w:r>
        <w:rPr>
          <w:rFonts w:ascii="Arial" w:cs="Arial" w:eastAsia="Arial" w:hAnsi="Arial"/>
          <w:sz w:val="16"/>
          <w:szCs w:val="16"/>
          <w:i w:val="1"/>
          <w:iCs w:val="1"/>
          <w:color w:val="auto"/>
        </w:rPr>
        <w:t>Share-Based Payment</w:t>
      </w:r>
      <w:r>
        <w:rPr>
          <w:rFonts w:ascii="Arial" w:cs="Arial" w:eastAsia="Arial" w:hAnsi="Arial"/>
          <w:sz w:val="16"/>
          <w:szCs w:val="16"/>
          <w:color w:val="auto"/>
        </w:rPr>
        <w:t>), and management's report on the effectiveness of internal control over financial reporting appearing in the Annual Report on Form 10-K of Itron, Inc. for the year ended December 31, 2006.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17, 2007</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4">
    <w:nsid w:val="2EB141F2"/>
    <w:multiLevelType w:val="hybridMultilevel"/>
    <w:lvl w:ilvl="0">
      <w:lvlJc w:val="left"/>
      <w:lvlText w:val="(%1)"/>
      <w:numFmt w:val="lowerRoman"/>
      <w:start w:val="2"/>
    </w:lvl>
  </w:abstractNum>
  <w:abstractNum w:abstractNumId="5">
    <w:nsid w:val="41B71EFB"/>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3"/>
    </w:lvl>
    <w:lvl w:ilvl="3">
      <w:lvlJc w:val="left"/>
      <w:lvlText w:val="%4"/>
      <w:numFmt w:val="upperLetter"/>
      <w:start w:val="1"/>
    </w:lvl>
  </w:abstractNum>
  <w:abstractNum w:abstractNumId="6">
    <w:nsid w:val="79E2A9E3"/>
    <w:multiLevelType w:val="hybridMultilevel"/>
    <w:lvl w:ilvl="0">
      <w:lvlJc w:val="left"/>
      <w:lvlText w:val="%1"/>
      <w:numFmt w:val="upperLetter"/>
      <w:start w:val="1"/>
    </w:lvl>
    <w:lvl w:ilvl="1">
      <w:lvlJc w:val="left"/>
      <w:lvlText w:val="(%2)"/>
      <w:numFmt w:val="decimal"/>
      <w:start w:val="2"/>
    </w:lvl>
    <w:lvl w:ilvl="2">
      <w:lvlJc w:val="left"/>
      <w:lvlText w:val="%3"/>
      <w:numFmt w:val="lowerRoman"/>
      <w:start w:val="1"/>
    </w:lvl>
    <w:lvl w:ilvl="3">
      <w:lvlJc w:val="left"/>
      <w:lvlText w:val="%4"/>
      <w:numFmt w:val="upperLetter"/>
      <w:start w:val="1"/>
    </w:lvl>
  </w:abstractNum>
  <w:abstractNum w:abstractNumId="7">
    <w:nsid w:val="7545E146"/>
    <w:multiLevelType w:val="hybridMultilevel"/>
    <w:lvl w:ilvl="0">
      <w:lvlJc w:val="left"/>
      <w:lvlText w:val="%1."/>
      <w:numFmt w:val="upperLetter"/>
      <w:start w:val="2"/>
    </w:lvl>
    <w:lvl w:ilvl="1">
      <w:lvlJc w:val="left"/>
      <w:lvlText w:val="%2"/>
      <w:numFmt w:val="decimal"/>
      <w:start w:val="1"/>
    </w:lvl>
    <w:lvl w:ilvl="2">
      <w:lvlJc w:val="left"/>
      <w:lvlText w:val="%3"/>
      <w:numFmt w:val="lowerRoman"/>
      <w:start w:val="1"/>
    </w:lvl>
    <w:lvl w:ilvl="3">
      <w:lvlJc w:val="left"/>
      <w:lvlText w:val="%4"/>
      <w:numFmt w:val="upperLetter"/>
      <w:start w:val="3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2019-12-12T10:58:03Z</dcterms:created>
  <dcterms:modified xsi:type="dcterms:W3CDTF">2019-12-12T10:58:03Z</dcterms:modified>
</cp:coreProperties>
</file>