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22860</wp:posOffset>
            </wp:positionV>
            <wp:extent cx="49891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000-22418</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02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0"/>
              </w:rPr>
              <w:t>(State or Other Jurisdiction</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Arial" w:cs="Arial" w:eastAsia="Arial" w:hAnsi="Arial"/>
                <w:sz w:val="18"/>
                <w:szCs w:val="18"/>
                <w:color w:val="auto"/>
                <w:w w:val="96"/>
              </w:rPr>
              <w:t>File No.)</w:t>
            </w:r>
          </w:p>
        </w:tc>
        <w:tc>
          <w:tcPr>
            <w:tcW w:w="286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2"/>
              </w:rPr>
              <w:t>2111 N. Molter Road, Liberty Lake, Washington 99019</w:t>
            </w: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2"/>
              </w:rPr>
              <w:t>(Address of Principal Executive Offices, Zip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0"/>
              </w:rPr>
              <w:t>(509) 924-9900</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0"/>
              </w:rPr>
              <w:t>(Registrant's Telephone Number, Including Area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60" w:type="dxa"/>
            <w:vAlign w:val="bottom"/>
          </w:tcPr>
          <w:p>
            <w:pPr>
              <w:spacing w:after="0"/>
              <w:rPr>
                <w:sz w:val="20"/>
                <w:szCs w:val="20"/>
                <w:color w:val="auto"/>
              </w:rPr>
            </w:pPr>
          </w:p>
        </w:tc>
      </w:tr>
    </w:tbl>
    <w:p>
      <w:pPr>
        <w:spacing w:after="0" w:line="200" w:lineRule="exact"/>
        <w:rPr>
          <w:sz w:val="24"/>
          <w:szCs w:val="24"/>
          <w:color w:val="auto"/>
        </w:rPr>
      </w:pPr>
    </w:p>
    <w:p>
      <w:pPr>
        <w:spacing w:after="0" w:line="25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rPr>
              <w:t>ITRI</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 2021, the Board of Directors (the Board) of Itron, Inc. (the Company) appointed Santiago Perez as a new director of the Board, effective immediately. The Board has also determined to appoint Santiago Perez to the Compensation Committee of the Board at the time of his appointment. Prior to serving on the Board, Santiago Perez, age 56, has been a Senior Advisor at Arsenal Capital Partners LP, a private equity firm focused on the industrial growth and healthcare sectors, since February 2021. From 2017 to 2020, Santiago Perez was Chief Commercial Digital Officer &amp; Senior Vice President U.S. Services &amp; Solutions at Schneider Electric SE, and from 2012 to 2016, as Vice President &amp; General Manager Europe, Middle East, Africa, Latin America, Buildings at Johnson Controls, Inc.</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Santiago Perez is expected to participate in the Company's standard non-employee director compensation arrangements, as described in the Company's proxy statement for the 2021 annual meeting of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There are no arrangements or understandings between Santiago Perez and any other person pursuant to which Santiago Perez was appointed as a director.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Santiago Perez is not a party to any current or proposed transaction with the Company for which disclosure is required under Item 404(a) of Regulation 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There is no material plan, contract, or other arrangement to which Santiago Perez is a party other than as described above.</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 2021, the Company announced the appointment of Santiago Perez to the Company’s Board. A copy of the press release announcing the appointment of Santiago Perez to the Board is attached hereto as Exhibit 99.1 and is incorporated herein by reference.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2420" w:type="dxa"/>
            <w:vAlign w:val="bottom"/>
          </w:tcPr>
          <w:p>
            <w:pPr>
              <w:spacing w:after="0"/>
              <w:rPr>
                <w:sz w:val="18"/>
                <w:szCs w:val="18"/>
                <w:color w:val="auto"/>
              </w:rPr>
            </w:pPr>
          </w:p>
        </w:tc>
        <w:tc>
          <w:tcPr>
            <w:tcW w:w="7840" w:type="dxa"/>
            <w:vAlign w:val="bottom"/>
          </w:tcPr>
          <w:p>
            <w:pPr>
              <w:spacing w:after="0"/>
              <w:rPr>
                <w:sz w:val="18"/>
                <w:szCs w:val="18"/>
                <w:color w:val="auto"/>
              </w:rPr>
            </w:pPr>
          </w:p>
        </w:tc>
      </w:tr>
      <w:tr>
        <w:trPr>
          <w:trHeight w:val="237"/>
        </w:trPr>
        <w:tc>
          <w:tcPr>
            <w:tcW w:w="980" w:type="dxa"/>
            <w:vAlign w:val="bottom"/>
            <w:gridSpan w:val="3"/>
          </w:tcPr>
          <w:p>
            <w:pPr>
              <w:spacing w:after="0"/>
              <w:rPr>
                <w:sz w:val="20"/>
                <w:szCs w:val="20"/>
                <w:color w:val="auto"/>
              </w:rPr>
            </w:pPr>
            <w:r>
              <w:rPr>
                <w:rFonts w:ascii="Arial" w:cs="Arial" w:eastAsia="Arial" w:hAnsi="Arial"/>
                <w:sz w:val="18"/>
                <w:szCs w:val="18"/>
                <w:color w:val="auto"/>
              </w:rPr>
              <w:t>Number</w:t>
            </w:r>
          </w:p>
        </w:tc>
        <w:tc>
          <w:tcPr>
            <w:tcW w:w="102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392"/>
        </w:trPr>
        <w:tc>
          <w:tcPr>
            <w:tcW w:w="900" w:type="dxa"/>
            <w:vAlign w:val="bottom"/>
            <w:tcBorders>
              <w:top w:val="single" w:sz="8" w:color="auto"/>
            </w:tcBorders>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80" w:type="dxa"/>
            <w:vAlign w:val="bottom"/>
          </w:tcPr>
          <w:p>
            <w:pPr>
              <w:spacing w:after="0"/>
              <w:rPr>
                <w:sz w:val="24"/>
                <w:szCs w:val="24"/>
                <w:color w:val="auto"/>
              </w:rPr>
            </w:pPr>
          </w:p>
        </w:tc>
        <w:tc>
          <w:tcPr>
            <w:tcW w:w="10260" w:type="dxa"/>
            <w:vAlign w:val="bottom"/>
            <w:tcBorders>
              <w:top w:val="single" w:sz="8" w:color="auto"/>
            </w:tcBorders>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Press Release Dated June 3, 2021</w:t>
              </w:r>
            </w:hyperlink>
            <w:r>
              <w:rPr>
                <w:rFonts w:ascii="Arial" w:cs="Arial" w:eastAsia="Arial" w:hAnsi="Arial"/>
                <w:sz w:val="18"/>
                <w:szCs w:val="18"/>
                <w:color w:val="000000"/>
              </w:rPr>
              <w:t>.</w:t>
            </w:r>
          </w:p>
        </w:tc>
      </w:tr>
      <w:tr>
        <w:trPr>
          <w:trHeight w:val="20"/>
        </w:trPr>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3380"/>
              <w:spacing w:after="0"/>
              <w:rPr>
                <w:sz w:val="20"/>
                <w:szCs w:val="20"/>
                <w:color w:val="auto"/>
              </w:rPr>
            </w:pPr>
            <w:r>
              <w:rPr>
                <w:rFonts w:ascii="Arial" w:cs="Arial" w:eastAsia="Arial" w:hAnsi="Arial"/>
                <w:sz w:val="18"/>
                <w:szCs w:val="18"/>
                <w:color w:val="auto"/>
              </w:rPr>
              <w:t>ITRON, INC.</w:t>
            </w:r>
          </w:p>
        </w:tc>
        <w:tc>
          <w:tcPr>
            <w:tcW w:w="6740" w:type="dxa"/>
            <w:vAlign w:val="bottom"/>
          </w:tcPr>
          <w:p>
            <w:pPr>
              <w:spacing w:after="0"/>
              <w:rPr>
                <w:sz w:val="20"/>
                <w:szCs w:val="20"/>
                <w:color w:val="auto"/>
              </w:rPr>
            </w:pPr>
          </w:p>
        </w:tc>
      </w:tr>
      <w:tr>
        <w:trPr>
          <w:trHeight w:val="439"/>
        </w:trPr>
        <w:tc>
          <w:tcPr>
            <w:tcW w:w="4500" w:type="dxa"/>
            <w:vAlign w:val="bottom"/>
          </w:tcPr>
          <w:p>
            <w:pPr>
              <w:ind w:left="3380"/>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SARAH E. HLAVINKA</w:t>
            </w: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Dated: June 3, 2021</w:t>
            </w:r>
          </w:p>
        </w:tc>
        <w:tc>
          <w:tcPr>
            <w:tcW w:w="6740" w:type="dxa"/>
            <w:vAlign w:val="bottom"/>
          </w:tcPr>
          <w:p>
            <w:pPr>
              <w:jc w:val="center"/>
              <w:spacing w:after="0" w:line="201" w:lineRule="exact"/>
              <w:rPr>
                <w:sz w:val="20"/>
                <w:szCs w:val="20"/>
                <w:color w:val="auto"/>
              </w:rPr>
            </w:pPr>
            <w:r>
              <w:rPr>
                <w:rFonts w:ascii="Arial" w:cs="Arial" w:eastAsia="Arial" w:hAnsi="Arial"/>
                <w:sz w:val="18"/>
                <w:szCs w:val="18"/>
                <w:color w:val="auto"/>
                <w:w w:val="90"/>
              </w:rPr>
              <w:t>Sarah E. Hlavinka</w:t>
            </w:r>
          </w:p>
        </w:tc>
      </w:tr>
      <w:tr>
        <w:trPr>
          <w:trHeight w:val="230"/>
        </w:trPr>
        <w:tc>
          <w:tcPr>
            <w:tcW w:w="4500" w:type="dxa"/>
            <w:vAlign w:val="bottom"/>
          </w:tcPr>
          <w:p>
            <w:pPr>
              <w:spacing w:after="0"/>
              <w:rPr>
                <w:sz w:val="20"/>
                <w:szCs w:val="20"/>
                <w:color w:val="auto"/>
              </w:rPr>
            </w:pPr>
          </w:p>
        </w:tc>
        <w:tc>
          <w:tcPr>
            <w:tcW w:w="6740" w:type="dxa"/>
            <w:vAlign w:val="bottom"/>
          </w:tcPr>
          <w:p>
            <w:pPr>
              <w:jc w:val="center"/>
              <w:spacing w:after="0"/>
              <w:rPr>
                <w:sz w:val="20"/>
                <w:szCs w:val="20"/>
                <w:color w:val="auto"/>
              </w:rPr>
            </w:pPr>
            <w:r>
              <w:rPr>
                <w:rFonts w:ascii="Arial" w:cs="Arial" w:eastAsia="Arial" w:hAnsi="Arial"/>
                <w:sz w:val="18"/>
                <w:szCs w:val="18"/>
                <w:color w:val="auto"/>
                <w:w w:val="89"/>
              </w:rPr>
              <w:t>Senior Vice President, General Counsel and Corporate Secretary</w:t>
            </w:r>
          </w:p>
        </w:tc>
      </w:tr>
    </w:tbl>
    <w:p>
      <w:pPr>
        <w:sectPr>
          <w:pgSz w:w="11900" w:h="16838" w:orient="portrait"/>
          <w:cols w:equalWidth="0" w:num="1">
            <w:col w:w="11240"/>
          </w:cols>
          <w:pgMar w:left="320" w:top="364"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Itron Appoints Santiago Perez to Board of Directors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Former Schneider Electric Executive Brings Nearly 35 Years of High-Tech Expertise</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21"/>
          <w:szCs w:val="21"/>
          <w:color w:val="auto"/>
        </w:rPr>
        <w:t>LIBERTY LAKE, Wash.--(BUSINESS WIRE)--June 3, 2021--Itron, Inc. (NASDAQ: ITRI), which is innovating the way utilities and cities manage energy and water, announced today the appointment of Santiago Perez, a senior advisor at Arsenal Capital Partners and former executive at Schneider Electric, to its board of directors, effective June 1.</w:t>
      </w:r>
    </w:p>
    <w:p>
      <w:pPr>
        <w:spacing w:after="0" w:line="169" w:lineRule="exact"/>
        <w:rPr>
          <w:sz w:val="20"/>
          <w:szCs w:val="20"/>
          <w:color w:val="auto"/>
        </w:rPr>
      </w:pPr>
    </w:p>
    <w:p>
      <w:pPr>
        <w:ind w:right="220"/>
        <w:spacing w:after="0" w:line="246" w:lineRule="auto"/>
        <w:rPr>
          <w:sz w:val="20"/>
          <w:szCs w:val="20"/>
          <w:color w:val="auto"/>
        </w:rPr>
      </w:pPr>
      <w:r>
        <w:rPr>
          <w:rFonts w:ascii="Arial" w:cs="Arial" w:eastAsia="Arial" w:hAnsi="Arial"/>
          <w:sz w:val="21"/>
          <w:szCs w:val="21"/>
          <w:color w:val="auto"/>
        </w:rPr>
        <w:t>Perez brings nearly 35 years of sales, product management and service operations experience in high-tech industries, including the energy, building automation and industrial automation sectors. Prior to his engagement with Arsenal, Perez served as chief commercial digital officer and senior vice president of U.S. services and solutions at Schneider Electric from 2017 to 2020. He also held several leadership roles at Johnson Controls between 1999 and 2016. These included vice president and general manager for Europe, Middle East, Africa and Latin America, where he led the company’s sales, distribution, contracting and service operations, as well as vice president of global business lines and operations, leading the company’s global supply chain, product management, development and engineering.</w:t>
      </w:r>
    </w:p>
    <w:p>
      <w:pPr>
        <w:spacing w:after="0" w:line="184"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“Santiago is an ideal candidate for Itron’s board of directors. His diverse background and expertise in technology sectors will be an asset to the board as we drive company performance and create value for shareholders,” said Lynda Ziegler, chair of Itron’s board of directors.</w:t>
      </w:r>
    </w:p>
    <w:p>
      <w:pPr>
        <w:spacing w:after="0" w:line="186"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“As Itron continues our journey as a leader in the industrial IoT (IIoT), we will greatly benefit from Santiago’s depth of leadership expertise in sales, product management and service operations for high-tech sectors. We welcome him to our board,” said Tom Deitrich, Itron’s president and chief executive officer.</w:t>
      </w:r>
    </w:p>
    <w:p>
      <w:pPr>
        <w:spacing w:after="0" w:line="186"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“It is an honor to join Itron’s board of directors. I look forward to helping further the company’s mission and pursuit to create a more resourceful world while ensuring shareholder value,” said Perez.</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14" w:lineRule="exact"/>
        <w:rPr>
          <w:sz w:val="20"/>
          <w:szCs w:val="20"/>
          <w:color w:val="auto"/>
        </w:rPr>
      </w:pPr>
    </w:p>
    <w:p>
      <w:pPr>
        <w:ind w:right="320"/>
        <w:spacing w:after="0" w:line="277" w:lineRule="auto"/>
        <w:rPr>
          <w:sz w:val="20"/>
          <w:szCs w:val="20"/>
          <w:color w:val="auto"/>
        </w:rPr>
      </w:pPr>
      <w:r>
        <w:rPr>
          <w:rFonts w:ascii="Arial" w:cs="Arial" w:eastAsia="Arial" w:hAnsi="Arial"/>
          <w:sz w:val="19"/>
          <w:szCs w:val="19"/>
          <w:color w:val="auto"/>
        </w:rPr>
        <w:t>Itron enables utilities and cities to safely, securely and reliably deliver critical infrastructure solutions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www.itron.com.</w:t>
      </w:r>
    </w:p>
    <w:p>
      <w:pPr>
        <w:spacing w:after="0" w:line="146" w:lineRule="exact"/>
        <w:rPr>
          <w:sz w:val="20"/>
          <w:szCs w:val="20"/>
          <w:color w:val="auto"/>
        </w:rPr>
      </w:pPr>
    </w:p>
    <w:p>
      <w:pPr>
        <w:ind w:right="360"/>
        <w:spacing w:after="0" w:line="210" w:lineRule="auto"/>
        <w:rPr>
          <w:sz w:val="20"/>
          <w:szCs w:val="20"/>
          <w:color w:val="auto"/>
        </w:rPr>
      </w:pPr>
      <w:r>
        <w:rPr>
          <w:rFonts w:ascii="Arial" w:cs="Arial" w:eastAsia="Arial" w:hAnsi="Arial"/>
          <w:sz w:val="20"/>
          <w:szCs w:val="20"/>
          <w:color w:val="auto"/>
        </w:rPr>
        <w:t>Itron</w:t>
      </w:r>
      <w:r>
        <w:rPr>
          <w:rFonts w:ascii="Arial" w:cs="Arial" w:eastAsia="Arial" w:hAnsi="Arial"/>
          <w:sz w:val="32"/>
          <w:szCs w:val="32"/>
          <w:color w:val="auto"/>
          <w:vertAlign w:val="superscript"/>
        </w:rPr>
        <w:t>®</w:t>
      </w:r>
      <w:r>
        <w:rPr>
          <w:rFonts w:ascii="Arial" w:cs="Arial" w:eastAsia="Arial" w:hAnsi="Arial"/>
          <w:sz w:val="20"/>
          <w:szCs w:val="20"/>
          <w:color w:val="auto"/>
        </w:rPr>
        <w:t xml:space="preserve"> is a registered trademark of Itron, Inc. All third-party trademarks are property of their respective owners and any usage herein does not suggest or imply any relationship between Itron and the third party unless expressly stated.</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Itron,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Alison Mallahan</w:t>
      </w:r>
    </w:p>
    <w:p>
      <w:pPr>
        <w:spacing w:after="0" w:line="230" w:lineRule="auto"/>
        <w:rPr>
          <w:sz w:val="20"/>
          <w:szCs w:val="20"/>
          <w:color w:val="auto"/>
        </w:rPr>
      </w:pPr>
      <w:r>
        <w:rPr>
          <w:rFonts w:ascii="Arial" w:cs="Arial" w:eastAsia="Arial" w:hAnsi="Arial"/>
          <w:sz w:val="22"/>
          <w:szCs w:val="22"/>
          <w:color w:val="auto"/>
        </w:rPr>
        <w:t>Senior Manager, Corporate Communications</w:t>
      </w:r>
    </w:p>
    <w:p>
      <w:pPr>
        <w:spacing w:after="0" w:line="231" w:lineRule="auto"/>
        <w:rPr>
          <w:sz w:val="20"/>
          <w:szCs w:val="20"/>
          <w:color w:val="auto"/>
        </w:rPr>
      </w:pPr>
      <w:r>
        <w:rPr>
          <w:rFonts w:ascii="Arial" w:cs="Arial" w:eastAsia="Arial" w:hAnsi="Arial"/>
          <w:sz w:val="22"/>
          <w:szCs w:val="22"/>
          <w:color w:val="auto"/>
        </w:rPr>
        <w:t>509-891-3802</w:t>
      </w:r>
    </w:p>
    <w:p>
      <w:pPr>
        <w:spacing w:after="0"/>
        <w:rPr>
          <w:sz w:val="20"/>
          <w:szCs w:val="20"/>
          <w:color w:val="auto"/>
        </w:rPr>
      </w:pPr>
      <w:r>
        <w:rPr>
          <w:rFonts w:ascii="Arial" w:cs="Arial" w:eastAsia="Arial" w:hAnsi="Arial"/>
          <w:sz w:val="22"/>
          <w:szCs w:val="22"/>
          <w:color w:val="auto"/>
        </w:rPr>
        <w:t>PR@Itron.com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Kenneth P. Gianella</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rPr>
          <w:sz w:val="20"/>
          <w:szCs w:val="20"/>
          <w:color w:val="auto"/>
        </w:rPr>
      </w:pPr>
      <w:r>
        <w:rPr>
          <w:rFonts w:ascii="Arial" w:cs="Arial" w:eastAsia="Arial" w:hAnsi="Arial"/>
          <w:sz w:val="22"/>
          <w:szCs w:val="22"/>
          <w:color w:val="auto"/>
        </w:rPr>
        <w:t>669-770-4643</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2021-06-04T05:12:47Z</dcterms:created>
  <dcterms:modified xsi:type="dcterms:W3CDTF">2021-06-04T05:12:47Z</dcterms:modified>
</cp:coreProperties>
</file>