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27,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19685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000-22418</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 Zip Code)</w:t>
            </w:r>
          </w:p>
        </w:tc>
        <w:tc>
          <w:tcPr>
            <w:tcW w:w="3420" w:type="dxa"/>
            <w:vAlign w:val="bottom"/>
          </w:tcPr>
          <w:p>
            <w:pPr>
              <w:spacing w:after="0"/>
              <w:rPr>
                <w:sz w:val="20"/>
                <w:szCs w:val="20"/>
                <w:color w:val="auto"/>
              </w:rPr>
            </w:pPr>
          </w:p>
        </w:tc>
      </w:tr>
      <w:tr>
        <w:trPr>
          <w:trHeight w:val="465"/>
        </w:trPr>
        <w:tc>
          <w:tcPr>
            <w:tcW w:w="3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90"/>
              </w:rPr>
              <w:t>(509) 924-9900</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(Registrant’s Telephone Number, Including Area Code)</w:t>
            </w:r>
          </w:p>
        </w:tc>
        <w:tc>
          <w:tcPr>
            <w:tcW w:w="3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83" w:lineRule="exact"/>
        <w:rPr>
          <w:sz w:val="20"/>
          <w:szCs w:val="20"/>
          <w:color w:val="auto"/>
        </w:rPr>
      </w:pPr>
    </w:p>
    <w:p>
      <w:pPr>
        <w:ind w:left="1160"/>
        <w:spacing w:after="0" w:line="277" w:lineRule="auto"/>
        <w:rPr>
          <w:sz w:val="20"/>
          <w:szCs w:val="20"/>
          <w:color w:val="auto"/>
        </w:rPr>
      </w:pPr>
      <w:r>
        <w:rPr>
          <w:rFonts w:ascii="Arial" w:cs="Arial" w:eastAsia="Arial" w:hAnsi="Arial"/>
          <w:sz w:val="18"/>
          <w:szCs w:val="18"/>
          <w:color w:val="auto"/>
        </w:rPr>
        <w:t>On July 27, 2011, Itron, Inc. (the Company) issued a press release announcing their financial results for the three and six months ending June 30, 2011.</w:t>
      </w:r>
    </w:p>
    <w:p>
      <w:pPr>
        <w:spacing w:after="0" w:line="22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 copy of this press release and accompanying financial statements are attached as Exhibit 99.1.</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(d) Exhibits.</w:t>
      </w:r>
    </w:p>
    <w:p>
      <w:pPr>
        <w:spacing w:after="0" w:line="2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140"/>
        <w:spacing w:after="0"/>
        <w:tabs>
          <w:tab w:leader="none" w:pos="18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ind w:left="140"/>
        <w:spacing w:after="0"/>
        <w:tabs>
          <w:tab w:leader="none" w:pos="1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27, 2011.</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The information presented in this Current Report on Form 8-K may contain forward-looking statements and certain assumptions upon which such forward-looking statements are in part based. Numerous important factors, including those factors identified in Itron, Inc.’s Annual Report on Form 10-K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20"/>
          </w:cols>
          <w:pgMar w:left="240" w:top="135"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ITRON, INC.</w:t>
      </w:r>
    </w:p>
    <w:p>
      <w:pPr>
        <w:spacing w:after="0" w:line="279" w:lineRule="exact"/>
        <w:rPr>
          <w:sz w:val="20"/>
          <w:szCs w:val="20"/>
          <w:color w:val="auto"/>
        </w:rPr>
      </w:pPr>
    </w:p>
    <w:p>
      <w:pPr>
        <w:spacing w:after="0"/>
        <w:tabs>
          <w:tab w:leader="none" w:pos="680" w:val="left"/>
          <w:tab w:leader="none" w:pos="5700" w:val="left"/>
          <w:tab w:leader="none" w:pos="6380" w:val="left"/>
        </w:tabs>
        <w:rPr>
          <w:sz w:val="20"/>
          <w:szCs w:val="20"/>
          <w:color w:val="auto"/>
        </w:rPr>
      </w:pPr>
      <w:r>
        <w:rPr>
          <w:rFonts w:ascii="Arial" w:cs="Arial" w:eastAsia="Arial" w:hAnsi="Arial"/>
          <w:sz w:val="18"/>
          <w:szCs w:val="18"/>
          <w:color w:val="auto"/>
        </w:rPr>
        <w:t>Dated:</w:t>
        <w:tab/>
        <w:t>July 27,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967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Steven M. Helmbrecht</w:t>
      </w:r>
    </w:p>
    <w:p>
      <w:pPr>
        <w:spacing w:after="0" w:line="3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00"/>
          </w:cols>
          <w:pgMar w:left="240" w:top="121" w:right="459" w:bottom="1440" w:gutter="0" w:footer="0" w:header="0"/>
        </w:sectPr>
      </w:pPr>
    </w:p>
    <w:bookmarkStart w:id="3" w:name="page4"/>
    <w:bookmarkEnd w:id="3"/>
    <w:p>
      <w:pPr>
        <w:jc w:val="right"/>
        <w:ind w:right="365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27, 2011.</w:t>
      </w:r>
    </w:p>
    <w:p>
      <w:pPr>
        <w:sectPr>
          <w:pgSz w:w="11900" w:h="16838" w:orient="portrait"/>
          <w:cols w:equalWidth="0" w:num="1">
            <w:col w:w="10079"/>
          </w:cols>
          <w:pgMar w:left="380" w:top="11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Announces Second Quarter 2011 Financial Results</w:t>
      </w:r>
    </w:p>
    <w:p>
      <w:pPr>
        <w:spacing w:after="0" w:line="212"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LIBERTY LAKE, Wash.--(BUSINESS WIRE)--July 27, 2011--Itron, Inc. (NASDAQ:ITRI) today reported financial results for its second quarter and six months ended June 30, 2011. Highlights include:</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and six month revenues of $612 million and $1.2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640"/>
        <w:spacing w:after="0" w:line="251" w:lineRule="auto"/>
        <w:rPr>
          <w:sz w:val="20"/>
          <w:szCs w:val="20"/>
          <w:color w:val="auto"/>
        </w:rPr>
      </w:pPr>
      <w:r>
        <w:rPr>
          <w:rFonts w:ascii="Arial" w:cs="Arial" w:eastAsia="Arial" w:hAnsi="Arial"/>
          <w:sz w:val="22"/>
          <w:szCs w:val="22"/>
          <w:color w:val="auto"/>
        </w:rPr>
        <w:t>Quarterly and six month non-GAAP diluted EPS of $1.20 and $2.18, including discrete tax benefits of 19 cents for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right="3240"/>
        <w:spacing w:after="0" w:line="365" w:lineRule="auto"/>
        <w:rPr>
          <w:sz w:val="20"/>
          <w:szCs w:val="20"/>
          <w:color w:val="auto"/>
        </w:rPr>
      </w:pPr>
      <w:r>
        <w:rPr>
          <w:rFonts w:ascii="Arial" w:cs="Arial" w:eastAsia="Arial" w:hAnsi="Arial"/>
          <w:sz w:val="22"/>
          <w:szCs w:val="22"/>
          <w:color w:val="auto"/>
        </w:rPr>
        <w:t>Six month cash flow from operations and free cash flow of $88 million and $59 million; Quarterly and six month adjusted EBITDA of $80 million and $160 million; Twelve-month backlog of $1.0 billion and total backlog of $1.6 billion; and Quarterly bookings of $483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-915670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-675640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-435610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-194945</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5"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“I am very pleased with the performance of Itron International. We had record gas and water revenue in the quarter further demonstrating the strength of our global footprint and balanced portfolio,” said Malcolm Unsworth, president and CEO. “Our smart metering projects in North America are continuing to drive revenue, but one of the keys to our future growth is to continue to introduce innovative technologies in other parts of the world and to streamline our operations to improve profitability and our time to market.”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Operations Highlights:</w:t>
      </w:r>
    </w:p>
    <w:p>
      <w:pPr>
        <w:spacing w:after="0" w:line="212" w:lineRule="exact"/>
        <w:rPr>
          <w:sz w:val="20"/>
          <w:szCs w:val="20"/>
          <w:color w:val="auto"/>
        </w:rPr>
      </w:pPr>
    </w:p>
    <w:p>
      <w:pPr>
        <w:ind w:right="100"/>
        <w:spacing w:after="0" w:line="248" w:lineRule="auto"/>
        <w:rPr>
          <w:sz w:val="20"/>
          <w:szCs w:val="20"/>
          <w:color w:val="auto"/>
        </w:rPr>
      </w:pPr>
      <w:r>
        <w:rPr>
          <w:rFonts w:ascii="Arial" w:cs="Arial" w:eastAsia="Arial" w:hAnsi="Arial"/>
          <w:sz w:val="21"/>
          <w:szCs w:val="21"/>
          <w:color w:val="auto"/>
        </w:rPr>
        <w:t>Revenues increased $45 million, or 8%, for the quarter and $111 million, or 10%, for the six month period compared to the respective periods last year. Excluding a $36 million favorable effect from changes in foreign currency exchange rates, revenue for the quarter grew 2% over the prior year’s quarter. Record quarterly revenue in International’s gas and water business lines was the primary driver of the increase. The increase in revenues for the six month period was primarily due to higher shipments of smart gas modules in North America and increased gas and water smart metering projects in International. The favorable foreign exchange effect on revenues for the six month period was $40 million.</w:t>
      </w:r>
    </w:p>
    <w:p>
      <w:pPr>
        <w:spacing w:after="0" w:line="177" w:lineRule="exact"/>
        <w:rPr>
          <w:sz w:val="20"/>
          <w:szCs w:val="20"/>
          <w:color w:val="auto"/>
        </w:rPr>
      </w:pPr>
    </w:p>
    <w:p>
      <w:pPr>
        <w:ind w:right="80"/>
        <w:spacing w:after="0"/>
        <w:rPr>
          <w:sz w:val="20"/>
          <w:szCs w:val="20"/>
          <w:color w:val="auto"/>
        </w:rPr>
      </w:pPr>
      <w:r>
        <w:rPr>
          <w:rFonts w:ascii="Arial" w:cs="Arial" w:eastAsia="Arial" w:hAnsi="Arial"/>
          <w:sz w:val="22"/>
          <w:szCs w:val="22"/>
          <w:color w:val="auto"/>
        </w:rPr>
        <w:t>Gross margin for the quarter was 31.2% which was slightly higher than the prior year second quarter margin of 30.7%. For the first six months of 2011, gross margin was 31.9% compared with 31.1% in 2010. The improvement in margin for both periods was primarily due to decreased warranty expense in our International segment.</w:t>
      </w:r>
    </w:p>
    <w:p>
      <w:pPr>
        <w:spacing w:after="0" w:line="186"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Operating expenses, excluding amortization of intangibles of $16.2 million and restructuring charges of $1.9 million, were $124.9 million, or 20.4% of revenue, for the quarter compared to $107.3 million, or 18.9% of revenue, in the prior year. Investments in product research and development for new and enhanced products as well as increased global marketing activity were the primary driver of the increase. In addition, approximately $6.9 million of the increase was due to changes in foreign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27202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right="80"/>
        <w:spacing w:after="0" w:line="236" w:lineRule="auto"/>
        <w:rPr>
          <w:sz w:val="20"/>
          <w:szCs w:val="20"/>
          <w:color w:val="auto"/>
        </w:rPr>
      </w:pPr>
      <w:r>
        <w:rPr>
          <w:rFonts w:ascii="Arial" w:cs="Arial" w:eastAsia="Arial" w:hAnsi="Arial"/>
          <w:sz w:val="22"/>
          <w:szCs w:val="22"/>
          <w:color w:val="auto"/>
        </w:rPr>
        <w:t>Net income and diluted EPS for the second quarter and six month period were $34.4 million, or 84 cents per share, and $61.6 million, or $1.50 per share. This compares with net income of $25.3 million, or 61 cents per share, and $50.6 million, or $1.23 per share, in the same periods in 2010. The increase in 2011 net income for the quarter was primarily due to $8 million, or 19 cents, of discrete tax benefits recognized during the quarter. The increase in net income for the six month period was primarily due to higher operating income in our International segment.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12"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This release contains forward-looking statements concerning our expectations about operations, financial performance, sales, earnings and cash flows. These statements reflect our current plans and expectations and are based on information currently available. The statements rely on a number of assumptions and estimates, which could be inaccurate, and which are subject to risks and uncertainties that could cause our actual results to vary materially from those anticipated. Risks and uncertainties include the rate and timing of customer demand for our products, rescheduling of current customer orders, changes in estimated liabilities for product warranties, changes in laws and regulations, our dependence on new product development and intellectual property, future acquisitions, changes in estimates for stock-based and bonus compensation, increasing volatility in foreign exchange rates, international business risks and other factors which are more fully described in our Annual Report on Form 10-K for the year ended December 31, 2010 and other reports on file with the Securities and Exchange Commission. Itron undertakes no obligation to update publicly or revise any forward-looking statements, including our business outlook.</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2011 Guidance: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Itron’s guidance for 2011 is as follows: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Revenue between $2.3 billion and $2.4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Non-GAAP diluted EPS between $4.20 and $4.60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Our guidance assumes a Euro to U.S. dollar exchange rate of $1.40, average shares outstanding of approximately 41.2 million and a non-GAAP effective tax rate between 22% and 25% (inclusive of the discrete tax benefits recognized through June 30, 2011). In addition, the guidance excludes any charges or benefits related to our current restructuring activities.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2"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To supplement our consolidated financial statements presented in accordance with GAAP, we use certain non-GAAP financial measures, including non-GAAP operating expense, non-GAAP operating income, non-GAAP net income, non-GAAP diluted EPS, adjusted EBITDA, and free cash flow. We provide these non-GAAP financial measures because we believe they provide greater transparency and represent supplemental information used by management in its financial and operational decision making. Specifically, these non-GAAP financial measures are provided to enhance investors’ overall understanding of our current financial performance and our future anticipated performance by excluding infrequent costs, particularly those associated with acquisitions. We exclude certain infrequent costs, particularly those associated with acquisitions, in our non-GAAP financial measures as we believe the net result is a measure of our core business. Non-GAAP performance measures should be considered in addition to, and not as a substitute for, results prepared in accordance with GAAP. Finally,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27202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Earnings Conference Call:</w:t>
      </w:r>
    </w:p>
    <w:p>
      <w:pPr>
        <w:spacing w:after="0" w:line="213" w:lineRule="exact"/>
        <w:rPr>
          <w:sz w:val="20"/>
          <w:szCs w:val="20"/>
          <w:color w:val="auto"/>
        </w:rPr>
      </w:pPr>
    </w:p>
    <w:p>
      <w:pPr>
        <w:ind w:right="100"/>
        <w:spacing w:after="0" w:line="248" w:lineRule="auto"/>
        <w:rPr>
          <w:sz w:val="20"/>
          <w:szCs w:val="20"/>
          <w:color w:val="auto"/>
        </w:rPr>
      </w:pPr>
      <w:r>
        <w:rPr>
          <w:rFonts w:ascii="Arial" w:cs="Arial" w:eastAsia="Arial" w:hAnsi="Arial"/>
          <w:sz w:val="21"/>
          <w:szCs w:val="21"/>
          <w:color w:val="auto"/>
        </w:rPr>
        <w:t xml:space="preserve">Itron will host a conference call to discuss the financial results contained in this release at 2:00 p.m. (PDT) on July 27, 2011. The call will be webcast in a listen only mode. Webcast information and conference call materials will be made available in the </w:t>
      </w:r>
      <w:r>
        <w:rPr>
          <w:rFonts w:ascii="Arial" w:cs="Arial" w:eastAsia="Arial" w:hAnsi="Arial"/>
          <w:sz w:val="21"/>
          <w:szCs w:val="21"/>
          <w:i w:val="1"/>
          <w:iCs w:val="1"/>
          <w:color w:val="auto"/>
        </w:rPr>
        <w:t xml:space="preserve">“Investors/Investor Events” </w:t>
      </w:r>
      <w:r>
        <w:rPr>
          <w:rFonts w:ascii="Arial" w:cs="Arial" w:eastAsia="Arial" w:hAnsi="Arial"/>
          <w:sz w:val="21"/>
          <w:szCs w:val="21"/>
          <w:color w:val="auto"/>
        </w:rPr>
        <w:t>section of Itron’s website (</w:t>
      </w:r>
      <w:r>
        <w:rPr>
          <w:rFonts w:ascii="Arial" w:cs="Arial" w:eastAsia="Arial" w:hAnsi="Arial"/>
          <w:sz w:val="21"/>
          <w:szCs w:val="21"/>
          <w:u w:val="single" w:color="auto"/>
          <w:color w:val="auto"/>
        </w:rPr>
        <w:t>www.itron.com</w:t>
      </w:r>
      <w:r>
        <w:rPr>
          <w:rFonts w:ascii="Arial" w:cs="Arial" w:eastAsia="Arial" w:hAnsi="Arial"/>
          <w:sz w:val="21"/>
          <w:szCs w:val="21"/>
          <w:color w:val="auto"/>
        </w:rPr>
        <w:t>) prior to the start of the call. The webcast replay will begin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after the conclusion of the live call and will be available for two weeks. A telephone replay of the call will also be available approximately one hour after the conclusion of the live call, for 48 hours, and is accessible by dialing </w:t>
      </w:r>
      <w:r>
        <w:rPr>
          <w:rFonts w:ascii="Arial" w:cs="Arial" w:eastAsia="Arial" w:hAnsi="Arial"/>
          <w:sz w:val="21"/>
          <w:szCs w:val="21"/>
          <w:b w:val="1"/>
          <w:bCs w:val="1"/>
          <w:color w:val="auto"/>
        </w:rPr>
        <w:t>(888) 203-1112 (Domestic)</w:t>
      </w:r>
      <w:r>
        <w:rPr>
          <w:rFonts w:ascii="Arial" w:cs="Arial" w:eastAsia="Arial" w:hAnsi="Arial"/>
          <w:sz w:val="21"/>
          <w:szCs w:val="21"/>
          <w:color w:val="auto"/>
        </w:rPr>
        <w:t xml:space="preserve"> or </w:t>
      </w:r>
      <w:r>
        <w:rPr>
          <w:rFonts w:ascii="Arial" w:cs="Arial" w:eastAsia="Arial" w:hAnsi="Arial"/>
          <w:sz w:val="21"/>
          <w:szCs w:val="21"/>
          <w:b w:val="1"/>
          <w:bCs w:val="1"/>
          <w:color w:val="auto"/>
        </w:rPr>
        <w:t>(719) 457-0820 (International)</w:t>
      </w:r>
      <w:r>
        <w:rPr>
          <w:rFonts w:ascii="Arial" w:cs="Arial" w:eastAsia="Arial" w:hAnsi="Arial"/>
          <w:sz w:val="21"/>
          <w:szCs w:val="21"/>
          <w:color w:val="auto"/>
        </w:rPr>
        <w:t xml:space="preserve">, entering passcode </w:t>
      </w:r>
      <w:r>
        <w:rPr>
          <w:rFonts w:ascii="Arial" w:cs="Arial" w:eastAsia="Arial" w:hAnsi="Arial"/>
          <w:sz w:val="21"/>
          <w:szCs w:val="21"/>
          <w:b w:val="1"/>
          <w:bCs w:val="1"/>
          <w:color w:val="auto"/>
        </w:rPr>
        <w:t>#6754032.</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12"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 xml:space="preserve">At Itron, we’re dedicated to delivering end-to-end smart grid and smart distribution solutions to electric, gas and water utilities around the globe. Our company is the world’s leading provider of smart metering, data collection and utility software systems, with nearly 8,000 utilities worldwide relying on our technology to optimize the delivery and use of energy and water. Our offerings include electricity, gas, water and heat meters; network communication technology; collection systems and related software applications; and professional services. To realize your smarter energy and water future, start here: </w:t>
      </w:r>
      <w:r>
        <w:rPr>
          <w:rFonts w:ascii="Arial" w:cs="Arial" w:eastAsia="Arial" w:hAnsi="Arial"/>
          <w:sz w:val="19"/>
          <w:szCs w:val="19"/>
          <w:u w:val="single" w:color="auto"/>
          <w:color w:val="auto"/>
        </w:rPr>
        <w:t>www.itron.com</w:t>
      </w:r>
      <w:r>
        <w:rPr>
          <w:rFonts w:ascii="Arial" w:cs="Arial" w:eastAsia="Arial" w:hAnsi="Arial"/>
          <w:sz w:val="19"/>
          <w:szCs w:val="19"/>
          <w:color w:val="auto"/>
        </w:rPr>
        <w:t>.</w:t>
      </w:r>
    </w:p>
    <w:p>
      <w:pPr>
        <w:spacing w:after="0" w:line="148"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Statements of operations, segment information, balance sheets, cash flow statements and reconciliations of non-GAAP financial measures to the most directly comparable GAAP financial measures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8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52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64"/>
        </w:trPr>
        <w:tc>
          <w:tcPr>
            <w:tcW w:w="5280" w:type="dxa"/>
            <w:vAlign w:val="bottom"/>
          </w:tcPr>
          <w:p>
            <w:pPr>
              <w:spacing w:after="0"/>
              <w:rPr>
                <w:sz w:val="20"/>
                <w:szCs w:val="20"/>
                <w:color w:val="auto"/>
              </w:rPr>
            </w:pPr>
            <w:r>
              <w:rPr>
                <w:rFonts w:ascii="Arial" w:cs="Arial" w:eastAsia="Arial" w:hAnsi="Arial"/>
                <w:sz w:val="14"/>
                <w:szCs w:val="14"/>
                <w:color w:val="auto"/>
              </w:rPr>
              <w:t>Revenues</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612,401</w:t>
            </w:r>
          </w:p>
        </w:tc>
        <w:tc>
          <w:tcPr>
            <w:tcW w:w="140" w:type="dxa"/>
            <w:vAlign w:val="bottom"/>
          </w:tcPr>
          <w:p>
            <w:pPr>
              <w:spacing w:after="0"/>
              <w:rPr>
                <w:sz w:val="14"/>
                <w:szCs w:val="14"/>
                <w:color w:val="auto"/>
              </w:rPr>
            </w:pP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567,339</w:t>
            </w:r>
          </w:p>
        </w:tc>
        <w:tc>
          <w:tcPr>
            <w:tcW w:w="320" w:type="dxa"/>
            <w:vAlign w:val="bottom"/>
          </w:tcPr>
          <w:p>
            <w:pPr>
              <w:spacing w:after="0"/>
              <w:rPr>
                <w:sz w:val="14"/>
                <w:szCs w:val="14"/>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1,176,092</w:t>
            </w:r>
          </w:p>
        </w:tc>
        <w:tc>
          <w:tcPr>
            <w:tcW w:w="120" w:type="dxa"/>
            <w:vAlign w:val="bottom"/>
          </w:tcPr>
          <w:p>
            <w:pPr>
              <w:spacing w:after="0"/>
              <w:rPr>
                <w:sz w:val="14"/>
                <w:szCs w:val="14"/>
                <w:color w:val="auto"/>
              </w:rPr>
            </w:pP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1,064,962</w:t>
            </w:r>
          </w:p>
        </w:tc>
        <w:tc>
          <w:tcPr>
            <w:tcW w:w="0" w:type="dxa"/>
            <w:vAlign w:val="bottom"/>
          </w:tcPr>
          <w:p>
            <w:pPr>
              <w:spacing w:after="0"/>
              <w:rPr>
                <w:sz w:val="1"/>
                <w:szCs w:val="1"/>
                <w:color w:val="auto"/>
              </w:rPr>
            </w:pPr>
          </w:p>
        </w:tc>
      </w:tr>
      <w:tr>
        <w:trPr>
          <w:trHeight w:val="181"/>
        </w:trPr>
        <w:tc>
          <w:tcPr>
            <w:tcW w:w="5280" w:type="dxa"/>
            <w:vAlign w:val="bottom"/>
          </w:tcPr>
          <w:p>
            <w:pPr>
              <w:spacing w:after="0"/>
              <w:rPr>
                <w:sz w:val="20"/>
                <w:szCs w:val="20"/>
                <w:color w:val="auto"/>
              </w:rPr>
            </w:pPr>
            <w:r>
              <w:rPr>
                <w:rFonts w:ascii="Arial" w:cs="Arial" w:eastAsia="Arial" w:hAnsi="Arial"/>
                <w:sz w:val="14"/>
                <w:szCs w:val="14"/>
                <w:color w:val="auto"/>
              </w:rPr>
              <w:t>Cost of revenues</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421,318</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393,283</w:t>
            </w:r>
          </w:p>
        </w:tc>
        <w:tc>
          <w:tcPr>
            <w:tcW w:w="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800,899</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733,842</w:t>
            </w:r>
          </w:p>
        </w:tc>
        <w:tc>
          <w:tcPr>
            <w:tcW w:w="0" w:type="dxa"/>
            <w:vAlign w:val="bottom"/>
          </w:tcPr>
          <w:p>
            <w:pPr>
              <w:spacing w:after="0"/>
              <w:rPr>
                <w:sz w:val="1"/>
                <w:szCs w:val="1"/>
                <w:color w:val="auto"/>
              </w:rPr>
            </w:pPr>
          </w:p>
        </w:tc>
      </w:tr>
      <w:tr>
        <w:trPr>
          <w:trHeight w:val="176"/>
        </w:trPr>
        <w:tc>
          <w:tcPr>
            <w:tcW w:w="5280" w:type="dxa"/>
            <w:vAlign w:val="bottom"/>
          </w:tcPr>
          <w:p>
            <w:pPr>
              <w:spacing w:after="0"/>
              <w:rPr>
                <w:sz w:val="20"/>
                <w:szCs w:val="20"/>
                <w:color w:val="auto"/>
              </w:rPr>
            </w:pPr>
            <w:r>
              <w:rPr>
                <w:rFonts w:ascii="Arial" w:cs="Arial" w:eastAsia="Arial" w:hAnsi="Arial"/>
                <w:sz w:val="14"/>
                <w:szCs w:val="14"/>
                <w:color w:val="auto"/>
              </w:rPr>
              <w:t>Gross profit</w:t>
            </w:r>
          </w:p>
        </w:tc>
        <w:tc>
          <w:tcPr>
            <w:tcW w:w="38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191,083</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174,056</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375,193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331,120</w:t>
            </w:r>
          </w:p>
        </w:tc>
        <w:tc>
          <w:tcPr>
            <w:tcW w:w="0" w:type="dxa"/>
            <w:vAlign w:val="bottom"/>
          </w:tcPr>
          <w:p>
            <w:pPr>
              <w:spacing w:after="0"/>
              <w:rPr>
                <w:sz w:val="1"/>
                <w:szCs w:val="1"/>
                <w:color w:val="auto"/>
              </w:rPr>
            </w:pPr>
          </w:p>
        </w:tc>
      </w:tr>
      <w:tr>
        <w:trPr>
          <w:trHeight w:val="339"/>
        </w:trPr>
        <w:tc>
          <w:tcPr>
            <w:tcW w:w="5280" w:type="dxa"/>
            <w:vAlign w:val="bottom"/>
          </w:tcPr>
          <w:p>
            <w:pPr>
              <w:spacing w:after="0"/>
              <w:rPr>
                <w:sz w:val="20"/>
                <w:szCs w:val="20"/>
                <w:color w:val="auto"/>
              </w:rPr>
            </w:pPr>
            <w:r>
              <w:rPr>
                <w:rFonts w:ascii="Arial" w:cs="Arial" w:eastAsia="Arial" w:hAnsi="Arial"/>
                <w:sz w:val="14"/>
                <w:szCs w:val="14"/>
                <w:color w:val="auto"/>
              </w:rPr>
              <w:t>Operating expenses</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280" w:type="dxa"/>
            <w:vAlign w:val="bottom"/>
          </w:tcPr>
          <w:p>
            <w:pPr>
              <w:ind w:left="220"/>
              <w:spacing w:after="0"/>
              <w:rPr>
                <w:sz w:val="20"/>
                <w:szCs w:val="20"/>
                <w:color w:val="auto"/>
              </w:rPr>
            </w:pPr>
            <w:r>
              <w:rPr>
                <w:rFonts w:ascii="Arial" w:cs="Arial" w:eastAsia="Arial" w:hAnsi="Arial"/>
                <w:sz w:val="14"/>
                <w:szCs w:val="14"/>
                <w:color w:val="auto"/>
              </w:rPr>
              <w:t>Sales and marketing</w:t>
            </w:r>
          </w:p>
        </w:tc>
        <w:tc>
          <w:tcPr>
            <w:tcW w:w="38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48,845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40,974</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93,493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82,511</w:t>
            </w:r>
          </w:p>
        </w:tc>
        <w:tc>
          <w:tcPr>
            <w:tcW w:w="0" w:type="dxa"/>
            <w:vAlign w:val="bottom"/>
          </w:tcPr>
          <w:p>
            <w:pPr>
              <w:spacing w:after="0"/>
              <w:rPr>
                <w:sz w:val="1"/>
                <w:szCs w:val="1"/>
                <w:color w:val="auto"/>
              </w:rPr>
            </w:pPr>
          </w:p>
        </w:tc>
      </w:tr>
      <w:tr>
        <w:trPr>
          <w:trHeight w:val="176"/>
        </w:trPr>
        <w:tc>
          <w:tcPr>
            <w:tcW w:w="5280" w:type="dxa"/>
            <w:vAlign w:val="bottom"/>
          </w:tcPr>
          <w:p>
            <w:pPr>
              <w:ind w:left="220"/>
              <w:spacing w:after="0"/>
              <w:rPr>
                <w:sz w:val="20"/>
                <w:szCs w:val="20"/>
                <w:color w:val="auto"/>
              </w:rPr>
            </w:pPr>
            <w:r>
              <w:rPr>
                <w:rFonts w:ascii="Arial" w:cs="Arial" w:eastAsia="Arial" w:hAnsi="Arial"/>
                <w:sz w:val="14"/>
                <w:szCs w:val="14"/>
                <w:color w:val="auto"/>
              </w:rPr>
              <w:t>Product development</w:t>
            </w:r>
          </w:p>
        </w:tc>
        <w:tc>
          <w:tcPr>
            <w:tcW w:w="38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40,931</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33,022</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81,376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66,062</w:t>
            </w:r>
          </w:p>
        </w:tc>
        <w:tc>
          <w:tcPr>
            <w:tcW w:w="0" w:type="dxa"/>
            <w:vAlign w:val="bottom"/>
          </w:tcPr>
          <w:p>
            <w:pPr>
              <w:spacing w:after="0"/>
              <w:rPr>
                <w:sz w:val="1"/>
                <w:szCs w:val="1"/>
                <w:color w:val="auto"/>
              </w:rPr>
            </w:pPr>
          </w:p>
        </w:tc>
      </w:tr>
      <w:tr>
        <w:trPr>
          <w:trHeight w:val="176"/>
        </w:trPr>
        <w:tc>
          <w:tcPr>
            <w:tcW w:w="5280" w:type="dxa"/>
            <w:vAlign w:val="bottom"/>
          </w:tcPr>
          <w:p>
            <w:pPr>
              <w:ind w:left="220"/>
              <w:spacing w:after="0"/>
              <w:rPr>
                <w:sz w:val="20"/>
                <w:szCs w:val="20"/>
                <w:color w:val="auto"/>
              </w:rPr>
            </w:pPr>
            <w:r>
              <w:rPr>
                <w:rFonts w:ascii="Arial" w:cs="Arial" w:eastAsia="Arial" w:hAnsi="Arial"/>
                <w:sz w:val="14"/>
                <w:szCs w:val="14"/>
                <w:color w:val="auto"/>
              </w:rPr>
              <w:t>General and administrative</w:t>
            </w:r>
          </w:p>
        </w:tc>
        <w:tc>
          <w:tcPr>
            <w:tcW w:w="38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35,118</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33,285</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68,449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66,342</w:t>
            </w:r>
          </w:p>
        </w:tc>
        <w:tc>
          <w:tcPr>
            <w:tcW w:w="0" w:type="dxa"/>
            <w:vAlign w:val="bottom"/>
          </w:tcPr>
          <w:p>
            <w:pPr>
              <w:spacing w:after="0"/>
              <w:rPr>
                <w:sz w:val="1"/>
                <w:szCs w:val="1"/>
                <w:color w:val="auto"/>
              </w:rPr>
            </w:pPr>
          </w:p>
        </w:tc>
      </w:tr>
      <w:tr>
        <w:trPr>
          <w:trHeight w:val="176"/>
        </w:trPr>
        <w:tc>
          <w:tcPr>
            <w:tcW w:w="5280" w:type="dxa"/>
            <w:vAlign w:val="bottom"/>
          </w:tcPr>
          <w:p>
            <w:pPr>
              <w:ind w:left="220"/>
              <w:spacing w:after="0"/>
              <w:rPr>
                <w:sz w:val="20"/>
                <w:szCs w:val="20"/>
                <w:color w:val="auto"/>
              </w:rPr>
            </w:pPr>
            <w:r>
              <w:rPr>
                <w:rFonts w:ascii="Arial" w:cs="Arial" w:eastAsia="Arial" w:hAnsi="Arial"/>
                <w:sz w:val="14"/>
                <w:szCs w:val="14"/>
                <w:color w:val="auto"/>
              </w:rPr>
              <w:t>Amortization of intangible assets</w:t>
            </w:r>
          </w:p>
        </w:tc>
        <w:tc>
          <w:tcPr>
            <w:tcW w:w="38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16,197</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16,766</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31,794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34,577</w:t>
            </w:r>
          </w:p>
        </w:tc>
        <w:tc>
          <w:tcPr>
            <w:tcW w:w="0" w:type="dxa"/>
            <w:vAlign w:val="bottom"/>
          </w:tcPr>
          <w:p>
            <w:pPr>
              <w:spacing w:after="0"/>
              <w:rPr>
                <w:sz w:val="1"/>
                <w:szCs w:val="1"/>
                <w:color w:val="auto"/>
              </w:rPr>
            </w:pPr>
          </w:p>
        </w:tc>
      </w:tr>
      <w:tr>
        <w:trPr>
          <w:trHeight w:val="181"/>
        </w:trPr>
        <w:tc>
          <w:tcPr>
            <w:tcW w:w="5280" w:type="dxa"/>
            <w:vAlign w:val="bottom"/>
          </w:tcPr>
          <w:p>
            <w:pPr>
              <w:ind w:left="220"/>
              <w:spacing w:after="0"/>
              <w:rPr>
                <w:sz w:val="20"/>
                <w:szCs w:val="20"/>
                <w:color w:val="auto"/>
              </w:rPr>
            </w:pPr>
            <w:r>
              <w:rPr>
                <w:rFonts w:ascii="Arial" w:cs="Arial" w:eastAsia="Arial" w:hAnsi="Arial"/>
                <w:sz w:val="14"/>
                <w:szCs w:val="14"/>
                <w:color w:val="auto"/>
              </w:rPr>
              <w:t>Restructuring</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1,907</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1,907</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280" w:type="dxa"/>
            <w:vAlign w:val="bottom"/>
          </w:tcPr>
          <w:p>
            <w:pPr>
              <w:ind w:left="420"/>
              <w:spacing w:after="0"/>
              <w:rPr>
                <w:sz w:val="20"/>
                <w:szCs w:val="20"/>
                <w:color w:val="auto"/>
              </w:rPr>
            </w:pPr>
            <w:r>
              <w:rPr>
                <w:rFonts w:ascii="Arial" w:cs="Arial" w:eastAsia="Arial" w:hAnsi="Arial"/>
                <w:sz w:val="14"/>
                <w:szCs w:val="14"/>
                <w:color w:val="auto"/>
              </w:rPr>
              <w:t>Total operating expenses</w:t>
            </w: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142,998</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124,047</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277,019</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249,492</w:t>
            </w:r>
          </w:p>
        </w:tc>
        <w:tc>
          <w:tcPr>
            <w:tcW w:w="0" w:type="dxa"/>
            <w:vAlign w:val="bottom"/>
          </w:tcPr>
          <w:p>
            <w:pPr>
              <w:spacing w:after="0"/>
              <w:rPr>
                <w:sz w:val="1"/>
                <w:szCs w:val="1"/>
                <w:color w:val="auto"/>
              </w:rPr>
            </w:pPr>
          </w:p>
        </w:tc>
      </w:tr>
      <w:tr>
        <w:trPr>
          <w:trHeight w:val="339"/>
        </w:trPr>
        <w:tc>
          <w:tcPr>
            <w:tcW w:w="5280" w:type="dxa"/>
            <w:vAlign w:val="bottom"/>
          </w:tcPr>
          <w:p>
            <w:pPr>
              <w:spacing w:after="0"/>
              <w:rPr>
                <w:sz w:val="20"/>
                <w:szCs w:val="20"/>
                <w:color w:val="auto"/>
              </w:rPr>
            </w:pPr>
            <w:r>
              <w:rPr>
                <w:rFonts w:ascii="Arial" w:cs="Arial" w:eastAsia="Arial" w:hAnsi="Arial"/>
                <w:sz w:val="14"/>
                <w:szCs w:val="14"/>
                <w:color w:val="auto"/>
              </w:rPr>
              <w:t>Operating income</w:t>
            </w:r>
          </w:p>
        </w:tc>
        <w:tc>
          <w:tcPr>
            <w:tcW w:w="38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48,085</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50,009</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98,174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81,628</w:t>
            </w:r>
          </w:p>
        </w:tc>
        <w:tc>
          <w:tcPr>
            <w:tcW w:w="0" w:type="dxa"/>
            <w:vAlign w:val="bottom"/>
          </w:tcPr>
          <w:p>
            <w:pPr>
              <w:spacing w:after="0"/>
              <w:rPr>
                <w:sz w:val="1"/>
                <w:szCs w:val="1"/>
                <w:color w:val="auto"/>
              </w:rPr>
            </w:pPr>
          </w:p>
        </w:tc>
      </w:tr>
      <w:tr>
        <w:trPr>
          <w:trHeight w:val="176"/>
        </w:trPr>
        <w:tc>
          <w:tcPr>
            <w:tcW w:w="5280" w:type="dxa"/>
            <w:vAlign w:val="bottom"/>
          </w:tcPr>
          <w:p>
            <w:pPr>
              <w:spacing w:after="0"/>
              <w:rPr>
                <w:sz w:val="20"/>
                <w:szCs w:val="20"/>
                <w:color w:val="auto"/>
              </w:rPr>
            </w:pPr>
            <w:r>
              <w:rPr>
                <w:rFonts w:ascii="Arial" w:cs="Arial" w:eastAsia="Arial" w:hAnsi="Arial"/>
                <w:sz w:val="14"/>
                <w:szCs w:val="14"/>
                <w:color w:val="auto"/>
              </w:rPr>
              <w:t>Other income (expense)</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80" w:type="dxa"/>
            <w:vAlign w:val="bottom"/>
          </w:tcPr>
          <w:p>
            <w:pPr>
              <w:ind w:left="220"/>
              <w:spacing w:after="0"/>
              <w:rPr>
                <w:sz w:val="20"/>
                <w:szCs w:val="20"/>
                <w:color w:val="auto"/>
              </w:rPr>
            </w:pPr>
            <w:r>
              <w:rPr>
                <w:rFonts w:ascii="Arial" w:cs="Arial" w:eastAsia="Arial" w:hAnsi="Arial"/>
                <w:sz w:val="14"/>
                <w:szCs w:val="14"/>
                <w:color w:val="auto"/>
              </w:rPr>
              <w:t>Interest income</w:t>
            </w:r>
          </w:p>
        </w:tc>
        <w:tc>
          <w:tcPr>
            <w:tcW w:w="38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168</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111</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76"/>
        </w:trPr>
        <w:tc>
          <w:tcPr>
            <w:tcW w:w="5280" w:type="dxa"/>
            <w:vAlign w:val="bottom"/>
          </w:tcPr>
          <w:p>
            <w:pPr>
              <w:ind w:left="220"/>
              <w:spacing w:after="0"/>
              <w:rPr>
                <w:sz w:val="20"/>
                <w:szCs w:val="20"/>
                <w:color w:val="auto"/>
              </w:rPr>
            </w:pPr>
            <w:r>
              <w:rPr>
                <w:rFonts w:ascii="Arial" w:cs="Arial" w:eastAsia="Arial" w:hAnsi="Arial"/>
                <w:sz w:val="14"/>
                <w:szCs w:val="14"/>
                <w:color w:val="auto"/>
              </w:rPr>
              <w:t>Interest expense</w:t>
            </w:r>
          </w:p>
        </w:tc>
        <w:tc>
          <w:tcPr>
            <w:tcW w:w="38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(11,420)</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(13,965)</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(23,534)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(28,888)</w:t>
            </w:r>
          </w:p>
        </w:tc>
        <w:tc>
          <w:tcPr>
            <w:tcW w:w="0" w:type="dxa"/>
            <w:vAlign w:val="bottom"/>
          </w:tcPr>
          <w:p>
            <w:pPr>
              <w:spacing w:after="0"/>
              <w:rPr>
                <w:sz w:val="1"/>
                <w:szCs w:val="1"/>
                <w:color w:val="auto"/>
              </w:rPr>
            </w:pPr>
          </w:p>
        </w:tc>
      </w:tr>
      <w:tr>
        <w:trPr>
          <w:trHeight w:val="181"/>
        </w:trPr>
        <w:tc>
          <w:tcPr>
            <w:tcW w:w="5280" w:type="dxa"/>
            <w:vAlign w:val="bottom"/>
          </w:tcPr>
          <w:p>
            <w:pPr>
              <w:ind w:left="220"/>
              <w:spacing w:after="0"/>
              <w:rPr>
                <w:sz w:val="20"/>
                <w:szCs w:val="20"/>
                <w:color w:val="auto"/>
              </w:rPr>
            </w:pPr>
            <w:r>
              <w:rPr>
                <w:rFonts w:ascii="Arial" w:cs="Arial" w:eastAsia="Arial" w:hAnsi="Arial"/>
                <w:sz w:val="14"/>
                <w:szCs w:val="14"/>
                <w:color w:val="auto"/>
              </w:rPr>
              <w:t>Other income (expense), net</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(2,477)</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(425)</w:t>
            </w:r>
          </w:p>
        </w:tc>
        <w:tc>
          <w:tcPr>
            <w:tcW w:w="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(4,073)</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(1,017)</w:t>
            </w:r>
          </w:p>
        </w:tc>
        <w:tc>
          <w:tcPr>
            <w:tcW w:w="0" w:type="dxa"/>
            <w:vAlign w:val="bottom"/>
          </w:tcPr>
          <w:p>
            <w:pPr>
              <w:spacing w:after="0"/>
              <w:rPr>
                <w:sz w:val="1"/>
                <w:szCs w:val="1"/>
                <w:color w:val="auto"/>
              </w:rPr>
            </w:pPr>
          </w:p>
        </w:tc>
      </w:tr>
      <w:tr>
        <w:trPr>
          <w:trHeight w:val="169"/>
        </w:trPr>
        <w:tc>
          <w:tcPr>
            <w:tcW w:w="5280" w:type="dxa"/>
            <w:vAlign w:val="bottom"/>
          </w:tcPr>
          <w:p>
            <w:pPr>
              <w:ind w:left="420"/>
              <w:spacing w:after="0"/>
              <w:rPr>
                <w:sz w:val="20"/>
                <w:szCs w:val="20"/>
                <w:color w:val="auto"/>
              </w:rPr>
            </w:pPr>
            <w:r>
              <w:rPr>
                <w:rFonts w:ascii="Arial" w:cs="Arial" w:eastAsia="Arial" w:hAnsi="Arial"/>
                <w:sz w:val="14"/>
                <w:szCs w:val="14"/>
                <w:color w:val="auto"/>
              </w:rPr>
              <w:t>Total other income (expense)</w:t>
            </w: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(13,729)</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(14,279)</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(27,131)</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(29,627)</w:t>
            </w:r>
          </w:p>
        </w:tc>
        <w:tc>
          <w:tcPr>
            <w:tcW w:w="0" w:type="dxa"/>
            <w:vAlign w:val="bottom"/>
          </w:tcPr>
          <w:p>
            <w:pPr>
              <w:spacing w:after="0"/>
              <w:rPr>
                <w:sz w:val="1"/>
                <w:szCs w:val="1"/>
                <w:color w:val="auto"/>
              </w:rPr>
            </w:pPr>
          </w:p>
        </w:tc>
      </w:tr>
      <w:tr>
        <w:trPr>
          <w:trHeight w:val="339"/>
        </w:trPr>
        <w:tc>
          <w:tcPr>
            <w:tcW w:w="528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38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34,356</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35,730</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71,043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52,001</w:t>
            </w:r>
          </w:p>
        </w:tc>
        <w:tc>
          <w:tcPr>
            <w:tcW w:w="0" w:type="dxa"/>
            <w:vAlign w:val="bottom"/>
          </w:tcPr>
          <w:p>
            <w:pPr>
              <w:spacing w:after="0"/>
              <w:rPr>
                <w:sz w:val="1"/>
                <w:szCs w:val="1"/>
                <w:color w:val="auto"/>
              </w:rPr>
            </w:pPr>
          </w:p>
        </w:tc>
      </w:tr>
      <w:tr>
        <w:trPr>
          <w:trHeight w:val="181"/>
        </w:trPr>
        <w:tc>
          <w:tcPr>
            <w:tcW w:w="5280" w:type="dxa"/>
            <w:vAlign w:val="bottom"/>
          </w:tcPr>
          <w:p>
            <w:pPr>
              <w:spacing w:after="0"/>
              <w:rPr>
                <w:sz w:val="20"/>
                <w:szCs w:val="20"/>
                <w:color w:val="auto"/>
              </w:rPr>
            </w:pPr>
            <w:r>
              <w:rPr>
                <w:rFonts w:ascii="Arial" w:cs="Arial" w:eastAsia="Arial" w:hAnsi="Arial"/>
                <w:sz w:val="14"/>
                <w:szCs w:val="14"/>
                <w:color w:val="auto"/>
              </w:rPr>
              <w:t>Income tax (provision) benefit</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80</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(10,419)</w:t>
            </w:r>
          </w:p>
        </w:tc>
        <w:tc>
          <w:tcPr>
            <w:tcW w:w="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(9,487)</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(1,440)</w:t>
            </w:r>
          </w:p>
        </w:tc>
        <w:tc>
          <w:tcPr>
            <w:tcW w:w="0" w:type="dxa"/>
            <w:vAlign w:val="bottom"/>
          </w:tcPr>
          <w:p>
            <w:pPr>
              <w:spacing w:after="0"/>
              <w:rPr>
                <w:sz w:val="1"/>
                <w:szCs w:val="1"/>
                <w:color w:val="auto"/>
              </w:rPr>
            </w:pPr>
          </w:p>
        </w:tc>
      </w:tr>
      <w:tr>
        <w:trPr>
          <w:trHeight w:val="169"/>
        </w:trPr>
        <w:tc>
          <w:tcPr>
            <w:tcW w:w="5280" w:type="dxa"/>
            <w:vAlign w:val="bottom"/>
          </w:tcPr>
          <w:p>
            <w:pPr>
              <w:spacing w:after="0"/>
              <w:rPr>
                <w:sz w:val="20"/>
                <w:szCs w:val="20"/>
                <w:color w:val="auto"/>
              </w:rPr>
            </w:pPr>
            <w:r>
              <w:rPr>
                <w:rFonts w:ascii="Arial" w:cs="Arial" w:eastAsia="Arial" w:hAnsi="Arial"/>
                <w:sz w:val="14"/>
                <w:szCs w:val="14"/>
                <w:color w:val="auto"/>
              </w:rPr>
              <w:t>Net income</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34,436</w:t>
            </w:r>
          </w:p>
        </w:tc>
        <w:tc>
          <w:tcPr>
            <w:tcW w:w="140" w:type="dxa"/>
            <w:vAlign w:val="bottom"/>
          </w:tcPr>
          <w:p>
            <w:pPr>
              <w:spacing w:after="0"/>
              <w:rPr>
                <w:sz w:val="14"/>
                <w:szCs w:val="14"/>
                <w:color w:val="auto"/>
              </w:rPr>
            </w:pP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25,311</w:t>
            </w:r>
          </w:p>
        </w:tc>
        <w:tc>
          <w:tcPr>
            <w:tcW w:w="320" w:type="dxa"/>
            <w:vAlign w:val="bottom"/>
          </w:tcPr>
          <w:p>
            <w:pPr>
              <w:spacing w:after="0"/>
              <w:rPr>
                <w:sz w:val="14"/>
                <w:szCs w:val="14"/>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61,556</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50,561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280" w:type="dxa"/>
            <w:vAlign w:val="bottom"/>
          </w:tcPr>
          <w:p>
            <w:pPr>
              <w:spacing w:after="0"/>
              <w:rPr>
                <w:sz w:val="20"/>
                <w:szCs w:val="20"/>
                <w:color w:val="auto"/>
              </w:rPr>
            </w:pPr>
            <w:r>
              <w:rPr>
                <w:rFonts w:ascii="Arial" w:cs="Arial" w:eastAsia="Arial" w:hAnsi="Arial"/>
                <w:sz w:val="14"/>
                <w:szCs w:val="14"/>
                <w:color w:val="auto"/>
              </w:rPr>
              <w:t>Earnings per common share - Basic</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0.85</w:t>
            </w:r>
          </w:p>
        </w:tc>
        <w:tc>
          <w:tcPr>
            <w:tcW w:w="140" w:type="dxa"/>
            <w:vAlign w:val="bottom"/>
          </w:tcPr>
          <w:p>
            <w:pPr>
              <w:spacing w:after="0"/>
              <w:rPr>
                <w:sz w:val="24"/>
                <w:szCs w:val="24"/>
                <w:color w:val="auto"/>
              </w:rPr>
            </w:pP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0.63</w:t>
            </w:r>
          </w:p>
        </w:tc>
        <w:tc>
          <w:tcPr>
            <w:tcW w:w="320" w:type="dxa"/>
            <w:vAlign w:val="bottom"/>
          </w:tcPr>
          <w:p>
            <w:pPr>
              <w:spacing w:after="0"/>
              <w:rPr>
                <w:sz w:val="24"/>
                <w:szCs w:val="24"/>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4"/>
                <w:szCs w:val="14"/>
                <w:color w:val="auto"/>
              </w:rPr>
              <w:t>Earnings per common share - Diluted</w:t>
            </w: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80" w:type="dxa"/>
            <w:vAlign w:val="bottom"/>
            <w:vMerge w:val="continue"/>
          </w:tcPr>
          <w:p>
            <w:pPr>
              <w:spacing w:after="0"/>
              <w:rPr>
                <w:sz w:val="13"/>
                <w:szCs w:val="13"/>
                <w:color w:val="auto"/>
              </w:rPr>
            </w:pPr>
          </w:p>
        </w:tc>
        <w:tc>
          <w:tcPr>
            <w:tcW w:w="380" w:type="dxa"/>
            <w:vAlign w:val="bottom"/>
            <w:tcBorders>
              <w:top w:val="single" w:sz="8" w:color="auto"/>
              <w:bottom w:val="single" w:sz="8" w:color="auto"/>
            </w:tcBorders>
          </w:tcPr>
          <w:p>
            <w:pPr>
              <w:jc w:val="right"/>
              <w:ind w:right="128"/>
              <w:spacing w:after="0" w:line="156"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0.84</w:t>
            </w:r>
          </w:p>
        </w:tc>
        <w:tc>
          <w:tcPr>
            <w:tcW w:w="14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128"/>
              <w:spacing w:after="0" w:line="156"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108"/>
              <w:spacing w:after="0" w:line="156" w:lineRule="exact"/>
              <w:rPr>
                <w:sz w:val="20"/>
                <w:szCs w:val="20"/>
                <w:color w:val="auto"/>
              </w:rPr>
            </w:pPr>
            <w:r>
              <w:rPr>
                <w:rFonts w:ascii="Arial" w:cs="Arial" w:eastAsia="Arial" w:hAnsi="Arial"/>
                <w:sz w:val="14"/>
                <w:szCs w:val="14"/>
                <w:color w:val="auto"/>
              </w:rPr>
              <w:t>0.61</w:t>
            </w:r>
          </w:p>
        </w:tc>
        <w:tc>
          <w:tcPr>
            <w:tcW w:w="32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28"/>
              <w:spacing w:after="0" w:line="156"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1.50</w:t>
            </w:r>
          </w:p>
        </w:tc>
        <w:tc>
          <w:tcPr>
            <w:tcW w:w="12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28"/>
              <w:spacing w:after="0" w:line="156"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280" w:type="dxa"/>
            <w:vAlign w:val="bottom"/>
          </w:tcPr>
          <w:p>
            <w:pPr>
              <w:spacing w:after="0"/>
              <w:rPr>
                <w:sz w:val="20"/>
                <w:szCs w:val="20"/>
                <w:color w:val="auto"/>
              </w:rPr>
            </w:pPr>
            <w:r>
              <w:rPr>
                <w:rFonts w:ascii="Arial" w:cs="Arial" w:eastAsia="Arial" w:hAnsi="Arial"/>
                <w:sz w:val="14"/>
                <w:szCs w:val="14"/>
                <w:color w:val="auto"/>
              </w:rPr>
              <w:t>Weighted average common shares outstanding - Basic</w:t>
            </w:r>
          </w:p>
        </w:tc>
        <w:tc>
          <w:tcPr>
            <w:tcW w:w="38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40,670</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40,329</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40,608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40,261</w:t>
            </w:r>
          </w:p>
        </w:tc>
        <w:tc>
          <w:tcPr>
            <w:tcW w:w="0" w:type="dxa"/>
            <w:vAlign w:val="bottom"/>
          </w:tcPr>
          <w:p>
            <w:pPr>
              <w:spacing w:after="0"/>
              <w:rPr>
                <w:sz w:val="1"/>
                <w:szCs w:val="1"/>
                <w:color w:val="auto"/>
              </w:rPr>
            </w:pPr>
          </w:p>
        </w:tc>
      </w:tr>
      <w:tr>
        <w:trPr>
          <w:trHeight w:val="182"/>
        </w:trPr>
        <w:tc>
          <w:tcPr>
            <w:tcW w:w="5280" w:type="dxa"/>
            <w:vAlign w:val="bottom"/>
          </w:tcPr>
          <w:p>
            <w:pPr>
              <w:spacing w:after="0"/>
              <w:rPr>
                <w:sz w:val="20"/>
                <w:szCs w:val="20"/>
                <w:color w:val="auto"/>
              </w:rPr>
            </w:pPr>
            <w:r>
              <w:rPr>
                <w:rFonts w:ascii="Arial" w:cs="Arial" w:eastAsia="Arial" w:hAnsi="Arial"/>
                <w:sz w:val="14"/>
                <w:szCs w:val="14"/>
                <w:color w:val="auto"/>
              </w:rPr>
              <w:t>Weighted average common shares outstanding - Diluted</w:t>
            </w:r>
          </w:p>
        </w:tc>
        <w:tc>
          <w:tcPr>
            <w:tcW w:w="38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41,077</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41,161</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41,059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41,011</w:t>
            </w:r>
          </w:p>
        </w:tc>
        <w:tc>
          <w:tcPr>
            <w:tcW w:w="0" w:type="dxa"/>
            <w:vAlign w:val="bottom"/>
          </w:tcPr>
          <w:p>
            <w:pPr>
              <w:spacing w:after="0"/>
              <w:rPr>
                <w:sz w:val="1"/>
                <w:szCs w:val="1"/>
                <w:color w:val="auto"/>
              </w:rPr>
            </w:pPr>
          </w:p>
        </w:tc>
      </w:tr>
      <w:tr>
        <w:trPr>
          <w:trHeight w:val="309"/>
        </w:trPr>
        <w:tc>
          <w:tcPr>
            <w:tcW w:w="5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28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SEGMENT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20" w:type="dxa"/>
            <w:vAlign w:val="bottom"/>
          </w:tcPr>
          <w:p>
            <w:pPr>
              <w:spacing w:after="0"/>
              <w:rPr>
                <w:sz w:val="20"/>
                <w:szCs w:val="20"/>
                <w:color w:val="auto"/>
              </w:rPr>
            </w:pPr>
            <w:r>
              <w:rPr>
                <w:rFonts w:ascii="Arial" w:cs="Arial" w:eastAsia="Arial" w:hAnsi="Arial"/>
                <w:sz w:val="14"/>
                <w:szCs w:val="14"/>
                <w:color w:val="auto"/>
              </w:rPr>
              <w:t>(Unaudited, in thousands)</w:t>
            </w:r>
          </w:p>
        </w:tc>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4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w w:val="98"/>
              </w:rPr>
              <w:t>Three Months Ended June 30,</w:t>
            </w: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64"/>
        </w:trPr>
        <w:tc>
          <w:tcPr>
            <w:tcW w:w="432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140"/>
              <w:spacing w:after="0"/>
              <w:rPr>
                <w:sz w:val="20"/>
                <w:szCs w:val="20"/>
                <w:color w:val="auto"/>
              </w:rPr>
            </w:pPr>
            <w:r>
              <w:rPr>
                <w:rFonts w:ascii="Arial" w:cs="Arial" w:eastAsia="Arial" w:hAnsi="Arial"/>
                <w:sz w:val="14"/>
                <w:szCs w:val="14"/>
                <w:color w:val="auto"/>
              </w:rPr>
              <w:t>Itron North America</w:t>
            </w:r>
          </w:p>
        </w:tc>
        <w:tc>
          <w:tcPr>
            <w:tcW w:w="20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288,224</w:t>
            </w:r>
          </w:p>
        </w:tc>
        <w:tc>
          <w:tcPr>
            <w:tcW w:w="4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301,143</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565,206</w:t>
            </w:r>
          </w:p>
        </w:tc>
        <w:tc>
          <w:tcPr>
            <w:tcW w:w="3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542,702</w:t>
            </w:r>
          </w:p>
        </w:tc>
        <w:tc>
          <w:tcPr>
            <w:tcW w:w="0" w:type="dxa"/>
            <w:vAlign w:val="bottom"/>
          </w:tcPr>
          <w:p>
            <w:pPr>
              <w:spacing w:after="0"/>
              <w:rPr>
                <w:sz w:val="1"/>
                <w:szCs w:val="1"/>
                <w:color w:val="auto"/>
              </w:rPr>
            </w:pPr>
          </w:p>
        </w:tc>
      </w:tr>
      <w:tr>
        <w:trPr>
          <w:trHeight w:val="181"/>
        </w:trPr>
        <w:tc>
          <w:tcPr>
            <w:tcW w:w="4320" w:type="dxa"/>
            <w:vAlign w:val="bottom"/>
          </w:tcPr>
          <w:p>
            <w:pPr>
              <w:ind w:left="140"/>
              <w:spacing w:after="0"/>
              <w:rPr>
                <w:sz w:val="20"/>
                <w:szCs w:val="20"/>
                <w:color w:val="auto"/>
              </w:rPr>
            </w:pPr>
            <w:r>
              <w:rPr>
                <w:rFonts w:ascii="Arial" w:cs="Arial" w:eastAsia="Arial" w:hAnsi="Arial"/>
                <w:sz w:val="14"/>
                <w:szCs w:val="14"/>
                <w:color w:val="auto"/>
              </w:rPr>
              <w:t>Itron International</w:t>
            </w:r>
          </w:p>
        </w:tc>
        <w:tc>
          <w:tcPr>
            <w:tcW w:w="1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324,177</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266,196</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610,886</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522,260</w:t>
            </w:r>
          </w:p>
        </w:tc>
        <w:tc>
          <w:tcPr>
            <w:tcW w:w="0" w:type="dxa"/>
            <w:vAlign w:val="bottom"/>
          </w:tcPr>
          <w:p>
            <w:pPr>
              <w:spacing w:after="0"/>
              <w:rPr>
                <w:sz w:val="1"/>
                <w:szCs w:val="1"/>
                <w:color w:val="auto"/>
              </w:rPr>
            </w:pPr>
          </w:p>
        </w:tc>
      </w:tr>
      <w:tr>
        <w:trPr>
          <w:trHeight w:val="169"/>
        </w:trPr>
        <w:tc>
          <w:tcPr>
            <w:tcW w:w="432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1720" w:type="dxa"/>
            <w:vAlign w:val="bottom"/>
          </w:tcPr>
          <w:p>
            <w:pPr>
              <w:spacing w:after="0"/>
              <w:rPr>
                <w:sz w:val="14"/>
                <w:szCs w:val="14"/>
                <w:color w:val="auto"/>
              </w:rPr>
            </w:pP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612,401</w:t>
            </w:r>
          </w:p>
        </w:tc>
        <w:tc>
          <w:tcPr>
            <w:tcW w:w="140" w:type="dxa"/>
            <w:vAlign w:val="bottom"/>
          </w:tcPr>
          <w:p>
            <w:pPr>
              <w:spacing w:after="0"/>
              <w:rPr>
                <w:sz w:val="14"/>
                <w:szCs w:val="14"/>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567,339</w:t>
            </w:r>
          </w:p>
        </w:tc>
        <w:tc>
          <w:tcPr>
            <w:tcW w:w="18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1,176,092</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1,064,962</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Gross profit</w:t>
            </w:r>
          </w:p>
        </w:tc>
        <w:tc>
          <w:tcPr>
            <w:tcW w:w="1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32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140"/>
              <w:spacing w:after="0"/>
              <w:rPr>
                <w:sz w:val="20"/>
                <w:szCs w:val="20"/>
                <w:color w:val="auto"/>
              </w:rPr>
            </w:pPr>
            <w:r>
              <w:rPr>
                <w:rFonts w:ascii="Arial" w:cs="Arial" w:eastAsia="Arial" w:hAnsi="Arial"/>
                <w:sz w:val="14"/>
                <w:szCs w:val="14"/>
                <w:color w:val="auto"/>
              </w:rPr>
              <w:t>Itron North America</w:t>
            </w:r>
          </w:p>
        </w:tc>
        <w:tc>
          <w:tcPr>
            <w:tcW w:w="20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96,958</w:t>
            </w:r>
          </w:p>
        </w:tc>
        <w:tc>
          <w:tcPr>
            <w:tcW w:w="4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100,972</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191,680</w:t>
            </w:r>
          </w:p>
        </w:tc>
        <w:tc>
          <w:tcPr>
            <w:tcW w:w="3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179,131</w:t>
            </w:r>
          </w:p>
        </w:tc>
        <w:tc>
          <w:tcPr>
            <w:tcW w:w="0" w:type="dxa"/>
            <w:vAlign w:val="bottom"/>
          </w:tcPr>
          <w:p>
            <w:pPr>
              <w:spacing w:after="0"/>
              <w:rPr>
                <w:sz w:val="1"/>
                <w:szCs w:val="1"/>
                <w:color w:val="auto"/>
              </w:rPr>
            </w:pPr>
          </w:p>
        </w:tc>
      </w:tr>
      <w:tr>
        <w:trPr>
          <w:trHeight w:val="181"/>
        </w:trPr>
        <w:tc>
          <w:tcPr>
            <w:tcW w:w="4320" w:type="dxa"/>
            <w:vAlign w:val="bottom"/>
          </w:tcPr>
          <w:p>
            <w:pPr>
              <w:ind w:left="140"/>
              <w:spacing w:after="0"/>
              <w:rPr>
                <w:sz w:val="20"/>
                <w:szCs w:val="20"/>
                <w:color w:val="auto"/>
              </w:rPr>
            </w:pPr>
            <w:r>
              <w:rPr>
                <w:rFonts w:ascii="Arial" w:cs="Arial" w:eastAsia="Arial" w:hAnsi="Arial"/>
                <w:sz w:val="14"/>
                <w:szCs w:val="14"/>
                <w:color w:val="auto"/>
              </w:rPr>
              <w:t>Itron International</w:t>
            </w:r>
          </w:p>
        </w:tc>
        <w:tc>
          <w:tcPr>
            <w:tcW w:w="1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94,125</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73,084</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183,513</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151,989</w:t>
            </w:r>
          </w:p>
        </w:tc>
        <w:tc>
          <w:tcPr>
            <w:tcW w:w="0" w:type="dxa"/>
            <w:vAlign w:val="bottom"/>
          </w:tcPr>
          <w:p>
            <w:pPr>
              <w:spacing w:after="0"/>
              <w:rPr>
                <w:sz w:val="1"/>
                <w:szCs w:val="1"/>
                <w:color w:val="auto"/>
              </w:rPr>
            </w:pPr>
          </w:p>
        </w:tc>
      </w:tr>
      <w:tr>
        <w:trPr>
          <w:trHeight w:val="169"/>
        </w:trPr>
        <w:tc>
          <w:tcPr>
            <w:tcW w:w="432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1720" w:type="dxa"/>
            <w:vAlign w:val="bottom"/>
          </w:tcPr>
          <w:p>
            <w:pPr>
              <w:spacing w:after="0"/>
              <w:rPr>
                <w:sz w:val="14"/>
                <w:szCs w:val="14"/>
                <w:color w:val="auto"/>
              </w:rPr>
            </w:pP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191,083</w:t>
            </w:r>
          </w:p>
        </w:tc>
        <w:tc>
          <w:tcPr>
            <w:tcW w:w="140" w:type="dxa"/>
            <w:vAlign w:val="bottom"/>
          </w:tcPr>
          <w:p>
            <w:pPr>
              <w:spacing w:after="0"/>
              <w:rPr>
                <w:sz w:val="14"/>
                <w:szCs w:val="14"/>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174,056</w:t>
            </w:r>
          </w:p>
        </w:tc>
        <w:tc>
          <w:tcPr>
            <w:tcW w:w="18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375,193</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331,120</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1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32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140"/>
              <w:spacing w:after="0"/>
              <w:rPr>
                <w:sz w:val="20"/>
                <w:szCs w:val="20"/>
                <w:color w:val="auto"/>
              </w:rPr>
            </w:pPr>
            <w:r>
              <w:rPr>
                <w:rFonts w:ascii="Arial" w:cs="Arial" w:eastAsia="Arial" w:hAnsi="Arial"/>
                <w:sz w:val="14"/>
                <w:szCs w:val="14"/>
                <w:color w:val="auto"/>
              </w:rPr>
              <w:t>Itron North America</w:t>
            </w:r>
          </w:p>
        </w:tc>
        <w:tc>
          <w:tcPr>
            <w:tcW w:w="20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42,739</w:t>
            </w:r>
          </w:p>
        </w:tc>
        <w:tc>
          <w:tcPr>
            <w:tcW w:w="4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55,384</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86,532</w:t>
            </w:r>
          </w:p>
        </w:tc>
        <w:tc>
          <w:tcPr>
            <w:tcW w:w="3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87,420</w:t>
            </w:r>
          </w:p>
        </w:tc>
        <w:tc>
          <w:tcPr>
            <w:tcW w:w="0" w:type="dxa"/>
            <w:vAlign w:val="bottom"/>
          </w:tcPr>
          <w:p>
            <w:pPr>
              <w:spacing w:after="0"/>
              <w:rPr>
                <w:sz w:val="1"/>
                <w:szCs w:val="1"/>
                <w:color w:val="auto"/>
              </w:rPr>
            </w:pPr>
          </w:p>
        </w:tc>
      </w:tr>
      <w:tr>
        <w:trPr>
          <w:trHeight w:val="176"/>
        </w:trPr>
        <w:tc>
          <w:tcPr>
            <w:tcW w:w="4320" w:type="dxa"/>
            <w:vAlign w:val="bottom"/>
          </w:tcPr>
          <w:p>
            <w:pPr>
              <w:ind w:left="140"/>
              <w:spacing w:after="0"/>
              <w:rPr>
                <w:sz w:val="20"/>
                <w:szCs w:val="20"/>
                <w:color w:val="auto"/>
              </w:rPr>
            </w:pPr>
            <w:r>
              <w:rPr>
                <w:rFonts w:ascii="Arial" w:cs="Arial" w:eastAsia="Arial" w:hAnsi="Arial"/>
                <w:sz w:val="14"/>
                <w:szCs w:val="14"/>
                <w:color w:val="auto"/>
              </w:rPr>
              <w:t>Itron International</w:t>
            </w:r>
          </w:p>
        </w:tc>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16,483</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5,017</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32,711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15,454</w:t>
            </w:r>
          </w:p>
        </w:tc>
        <w:tc>
          <w:tcPr>
            <w:tcW w:w="0" w:type="dxa"/>
            <w:vAlign w:val="bottom"/>
          </w:tcPr>
          <w:p>
            <w:pPr>
              <w:spacing w:after="0"/>
              <w:rPr>
                <w:sz w:val="1"/>
                <w:szCs w:val="1"/>
                <w:color w:val="auto"/>
              </w:rPr>
            </w:pPr>
          </w:p>
        </w:tc>
      </w:tr>
      <w:tr>
        <w:trPr>
          <w:trHeight w:val="181"/>
        </w:trPr>
        <w:tc>
          <w:tcPr>
            <w:tcW w:w="4320" w:type="dxa"/>
            <w:vAlign w:val="bottom"/>
          </w:tcPr>
          <w:p>
            <w:pPr>
              <w:ind w:left="140"/>
              <w:spacing w:after="0"/>
              <w:rPr>
                <w:sz w:val="20"/>
                <w:szCs w:val="20"/>
                <w:color w:val="auto"/>
              </w:rPr>
            </w:pPr>
            <w:r>
              <w:rPr>
                <w:rFonts w:ascii="Arial" w:cs="Arial" w:eastAsia="Arial" w:hAnsi="Arial"/>
                <w:sz w:val="14"/>
                <w:szCs w:val="14"/>
                <w:color w:val="auto"/>
              </w:rPr>
              <w:t>Corporate unallocated</w:t>
            </w:r>
          </w:p>
        </w:tc>
        <w:tc>
          <w:tcPr>
            <w:tcW w:w="1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(11,137)</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(10,392)</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(21,069)</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(21,246)</w:t>
            </w:r>
          </w:p>
        </w:tc>
        <w:tc>
          <w:tcPr>
            <w:tcW w:w="0" w:type="dxa"/>
            <w:vAlign w:val="bottom"/>
          </w:tcPr>
          <w:p>
            <w:pPr>
              <w:spacing w:after="0"/>
              <w:rPr>
                <w:sz w:val="1"/>
                <w:szCs w:val="1"/>
                <w:color w:val="auto"/>
              </w:rPr>
            </w:pPr>
          </w:p>
        </w:tc>
      </w:tr>
      <w:tr>
        <w:trPr>
          <w:trHeight w:val="169"/>
        </w:trPr>
        <w:tc>
          <w:tcPr>
            <w:tcW w:w="432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1720" w:type="dxa"/>
            <w:vAlign w:val="bottom"/>
          </w:tcPr>
          <w:p>
            <w:pPr>
              <w:spacing w:after="0"/>
              <w:rPr>
                <w:sz w:val="14"/>
                <w:szCs w:val="14"/>
                <w:color w:val="auto"/>
              </w:rPr>
            </w:pP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48,085</w:t>
            </w:r>
          </w:p>
        </w:tc>
        <w:tc>
          <w:tcPr>
            <w:tcW w:w="140" w:type="dxa"/>
            <w:vAlign w:val="bottom"/>
          </w:tcPr>
          <w:p>
            <w:pPr>
              <w:spacing w:after="0"/>
              <w:rPr>
                <w:sz w:val="14"/>
                <w:szCs w:val="14"/>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50,009</w:t>
            </w:r>
          </w:p>
        </w:tc>
        <w:tc>
          <w:tcPr>
            <w:tcW w:w="18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98,174</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81,628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4320" w:type="dxa"/>
            <w:vAlign w:val="bottom"/>
            <w:vMerge w:val="restart"/>
          </w:tcPr>
          <w:p>
            <w:pPr>
              <w:spacing w:after="0"/>
              <w:rPr>
                <w:sz w:val="20"/>
                <w:szCs w:val="20"/>
                <w:color w:val="auto"/>
              </w:rPr>
            </w:pPr>
            <w:r>
              <w:rPr>
                <w:rFonts w:ascii="Arial" w:cs="Arial" w:eastAsia="Arial" w:hAnsi="Arial"/>
                <w:sz w:val="14"/>
                <w:szCs w:val="14"/>
                <w:color w:val="auto"/>
              </w:rPr>
              <w:t>(Units in thousands)</w:t>
            </w:r>
          </w:p>
        </w:tc>
        <w:tc>
          <w:tcPr>
            <w:tcW w:w="296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METER AND MODULE SUMMARY</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32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4"/>
            <w:vMerge w:val="restart"/>
          </w:tcPr>
          <w:p>
            <w:pPr>
              <w:jc w:val="right"/>
              <w:ind w:right="348"/>
              <w:spacing w:after="0"/>
              <w:rPr>
                <w:sz w:val="20"/>
                <w:szCs w:val="20"/>
                <w:color w:val="auto"/>
              </w:rPr>
            </w:pPr>
            <w:r>
              <w:rPr>
                <w:rFonts w:ascii="Arial" w:cs="Arial" w:eastAsia="Arial" w:hAnsi="Arial"/>
                <w:sz w:val="14"/>
                <w:szCs w:val="14"/>
                <w:b w:val="1"/>
                <w:bCs w:val="1"/>
                <w:color w:val="auto"/>
                <w:w w:val="99"/>
              </w:rPr>
              <w:t>Three Months Ended June 30,</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40" w:type="dxa"/>
            <w:vAlign w:val="bottom"/>
            <w:gridSpan w:val="4"/>
            <w:vMerge w:val="restart"/>
          </w:tcPr>
          <w:p>
            <w:pPr>
              <w:jc w:val="right"/>
              <w:ind w:right="3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4"/>
        </w:trPr>
        <w:tc>
          <w:tcPr>
            <w:tcW w:w="4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64"/>
        </w:trPr>
        <w:tc>
          <w:tcPr>
            <w:tcW w:w="4320" w:type="dxa"/>
            <w:vAlign w:val="bottom"/>
          </w:tcPr>
          <w:p>
            <w:pPr>
              <w:spacing w:after="0"/>
              <w:rPr>
                <w:sz w:val="20"/>
                <w:szCs w:val="20"/>
                <w:color w:val="auto"/>
              </w:rPr>
            </w:pPr>
            <w:r>
              <w:rPr>
                <w:rFonts w:ascii="Arial" w:cs="Arial" w:eastAsia="Arial" w:hAnsi="Arial"/>
                <w:sz w:val="14"/>
                <w:szCs w:val="14"/>
                <w:color w:val="auto"/>
              </w:rPr>
              <w:t>Total meters (standard, advanced, and smart)</w:t>
            </w: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140"/>
              <w:spacing w:after="0"/>
              <w:rPr>
                <w:sz w:val="20"/>
                <w:szCs w:val="20"/>
                <w:color w:val="auto"/>
              </w:rPr>
            </w:pPr>
            <w:r>
              <w:rPr>
                <w:rFonts w:ascii="Arial" w:cs="Arial" w:eastAsia="Arial" w:hAnsi="Arial"/>
                <w:sz w:val="14"/>
                <w:szCs w:val="14"/>
                <w:color w:val="auto"/>
              </w:rPr>
              <w:t>Itron North America</w:t>
            </w:r>
          </w:p>
        </w:tc>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420"/>
              <w:spacing w:after="0"/>
              <w:rPr>
                <w:sz w:val="20"/>
                <w:szCs w:val="20"/>
                <w:color w:val="auto"/>
              </w:rPr>
            </w:pPr>
            <w:r>
              <w:rPr>
                <w:rFonts w:ascii="Arial" w:cs="Arial" w:eastAsia="Arial" w:hAnsi="Arial"/>
                <w:sz w:val="14"/>
                <w:szCs w:val="14"/>
                <w:color w:val="auto"/>
              </w:rPr>
              <w:t>Electricity</w:t>
            </w:r>
          </w:p>
        </w:tc>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1,570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1,740</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3,090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3,190</w:t>
            </w:r>
          </w:p>
        </w:tc>
        <w:tc>
          <w:tcPr>
            <w:tcW w:w="0" w:type="dxa"/>
            <w:vAlign w:val="bottom"/>
          </w:tcPr>
          <w:p>
            <w:pPr>
              <w:spacing w:after="0"/>
              <w:rPr>
                <w:sz w:val="1"/>
                <w:szCs w:val="1"/>
                <w:color w:val="auto"/>
              </w:rPr>
            </w:pPr>
          </w:p>
        </w:tc>
      </w:tr>
      <w:tr>
        <w:trPr>
          <w:trHeight w:val="176"/>
        </w:trPr>
        <w:tc>
          <w:tcPr>
            <w:tcW w:w="4320" w:type="dxa"/>
            <w:vAlign w:val="bottom"/>
          </w:tcPr>
          <w:p>
            <w:pPr>
              <w:ind w:left="420"/>
              <w:spacing w:after="0"/>
              <w:rPr>
                <w:sz w:val="20"/>
                <w:szCs w:val="20"/>
                <w:color w:val="auto"/>
              </w:rPr>
            </w:pPr>
            <w:r>
              <w:rPr>
                <w:rFonts w:ascii="Arial" w:cs="Arial" w:eastAsia="Arial" w:hAnsi="Arial"/>
                <w:sz w:val="14"/>
                <w:szCs w:val="14"/>
                <w:color w:val="auto"/>
              </w:rPr>
              <w:t>Gas</w:t>
            </w:r>
          </w:p>
        </w:tc>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160</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76"/>
        </w:trPr>
        <w:tc>
          <w:tcPr>
            <w:tcW w:w="4320" w:type="dxa"/>
            <w:vAlign w:val="bottom"/>
          </w:tcPr>
          <w:p>
            <w:pPr>
              <w:ind w:left="140"/>
              <w:spacing w:after="0"/>
              <w:rPr>
                <w:sz w:val="20"/>
                <w:szCs w:val="20"/>
                <w:color w:val="auto"/>
              </w:rPr>
            </w:pPr>
            <w:r>
              <w:rPr>
                <w:rFonts w:ascii="Arial" w:cs="Arial" w:eastAsia="Arial" w:hAnsi="Arial"/>
                <w:sz w:val="14"/>
                <w:szCs w:val="14"/>
                <w:color w:val="auto"/>
              </w:rPr>
              <w:t>Itron International</w:t>
            </w:r>
          </w:p>
        </w:tc>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420"/>
              <w:spacing w:after="0"/>
              <w:rPr>
                <w:sz w:val="20"/>
                <w:szCs w:val="20"/>
                <w:color w:val="auto"/>
              </w:rPr>
            </w:pPr>
            <w:r>
              <w:rPr>
                <w:rFonts w:ascii="Arial" w:cs="Arial" w:eastAsia="Arial" w:hAnsi="Arial"/>
                <w:sz w:val="14"/>
                <w:szCs w:val="14"/>
                <w:color w:val="auto"/>
              </w:rPr>
              <w:t>Electricity</w:t>
            </w:r>
          </w:p>
        </w:tc>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1,870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1,930</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3,490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3,570</w:t>
            </w:r>
          </w:p>
        </w:tc>
        <w:tc>
          <w:tcPr>
            <w:tcW w:w="0" w:type="dxa"/>
            <w:vAlign w:val="bottom"/>
          </w:tcPr>
          <w:p>
            <w:pPr>
              <w:spacing w:after="0"/>
              <w:rPr>
                <w:sz w:val="1"/>
                <w:szCs w:val="1"/>
                <w:color w:val="auto"/>
              </w:rPr>
            </w:pPr>
          </w:p>
        </w:tc>
      </w:tr>
      <w:tr>
        <w:trPr>
          <w:trHeight w:val="176"/>
        </w:trPr>
        <w:tc>
          <w:tcPr>
            <w:tcW w:w="4320" w:type="dxa"/>
            <w:vAlign w:val="bottom"/>
          </w:tcPr>
          <w:p>
            <w:pPr>
              <w:ind w:left="420"/>
              <w:spacing w:after="0"/>
              <w:rPr>
                <w:sz w:val="20"/>
                <w:szCs w:val="20"/>
                <w:color w:val="auto"/>
              </w:rPr>
            </w:pPr>
            <w:r>
              <w:rPr>
                <w:rFonts w:ascii="Arial" w:cs="Arial" w:eastAsia="Arial" w:hAnsi="Arial"/>
                <w:sz w:val="14"/>
                <w:szCs w:val="14"/>
                <w:color w:val="auto"/>
              </w:rPr>
              <w:t>Gas</w:t>
            </w:r>
          </w:p>
        </w:tc>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1,110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1,020</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2,050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81"/>
        </w:trPr>
        <w:tc>
          <w:tcPr>
            <w:tcW w:w="4320" w:type="dxa"/>
            <w:vAlign w:val="bottom"/>
          </w:tcPr>
          <w:p>
            <w:pPr>
              <w:ind w:left="420"/>
              <w:spacing w:after="0"/>
              <w:rPr>
                <w:sz w:val="20"/>
                <w:szCs w:val="20"/>
                <w:color w:val="auto"/>
              </w:rPr>
            </w:pPr>
            <w:r>
              <w:rPr>
                <w:rFonts w:ascii="Arial" w:cs="Arial" w:eastAsia="Arial" w:hAnsi="Arial"/>
                <w:sz w:val="14"/>
                <w:szCs w:val="14"/>
                <w:color w:val="auto"/>
              </w:rPr>
              <w:t>Water</w:t>
            </w:r>
          </w:p>
        </w:tc>
        <w:tc>
          <w:tcPr>
            <w:tcW w:w="1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2,420</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2,380</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4,960</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4,670</w:t>
            </w:r>
          </w:p>
        </w:tc>
        <w:tc>
          <w:tcPr>
            <w:tcW w:w="0" w:type="dxa"/>
            <w:vAlign w:val="bottom"/>
          </w:tcPr>
          <w:p>
            <w:pPr>
              <w:spacing w:after="0"/>
              <w:rPr>
                <w:sz w:val="1"/>
                <w:szCs w:val="1"/>
                <w:color w:val="auto"/>
              </w:rPr>
            </w:pPr>
          </w:p>
        </w:tc>
      </w:tr>
      <w:tr>
        <w:trPr>
          <w:trHeight w:val="169"/>
        </w:trPr>
        <w:tc>
          <w:tcPr>
            <w:tcW w:w="4320" w:type="dxa"/>
            <w:vAlign w:val="bottom"/>
          </w:tcPr>
          <w:p>
            <w:pPr>
              <w:ind w:left="140"/>
              <w:spacing w:after="0"/>
              <w:rPr>
                <w:sz w:val="20"/>
                <w:szCs w:val="20"/>
                <w:color w:val="auto"/>
              </w:rPr>
            </w:pPr>
            <w:r>
              <w:rPr>
                <w:rFonts w:ascii="Arial" w:cs="Arial" w:eastAsia="Arial" w:hAnsi="Arial"/>
                <w:sz w:val="14"/>
                <w:szCs w:val="14"/>
                <w:color w:val="auto"/>
              </w:rPr>
              <w:t>Total meters</w:t>
            </w:r>
          </w:p>
        </w:tc>
        <w:tc>
          <w:tcPr>
            <w:tcW w:w="1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7,110</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7,230</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13,870</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13,690</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4"/>
                <w:szCs w:val="14"/>
                <w:color w:val="auto"/>
              </w:rPr>
              <w:t>Additional meter information (Total Company)</w:t>
            </w:r>
          </w:p>
        </w:tc>
        <w:tc>
          <w:tcPr>
            <w:tcW w:w="1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32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420"/>
              <w:spacing w:after="0"/>
              <w:rPr>
                <w:sz w:val="20"/>
                <w:szCs w:val="20"/>
                <w:color w:val="auto"/>
              </w:rPr>
            </w:pPr>
            <w:r>
              <w:rPr>
                <w:rFonts w:ascii="Arial" w:cs="Arial" w:eastAsia="Arial" w:hAnsi="Arial"/>
                <w:sz w:val="14"/>
                <w:szCs w:val="14"/>
                <w:color w:val="auto"/>
              </w:rPr>
              <w:t>Advanced meters</w:t>
            </w:r>
          </w:p>
        </w:tc>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1,130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1,050</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1,720</w:t>
            </w:r>
          </w:p>
        </w:tc>
        <w:tc>
          <w:tcPr>
            <w:tcW w:w="0" w:type="dxa"/>
            <w:vAlign w:val="bottom"/>
          </w:tcPr>
          <w:p>
            <w:pPr>
              <w:spacing w:after="0"/>
              <w:rPr>
                <w:sz w:val="1"/>
                <w:szCs w:val="1"/>
                <w:color w:val="auto"/>
              </w:rPr>
            </w:pPr>
          </w:p>
        </w:tc>
      </w:tr>
      <w:tr>
        <w:trPr>
          <w:trHeight w:val="176"/>
        </w:trPr>
        <w:tc>
          <w:tcPr>
            <w:tcW w:w="4320" w:type="dxa"/>
            <w:vAlign w:val="bottom"/>
          </w:tcPr>
          <w:p>
            <w:pPr>
              <w:ind w:left="420"/>
              <w:spacing w:after="0"/>
              <w:rPr>
                <w:sz w:val="20"/>
                <w:szCs w:val="20"/>
                <w:color w:val="auto"/>
              </w:rPr>
            </w:pPr>
            <w:r>
              <w:rPr>
                <w:rFonts w:ascii="Arial" w:cs="Arial" w:eastAsia="Arial" w:hAnsi="Arial"/>
                <w:sz w:val="14"/>
                <w:szCs w:val="14"/>
                <w:color w:val="auto"/>
              </w:rPr>
              <w:t>Smart meters</w:t>
            </w:r>
          </w:p>
        </w:tc>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910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1,050</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1,860</w:t>
            </w:r>
          </w:p>
        </w:tc>
        <w:tc>
          <w:tcPr>
            <w:tcW w:w="0" w:type="dxa"/>
            <w:vAlign w:val="bottom"/>
          </w:tcPr>
          <w:p>
            <w:pPr>
              <w:spacing w:after="0"/>
              <w:rPr>
                <w:sz w:val="1"/>
                <w:szCs w:val="1"/>
                <w:color w:val="auto"/>
              </w:rPr>
            </w:pPr>
          </w:p>
        </w:tc>
      </w:tr>
      <w:tr>
        <w:trPr>
          <w:trHeight w:val="181"/>
        </w:trPr>
        <w:tc>
          <w:tcPr>
            <w:tcW w:w="4320" w:type="dxa"/>
            <w:vAlign w:val="bottom"/>
          </w:tcPr>
          <w:p>
            <w:pPr>
              <w:spacing w:after="0"/>
              <w:rPr>
                <w:sz w:val="20"/>
                <w:szCs w:val="20"/>
                <w:color w:val="auto"/>
              </w:rPr>
            </w:pPr>
            <w:r>
              <w:rPr>
                <w:rFonts w:ascii="Arial" w:cs="Arial" w:eastAsia="Arial" w:hAnsi="Arial"/>
                <w:sz w:val="14"/>
                <w:szCs w:val="14"/>
                <w:color w:val="auto"/>
              </w:rPr>
              <w:t>Standalone advanced and smart communication modules</w:t>
            </w:r>
          </w:p>
        </w:tc>
        <w:tc>
          <w:tcPr>
            <w:tcW w:w="1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1,850</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1,600</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3,280</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2,790</w:t>
            </w:r>
          </w:p>
        </w:tc>
        <w:tc>
          <w:tcPr>
            <w:tcW w:w="0" w:type="dxa"/>
            <w:vAlign w:val="bottom"/>
          </w:tcPr>
          <w:p>
            <w:pPr>
              <w:spacing w:after="0"/>
              <w:rPr>
                <w:sz w:val="1"/>
                <w:szCs w:val="1"/>
                <w:color w:val="auto"/>
              </w:rPr>
            </w:pPr>
          </w:p>
        </w:tc>
      </w:tr>
      <w:tr>
        <w:trPr>
          <w:trHeight w:val="169"/>
        </w:trPr>
        <w:tc>
          <w:tcPr>
            <w:tcW w:w="4320" w:type="dxa"/>
            <w:vAlign w:val="bottom"/>
          </w:tcPr>
          <w:p>
            <w:pPr>
              <w:ind w:left="680"/>
              <w:spacing w:after="0"/>
              <w:rPr>
                <w:sz w:val="20"/>
                <w:szCs w:val="20"/>
                <w:color w:val="auto"/>
              </w:rPr>
            </w:pPr>
            <w:r>
              <w:rPr>
                <w:rFonts w:ascii="Arial" w:cs="Arial" w:eastAsia="Arial" w:hAnsi="Arial"/>
                <w:sz w:val="14"/>
                <w:szCs w:val="14"/>
                <w:color w:val="auto"/>
              </w:rPr>
              <w:t>Advanced and smart meters and communication modules</w:t>
            </w:r>
          </w:p>
        </w:tc>
        <w:tc>
          <w:tcPr>
            <w:tcW w:w="1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3,890</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3,700</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7,210</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6,370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320" w:type="dxa"/>
            <w:vAlign w:val="bottom"/>
          </w:tcPr>
          <w:p>
            <w:pPr>
              <w:spacing w:after="0"/>
              <w:rPr>
                <w:sz w:val="20"/>
                <w:szCs w:val="20"/>
                <w:color w:val="auto"/>
              </w:rPr>
            </w:pPr>
            <w:r>
              <w:rPr>
                <w:rFonts w:ascii="Arial" w:cs="Arial" w:eastAsia="Arial" w:hAnsi="Arial"/>
                <w:sz w:val="14"/>
                <w:szCs w:val="14"/>
                <w:color w:val="auto"/>
                <w:w w:val="98"/>
              </w:rPr>
              <w:t>Meters with other vendors' advanced or smart communication modules</w:t>
            </w:r>
          </w:p>
        </w:tc>
        <w:tc>
          <w:tcPr>
            <w:tcW w:w="17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w:t>
            </w: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70</w:t>
            </w: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3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320" w:type="dxa"/>
            <w:vAlign w:val="bottom"/>
            <w:tcBorders>
              <w:bottom w:val="single" w:sz="8" w:color="EEEEEE"/>
            </w:tcBorders>
          </w:tcPr>
          <w:p>
            <w:pPr>
              <w:spacing w:after="0" w:line="20" w:lineRule="exact"/>
              <w:rPr>
                <w:sz w:val="1"/>
                <w:szCs w:val="1"/>
                <w:color w:val="auto"/>
              </w:rPr>
            </w:pPr>
          </w:p>
        </w:tc>
        <w:tc>
          <w:tcPr>
            <w:tcW w:w="17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80" w:type="dxa"/>
            <w:vAlign w:val="bottom"/>
          </w:tcPr>
          <w:p>
            <w:pPr>
              <w:spacing w:after="0"/>
              <w:rPr>
                <w:sz w:val="20"/>
                <w:szCs w:val="20"/>
                <w:color w:val="auto"/>
              </w:rPr>
            </w:pPr>
            <w:r>
              <w:rPr>
                <w:rFonts w:ascii="Arial" w:cs="Arial" w:eastAsia="Arial" w:hAnsi="Arial"/>
                <w:sz w:val="14"/>
                <w:szCs w:val="14"/>
                <w:color w:val="auto"/>
              </w:rPr>
              <w:t>(Unaudited, in thousands)</w:t>
            </w:r>
          </w:p>
        </w:tc>
        <w:tc>
          <w:tcPr>
            <w:tcW w:w="320" w:type="dxa"/>
            <w:vAlign w:val="bottom"/>
          </w:tcPr>
          <w:p>
            <w:pPr>
              <w:spacing w:after="0"/>
              <w:rPr>
                <w:sz w:val="15"/>
                <w:szCs w:val="15"/>
                <w:color w:val="auto"/>
              </w:rPr>
            </w:pPr>
          </w:p>
        </w:tc>
        <w:tc>
          <w:tcPr>
            <w:tcW w:w="15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June 30, 2011</w:t>
            </w:r>
          </w:p>
        </w:tc>
        <w:tc>
          <w:tcPr>
            <w:tcW w:w="460" w:type="dxa"/>
            <w:vAlign w:val="bottom"/>
          </w:tcPr>
          <w:p>
            <w:pPr>
              <w:spacing w:after="0"/>
              <w:rPr>
                <w:sz w:val="15"/>
                <w:szCs w:val="15"/>
                <w:color w:val="auto"/>
              </w:rPr>
            </w:pPr>
          </w:p>
        </w:tc>
        <w:tc>
          <w:tcPr>
            <w:tcW w:w="202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74"/>
        </w:trPr>
        <w:tc>
          <w:tcPr>
            <w:tcW w:w="7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080" w:type="dxa"/>
            <w:vAlign w:val="bottom"/>
          </w:tcPr>
          <w:p>
            <w:pPr>
              <w:ind w:left="3200"/>
              <w:spacing w:after="0"/>
              <w:rPr>
                <w:sz w:val="20"/>
                <w:szCs w:val="20"/>
                <w:color w:val="auto"/>
              </w:rPr>
            </w:pPr>
            <w:r>
              <w:rPr>
                <w:rFonts w:ascii="Arial" w:cs="Arial" w:eastAsia="Arial" w:hAnsi="Arial"/>
                <w:sz w:val="14"/>
                <w:szCs w:val="14"/>
                <w:b w:val="1"/>
                <w:bCs w:val="1"/>
                <w:color w:val="auto"/>
              </w:rPr>
              <w:t>ASSETS</w:t>
            </w:r>
          </w:p>
        </w:tc>
        <w:tc>
          <w:tcPr>
            <w:tcW w:w="3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080" w:type="dxa"/>
            <w:vAlign w:val="bottom"/>
          </w:tcPr>
          <w:p>
            <w:pPr>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80" w:type="dxa"/>
            <w:vAlign w:val="bottom"/>
          </w:tcPr>
          <w:p>
            <w:pPr>
              <w:ind w:left="280"/>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168,284</w:t>
            </w:r>
          </w:p>
        </w:tc>
        <w:tc>
          <w:tcPr>
            <w:tcW w:w="120" w:type="dxa"/>
            <w:vAlign w:val="bottom"/>
          </w:tcPr>
          <w:p>
            <w:pPr>
              <w:spacing w:after="0"/>
              <w:rPr>
                <w:sz w:val="15"/>
                <w:szCs w:val="15"/>
                <w:color w:val="auto"/>
              </w:rPr>
            </w:pP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020" w:type="dxa"/>
            <w:vAlign w:val="bottom"/>
          </w:tcPr>
          <w:p>
            <w:pPr>
              <w:jc w:val="right"/>
              <w:ind w:right="188"/>
              <w:spacing w:after="0"/>
              <w:rPr>
                <w:sz w:val="20"/>
                <w:szCs w:val="20"/>
                <w:color w:val="auto"/>
              </w:rPr>
            </w:pPr>
            <w:r>
              <w:rPr>
                <w:rFonts w:ascii="Arial" w:cs="Arial" w:eastAsia="Arial" w:hAnsi="Arial"/>
                <w:sz w:val="14"/>
                <w:szCs w:val="14"/>
                <w:color w:val="auto"/>
              </w:rPr>
              <w:t>169,477</w:t>
            </w:r>
          </w:p>
        </w:tc>
        <w:tc>
          <w:tcPr>
            <w:tcW w:w="0" w:type="dxa"/>
            <w:vAlign w:val="bottom"/>
          </w:tcPr>
          <w:p>
            <w:pPr>
              <w:spacing w:after="0"/>
              <w:rPr>
                <w:sz w:val="1"/>
                <w:szCs w:val="1"/>
                <w:color w:val="auto"/>
              </w:rPr>
            </w:pPr>
          </w:p>
        </w:tc>
      </w:tr>
      <w:tr>
        <w:trPr>
          <w:trHeight w:val="176"/>
        </w:trPr>
        <w:tc>
          <w:tcPr>
            <w:tcW w:w="7080" w:type="dxa"/>
            <w:vAlign w:val="bottom"/>
          </w:tcPr>
          <w:p>
            <w:pPr>
              <w:ind w:left="280"/>
              <w:spacing w:after="0"/>
              <w:rPr>
                <w:sz w:val="20"/>
                <w:szCs w:val="20"/>
                <w:color w:val="auto"/>
              </w:rPr>
            </w:pPr>
            <w:r>
              <w:rPr>
                <w:rFonts w:ascii="Arial" w:cs="Arial" w:eastAsia="Arial" w:hAnsi="Arial"/>
                <w:sz w:val="14"/>
                <w:szCs w:val="14"/>
                <w:color w:val="auto"/>
              </w:rPr>
              <w:t>Accounts receivable, net</w:t>
            </w: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377,835</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tcPr>
          <w:p>
            <w:pPr>
              <w:jc w:val="right"/>
              <w:ind w:right="188"/>
              <w:spacing w:after="0"/>
              <w:rPr>
                <w:sz w:val="20"/>
                <w:szCs w:val="20"/>
                <w:color w:val="auto"/>
              </w:rPr>
            </w:pPr>
            <w:r>
              <w:rPr>
                <w:rFonts w:ascii="Arial" w:cs="Arial" w:eastAsia="Arial" w:hAnsi="Arial"/>
                <w:sz w:val="14"/>
                <w:szCs w:val="14"/>
                <w:color w:val="auto"/>
              </w:rPr>
              <w:t>371,662</w:t>
            </w:r>
          </w:p>
        </w:tc>
        <w:tc>
          <w:tcPr>
            <w:tcW w:w="0" w:type="dxa"/>
            <w:vAlign w:val="bottom"/>
          </w:tcPr>
          <w:p>
            <w:pPr>
              <w:spacing w:after="0"/>
              <w:rPr>
                <w:sz w:val="1"/>
                <w:szCs w:val="1"/>
                <w:color w:val="auto"/>
              </w:rPr>
            </w:pPr>
          </w:p>
        </w:tc>
      </w:tr>
      <w:tr>
        <w:trPr>
          <w:trHeight w:val="176"/>
        </w:trPr>
        <w:tc>
          <w:tcPr>
            <w:tcW w:w="7080" w:type="dxa"/>
            <w:vAlign w:val="bottom"/>
          </w:tcPr>
          <w:p>
            <w:pPr>
              <w:ind w:left="280"/>
              <w:spacing w:after="0"/>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253,079</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tcPr>
          <w:p>
            <w:pPr>
              <w:jc w:val="right"/>
              <w:ind w:right="188"/>
              <w:spacing w:after="0"/>
              <w:rPr>
                <w:sz w:val="20"/>
                <w:szCs w:val="20"/>
                <w:color w:val="auto"/>
              </w:rPr>
            </w:pPr>
            <w:r>
              <w:rPr>
                <w:rFonts w:ascii="Arial" w:cs="Arial" w:eastAsia="Arial" w:hAnsi="Arial"/>
                <w:sz w:val="14"/>
                <w:szCs w:val="14"/>
                <w:color w:val="auto"/>
              </w:rPr>
              <w:t>208,157</w:t>
            </w:r>
          </w:p>
        </w:tc>
        <w:tc>
          <w:tcPr>
            <w:tcW w:w="0" w:type="dxa"/>
            <w:vAlign w:val="bottom"/>
          </w:tcPr>
          <w:p>
            <w:pPr>
              <w:spacing w:after="0"/>
              <w:rPr>
                <w:sz w:val="1"/>
                <w:szCs w:val="1"/>
                <w:color w:val="auto"/>
              </w:rPr>
            </w:pPr>
          </w:p>
        </w:tc>
      </w:tr>
      <w:tr>
        <w:trPr>
          <w:trHeight w:val="176"/>
        </w:trPr>
        <w:tc>
          <w:tcPr>
            <w:tcW w:w="7080" w:type="dxa"/>
            <w:vAlign w:val="bottom"/>
          </w:tcPr>
          <w:p>
            <w:pPr>
              <w:ind w:left="280"/>
              <w:spacing w:after="0"/>
              <w:rPr>
                <w:sz w:val="20"/>
                <w:szCs w:val="20"/>
                <w:color w:val="auto"/>
              </w:rPr>
            </w:pPr>
            <w:r>
              <w:rPr>
                <w:rFonts w:ascii="Arial" w:cs="Arial" w:eastAsia="Arial" w:hAnsi="Arial"/>
                <w:sz w:val="14"/>
                <w:szCs w:val="14"/>
                <w:color w:val="auto"/>
              </w:rPr>
              <w:t>Deferred tax assets current, net</w:t>
            </w: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55,145</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tcPr>
          <w:p>
            <w:pPr>
              <w:jc w:val="right"/>
              <w:ind w:right="188"/>
              <w:spacing w:after="0"/>
              <w:rPr>
                <w:sz w:val="20"/>
                <w:szCs w:val="20"/>
                <w:color w:val="auto"/>
              </w:rPr>
            </w:pPr>
            <w:r>
              <w:rPr>
                <w:rFonts w:ascii="Arial" w:cs="Arial" w:eastAsia="Arial" w:hAnsi="Arial"/>
                <w:sz w:val="14"/>
                <w:szCs w:val="14"/>
                <w:color w:val="auto"/>
              </w:rPr>
              <w:t>55,351</w:t>
            </w:r>
          </w:p>
        </w:tc>
        <w:tc>
          <w:tcPr>
            <w:tcW w:w="0" w:type="dxa"/>
            <w:vAlign w:val="bottom"/>
          </w:tcPr>
          <w:p>
            <w:pPr>
              <w:spacing w:after="0"/>
              <w:rPr>
                <w:sz w:val="1"/>
                <w:szCs w:val="1"/>
                <w:color w:val="auto"/>
              </w:rPr>
            </w:pPr>
          </w:p>
        </w:tc>
      </w:tr>
      <w:tr>
        <w:trPr>
          <w:trHeight w:val="181"/>
        </w:trPr>
        <w:tc>
          <w:tcPr>
            <w:tcW w:w="7080" w:type="dxa"/>
            <w:vAlign w:val="bottom"/>
          </w:tcPr>
          <w:p>
            <w:pPr>
              <w:ind w:left="280"/>
              <w:spacing w:after="0"/>
              <w:rPr>
                <w:sz w:val="20"/>
                <w:szCs w:val="20"/>
                <w:color w:val="auto"/>
              </w:rPr>
            </w:pPr>
            <w:r>
              <w:rPr>
                <w:rFonts w:ascii="Arial" w:cs="Arial" w:eastAsia="Arial" w:hAnsi="Arial"/>
                <w:sz w:val="14"/>
                <w:szCs w:val="14"/>
                <w:color w:val="auto"/>
              </w:rPr>
              <w:t>Other current assets</w:t>
            </w: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104,496</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77,570</w:t>
            </w:r>
          </w:p>
        </w:tc>
        <w:tc>
          <w:tcPr>
            <w:tcW w:w="0" w:type="dxa"/>
            <w:vAlign w:val="bottom"/>
          </w:tcPr>
          <w:p>
            <w:pPr>
              <w:spacing w:after="0"/>
              <w:rPr>
                <w:sz w:val="1"/>
                <w:szCs w:val="1"/>
                <w:color w:val="auto"/>
              </w:rPr>
            </w:pPr>
          </w:p>
        </w:tc>
      </w:tr>
      <w:tr>
        <w:trPr>
          <w:trHeight w:val="176"/>
        </w:trPr>
        <w:tc>
          <w:tcPr>
            <w:tcW w:w="7080" w:type="dxa"/>
            <w:vAlign w:val="bottom"/>
          </w:tcPr>
          <w:p>
            <w:pPr>
              <w:ind w:left="540"/>
              <w:spacing w:after="0"/>
              <w:rPr>
                <w:sz w:val="20"/>
                <w:szCs w:val="20"/>
                <w:color w:val="auto"/>
              </w:rPr>
            </w:pPr>
            <w:r>
              <w:rPr>
                <w:rFonts w:ascii="Arial" w:cs="Arial" w:eastAsia="Arial" w:hAnsi="Arial"/>
                <w:sz w:val="14"/>
                <w:szCs w:val="14"/>
                <w:color w:val="auto"/>
              </w:rPr>
              <w:t>Total current assets</w:t>
            </w: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958,839</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tcPr>
          <w:p>
            <w:pPr>
              <w:jc w:val="right"/>
              <w:ind w:right="188"/>
              <w:spacing w:after="0"/>
              <w:rPr>
                <w:sz w:val="20"/>
                <w:szCs w:val="20"/>
                <w:color w:val="auto"/>
              </w:rPr>
            </w:pPr>
            <w:r>
              <w:rPr>
                <w:rFonts w:ascii="Arial" w:cs="Arial" w:eastAsia="Arial" w:hAnsi="Arial"/>
                <w:sz w:val="14"/>
                <w:szCs w:val="14"/>
                <w:color w:val="auto"/>
              </w:rPr>
              <w:t>882,217</w:t>
            </w:r>
          </w:p>
        </w:tc>
        <w:tc>
          <w:tcPr>
            <w:tcW w:w="0" w:type="dxa"/>
            <w:vAlign w:val="bottom"/>
          </w:tcPr>
          <w:p>
            <w:pPr>
              <w:spacing w:after="0"/>
              <w:rPr>
                <w:sz w:val="1"/>
                <w:szCs w:val="1"/>
                <w:color w:val="auto"/>
              </w:rPr>
            </w:pPr>
          </w:p>
        </w:tc>
      </w:tr>
      <w:tr>
        <w:trPr>
          <w:trHeight w:val="339"/>
        </w:trPr>
        <w:tc>
          <w:tcPr>
            <w:tcW w:w="708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3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301,458</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jc w:val="right"/>
              <w:ind w:right="188"/>
              <w:spacing w:after="0"/>
              <w:rPr>
                <w:sz w:val="20"/>
                <w:szCs w:val="20"/>
                <w:color w:val="auto"/>
              </w:rPr>
            </w:pPr>
            <w:r>
              <w:rPr>
                <w:rFonts w:ascii="Arial" w:cs="Arial" w:eastAsia="Arial" w:hAnsi="Arial"/>
                <w:sz w:val="14"/>
                <w:szCs w:val="14"/>
                <w:color w:val="auto"/>
              </w:rPr>
              <w:t>299,242</w:t>
            </w:r>
          </w:p>
        </w:tc>
        <w:tc>
          <w:tcPr>
            <w:tcW w:w="0" w:type="dxa"/>
            <w:vAlign w:val="bottom"/>
          </w:tcPr>
          <w:p>
            <w:pPr>
              <w:spacing w:after="0"/>
              <w:rPr>
                <w:sz w:val="1"/>
                <w:szCs w:val="1"/>
                <w:color w:val="auto"/>
              </w:rPr>
            </w:pPr>
          </w:p>
        </w:tc>
      </w:tr>
      <w:tr>
        <w:trPr>
          <w:trHeight w:val="176"/>
        </w:trPr>
        <w:tc>
          <w:tcPr>
            <w:tcW w:w="7080" w:type="dxa"/>
            <w:vAlign w:val="bottom"/>
          </w:tcPr>
          <w:p>
            <w:pPr>
              <w:spacing w:after="0"/>
              <w:rPr>
                <w:sz w:val="20"/>
                <w:szCs w:val="20"/>
                <w:color w:val="auto"/>
              </w:rPr>
            </w:pPr>
            <w:r>
              <w:rPr>
                <w:rFonts w:ascii="Arial" w:cs="Arial" w:eastAsia="Arial" w:hAnsi="Arial"/>
                <w:sz w:val="14"/>
                <w:szCs w:val="14"/>
                <w:color w:val="auto"/>
              </w:rPr>
              <w:t>Deferred tax assets noncurrent, net</w:t>
            </w: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12,714</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tcPr>
          <w:p>
            <w:pPr>
              <w:jc w:val="right"/>
              <w:ind w:right="188"/>
              <w:spacing w:after="0"/>
              <w:rPr>
                <w:sz w:val="20"/>
                <w:szCs w:val="20"/>
                <w:color w:val="auto"/>
              </w:rPr>
            </w:pPr>
            <w:r>
              <w:rPr>
                <w:rFonts w:ascii="Arial" w:cs="Arial" w:eastAsia="Arial" w:hAnsi="Arial"/>
                <w:sz w:val="14"/>
                <w:szCs w:val="14"/>
                <w:color w:val="auto"/>
              </w:rPr>
              <w:t>35,050</w:t>
            </w:r>
          </w:p>
        </w:tc>
        <w:tc>
          <w:tcPr>
            <w:tcW w:w="0" w:type="dxa"/>
            <w:vAlign w:val="bottom"/>
          </w:tcPr>
          <w:p>
            <w:pPr>
              <w:spacing w:after="0"/>
              <w:rPr>
                <w:sz w:val="1"/>
                <w:szCs w:val="1"/>
                <w:color w:val="auto"/>
              </w:rPr>
            </w:pPr>
          </w:p>
        </w:tc>
      </w:tr>
      <w:tr>
        <w:trPr>
          <w:trHeight w:val="176"/>
        </w:trPr>
        <w:tc>
          <w:tcPr>
            <w:tcW w:w="7080" w:type="dxa"/>
            <w:vAlign w:val="bottom"/>
          </w:tcPr>
          <w:p>
            <w:pPr>
              <w:spacing w:after="0"/>
              <w:rPr>
                <w:sz w:val="20"/>
                <w:szCs w:val="20"/>
                <w:color w:val="auto"/>
              </w:rPr>
            </w:pPr>
            <w:r>
              <w:rPr>
                <w:rFonts w:ascii="Arial" w:cs="Arial" w:eastAsia="Arial" w:hAnsi="Arial"/>
                <w:sz w:val="14"/>
                <w:szCs w:val="14"/>
                <w:color w:val="auto"/>
              </w:rPr>
              <w:t>Other long-term assets</w:t>
            </w: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68,967</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tcPr>
          <w:p>
            <w:pPr>
              <w:jc w:val="right"/>
              <w:ind w:right="188"/>
              <w:spacing w:after="0"/>
              <w:rPr>
                <w:sz w:val="20"/>
                <w:szCs w:val="20"/>
                <w:color w:val="auto"/>
              </w:rPr>
            </w:pPr>
            <w:r>
              <w:rPr>
                <w:rFonts w:ascii="Arial" w:cs="Arial" w:eastAsia="Arial" w:hAnsi="Arial"/>
                <w:sz w:val="14"/>
                <w:szCs w:val="14"/>
                <w:color w:val="auto"/>
              </w:rPr>
              <w:t>28,242</w:t>
            </w:r>
          </w:p>
        </w:tc>
        <w:tc>
          <w:tcPr>
            <w:tcW w:w="0" w:type="dxa"/>
            <w:vAlign w:val="bottom"/>
          </w:tcPr>
          <w:p>
            <w:pPr>
              <w:spacing w:after="0"/>
              <w:rPr>
                <w:sz w:val="1"/>
                <w:szCs w:val="1"/>
                <w:color w:val="auto"/>
              </w:rPr>
            </w:pPr>
          </w:p>
        </w:tc>
      </w:tr>
      <w:tr>
        <w:trPr>
          <w:trHeight w:val="176"/>
        </w:trPr>
        <w:tc>
          <w:tcPr>
            <w:tcW w:w="7080" w:type="dxa"/>
            <w:vAlign w:val="bottom"/>
          </w:tcPr>
          <w:p>
            <w:pPr>
              <w:spacing w:after="0"/>
              <w:rPr>
                <w:sz w:val="20"/>
                <w:szCs w:val="20"/>
                <w:color w:val="auto"/>
              </w:rPr>
            </w:pPr>
            <w:r>
              <w:rPr>
                <w:rFonts w:ascii="Arial" w:cs="Arial" w:eastAsia="Arial" w:hAnsi="Arial"/>
                <w:sz w:val="14"/>
                <w:szCs w:val="14"/>
                <w:color w:val="auto"/>
              </w:rPr>
              <w:t>Intangible assets, net</w:t>
            </w: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292,930</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tcPr>
          <w:p>
            <w:pPr>
              <w:jc w:val="right"/>
              <w:ind w:right="188"/>
              <w:spacing w:after="0"/>
              <w:rPr>
                <w:sz w:val="20"/>
                <w:szCs w:val="20"/>
                <w:color w:val="auto"/>
              </w:rPr>
            </w:pPr>
            <w:r>
              <w:rPr>
                <w:rFonts w:ascii="Arial" w:cs="Arial" w:eastAsia="Arial" w:hAnsi="Arial"/>
                <w:sz w:val="14"/>
                <w:szCs w:val="14"/>
                <w:color w:val="auto"/>
              </w:rPr>
              <w:t>291,670</w:t>
            </w:r>
          </w:p>
        </w:tc>
        <w:tc>
          <w:tcPr>
            <w:tcW w:w="0" w:type="dxa"/>
            <w:vAlign w:val="bottom"/>
          </w:tcPr>
          <w:p>
            <w:pPr>
              <w:spacing w:after="0"/>
              <w:rPr>
                <w:sz w:val="1"/>
                <w:szCs w:val="1"/>
                <w:color w:val="auto"/>
              </w:rPr>
            </w:pPr>
          </w:p>
        </w:tc>
      </w:tr>
      <w:tr>
        <w:trPr>
          <w:trHeight w:val="181"/>
        </w:trPr>
        <w:tc>
          <w:tcPr>
            <w:tcW w:w="7080" w:type="dxa"/>
            <w:vAlign w:val="bottom"/>
          </w:tcPr>
          <w:p>
            <w:pPr>
              <w:spacing w:after="0"/>
              <w:rPr>
                <w:sz w:val="20"/>
                <w:szCs w:val="20"/>
                <w:color w:val="auto"/>
              </w:rPr>
            </w:pPr>
            <w:r>
              <w:rPr>
                <w:rFonts w:ascii="Arial" w:cs="Arial" w:eastAsia="Arial" w:hAnsi="Arial"/>
                <w:sz w:val="14"/>
                <w:szCs w:val="14"/>
                <w:color w:val="auto"/>
              </w:rPr>
              <w:t>Goodwill</w:t>
            </w: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1,311,771</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1,209,376</w:t>
            </w:r>
          </w:p>
        </w:tc>
        <w:tc>
          <w:tcPr>
            <w:tcW w:w="0" w:type="dxa"/>
            <w:vAlign w:val="bottom"/>
          </w:tcPr>
          <w:p>
            <w:pPr>
              <w:spacing w:after="0"/>
              <w:rPr>
                <w:sz w:val="1"/>
                <w:szCs w:val="1"/>
                <w:color w:val="auto"/>
              </w:rPr>
            </w:pPr>
          </w:p>
        </w:tc>
      </w:tr>
      <w:tr>
        <w:trPr>
          <w:trHeight w:val="169"/>
        </w:trPr>
        <w:tc>
          <w:tcPr>
            <w:tcW w:w="7080" w:type="dxa"/>
            <w:vAlign w:val="bottom"/>
          </w:tcPr>
          <w:p>
            <w:pPr>
              <w:ind w:left="540"/>
              <w:spacing w:after="0"/>
              <w:rPr>
                <w:sz w:val="20"/>
                <w:szCs w:val="20"/>
                <w:color w:val="auto"/>
              </w:rPr>
            </w:pPr>
            <w:r>
              <w:rPr>
                <w:rFonts w:ascii="Arial" w:cs="Arial" w:eastAsia="Arial" w:hAnsi="Arial"/>
                <w:sz w:val="14"/>
                <w:szCs w:val="14"/>
                <w:color w:val="auto"/>
              </w:rPr>
              <w:t>Total assets</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2,946,679</w:t>
            </w:r>
          </w:p>
        </w:tc>
        <w:tc>
          <w:tcPr>
            <w:tcW w:w="120" w:type="dxa"/>
            <w:vAlign w:val="bottom"/>
          </w:tcPr>
          <w:p>
            <w:pPr>
              <w:spacing w:after="0"/>
              <w:rPr>
                <w:sz w:val="14"/>
                <w:szCs w:val="14"/>
                <w:color w:val="auto"/>
              </w:rPr>
            </w:pP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2,745,797</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LIABILITIES AND SHAREHOLDERS' EQUITY</w:t>
            </w: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080" w:type="dxa"/>
            <w:vAlign w:val="bottom"/>
          </w:tcPr>
          <w:p>
            <w:pPr>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8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268,462</w:t>
            </w:r>
          </w:p>
        </w:tc>
        <w:tc>
          <w:tcPr>
            <w:tcW w:w="120" w:type="dxa"/>
            <w:vAlign w:val="bottom"/>
          </w:tcPr>
          <w:p>
            <w:pPr>
              <w:spacing w:after="0"/>
              <w:rPr>
                <w:sz w:val="15"/>
                <w:szCs w:val="15"/>
                <w:color w:val="auto"/>
              </w:rPr>
            </w:pP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020" w:type="dxa"/>
            <w:vAlign w:val="bottom"/>
          </w:tcPr>
          <w:p>
            <w:pPr>
              <w:jc w:val="right"/>
              <w:ind w:right="188"/>
              <w:spacing w:after="0"/>
              <w:rPr>
                <w:sz w:val="20"/>
                <w:szCs w:val="20"/>
                <w:color w:val="auto"/>
              </w:rPr>
            </w:pPr>
            <w:r>
              <w:rPr>
                <w:rFonts w:ascii="Arial" w:cs="Arial" w:eastAsia="Arial" w:hAnsi="Arial"/>
                <w:sz w:val="14"/>
                <w:szCs w:val="14"/>
                <w:color w:val="auto"/>
              </w:rPr>
              <w:t>241,949</w:t>
            </w:r>
          </w:p>
        </w:tc>
        <w:tc>
          <w:tcPr>
            <w:tcW w:w="0" w:type="dxa"/>
            <w:vAlign w:val="bottom"/>
          </w:tcPr>
          <w:p>
            <w:pPr>
              <w:spacing w:after="0"/>
              <w:rPr>
                <w:sz w:val="1"/>
                <w:szCs w:val="1"/>
                <w:color w:val="auto"/>
              </w:rPr>
            </w:pPr>
          </w:p>
        </w:tc>
      </w:tr>
      <w:tr>
        <w:trPr>
          <w:trHeight w:val="176"/>
        </w:trPr>
        <w:tc>
          <w:tcPr>
            <w:tcW w:w="7080" w:type="dxa"/>
            <w:vAlign w:val="bottom"/>
          </w:tcPr>
          <w:p>
            <w:pPr>
              <w:ind w:left="280"/>
              <w:spacing w:after="0"/>
              <w:rPr>
                <w:sz w:val="20"/>
                <w:szCs w:val="20"/>
                <w:color w:val="auto"/>
              </w:rPr>
            </w:pPr>
            <w:r>
              <w:rPr>
                <w:rFonts w:ascii="Arial" w:cs="Arial" w:eastAsia="Arial" w:hAnsi="Arial"/>
                <w:sz w:val="14"/>
                <w:szCs w:val="14"/>
                <w:color w:val="auto"/>
              </w:rPr>
              <w:t>Other current liabilities</w:t>
            </w: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41,630</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tcPr>
          <w:p>
            <w:pPr>
              <w:jc w:val="right"/>
              <w:ind w:right="188"/>
              <w:spacing w:after="0"/>
              <w:rPr>
                <w:sz w:val="20"/>
                <w:szCs w:val="20"/>
                <w:color w:val="auto"/>
              </w:rPr>
            </w:pPr>
            <w:r>
              <w:rPr>
                <w:rFonts w:ascii="Arial" w:cs="Arial" w:eastAsia="Arial" w:hAnsi="Arial"/>
                <w:sz w:val="14"/>
                <w:szCs w:val="14"/>
                <w:color w:val="auto"/>
              </w:rPr>
              <w:t>49,690</w:t>
            </w:r>
          </w:p>
        </w:tc>
        <w:tc>
          <w:tcPr>
            <w:tcW w:w="0" w:type="dxa"/>
            <w:vAlign w:val="bottom"/>
          </w:tcPr>
          <w:p>
            <w:pPr>
              <w:spacing w:after="0"/>
              <w:rPr>
                <w:sz w:val="1"/>
                <w:szCs w:val="1"/>
                <w:color w:val="auto"/>
              </w:rPr>
            </w:pPr>
          </w:p>
        </w:tc>
      </w:tr>
      <w:tr>
        <w:trPr>
          <w:trHeight w:val="176"/>
        </w:trPr>
        <w:tc>
          <w:tcPr>
            <w:tcW w:w="7080" w:type="dxa"/>
            <w:vAlign w:val="bottom"/>
          </w:tcPr>
          <w:p>
            <w:pPr>
              <w:ind w:left="280"/>
              <w:spacing w:after="0"/>
              <w:rPr>
                <w:sz w:val="20"/>
                <w:szCs w:val="20"/>
                <w:color w:val="auto"/>
              </w:rPr>
            </w:pPr>
            <w:r>
              <w:rPr>
                <w:rFonts w:ascii="Arial" w:cs="Arial" w:eastAsia="Arial" w:hAnsi="Arial"/>
                <w:sz w:val="14"/>
                <w:szCs w:val="14"/>
                <w:color w:val="auto"/>
              </w:rPr>
              <w:t>Wages and benefits payable</w:t>
            </w: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94,855</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tcPr>
          <w:p>
            <w:pPr>
              <w:jc w:val="right"/>
              <w:ind w:right="188"/>
              <w:spacing w:after="0"/>
              <w:rPr>
                <w:sz w:val="20"/>
                <w:szCs w:val="20"/>
                <w:color w:val="auto"/>
              </w:rPr>
            </w:pPr>
            <w:r>
              <w:rPr>
                <w:rFonts w:ascii="Arial" w:cs="Arial" w:eastAsia="Arial" w:hAnsi="Arial"/>
                <w:sz w:val="14"/>
                <w:szCs w:val="14"/>
                <w:color w:val="auto"/>
              </w:rPr>
              <w:t>110,479</w:t>
            </w:r>
          </w:p>
        </w:tc>
        <w:tc>
          <w:tcPr>
            <w:tcW w:w="0" w:type="dxa"/>
            <w:vAlign w:val="bottom"/>
          </w:tcPr>
          <w:p>
            <w:pPr>
              <w:spacing w:after="0"/>
              <w:rPr>
                <w:sz w:val="1"/>
                <w:szCs w:val="1"/>
                <w:color w:val="auto"/>
              </w:rPr>
            </w:pPr>
          </w:p>
        </w:tc>
      </w:tr>
      <w:tr>
        <w:trPr>
          <w:trHeight w:val="176"/>
        </w:trPr>
        <w:tc>
          <w:tcPr>
            <w:tcW w:w="7080" w:type="dxa"/>
            <w:vAlign w:val="bottom"/>
          </w:tcPr>
          <w:p>
            <w:pPr>
              <w:ind w:left="280"/>
              <w:spacing w:after="0"/>
              <w:rPr>
                <w:sz w:val="20"/>
                <w:szCs w:val="20"/>
                <w:color w:val="auto"/>
              </w:rPr>
            </w:pPr>
            <w:r>
              <w:rPr>
                <w:rFonts w:ascii="Arial" w:cs="Arial" w:eastAsia="Arial" w:hAnsi="Arial"/>
                <w:sz w:val="14"/>
                <w:szCs w:val="14"/>
                <w:color w:val="auto"/>
              </w:rPr>
              <w:t>Taxes payable</w:t>
            </w: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27,976</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tcPr>
          <w:p>
            <w:pPr>
              <w:jc w:val="right"/>
              <w:ind w:right="188"/>
              <w:spacing w:after="0"/>
              <w:rPr>
                <w:sz w:val="20"/>
                <w:szCs w:val="20"/>
                <w:color w:val="auto"/>
              </w:rPr>
            </w:pPr>
            <w:r>
              <w:rPr>
                <w:rFonts w:ascii="Arial" w:cs="Arial" w:eastAsia="Arial" w:hAnsi="Arial"/>
                <w:sz w:val="14"/>
                <w:szCs w:val="14"/>
                <w:color w:val="auto"/>
              </w:rPr>
              <w:t>19,725</w:t>
            </w:r>
          </w:p>
        </w:tc>
        <w:tc>
          <w:tcPr>
            <w:tcW w:w="0" w:type="dxa"/>
            <w:vAlign w:val="bottom"/>
          </w:tcPr>
          <w:p>
            <w:pPr>
              <w:spacing w:after="0"/>
              <w:rPr>
                <w:sz w:val="1"/>
                <w:szCs w:val="1"/>
                <w:color w:val="auto"/>
              </w:rPr>
            </w:pPr>
          </w:p>
        </w:tc>
      </w:tr>
      <w:tr>
        <w:trPr>
          <w:trHeight w:val="176"/>
        </w:trPr>
        <w:tc>
          <w:tcPr>
            <w:tcW w:w="7080" w:type="dxa"/>
            <w:vAlign w:val="bottom"/>
          </w:tcPr>
          <w:p>
            <w:pPr>
              <w:ind w:left="280"/>
              <w:spacing w:after="0"/>
              <w:rPr>
                <w:sz w:val="20"/>
                <w:szCs w:val="20"/>
                <w:color w:val="auto"/>
              </w:rPr>
            </w:pPr>
            <w:r>
              <w:rPr>
                <w:rFonts w:ascii="Arial" w:cs="Arial" w:eastAsia="Arial" w:hAnsi="Arial"/>
                <w:sz w:val="14"/>
                <w:szCs w:val="14"/>
                <w:color w:val="auto"/>
              </w:rPr>
              <w:t>Current portion of debt</w:t>
            </w: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234,449</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tcPr>
          <w:p>
            <w:pPr>
              <w:jc w:val="right"/>
              <w:ind w:right="188"/>
              <w:spacing w:after="0"/>
              <w:rPr>
                <w:sz w:val="20"/>
                <w:szCs w:val="20"/>
                <w:color w:val="auto"/>
              </w:rPr>
            </w:pPr>
            <w:r>
              <w:rPr>
                <w:rFonts w:ascii="Arial" w:cs="Arial" w:eastAsia="Arial" w:hAnsi="Arial"/>
                <w:sz w:val="14"/>
                <w:szCs w:val="14"/>
                <w:color w:val="auto"/>
              </w:rPr>
              <w:t>228,721</w:t>
            </w:r>
          </w:p>
        </w:tc>
        <w:tc>
          <w:tcPr>
            <w:tcW w:w="0" w:type="dxa"/>
            <w:vAlign w:val="bottom"/>
          </w:tcPr>
          <w:p>
            <w:pPr>
              <w:spacing w:after="0"/>
              <w:rPr>
                <w:sz w:val="1"/>
                <w:szCs w:val="1"/>
                <w:color w:val="auto"/>
              </w:rPr>
            </w:pPr>
          </w:p>
        </w:tc>
      </w:tr>
      <w:tr>
        <w:trPr>
          <w:trHeight w:val="176"/>
        </w:trPr>
        <w:tc>
          <w:tcPr>
            <w:tcW w:w="7080" w:type="dxa"/>
            <w:vAlign w:val="bottom"/>
          </w:tcPr>
          <w:p>
            <w:pPr>
              <w:ind w:left="280"/>
              <w:spacing w:after="0"/>
              <w:rPr>
                <w:sz w:val="20"/>
                <w:szCs w:val="20"/>
                <w:color w:val="auto"/>
              </w:rPr>
            </w:pPr>
            <w:r>
              <w:rPr>
                <w:rFonts w:ascii="Arial" w:cs="Arial" w:eastAsia="Arial" w:hAnsi="Arial"/>
                <w:sz w:val="14"/>
                <w:szCs w:val="14"/>
                <w:color w:val="auto"/>
              </w:rPr>
              <w:t>Current portion of warranty</w:t>
            </w: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29,999</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tcPr>
          <w:p>
            <w:pPr>
              <w:jc w:val="right"/>
              <w:ind w:right="188"/>
              <w:spacing w:after="0"/>
              <w:rPr>
                <w:sz w:val="20"/>
                <w:szCs w:val="20"/>
                <w:color w:val="auto"/>
              </w:rPr>
            </w:pPr>
            <w:r>
              <w:rPr>
                <w:rFonts w:ascii="Arial" w:cs="Arial" w:eastAsia="Arial" w:hAnsi="Arial"/>
                <w:sz w:val="14"/>
                <w:szCs w:val="14"/>
                <w:color w:val="auto"/>
              </w:rPr>
              <w:t>24,912</w:t>
            </w:r>
          </w:p>
        </w:tc>
        <w:tc>
          <w:tcPr>
            <w:tcW w:w="0" w:type="dxa"/>
            <w:vAlign w:val="bottom"/>
          </w:tcPr>
          <w:p>
            <w:pPr>
              <w:spacing w:after="0"/>
              <w:rPr>
                <w:sz w:val="1"/>
                <w:szCs w:val="1"/>
                <w:color w:val="auto"/>
              </w:rPr>
            </w:pPr>
          </w:p>
        </w:tc>
      </w:tr>
      <w:tr>
        <w:trPr>
          <w:trHeight w:val="181"/>
        </w:trPr>
        <w:tc>
          <w:tcPr>
            <w:tcW w:w="7080" w:type="dxa"/>
            <w:vAlign w:val="bottom"/>
          </w:tcPr>
          <w:p>
            <w:pPr>
              <w:ind w:left="280"/>
              <w:spacing w:after="0"/>
              <w:rPr>
                <w:sz w:val="20"/>
                <w:szCs w:val="20"/>
                <w:color w:val="auto"/>
              </w:rPr>
            </w:pPr>
            <w:r>
              <w:rPr>
                <w:rFonts w:ascii="Arial" w:cs="Arial" w:eastAsia="Arial" w:hAnsi="Arial"/>
                <w:sz w:val="14"/>
                <w:szCs w:val="14"/>
                <w:color w:val="auto"/>
              </w:rPr>
              <w:t>Unearned revenue</w:t>
            </w: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49,722</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28,258</w:t>
            </w:r>
          </w:p>
        </w:tc>
        <w:tc>
          <w:tcPr>
            <w:tcW w:w="0" w:type="dxa"/>
            <w:vAlign w:val="bottom"/>
          </w:tcPr>
          <w:p>
            <w:pPr>
              <w:spacing w:after="0"/>
              <w:rPr>
                <w:sz w:val="1"/>
                <w:szCs w:val="1"/>
                <w:color w:val="auto"/>
              </w:rPr>
            </w:pPr>
          </w:p>
        </w:tc>
      </w:tr>
      <w:tr>
        <w:trPr>
          <w:trHeight w:val="176"/>
        </w:trPr>
        <w:tc>
          <w:tcPr>
            <w:tcW w:w="7080" w:type="dxa"/>
            <w:vAlign w:val="bottom"/>
          </w:tcPr>
          <w:p>
            <w:pPr>
              <w:ind w:left="540"/>
              <w:spacing w:after="0"/>
              <w:rPr>
                <w:sz w:val="20"/>
                <w:szCs w:val="20"/>
                <w:color w:val="auto"/>
              </w:rPr>
            </w:pPr>
            <w:r>
              <w:rPr>
                <w:rFonts w:ascii="Arial" w:cs="Arial" w:eastAsia="Arial" w:hAnsi="Arial"/>
                <w:sz w:val="14"/>
                <w:szCs w:val="14"/>
                <w:color w:val="auto"/>
              </w:rPr>
              <w:t>Total current liabilities</w:t>
            </w: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747,093</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tcPr>
          <w:p>
            <w:pPr>
              <w:jc w:val="right"/>
              <w:ind w:right="188"/>
              <w:spacing w:after="0"/>
              <w:rPr>
                <w:sz w:val="20"/>
                <w:szCs w:val="20"/>
                <w:color w:val="auto"/>
              </w:rPr>
            </w:pPr>
            <w:r>
              <w:rPr>
                <w:rFonts w:ascii="Arial" w:cs="Arial" w:eastAsia="Arial" w:hAnsi="Arial"/>
                <w:sz w:val="14"/>
                <w:szCs w:val="14"/>
                <w:color w:val="auto"/>
              </w:rPr>
              <w:t>703,734</w:t>
            </w:r>
          </w:p>
        </w:tc>
        <w:tc>
          <w:tcPr>
            <w:tcW w:w="0" w:type="dxa"/>
            <w:vAlign w:val="bottom"/>
          </w:tcPr>
          <w:p>
            <w:pPr>
              <w:spacing w:after="0"/>
              <w:rPr>
                <w:sz w:val="1"/>
                <w:szCs w:val="1"/>
                <w:color w:val="auto"/>
              </w:rPr>
            </w:pPr>
          </w:p>
        </w:tc>
      </w:tr>
      <w:tr>
        <w:trPr>
          <w:trHeight w:val="339"/>
        </w:trPr>
        <w:tc>
          <w:tcPr>
            <w:tcW w:w="7080" w:type="dxa"/>
            <w:vAlign w:val="bottom"/>
          </w:tcPr>
          <w:p>
            <w:pPr>
              <w:spacing w:after="0"/>
              <w:rPr>
                <w:sz w:val="20"/>
                <w:szCs w:val="20"/>
                <w:color w:val="auto"/>
              </w:rPr>
            </w:pPr>
            <w:r>
              <w:rPr>
                <w:rFonts w:ascii="Arial" w:cs="Arial" w:eastAsia="Arial" w:hAnsi="Arial"/>
                <w:sz w:val="14"/>
                <w:szCs w:val="14"/>
                <w:color w:val="auto"/>
              </w:rPr>
              <w:t>Long-term debt</w:t>
            </w:r>
          </w:p>
        </w:tc>
        <w:tc>
          <w:tcPr>
            <w:tcW w:w="3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341,121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jc w:val="right"/>
              <w:ind w:right="188"/>
              <w:spacing w:after="0"/>
              <w:rPr>
                <w:sz w:val="20"/>
                <w:szCs w:val="20"/>
                <w:color w:val="auto"/>
              </w:rPr>
            </w:pPr>
            <w:r>
              <w:rPr>
                <w:rFonts w:ascii="Arial" w:cs="Arial" w:eastAsia="Arial" w:hAnsi="Arial"/>
                <w:sz w:val="14"/>
                <w:szCs w:val="14"/>
                <w:color w:val="auto"/>
              </w:rPr>
              <w:t>382,220</w:t>
            </w:r>
          </w:p>
        </w:tc>
        <w:tc>
          <w:tcPr>
            <w:tcW w:w="0" w:type="dxa"/>
            <w:vAlign w:val="bottom"/>
          </w:tcPr>
          <w:p>
            <w:pPr>
              <w:spacing w:after="0"/>
              <w:rPr>
                <w:sz w:val="1"/>
                <w:szCs w:val="1"/>
                <w:color w:val="auto"/>
              </w:rPr>
            </w:pPr>
          </w:p>
        </w:tc>
      </w:tr>
      <w:tr>
        <w:trPr>
          <w:trHeight w:val="176"/>
        </w:trPr>
        <w:tc>
          <w:tcPr>
            <w:tcW w:w="7080" w:type="dxa"/>
            <w:vAlign w:val="bottom"/>
          </w:tcPr>
          <w:p>
            <w:pPr>
              <w:spacing w:after="0"/>
              <w:rPr>
                <w:sz w:val="20"/>
                <w:szCs w:val="20"/>
                <w:color w:val="auto"/>
              </w:rPr>
            </w:pPr>
            <w:r>
              <w:rPr>
                <w:rFonts w:ascii="Arial" w:cs="Arial" w:eastAsia="Arial" w:hAnsi="Arial"/>
                <w:sz w:val="14"/>
                <w:szCs w:val="14"/>
                <w:color w:val="auto"/>
              </w:rPr>
              <w:t>Long-term warranty</w:t>
            </w: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32,839</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tcPr>
          <w:p>
            <w:pPr>
              <w:jc w:val="right"/>
              <w:ind w:right="188"/>
              <w:spacing w:after="0"/>
              <w:rPr>
                <w:sz w:val="20"/>
                <w:szCs w:val="20"/>
                <w:color w:val="auto"/>
              </w:rPr>
            </w:pPr>
            <w:r>
              <w:rPr>
                <w:rFonts w:ascii="Arial" w:cs="Arial" w:eastAsia="Arial" w:hAnsi="Arial"/>
                <w:sz w:val="14"/>
                <w:szCs w:val="14"/>
                <w:color w:val="auto"/>
              </w:rPr>
              <w:t>26,371</w:t>
            </w:r>
          </w:p>
        </w:tc>
        <w:tc>
          <w:tcPr>
            <w:tcW w:w="0" w:type="dxa"/>
            <w:vAlign w:val="bottom"/>
          </w:tcPr>
          <w:p>
            <w:pPr>
              <w:spacing w:after="0"/>
              <w:rPr>
                <w:sz w:val="1"/>
                <w:szCs w:val="1"/>
                <w:color w:val="auto"/>
              </w:rPr>
            </w:pPr>
          </w:p>
        </w:tc>
      </w:tr>
      <w:tr>
        <w:trPr>
          <w:trHeight w:val="176"/>
        </w:trPr>
        <w:tc>
          <w:tcPr>
            <w:tcW w:w="7080" w:type="dxa"/>
            <w:vAlign w:val="bottom"/>
          </w:tcPr>
          <w:p>
            <w:pPr>
              <w:spacing w:after="0"/>
              <w:rPr>
                <w:sz w:val="20"/>
                <w:szCs w:val="20"/>
                <w:color w:val="auto"/>
              </w:rPr>
            </w:pPr>
            <w:r>
              <w:rPr>
                <w:rFonts w:ascii="Arial" w:cs="Arial" w:eastAsia="Arial" w:hAnsi="Arial"/>
                <w:sz w:val="14"/>
                <w:szCs w:val="14"/>
                <w:color w:val="auto"/>
              </w:rPr>
              <w:t>Pension plan benefit liability</w:t>
            </w: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69,675</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tcPr>
          <w:p>
            <w:pPr>
              <w:jc w:val="right"/>
              <w:ind w:right="188"/>
              <w:spacing w:after="0"/>
              <w:rPr>
                <w:sz w:val="20"/>
                <w:szCs w:val="20"/>
                <w:color w:val="auto"/>
              </w:rPr>
            </w:pPr>
            <w:r>
              <w:rPr>
                <w:rFonts w:ascii="Arial" w:cs="Arial" w:eastAsia="Arial" w:hAnsi="Arial"/>
                <w:sz w:val="14"/>
                <w:szCs w:val="14"/>
                <w:color w:val="auto"/>
              </w:rPr>
              <w:t>61,450</w:t>
            </w:r>
          </w:p>
        </w:tc>
        <w:tc>
          <w:tcPr>
            <w:tcW w:w="0" w:type="dxa"/>
            <w:vAlign w:val="bottom"/>
          </w:tcPr>
          <w:p>
            <w:pPr>
              <w:spacing w:after="0"/>
              <w:rPr>
                <w:sz w:val="1"/>
                <w:szCs w:val="1"/>
                <w:color w:val="auto"/>
              </w:rPr>
            </w:pPr>
          </w:p>
        </w:tc>
      </w:tr>
      <w:tr>
        <w:trPr>
          <w:trHeight w:val="176"/>
        </w:trPr>
        <w:tc>
          <w:tcPr>
            <w:tcW w:w="7080" w:type="dxa"/>
            <w:vAlign w:val="bottom"/>
          </w:tcPr>
          <w:p>
            <w:pPr>
              <w:spacing w:after="0"/>
              <w:rPr>
                <w:sz w:val="20"/>
                <w:szCs w:val="20"/>
                <w:color w:val="auto"/>
              </w:rPr>
            </w:pPr>
            <w:r>
              <w:rPr>
                <w:rFonts w:ascii="Arial" w:cs="Arial" w:eastAsia="Arial" w:hAnsi="Arial"/>
                <w:sz w:val="14"/>
                <w:szCs w:val="14"/>
                <w:color w:val="auto"/>
              </w:rPr>
              <w:t>Deferred tax liabilities noncurrent, net</w:t>
            </w: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51,539</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tcPr>
          <w:p>
            <w:pPr>
              <w:jc w:val="right"/>
              <w:ind w:right="188"/>
              <w:spacing w:after="0"/>
              <w:rPr>
                <w:sz w:val="20"/>
                <w:szCs w:val="20"/>
                <w:color w:val="auto"/>
              </w:rPr>
            </w:pPr>
            <w:r>
              <w:rPr>
                <w:rFonts w:ascii="Arial" w:cs="Arial" w:eastAsia="Arial" w:hAnsi="Arial"/>
                <w:sz w:val="14"/>
                <w:szCs w:val="14"/>
                <w:color w:val="auto"/>
              </w:rPr>
              <w:t>54,412</w:t>
            </w:r>
          </w:p>
        </w:tc>
        <w:tc>
          <w:tcPr>
            <w:tcW w:w="0" w:type="dxa"/>
            <w:vAlign w:val="bottom"/>
          </w:tcPr>
          <w:p>
            <w:pPr>
              <w:spacing w:after="0"/>
              <w:rPr>
                <w:sz w:val="1"/>
                <w:szCs w:val="1"/>
                <w:color w:val="auto"/>
              </w:rPr>
            </w:pPr>
          </w:p>
        </w:tc>
      </w:tr>
      <w:tr>
        <w:trPr>
          <w:trHeight w:val="181"/>
        </w:trPr>
        <w:tc>
          <w:tcPr>
            <w:tcW w:w="7080" w:type="dxa"/>
            <w:vAlign w:val="bottom"/>
          </w:tcPr>
          <w:p>
            <w:pPr>
              <w:spacing w:after="0"/>
              <w:rPr>
                <w:sz w:val="20"/>
                <w:szCs w:val="20"/>
                <w:color w:val="auto"/>
              </w:rPr>
            </w:pPr>
            <w:r>
              <w:rPr>
                <w:rFonts w:ascii="Arial" w:cs="Arial" w:eastAsia="Arial" w:hAnsi="Arial"/>
                <w:sz w:val="14"/>
                <w:szCs w:val="14"/>
                <w:color w:val="auto"/>
              </w:rPr>
              <w:t>Other long-term obligations</w:t>
            </w: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86,942</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89,315</w:t>
            </w:r>
          </w:p>
        </w:tc>
        <w:tc>
          <w:tcPr>
            <w:tcW w:w="0" w:type="dxa"/>
            <w:vAlign w:val="bottom"/>
          </w:tcPr>
          <w:p>
            <w:pPr>
              <w:spacing w:after="0"/>
              <w:rPr>
                <w:sz w:val="1"/>
                <w:szCs w:val="1"/>
                <w:color w:val="auto"/>
              </w:rPr>
            </w:pPr>
          </w:p>
        </w:tc>
      </w:tr>
      <w:tr>
        <w:trPr>
          <w:trHeight w:val="176"/>
        </w:trPr>
        <w:tc>
          <w:tcPr>
            <w:tcW w:w="7080" w:type="dxa"/>
            <w:vAlign w:val="bottom"/>
          </w:tcPr>
          <w:p>
            <w:pPr>
              <w:ind w:left="540"/>
              <w:spacing w:after="0"/>
              <w:rPr>
                <w:sz w:val="20"/>
                <w:szCs w:val="20"/>
                <w:color w:val="auto"/>
              </w:rPr>
            </w:pPr>
            <w:r>
              <w:rPr>
                <w:rFonts w:ascii="Arial" w:cs="Arial" w:eastAsia="Arial" w:hAnsi="Arial"/>
                <w:sz w:val="14"/>
                <w:szCs w:val="14"/>
                <w:color w:val="auto"/>
              </w:rPr>
              <w:t>Total liabilities</w:t>
            </w: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1,329,209</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tcPr>
          <w:p>
            <w:pPr>
              <w:jc w:val="right"/>
              <w:ind w:right="188"/>
              <w:spacing w:after="0"/>
              <w:rPr>
                <w:sz w:val="20"/>
                <w:szCs w:val="20"/>
                <w:color w:val="auto"/>
              </w:rPr>
            </w:pPr>
            <w:r>
              <w:rPr>
                <w:rFonts w:ascii="Arial" w:cs="Arial" w:eastAsia="Arial" w:hAnsi="Arial"/>
                <w:sz w:val="14"/>
                <w:szCs w:val="14"/>
                <w:color w:val="auto"/>
              </w:rPr>
              <w:t>1,317,502</w:t>
            </w:r>
          </w:p>
        </w:tc>
        <w:tc>
          <w:tcPr>
            <w:tcW w:w="0" w:type="dxa"/>
            <w:vAlign w:val="bottom"/>
          </w:tcPr>
          <w:p>
            <w:pPr>
              <w:spacing w:after="0"/>
              <w:rPr>
                <w:sz w:val="1"/>
                <w:szCs w:val="1"/>
                <w:color w:val="auto"/>
              </w:rPr>
            </w:pPr>
          </w:p>
        </w:tc>
      </w:tr>
      <w:tr>
        <w:trPr>
          <w:trHeight w:val="346"/>
        </w:trPr>
        <w:tc>
          <w:tcPr>
            <w:tcW w:w="708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080" w:type="dxa"/>
            <w:vAlign w:val="bottom"/>
          </w:tcPr>
          <w:p>
            <w:pPr>
              <w:spacing w:after="0"/>
              <w:rPr>
                <w:sz w:val="20"/>
                <w:szCs w:val="20"/>
                <w:color w:val="auto"/>
              </w:rPr>
            </w:pPr>
            <w:r>
              <w:rPr>
                <w:rFonts w:ascii="Arial" w:cs="Arial" w:eastAsia="Arial" w:hAnsi="Arial"/>
                <w:sz w:val="14"/>
                <w:szCs w:val="14"/>
                <w:color w:val="auto"/>
              </w:rPr>
              <w:t>Shareholders' equity</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080" w:type="dxa"/>
            <w:vAlign w:val="bottom"/>
          </w:tcPr>
          <w:p>
            <w:pPr>
              <w:ind w:left="280"/>
              <w:spacing w:after="0"/>
              <w:rPr>
                <w:sz w:val="20"/>
                <w:szCs w:val="20"/>
                <w:color w:val="auto"/>
              </w:rPr>
            </w:pPr>
            <w:r>
              <w:rPr>
                <w:rFonts w:ascii="Arial" w:cs="Arial" w:eastAsia="Arial" w:hAnsi="Arial"/>
                <w:sz w:val="14"/>
                <w:szCs w:val="14"/>
                <w:color w:val="auto"/>
              </w:rPr>
              <w:t>Preferred stock</w:t>
            </w: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080" w:type="dxa"/>
            <w:vAlign w:val="bottom"/>
          </w:tcPr>
          <w:p>
            <w:pPr>
              <w:ind w:left="280"/>
              <w:spacing w:after="0"/>
              <w:rPr>
                <w:sz w:val="20"/>
                <w:szCs w:val="20"/>
                <w:color w:val="auto"/>
              </w:rPr>
            </w:pPr>
            <w:r>
              <w:rPr>
                <w:rFonts w:ascii="Arial" w:cs="Arial" w:eastAsia="Arial" w:hAnsi="Arial"/>
                <w:sz w:val="14"/>
                <w:szCs w:val="14"/>
                <w:color w:val="auto"/>
              </w:rPr>
              <w:t>Common stock</w:t>
            </w: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1,339,504</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tcPr>
          <w:p>
            <w:pPr>
              <w:jc w:val="right"/>
              <w:ind w:right="188"/>
              <w:spacing w:after="0"/>
              <w:rPr>
                <w:sz w:val="20"/>
                <w:szCs w:val="20"/>
                <w:color w:val="auto"/>
              </w:rPr>
            </w:pPr>
            <w:r>
              <w:rPr>
                <w:rFonts w:ascii="Arial" w:cs="Arial" w:eastAsia="Arial" w:hAnsi="Arial"/>
                <w:sz w:val="14"/>
                <w:szCs w:val="14"/>
                <w:color w:val="auto"/>
              </w:rPr>
              <w:t>1,328,249</w:t>
            </w:r>
          </w:p>
        </w:tc>
        <w:tc>
          <w:tcPr>
            <w:tcW w:w="0" w:type="dxa"/>
            <w:vAlign w:val="bottom"/>
          </w:tcPr>
          <w:p>
            <w:pPr>
              <w:spacing w:after="0"/>
              <w:rPr>
                <w:sz w:val="1"/>
                <w:szCs w:val="1"/>
                <w:color w:val="auto"/>
              </w:rPr>
            </w:pPr>
          </w:p>
        </w:tc>
      </w:tr>
      <w:tr>
        <w:trPr>
          <w:trHeight w:val="176"/>
        </w:trPr>
        <w:tc>
          <w:tcPr>
            <w:tcW w:w="7080" w:type="dxa"/>
            <w:vAlign w:val="bottom"/>
          </w:tcPr>
          <w:p>
            <w:pPr>
              <w:ind w:left="280"/>
              <w:spacing w:after="0"/>
              <w:rPr>
                <w:sz w:val="20"/>
                <w:szCs w:val="20"/>
                <w:color w:val="auto"/>
              </w:rPr>
            </w:pPr>
            <w:r>
              <w:rPr>
                <w:rFonts w:ascii="Arial" w:cs="Arial" w:eastAsia="Arial" w:hAnsi="Arial"/>
                <w:sz w:val="14"/>
                <w:szCs w:val="14"/>
                <w:color w:val="auto"/>
              </w:rPr>
              <w:t>Accumulated other comprehensive income (loss), net</w:t>
            </w: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81,390</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tcPr>
          <w:p>
            <w:pPr>
              <w:jc w:val="right"/>
              <w:ind w:right="128"/>
              <w:spacing w:after="0"/>
              <w:rPr>
                <w:sz w:val="20"/>
                <w:szCs w:val="20"/>
                <w:color w:val="auto"/>
              </w:rPr>
            </w:pPr>
            <w:r>
              <w:rPr>
                <w:rFonts w:ascii="Arial" w:cs="Arial" w:eastAsia="Arial" w:hAnsi="Arial"/>
                <w:sz w:val="14"/>
                <w:szCs w:val="14"/>
                <w:color w:val="auto"/>
              </w:rPr>
              <w:t>(34,974)</w:t>
            </w:r>
          </w:p>
        </w:tc>
        <w:tc>
          <w:tcPr>
            <w:tcW w:w="0" w:type="dxa"/>
            <w:vAlign w:val="bottom"/>
          </w:tcPr>
          <w:p>
            <w:pPr>
              <w:spacing w:after="0"/>
              <w:rPr>
                <w:sz w:val="1"/>
                <w:szCs w:val="1"/>
                <w:color w:val="auto"/>
              </w:rPr>
            </w:pPr>
          </w:p>
        </w:tc>
      </w:tr>
      <w:tr>
        <w:trPr>
          <w:trHeight w:val="181"/>
        </w:trPr>
        <w:tc>
          <w:tcPr>
            <w:tcW w:w="7080" w:type="dxa"/>
            <w:vAlign w:val="bottom"/>
          </w:tcPr>
          <w:p>
            <w:pPr>
              <w:ind w:left="280"/>
              <w:spacing w:after="0"/>
              <w:rPr>
                <w:sz w:val="20"/>
                <w:szCs w:val="20"/>
                <w:color w:val="auto"/>
              </w:rPr>
            </w:pPr>
            <w:r>
              <w:rPr>
                <w:rFonts w:ascii="Arial" w:cs="Arial" w:eastAsia="Arial" w:hAnsi="Arial"/>
                <w:sz w:val="14"/>
                <w:szCs w:val="14"/>
                <w:color w:val="auto"/>
              </w:rPr>
              <w:t>Retained earnings</w:t>
            </w: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196,576</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135,020</w:t>
            </w:r>
          </w:p>
        </w:tc>
        <w:tc>
          <w:tcPr>
            <w:tcW w:w="0" w:type="dxa"/>
            <w:vAlign w:val="bottom"/>
          </w:tcPr>
          <w:p>
            <w:pPr>
              <w:spacing w:after="0"/>
              <w:rPr>
                <w:sz w:val="1"/>
                <w:szCs w:val="1"/>
                <w:color w:val="auto"/>
              </w:rPr>
            </w:pPr>
          </w:p>
        </w:tc>
      </w:tr>
      <w:tr>
        <w:trPr>
          <w:trHeight w:val="169"/>
        </w:trPr>
        <w:tc>
          <w:tcPr>
            <w:tcW w:w="7080" w:type="dxa"/>
            <w:vAlign w:val="bottom"/>
          </w:tcPr>
          <w:p>
            <w:pPr>
              <w:ind w:left="540"/>
              <w:spacing w:after="0"/>
              <w:rPr>
                <w:sz w:val="20"/>
                <w:szCs w:val="20"/>
                <w:color w:val="auto"/>
              </w:rPr>
            </w:pPr>
            <w:r>
              <w:rPr>
                <w:rFonts w:ascii="Arial" w:cs="Arial" w:eastAsia="Arial" w:hAnsi="Arial"/>
                <w:sz w:val="14"/>
                <w:szCs w:val="14"/>
                <w:color w:val="auto"/>
              </w:rPr>
              <w:t>Total shareholders' equity</w:t>
            </w:r>
          </w:p>
        </w:tc>
        <w:tc>
          <w:tcPr>
            <w:tcW w:w="3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1,617,470</w:t>
            </w: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1,428,295</w:t>
            </w:r>
          </w:p>
        </w:tc>
        <w:tc>
          <w:tcPr>
            <w:tcW w:w="0" w:type="dxa"/>
            <w:vAlign w:val="bottom"/>
          </w:tcPr>
          <w:p>
            <w:pPr>
              <w:spacing w:after="0"/>
              <w:rPr>
                <w:sz w:val="1"/>
                <w:szCs w:val="1"/>
                <w:color w:val="auto"/>
              </w:rPr>
            </w:pPr>
          </w:p>
        </w:tc>
      </w:tr>
      <w:tr>
        <w:trPr>
          <w:trHeight w:val="169"/>
        </w:trPr>
        <w:tc>
          <w:tcPr>
            <w:tcW w:w="7080" w:type="dxa"/>
            <w:vAlign w:val="bottom"/>
          </w:tcPr>
          <w:p>
            <w:pPr>
              <w:ind w:left="540"/>
              <w:spacing w:after="0"/>
              <w:rPr>
                <w:sz w:val="20"/>
                <w:szCs w:val="20"/>
                <w:color w:val="auto"/>
              </w:rPr>
            </w:pPr>
            <w:r>
              <w:rPr>
                <w:rFonts w:ascii="Arial" w:cs="Arial" w:eastAsia="Arial" w:hAnsi="Arial"/>
                <w:sz w:val="14"/>
                <w:szCs w:val="14"/>
                <w:color w:val="auto"/>
              </w:rPr>
              <w:t>Total liabilities and shareholders' equity</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2,946,679</w:t>
            </w:r>
          </w:p>
        </w:tc>
        <w:tc>
          <w:tcPr>
            <w:tcW w:w="120" w:type="dxa"/>
            <w:vAlign w:val="bottom"/>
          </w:tcPr>
          <w:p>
            <w:pPr>
              <w:spacing w:after="0"/>
              <w:rPr>
                <w:sz w:val="14"/>
                <w:szCs w:val="14"/>
                <w:color w:val="auto"/>
              </w:rPr>
            </w:pP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2,745,797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0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20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20" w:type="dxa"/>
            <w:vAlign w:val="bottom"/>
          </w:tcPr>
          <w:p>
            <w:pPr>
              <w:spacing w:after="0"/>
              <w:rPr>
                <w:sz w:val="20"/>
                <w:szCs w:val="20"/>
                <w:color w:val="auto"/>
              </w:rPr>
            </w:pPr>
            <w:r>
              <w:rPr>
                <w:rFonts w:ascii="Arial" w:cs="Arial" w:eastAsia="Arial" w:hAnsi="Arial"/>
                <w:sz w:val="14"/>
                <w:szCs w:val="14"/>
                <w:color w:val="auto"/>
              </w:rPr>
              <w:t>(Unaudited, in thousands)</w:t>
            </w:r>
          </w:p>
        </w:tc>
        <w:tc>
          <w:tcPr>
            <w:tcW w:w="340" w:type="dxa"/>
            <w:vAlign w:val="bottom"/>
          </w:tcPr>
          <w:p>
            <w:pPr>
              <w:spacing w:after="0"/>
              <w:rPr>
                <w:sz w:val="15"/>
                <w:szCs w:val="15"/>
                <w:color w:val="auto"/>
              </w:rPr>
            </w:pPr>
          </w:p>
        </w:tc>
        <w:tc>
          <w:tcPr>
            <w:tcW w:w="2560" w:type="dxa"/>
            <w:vAlign w:val="bottom"/>
            <w:gridSpan w:val="4"/>
            <w:vMerge w:val="restart"/>
          </w:tcPr>
          <w:p>
            <w:pPr>
              <w:jc w:val="right"/>
              <w:ind w:right="5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4"/>
        </w:trPr>
        <w:tc>
          <w:tcPr>
            <w:tcW w:w="85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5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64"/>
        </w:trPr>
        <w:tc>
          <w:tcPr>
            <w:tcW w:w="8520" w:type="dxa"/>
            <w:vAlign w:val="bottom"/>
          </w:tcPr>
          <w:p>
            <w:pPr>
              <w:spacing w:after="0"/>
              <w:rPr>
                <w:sz w:val="20"/>
                <w:szCs w:val="20"/>
                <w:color w:val="auto"/>
              </w:rPr>
            </w:pPr>
            <w:r>
              <w:rPr>
                <w:rFonts w:ascii="Arial" w:cs="Arial" w:eastAsia="Arial" w:hAnsi="Arial"/>
                <w:sz w:val="14"/>
                <w:szCs w:val="14"/>
                <w:color w:val="auto"/>
              </w:rPr>
              <w:t>Operating activities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52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61,556</w:t>
            </w:r>
          </w:p>
        </w:tc>
        <w:tc>
          <w:tcPr>
            <w:tcW w:w="5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50,561</w:t>
            </w:r>
          </w:p>
        </w:tc>
        <w:tc>
          <w:tcPr>
            <w:tcW w:w="0" w:type="dxa"/>
            <w:vAlign w:val="bottom"/>
          </w:tcPr>
          <w:p>
            <w:pPr>
              <w:spacing w:after="0"/>
              <w:rPr>
                <w:sz w:val="1"/>
                <w:szCs w:val="1"/>
                <w:color w:val="auto"/>
              </w:rPr>
            </w:pPr>
          </w:p>
        </w:tc>
      </w:tr>
      <w:tr>
        <w:trPr>
          <w:trHeight w:val="176"/>
        </w:trPr>
        <w:tc>
          <w:tcPr>
            <w:tcW w:w="8520" w:type="dxa"/>
            <w:vAlign w:val="bottom"/>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20" w:type="dxa"/>
            <w:vAlign w:val="bottom"/>
          </w:tcPr>
          <w:p>
            <w:pPr>
              <w:ind w:left="5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64,299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65,071</w:t>
            </w:r>
          </w:p>
        </w:tc>
        <w:tc>
          <w:tcPr>
            <w:tcW w:w="0" w:type="dxa"/>
            <w:vAlign w:val="bottom"/>
          </w:tcPr>
          <w:p>
            <w:pPr>
              <w:spacing w:after="0"/>
              <w:rPr>
                <w:sz w:val="1"/>
                <w:szCs w:val="1"/>
                <w:color w:val="auto"/>
              </w:rPr>
            </w:pPr>
          </w:p>
        </w:tc>
      </w:tr>
      <w:tr>
        <w:trPr>
          <w:trHeight w:val="176"/>
        </w:trPr>
        <w:tc>
          <w:tcPr>
            <w:tcW w:w="8520" w:type="dxa"/>
            <w:vAlign w:val="bottom"/>
          </w:tcPr>
          <w:p>
            <w:pPr>
              <w:ind w:left="54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9,518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9,121</w:t>
            </w:r>
          </w:p>
        </w:tc>
        <w:tc>
          <w:tcPr>
            <w:tcW w:w="0" w:type="dxa"/>
            <w:vAlign w:val="bottom"/>
          </w:tcPr>
          <w:p>
            <w:pPr>
              <w:spacing w:after="0"/>
              <w:rPr>
                <w:sz w:val="1"/>
                <w:szCs w:val="1"/>
                <w:color w:val="auto"/>
              </w:rPr>
            </w:pPr>
          </w:p>
        </w:tc>
      </w:tr>
      <w:tr>
        <w:trPr>
          <w:trHeight w:val="176"/>
        </w:trPr>
        <w:tc>
          <w:tcPr>
            <w:tcW w:w="8520" w:type="dxa"/>
            <w:vAlign w:val="bottom"/>
          </w:tcPr>
          <w:p>
            <w:pPr>
              <w:ind w:left="540"/>
              <w:spacing w:after="0"/>
              <w:rPr>
                <w:sz w:val="20"/>
                <w:szCs w:val="20"/>
                <w:color w:val="auto"/>
              </w:rPr>
            </w:pPr>
            <w:r>
              <w:rPr>
                <w:rFonts w:ascii="Arial" w:cs="Arial" w:eastAsia="Arial" w:hAnsi="Arial"/>
                <w:sz w:val="14"/>
                <w:szCs w:val="14"/>
                <w:color w:val="auto"/>
              </w:rPr>
              <w:t>Amortization of prepaid debt fees</w:t>
            </w:r>
          </w:p>
        </w:tc>
        <w:tc>
          <w:tcPr>
            <w:tcW w:w="3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2,265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2,762</w:t>
            </w:r>
          </w:p>
        </w:tc>
        <w:tc>
          <w:tcPr>
            <w:tcW w:w="0" w:type="dxa"/>
            <w:vAlign w:val="bottom"/>
          </w:tcPr>
          <w:p>
            <w:pPr>
              <w:spacing w:after="0"/>
              <w:rPr>
                <w:sz w:val="1"/>
                <w:szCs w:val="1"/>
                <w:color w:val="auto"/>
              </w:rPr>
            </w:pPr>
          </w:p>
        </w:tc>
      </w:tr>
      <w:tr>
        <w:trPr>
          <w:trHeight w:val="176"/>
        </w:trPr>
        <w:tc>
          <w:tcPr>
            <w:tcW w:w="8520" w:type="dxa"/>
            <w:vAlign w:val="bottom"/>
          </w:tcPr>
          <w:p>
            <w:pPr>
              <w:ind w:left="540"/>
              <w:spacing w:after="0"/>
              <w:rPr>
                <w:sz w:val="20"/>
                <w:szCs w:val="20"/>
                <w:color w:val="auto"/>
              </w:rPr>
            </w:pPr>
            <w:r>
              <w:rPr>
                <w:rFonts w:ascii="Arial" w:cs="Arial" w:eastAsia="Arial" w:hAnsi="Arial"/>
                <w:sz w:val="14"/>
                <w:szCs w:val="14"/>
                <w:color w:val="auto"/>
              </w:rPr>
              <w:t>Amortization of convertible debt discount</w:t>
            </w:r>
          </w:p>
        </w:tc>
        <w:tc>
          <w:tcPr>
            <w:tcW w:w="3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5,336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4,957</w:t>
            </w:r>
          </w:p>
        </w:tc>
        <w:tc>
          <w:tcPr>
            <w:tcW w:w="0" w:type="dxa"/>
            <w:vAlign w:val="bottom"/>
          </w:tcPr>
          <w:p>
            <w:pPr>
              <w:spacing w:after="0"/>
              <w:rPr>
                <w:sz w:val="1"/>
                <w:szCs w:val="1"/>
                <w:color w:val="auto"/>
              </w:rPr>
            </w:pPr>
          </w:p>
        </w:tc>
      </w:tr>
      <w:tr>
        <w:trPr>
          <w:trHeight w:val="176"/>
        </w:trPr>
        <w:tc>
          <w:tcPr>
            <w:tcW w:w="8520" w:type="dxa"/>
            <w:vAlign w:val="bottom"/>
          </w:tcPr>
          <w:p>
            <w:pPr>
              <w:ind w:left="540"/>
              <w:spacing w:after="0"/>
              <w:rPr>
                <w:sz w:val="20"/>
                <w:szCs w:val="20"/>
                <w:color w:val="auto"/>
              </w:rPr>
            </w:pPr>
            <w:r>
              <w:rPr>
                <w:rFonts w:ascii="Arial" w:cs="Arial" w:eastAsia="Arial" w:hAnsi="Arial"/>
                <w:sz w:val="14"/>
                <w:szCs w:val="14"/>
                <w:color w:val="auto"/>
              </w:rPr>
              <w:t>Deferred taxes, net</w:t>
            </w:r>
          </w:p>
        </w:tc>
        <w:tc>
          <w:tcPr>
            <w:tcW w:w="3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6,081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(8,132)</w:t>
            </w:r>
          </w:p>
        </w:tc>
        <w:tc>
          <w:tcPr>
            <w:tcW w:w="0" w:type="dxa"/>
            <w:vAlign w:val="bottom"/>
          </w:tcPr>
          <w:p>
            <w:pPr>
              <w:spacing w:after="0"/>
              <w:rPr>
                <w:sz w:val="1"/>
                <w:szCs w:val="1"/>
                <w:color w:val="auto"/>
              </w:rPr>
            </w:pPr>
          </w:p>
        </w:tc>
      </w:tr>
      <w:tr>
        <w:trPr>
          <w:trHeight w:val="176"/>
        </w:trPr>
        <w:tc>
          <w:tcPr>
            <w:tcW w:w="8520" w:type="dxa"/>
            <w:vAlign w:val="bottom"/>
          </w:tcPr>
          <w:p>
            <w:pPr>
              <w:ind w:left="540"/>
              <w:spacing w:after="0"/>
              <w:rPr>
                <w:sz w:val="20"/>
                <w:szCs w:val="20"/>
                <w:color w:val="auto"/>
              </w:rPr>
            </w:pPr>
            <w:r>
              <w:rPr>
                <w:rFonts w:ascii="Arial" w:cs="Arial" w:eastAsia="Arial" w:hAnsi="Arial"/>
                <w:sz w:val="14"/>
                <w:szCs w:val="14"/>
                <w:color w:val="auto"/>
              </w:rPr>
              <w:t>Other adjustments, net</w:t>
            </w:r>
          </w:p>
        </w:tc>
        <w:tc>
          <w:tcPr>
            <w:tcW w:w="3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3,306</w:t>
            </w:r>
          </w:p>
        </w:tc>
        <w:tc>
          <w:tcPr>
            <w:tcW w:w="0" w:type="dxa"/>
            <w:vAlign w:val="bottom"/>
          </w:tcPr>
          <w:p>
            <w:pPr>
              <w:spacing w:after="0"/>
              <w:rPr>
                <w:sz w:val="1"/>
                <w:szCs w:val="1"/>
                <w:color w:val="auto"/>
              </w:rPr>
            </w:pPr>
          </w:p>
        </w:tc>
      </w:tr>
      <w:tr>
        <w:trPr>
          <w:trHeight w:val="176"/>
        </w:trPr>
        <w:tc>
          <w:tcPr>
            <w:tcW w:w="8520" w:type="dxa"/>
            <w:vAlign w:val="bottom"/>
          </w:tcPr>
          <w:p>
            <w:pPr>
              <w:spacing w:after="0"/>
              <w:rPr>
                <w:sz w:val="20"/>
                <w:szCs w:val="20"/>
                <w:color w:val="auto"/>
              </w:rPr>
            </w:pPr>
            <w:r>
              <w:rPr>
                <w:rFonts w:ascii="Arial" w:cs="Arial" w:eastAsia="Arial" w:hAnsi="Arial"/>
                <w:sz w:val="14"/>
                <w:szCs w:val="14"/>
                <w:color w:val="auto"/>
              </w:rPr>
              <w:t>Changes in operating assets and liabilities, net of acquisition:</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20" w:type="dxa"/>
            <w:vAlign w:val="bottom"/>
          </w:tcPr>
          <w:p>
            <w:pPr>
              <w:ind w:left="28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(12,106)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(52,124)</w:t>
            </w:r>
          </w:p>
        </w:tc>
        <w:tc>
          <w:tcPr>
            <w:tcW w:w="0" w:type="dxa"/>
            <w:vAlign w:val="bottom"/>
          </w:tcPr>
          <w:p>
            <w:pPr>
              <w:spacing w:after="0"/>
              <w:rPr>
                <w:sz w:val="1"/>
                <w:szCs w:val="1"/>
                <w:color w:val="auto"/>
              </w:rPr>
            </w:pPr>
          </w:p>
        </w:tc>
      </w:tr>
      <w:tr>
        <w:trPr>
          <w:trHeight w:val="176"/>
        </w:trPr>
        <w:tc>
          <w:tcPr>
            <w:tcW w:w="8520" w:type="dxa"/>
            <w:vAlign w:val="bottom"/>
          </w:tcPr>
          <w:p>
            <w:pPr>
              <w:ind w:left="280"/>
              <w:spacing w:after="0"/>
              <w:rPr>
                <w:sz w:val="20"/>
                <w:szCs w:val="20"/>
                <w:color w:val="auto"/>
              </w:rPr>
            </w:pPr>
            <w:r>
              <w:rPr>
                <w:rFonts w:ascii="Arial" w:cs="Arial" w:eastAsia="Arial" w:hAnsi="Arial"/>
                <w:sz w:val="14"/>
                <w:szCs w:val="14"/>
                <w:color w:val="auto"/>
              </w:rPr>
              <w:t>Inventories</w:t>
            </w:r>
          </w:p>
        </w:tc>
        <w:tc>
          <w:tcPr>
            <w:tcW w:w="34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(36,668)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(40,930)</w:t>
            </w:r>
          </w:p>
        </w:tc>
        <w:tc>
          <w:tcPr>
            <w:tcW w:w="0" w:type="dxa"/>
            <w:vAlign w:val="bottom"/>
          </w:tcPr>
          <w:p>
            <w:pPr>
              <w:spacing w:after="0"/>
              <w:rPr>
                <w:sz w:val="1"/>
                <w:szCs w:val="1"/>
                <w:color w:val="auto"/>
              </w:rPr>
            </w:pPr>
          </w:p>
        </w:tc>
      </w:tr>
      <w:tr>
        <w:trPr>
          <w:trHeight w:val="176"/>
        </w:trPr>
        <w:tc>
          <w:tcPr>
            <w:tcW w:w="8520" w:type="dxa"/>
            <w:vAlign w:val="bottom"/>
          </w:tcPr>
          <w:p>
            <w:pPr>
              <w:ind w:left="280"/>
              <w:spacing w:after="0"/>
              <w:rPr>
                <w:sz w:val="20"/>
                <w:szCs w:val="20"/>
                <w:color w:val="auto"/>
              </w:rPr>
            </w:pPr>
            <w:r>
              <w:rPr>
                <w:rFonts w:ascii="Arial" w:cs="Arial" w:eastAsia="Arial" w:hAnsi="Arial"/>
                <w:sz w:val="14"/>
                <w:szCs w:val="14"/>
                <w:color w:val="auto"/>
              </w:rPr>
              <w:t>Other current assets</w:t>
            </w:r>
          </w:p>
        </w:tc>
        <w:tc>
          <w:tcPr>
            <w:tcW w:w="34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(21,268)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8,375</w:t>
            </w:r>
          </w:p>
        </w:tc>
        <w:tc>
          <w:tcPr>
            <w:tcW w:w="0" w:type="dxa"/>
            <w:vAlign w:val="bottom"/>
          </w:tcPr>
          <w:p>
            <w:pPr>
              <w:spacing w:after="0"/>
              <w:rPr>
                <w:sz w:val="1"/>
                <w:szCs w:val="1"/>
                <w:color w:val="auto"/>
              </w:rPr>
            </w:pPr>
          </w:p>
        </w:tc>
      </w:tr>
      <w:tr>
        <w:trPr>
          <w:trHeight w:val="176"/>
        </w:trPr>
        <w:tc>
          <w:tcPr>
            <w:tcW w:w="8520" w:type="dxa"/>
            <w:vAlign w:val="bottom"/>
          </w:tcPr>
          <w:p>
            <w:pPr>
              <w:ind w:left="280"/>
              <w:spacing w:after="0"/>
              <w:rPr>
                <w:sz w:val="20"/>
                <w:szCs w:val="20"/>
                <w:color w:val="auto"/>
              </w:rPr>
            </w:pPr>
            <w:r>
              <w:rPr>
                <w:rFonts w:ascii="Arial" w:cs="Arial" w:eastAsia="Arial" w:hAnsi="Arial"/>
                <w:sz w:val="14"/>
                <w:szCs w:val="14"/>
                <w:color w:val="auto"/>
              </w:rPr>
              <w:t>Other long-term assets</w:t>
            </w:r>
          </w:p>
        </w:tc>
        <w:tc>
          <w:tcPr>
            <w:tcW w:w="34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(22,993)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(763)</w:t>
            </w:r>
          </w:p>
        </w:tc>
        <w:tc>
          <w:tcPr>
            <w:tcW w:w="0" w:type="dxa"/>
            <w:vAlign w:val="bottom"/>
          </w:tcPr>
          <w:p>
            <w:pPr>
              <w:spacing w:after="0"/>
              <w:rPr>
                <w:sz w:val="1"/>
                <w:szCs w:val="1"/>
                <w:color w:val="auto"/>
              </w:rPr>
            </w:pPr>
          </w:p>
        </w:tc>
      </w:tr>
      <w:tr>
        <w:trPr>
          <w:trHeight w:val="176"/>
        </w:trPr>
        <w:tc>
          <w:tcPr>
            <w:tcW w:w="8520" w:type="dxa"/>
            <w:vAlign w:val="bottom"/>
          </w:tcPr>
          <w:p>
            <w:pPr>
              <w:ind w:left="280"/>
              <w:spacing w:after="0"/>
              <w:rPr>
                <w:sz w:val="20"/>
                <w:szCs w:val="20"/>
                <w:color w:val="auto"/>
              </w:rPr>
            </w:pPr>
            <w:r>
              <w:rPr>
                <w:rFonts w:ascii="Arial" w:cs="Arial" w:eastAsia="Arial" w:hAnsi="Arial"/>
                <w:sz w:val="14"/>
                <w:szCs w:val="14"/>
                <w:color w:val="auto"/>
              </w:rPr>
              <w:t>Accounts payables, other current liabilities, and taxes payable</w:t>
            </w:r>
          </w:p>
        </w:tc>
        <w:tc>
          <w:tcPr>
            <w:tcW w:w="3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16,523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42,463</w:t>
            </w:r>
          </w:p>
        </w:tc>
        <w:tc>
          <w:tcPr>
            <w:tcW w:w="0" w:type="dxa"/>
            <w:vAlign w:val="bottom"/>
          </w:tcPr>
          <w:p>
            <w:pPr>
              <w:spacing w:after="0"/>
              <w:rPr>
                <w:sz w:val="1"/>
                <w:szCs w:val="1"/>
                <w:color w:val="auto"/>
              </w:rPr>
            </w:pPr>
          </w:p>
        </w:tc>
      </w:tr>
      <w:tr>
        <w:trPr>
          <w:trHeight w:val="176"/>
        </w:trPr>
        <w:tc>
          <w:tcPr>
            <w:tcW w:w="8520" w:type="dxa"/>
            <w:vAlign w:val="bottom"/>
          </w:tcPr>
          <w:p>
            <w:pPr>
              <w:ind w:left="280"/>
              <w:spacing w:after="0"/>
              <w:rPr>
                <w:sz w:val="20"/>
                <w:szCs w:val="20"/>
                <w:color w:val="auto"/>
              </w:rPr>
            </w:pPr>
            <w:r>
              <w:rPr>
                <w:rFonts w:ascii="Arial" w:cs="Arial" w:eastAsia="Arial" w:hAnsi="Arial"/>
                <w:sz w:val="14"/>
                <w:szCs w:val="14"/>
                <w:color w:val="auto"/>
              </w:rPr>
              <w:t>Wages and benefits payable</w:t>
            </w:r>
          </w:p>
        </w:tc>
        <w:tc>
          <w:tcPr>
            <w:tcW w:w="34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(21,531)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19,648</w:t>
            </w:r>
          </w:p>
        </w:tc>
        <w:tc>
          <w:tcPr>
            <w:tcW w:w="0" w:type="dxa"/>
            <w:vAlign w:val="bottom"/>
          </w:tcPr>
          <w:p>
            <w:pPr>
              <w:spacing w:after="0"/>
              <w:rPr>
                <w:sz w:val="1"/>
                <w:szCs w:val="1"/>
                <w:color w:val="auto"/>
              </w:rPr>
            </w:pPr>
          </w:p>
        </w:tc>
      </w:tr>
      <w:tr>
        <w:trPr>
          <w:trHeight w:val="176"/>
        </w:trPr>
        <w:tc>
          <w:tcPr>
            <w:tcW w:w="8520" w:type="dxa"/>
            <w:vAlign w:val="bottom"/>
          </w:tcPr>
          <w:p>
            <w:pPr>
              <w:ind w:left="280"/>
              <w:spacing w:after="0"/>
              <w:rPr>
                <w:sz w:val="20"/>
                <w:szCs w:val="20"/>
                <w:color w:val="auto"/>
              </w:rPr>
            </w:pPr>
            <w:r>
              <w:rPr>
                <w:rFonts w:ascii="Arial" w:cs="Arial" w:eastAsia="Arial" w:hAnsi="Arial"/>
                <w:sz w:val="14"/>
                <w:szCs w:val="14"/>
                <w:color w:val="auto"/>
              </w:rPr>
              <w:t>Unearned revenue</w:t>
            </w:r>
          </w:p>
        </w:tc>
        <w:tc>
          <w:tcPr>
            <w:tcW w:w="3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24,159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2,365</w:t>
            </w:r>
          </w:p>
        </w:tc>
        <w:tc>
          <w:tcPr>
            <w:tcW w:w="0" w:type="dxa"/>
            <w:vAlign w:val="bottom"/>
          </w:tcPr>
          <w:p>
            <w:pPr>
              <w:spacing w:after="0"/>
              <w:rPr>
                <w:sz w:val="1"/>
                <w:szCs w:val="1"/>
                <w:color w:val="auto"/>
              </w:rPr>
            </w:pPr>
          </w:p>
        </w:tc>
      </w:tr>
      <w:tr>
        <w:trPr>
          <w:trHeight w:val="176"/>
        </w:trPr>
        <w:tc>
          <w:tcPr>
            <w:tcW w:w="8520" w:type="dxa"/>
            <w:vAlign w:val="bottom"/>
          </w:tcPr>
          <w:p>
            <w:pPr>
              <w:ind w:left="280"/>
              <w:spacing w:after="0"/>
              <w:rPr>
                <w:sz w:val="20"/>
                <w:szCs w:val="20"/>
                <w:color w:val="auto"/>
              </w:rPr>
            </w:pPr>
            <w:r>
              <w:rPr>
                <w:rFonts w:ascii="Arial" w:cs="Arial" w:eastAsia="Arial" w:hAnsi="Arial"/>
                <w:sz w:val="14"/>
                <w:szCs w:val="14"/>
                <w:color w:val="auto"/>
              </w:rPr>
              <w:t>Warranty</w:t>
            </w:r>
          </w:p>
        </w:tc>
        <w:tc>
          <w:tcPr>
            <w:tcW w:w="3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9,510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14,355</w:t>
            </w:r>
          </w:p>
        </w:tc>
        <w:tc>
          <w:tcPr>
            <w:tcW w:w="0" w:type="dxa"/>
            <w:vAlign w:val="bottom"/>
          </w:tcPr>
          <w:p>
            <w:pPr>
              <w:spacing w:after="0"/>
              <w:rPr>
                <w:sz w:val="1"/>
                <w:szCs w:val="1"/>
                <w:color w:val="auto"/>
              </w:rPr>
            </w:pPr>
          </w:p>
        </w:tc>
      </w:tr>
      <w:tr>
        <w:trPr>
          <w:trHeight w:val="181"/>
        </w:trPr>
        <w:tc>
          <w:tcPr>
            <w:tcW w:w="8520" w:type="dxa"/>
            <w:vAlign w:val="bottom"/>
          </w:tcPr>
          <w:p>
            <w:pPr>
              <w:ind w:left="280"/>
              <w:spacing w:after="0"/>
              <w:rPr>
                <w:sz w:val="20"/>
                <w:szCs w:val="20"/>
                <w:color w:val="auto"/>
              </w:rPr>
            </w:pPr>
            <w:r>
              <w:rPr>
                <w:rFonts w:ascii="Arial" w:cs="Arial" w:eastAsia="Arial" w:hAnsi="Arial"/>
                <w:sz w:val="14"/>
                <w:szCs w:val="14"/>
                <w:color w:val="auto"/>
              </w:rPr>
              <w:t>Other operating, net</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2,726</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(3,949)</w:t>
            </w:r>
          </w:p>
        </w:tc>
        <w:tc>
          <w:tcPr>
            <w:tcW w:w="0" w:type="dxa"/>
            <w:vAlign w:val="bottom"/>
          </w:tcPr>
          <w:p>
            <w:pPr>
              <w:spacing w:after="0"/>
              <w:rPr>
                <w:sz w:val="1"/>
                <w:szCs w:val="1"/>
                <w:color w:val="auto"/>
              </w:rPr>
            </w:pPr>
          </w:p>
        </w:tc>
      </w:tr>
      <w:tr>
        <w:trPr>
          <w:trHeight w:val="176"/>
        </w:trPr>
        <w:tc>
          <w:tcPr>
            <w:tcW w:w="8520" w:type="dxa"/>
            <w:vAlign w:val="bottom"/>
          </w:tcPr>
          <w:p>
            <w:pPr>
              <w:ind w:left="54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87,692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117,086</w:t>
            </w:r>
          </w:p>
        </w:tc>
        <w:tc>
          <w:tcPr>
            <w:tcW w:w="0" w:type="dxa"/>
            <w:vAlign w:val="bottom"/>
          </w:tcPr>
          <w:p>
            <w:pPr>
              <w:spacing w:after="0"/>
              <w:rPr>
                <w:sz w:val="1"/>
                <w:szCs w:val="1"/>
                <w:color w:val="auto"/>
              </w:rPr>
            </w:pPr>
          </w:p>
        </w:tc>
      </w:tr>
      <w:tr>
        <w:trPr>
          <w:trHeight w:val="339"/>
        </w:trPr>
        <w:tc>
          <w:tcPr>
            <w:tcW w:w="8520" w:type="dxa"/>
            <w:vAlign w:val="bottom"/>
          </w:tcPr>
          <w:p>
            <w:pPr>
              <w:spacing w:after="0"/>
              <w:rPr>
                <w:sz w:val="20"/>
                <w:szCs w:val="20"/>
                <w:color w:val="auto"/>
              </w:rPr>
            </w:pPr>
            <w:r>
              <w:rPr>
                <w:rFonts w:ascii="Arial" w:cs="Arial" w:eastAsia="Arial" w:hAnsi="Arial"/>
                <w:sz w:val="14"/>
                <w:szCs w:val="14"/>
                <w:color w:val="auto"/>
              </w:rPr>
              <w:t>Investing activities</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520" w:type="dxa"/>
            <w:vAlign w:val="bottom"/>
          </w:tcPr>
          <w:p>
            <w:pPr>
              <w:ind w:left="280"/>
              <w:spacing w:after="0"/>
              <w:rPr>
                <w:sz w:val="20"/>
                <w:szCs w:val="20"/>
                <w:color w:val="auto"/>
              </w:rPr>
            </w:pPr>
            <w:r>
              <w:rPr>
                <w:rFonts w:ascii="Arial" w:cs="Arial" w:eastAsia="Arial" w:hAnsi="Arial"/>
                <w:sz w:val="14"/>
                <w:szCs w:val="14"/>
                <w:color w:val="auto"/>
              </w:rPr>
              <w:t>Acquisitions of property, plant, and equipment</w:t>
            </w:r>
          </w:p>
        </w:tc>
        <w:tc>
          <w:tcPr>
            <w:tcW w:w="34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(28,712)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(27,716)</w:t>
            </w:r>
          </w:p>
        </w:tc>
        <w:tc>
          <w:tcPr>
            <w:tcW w:w="0" w:type="dxa"/>
            <w:vAlign w:val="bottom"/>
          </w:tcPr>
          <w:p>
            <w:pPr>
              <w:spacing w:after="0"/>
              <w:rPr>
                <w:sz w:val="1"/>
                <w:szCs w:val="1"/>
                <w:color w:val="auto"/>
              </w:rPr>
            </w:pPr>
          </w:p>
        </w:tc>
      </w:tr>
      <w:tr>
        <w:trPr>
          <w:trHeight w:val="176"/>
        </w:trPr>
        <w:tc>
          <w:tcPr>
            <w:tcW w:w="8520" w:type="dxa"/>
            <w:vAlign w:val="bottom"/>
          </w:tcPr>
          <w:p>
            <w:pPr>
              <w:ind w:left="280"/>
              <w:spacing w:after="0"/>
              <w:rPr>
                <w:sz w:val="20"/>
                <w:szCs w:val="20"/>
                <w:color w:val="auto"/>
              </w:rPr>
            </w:pPr>
            <w:r>
              <w:rPr>
                <w:rFonts w:ascii="Arial" w:cs="Arial" w:eastAsia="Arial" w:hAnsi="Arial"/>
                <w:sz w:val="14"/>
                <w:szCs w:val="14"/>
                <w:color w:val="auto"/>
              </w:rPr>
              <w:t>Business acquisition, net of cash equivalents acquired</w:t>
            </w:r>
          </w:p>
        </w:tc>
        <w:tc>
          <w:tcPr>
            <w:tcW w:w="34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(14,635)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520" w:type="dxa"/>
            <w:vAlign w:val="bottom"/>
          </w:tcPr>
          <w:p>
            <w:pPr>
              <w:ind w:left="280"/>
              <w:spacing w:after="0"/>
              <w:rPr>
                <w:sz w:val="20"/>
                <w:szCs w:val="20"/>
                <w:color w:val="auto"/>
              </w:rPr>
            </w:pPr>
            <w:r>
              <w:rPr>
                <w:rFonts w:ascii="Arial" w:cs="Arial" w:eastAsia="Arial" w:hAnsi="Arial"/>
                <w:sz w:val="14"/>
                <w:szCs w:val="14"/>
                <w:color w:val="auto"/>
              </w:rPr>
              <w:t>Other investing, net</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4,495</w:t>
            </w:r>
          </w:p>
        </w:tc>
        <w:tc>
          <w:tcPr>
            <w:tcW w:w="0" w:type="dxa"/>
            <w:vAlign w:val="bottom"/>
          </w:tcPr>
          <w:p>
            <w:pPr>
              <w:spacing w:after="0"/>
              <w:rPr>
                <w:sz w:val="1"/>
                <w:szCs w:val="1"/>
                <w:color w:val="auto"/>
              </w:rPr>
            </w:pPr>
          </w:p>
        </w:tc>
      </w:tr>
      <w:tr>
        <w:trPr>
          <w:trHeight w:val="176"/>
        </w:trPr>
        <w:tc>
          <w:tcPr>
            <w:tcW w:w="8520" w:type="dxa"/>
            <w:vAlign w:val="bottom"/>
          </w:tcPr>
          <w:p>
            <w:pPr>
              <w:ind w:left="54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(42,834)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(23,221)</w:t>
            </w:r>
          </w:p>
        </w:tc>
        <w:tc>
          <w:tcPr>
            <w:tcW w:w="0" w:type="dxa"/>
            <w:vAlign w:val="bottom"/>
          </w:tcPr>
          <w:p>
            <w:pPr>
              <w:spacing w:after="0"/>
              <w:rPr>
                <w:sz w:val="1"/>
                <w:szCs w:val="1"/>
                <w:color w:val="auto"/>
              </w:rPr>
            </w:pPr>
          </w:p>
        </w:tc>
      </w:tr>
      <w:tr>
        <w:trPr>
          <w:trHeight w:val="339"/>
        </w:trPr>
        <w:tc>
          <w:tcPr>
            <w:tcW w:w="8520" w:type="dxa"/>
            <w:vAlign w:val="bottom"/>
          </w:tcPr>
          <w:p>
            <w:pPr>
              <w:spacing w:after="0"/>
              <w:rPr>
                <w:sz w:val="20"/>
                <w:szCs w:val="20"/>
                <w:color w:val="auto"/>
              </w:rPr>
            </w:pPr>
            <w:r>
              <w:rPr>
                <w:rFonts w:ascii="Arial" w:cs="Arial" w:eastAsia="Arial" w:hAnsi="Arial"/>
                <w:sz w:val="14"/>
                <w:szCs w:val="14"/>
                <w:color w:val="auto"/>
              </w:rPr>
              <w:t>Financing activities</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520" w:type="dxa"/>
            <w:vAlign w:val="bottom"/>
          </w:tcPr>
          <w:p>
            <w:pPr>
              <w:ind w:left="280"/>
              <w:spacing w:after="0"/>
              <w:rPr>
                <w:sz w:val="20"/>
                <w:szCs w:val="20"/>
                <w:color w:val="auto"/>
              </w:rPr>
            </w:pPr>
            <w:r>
              <w:rPr>
                <w:rFonts w:ascii="Arial" w:cs="Arial" w:eastAsia="Arial" w:hAnsi="Arial"/>
                <w:sz w:val="14"/>
                <w:szCs w:val="14"/>
                <w:color w:val="auto"/>
              </w:rPr>
              <w:t>Payments on debt</w:t>
            </w:r>
          </w:p>
        </w:tc>
        <w:tc>
          <w:tcPr>
            <w:tcW w:w="34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(55,630)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(73,881)</w:t>
            </w:r>
          </w:p>
        </w:tc>
        <w:tc>
          <w:tcPr>
            <w:tcW w:w="0" w:type="dxa"/>
            <w:vAlign w:val="bottom"/>
          </w:tcPr>
          <w:p>
            <w:pPr>
              <w:spacing w:after="0"/>
              <w:rPr>
                <w:sz w:val="1"/>
                <w:szCs w:val="1"/>
                <w:color w:val="auto"/>
              </w:rPr>
            </w:pPr>
          </w:p>
        </w:tc>
      </w:tr>
      <w:tr>
        <w:trPr>
          <w:trHeight w:val="176"/>
        </w:trPr>
        <w:tc>
          <w:tcPr>
            <w:tcW w:w="8520" w:type="dxa"/>
            <w:vAlign w:val="bottom"/>
          </w:tcPr>
          <w:p>
            <w:pPr>
              <w:ind w:left="280"/>
              <w:spacing w:after="0"/>
              <w:rPr>
                <w:sz w:val="20"/>
                <w:szCs w:val="20"/>
                <w:color w:val="auto"/>
              </w:rPr>
            </w:pPr>
            <w:r>
              <w:rPr>
                <w:rFonts w:ascii="Arial" w:cs="Arial" w:eastAsia="Arial" w:hAnsi="Arial"/>
                <w:sz w:val="14"/>
                <w:szCs w:val="14"/>
                <w:color w:val="auto"/>
              </w:rPr>
              <w:t>Issuance of common stock</w:t>
            </w:r>
          </w:p>
        </w:tc>
        <w:tc>
          <w:tcPr>
            <w:tcW w:w="3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2,553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6,812</w:t>
            </w:r>
          </w:p>
        </w:tc>
        <w:tc>
          <w:tcPr>
            <w:tcW w:w="0" w:type="dxa"/>
            <w:vAlign w:val="bottom"/>
          </w:tcPr>
          <w:p>
            <w:pPr>
              <w:spacing w:after="0"/>
              <w:rPr>
                <w:sz w:val="1"/>
                <w:szCs w:val="1"/>
                <w:color w:val="auto"/>
              </w:rPr>
            </w:pPr>
          </w:p>
        </w:tc>
      </w:tr>
      <w:tr>
        <w:trPr>
          <w:trHeight w:val="181"/>
        </w:trPr>
        <w:tc>
          <w:tcPr>
            <w:tcW w:w="8520" w:type="dxa"/>
            <w:vAlign w:val="bottom"/>
          </w:tcPr>
          <w:p>
            <w:pPr>
              <w:ind w:left="280"/>
              <w:spacing w:after="0"/>
              <w:rPr>
                <w:sz w:val="20"/>
                <w:szCs w:val="20"/>
                <w:color w:val="auto"/>
              </w:rPr>
            </w:pPr>
            <w:r>
              <w:rPr>
                <w:rFonts w:ascii="Arial" w:cs="Arial" w:eastAsia="Arial" w:hAnsi="Arial"/>
                <w:sz w:val="14"/>
                <w:szCs w:val="14"/>
                <w:color w:val="auto"/>
              </w:rPr>
              <w:t>Other financing, net</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(2,237)</w:t>
            </w:r>
          </w:p>
        </w:tc>
        <w:tc>
          <w:tcPr>
            <w:tcW w:w="0" w:type="dxa"/>
            <w:vAlign w:val="bottom"/>
          </w:tcPr>
          <w:p>
            <w:pPr>
              <w:spacing w:after="0"/>
              <w:rPr>
                <w:sz w:val="1"/>
                <w:szCs w:val="1"/>
                <w:color w:val="auto"/>
              </w:rPr>
            </w:pPr>
          </w:p>
        </w:tc>
      </w:tr>
      <w:tr>
        <w:trPr>
          <w:trHeight w:val="176"/>
        </w:trPr>
        <w:tc>
          <w:tcPr>
            <w:tcW w:w="8520" w:type="dxa"/>
            <w:vAlign w:val="bottom"/>
          </w:tcPr>
          <w:p>
            <w:pPr>
              <w:ind w:left="540"/>
              <w:spacing w:after="0"/>
              <w:rPr>
                <w:sz w:val="20"/>
                <w:szCs w:val="20"/>
                <w:color w:val="auto"/>
              </w:rPr>
            </w:pPr>
            <w:r>
              <w:rPr>
                <w:rFonts w:ascii="Arial" w:cs="Arial" w:eastAsia="Arial" w:hAnsi="Arial"/>
                <w:sz w:val="14"/>
                <w:szCs w:val="14"/>
                <w:color w:val="auto"/>
              </w:rPr>
              <w:t>Net cash used in financing activities</w:t>
            </w:r>
          </w:p>
        </w:tc>
        <w:tc>
          <w:tcPr>
            <w:tcW w:w="34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(53,396)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(69,306)</w:t>
            </w:r>
          </w:p>
        </w:tc>
        <w:tc>
          <w:tcPr>
            <w:tcW w:w="0" w:type="dxa"/>
            <w:vAlign w:val="bottom"/>
          </w:tcPr>
          <w:p>
            <w:pPr>
              <w:spacing w:after="0"/>
              <w:rPr>
                <w:sz w:val="1"/>
                <w:szCs w:val="1"/>
                <w:color w:val="auto"/>
              </w:rPr>
            </w:pPr>
          </w:p>
        </w:tc>
      </w:tr>
      <w:tr>
        <w:trPr>
          <w:trHeight w:val="344"/>
        </w:trPr>
        <w:tc>
          <w:tcPr>
            <w:tcW w:w="8520" w:type="dxa"/>
            <w:vAlign w:val="bottom"/>
          </w:tcPr>
          <w:p>
            <w:pPr>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7,345</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(9,081)</w:t>
            </w:r>
          </w:p>
        </w:tc>
        <w:tc>
          <w:tcPr>
            <w:tcW w:w="0" w:type="dxa"/>
            <w:vAlign w:val="bottom"/>
          </w:tcPr>
          <w:p>
            <w:pPr>
              <w:spacing w:after="0"/>
              <w:rPr>
                <w:sz w:val="1"/>
                <w:szCs w:val="1"/>
                <w:color w:val="auto"/>
              </w:rPr>
            </w:pPr>
          </w:p>
        </w:tc>
      </w:tr>
      <w:tr>
        <w:trPr>
          <w:trHeight w:val="164"/>
        </w:trPr>
        <w:tc>
          <w:tcPr>
            <w:tcW w:w="8520" w:type="dxa"/>
            <w:vAlign w:val="bottom"/>
          </w:tcPr>
          <w:p>
            <w:pPr>
              <w:spacing w:after="0"/>
              <w:rPr>
                <w:sz w:val="20"/>
                <w:szCs w:val="20"/>
                <w:color w:val="auto"/>
              </w:rPr>
            </w:pPr>
            <w:r>
              <w:rPr>
                <w:rFonts w:ascii="Arial" w:cs="Arial" w:eastAsia="Arial" w:hAnsi="Arial"/>
                <w:sz w:val="14"/>
                <w:szCs w:val="14"/>
                <w:color w:val="auto"/>
              </w:rPr>
              <w:t>Increase (decrease) in cash and cash equivalents</w:t>
            </w:r>
          </w:p>
        </w:tc>
        <w:tc>
          <w:tcPr>
            <w:tcW w:w="34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(1,193)</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15,478</w:t>
            </w:r>
          </w:p>
        </w:tc>
        <w:tc>
          <w:tcPr>
            <w:tcW w:w="0" w:type="dxa"/>
            <w:vAlign w:val="bottom"/>
          </w:tcPr>
          <w:p>
            <w:pPr>
              <w:spacing w:after="0"/>
              <w:rPr>
                <w:sz w:val="1"/>
                <w:szCs w:val="1"/>
                <w:color w:val="auto"/>
              </w:rPr>
            </w:pPr>
          </w:p>
        </w:tc>
      </w:tr>
      <w:tr>
        <w:trPr>
          <w:trHeight w:val="181"/>
        </w:trPr>
        <w:tc>
          <w:tcPr>
            <w:tcW w:w="852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169,477</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121,893</w:t>
            </w:r>
          </w:p>
        </w:tc>
        <w:tc>
          <w:tcPr>
            <w:tcW w:w="0" w:type="dxa"/>
            <w:vAlign w:val="bottom"/>
          </w:tcPr>
          <w:p>
            <w:pPr>
              <w:spacing w:after="0"/>
              <w:rPr>
                <w:sz w:val="1"/>
                <w:szCs w:val="1"/>
                <w:color w:val="auto"/>
              </w:rPr>
            </w:pPr>
          </w:p>
        </w:tc>
      </w:tr>
      <w:tr>
        <w:trPr>
          <w:trHeight w:val="169"/>
        </w:trPr>
        <w:tc>
          <w:tcPr>
            <w:tcW w:w="852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168,284</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137,371</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22"/>
          <w:szCs w:val="22"/>
          <w:b w:val="1"/>
          <w:bCs w:val="1"/>
          <w:color w:val="auto"/>
        </w:rPr>
        <w:t>Itron,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About Non-GAAP Financial Measures</w:t>
      </w:r>
    </w:p>
    <w:p>
      <w:pPr>
        <w:spacing w:after="0" w:line="212"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The accompanying press release contains non-GAAP financial measures. To supplement our consolidated financial statements, which are prepared and presented in accordance with GAAP, we use certain non-GAAP financial measures, including non-GAAP operating expense, non-GAAP operating income, non-GAAP net income, non-GAAP diluted EPS, adjusted EBITDA, and free cash flow. The presentation of this financial information is not intended to be considered in isolation or as a substitute for, or superior to, the financial information prepared and presented in accordance with GAAP. For more information on these non-GAAP financial measures please see the table captioned “Reconciliations of Non-GAAP Financial Measures to Most Directly Comparable GAAP Financial Measures.”</w:t>
      </w:r>
    </w:p>
    <w:p>
      <w:pPr>
        <w:spacing w:after="0" w:line="178" w:lineRule="exact"/>
        <w:rPr>
          <w:sz w:val="20"/>
          <w:szCs w:val="20"/>
          <w:color w:val="auto"/>
        </w:rPr>
      </w:pPr>
    </w:p>
    <w:p>
      <w:pPr>
        <w:ind w:right="60"/>
        <w:spacing w:after="0" w:line="272" w:lineRule="auto"/>
        <w:rPr>
          <w:sz w:val="20"/>
          <w:szCs w:val="20"/>
          <w:color w:val="auto"/>
        </w:rPr>
      </w:pPr>
      <w:r>
        <w:rPr>
          <w:rFonts w:ascii="Arial" w:cs="Arial" w:eastAsia="Arial" w:hAnsi="Arial"/>
          <w:sz w:val="19"/>
          <w:szCs w:val="19"/>
          <w:color w:val="auto"/>
        </w:rPr>
        <w:t>We use these non-GAAP financial measures for financial and operational decision making and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non-recurring discrete cash and non-cash charges that are infrequent in nature such as purchase accounting adjustments, extinguishment of debt gains and losses or restructuring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help them analyze the health of our business.</w:t>
      </w:r>
    </w:p>
    <w:p>
      <w:pPr>
        <w:spacing w:after="0" w:line="200" w:lineRule="exact"/>
        <w:rPr>
          <w:sz w:val="20"/>
          <w:szCs w:val="20"/>
          <w:color w:val="auto"/>
        </w:rPr>
      </w:pPr>
    </w:p>
    <w:p>
      <w:pPr>
        <w:spacing w:after="0" w:line="209" w:lineRule="exact"/>
        <w:rPr>
          <w:sz w:val="20"/>
          <w:szCs w:val="20"/>
          <w:color w:val="auto"/>
        </w:rPr>
      </w:pPr>
    </w:p>
    <w:p>
      <w:pPr>
        <w:spacing w:after="0" w:line="271" w:lineRule="auto"/>
        <w:rPr>
          <w:sz w:val="20"/>
          <w:szCs w:val="20"/>
          <w:color w:val="auto"/>
        </w:rPr>
      </w:pPr>
      <w:r>
        <w:rPr>
          <w:rFonts w:ascii="Arial" w:cs="Arial" w:eastAsia="Arial" w:hAnsi="Arial"/>
          <w:sz w:val="19"/>
          <w:szCs w:val="19"/>
          <w:i w:val="1"/>
          <w:iCs w:val="1"/>
          <w:color w:val="auto"/>
        </w:rPr>
        <w:t xml:space="preserve">Non-GAAP operating expense and non-GAAP operating income </w:t>
      </w:r>
      <w:r>
        <w:rPr>
          <w:rFonts w:ascii="Arial" w:cs="Arial" w:eastAsia="Arial" w:hAnsi="Arial"/>
          <w:sz w:val="19"/>
          <w:szCs w:val="19"/>
          <w:color w:val="auto"/>
        </w:rPr>
        <w:t>– We define non-GAAP operating expense as operating expense</w:t>
      </w:r>
      <w:r>
        <w:rPr>
          <w:rFonts w:ascii="Arial" w:cs="Arial" w:eastAsia="Arial" w:hAnsi="Arial"/>
          <w:sz w:val="19"/>
          <w:szCs w:val="19"/>
          <w:i w:val="1"/>
          <w:iCs w:val="1"/>
          <w:color w:val="auto"/>
        </w:rPr>
        <w:t xml:space="preserve"> </w:t>
      </w:r>
      <w:r>
        <w:rPr>
          <w:rFonts w:ascii="Arial" w:cs="Arial" w:eastAsia="Arial" w:hAnsi="Arial"/>
          <w:sz w:val="19"/>
          <w:szCs w:val="19"/>
          <w:color w:val="auto"/>
        </w:rPr>
        <w:t>excluding the expenses related to the amortization of intangible assets and restructuring. We define non-GAAP operating income as operating income excluding the expenses related to the amortization of intangible assets and restructuring. We consider these non-GAAP financial measures to be useful metrics for management and investors because they exclude the effect of expenses that are related to previous acquisitions and restructurings. By excluding these expenses we believe that it is easier for management and investors to compare our financial results over multiple periods and analyze trends in our operations. For example, expenses related to amortization of intangible assets are now decreasing, which is improving GAAP operating margins, yet the improvement in GAAP operating margins due to this lower expense is not necessarily reflective of an improvement in our core business. There are some limitations related to the use of non-GAAP operating expense and non-GAAP operating income versus operating expense and operating income calculated in accordance with GAAP. Non-GAAP operating expense and non-GAAP operating income exclude some costs that are recurring. Additionally, the expenses that we exclude in our calculation of non-GAAP operating expense and non-GAAP operating income may differ from the expenses that our peer companies exclude when they report the results of their operations. We compensate for these limitations by providing specific information about the GAAP amounts we have excluded from our non-GAAP operating expense and non-GAAP operating income and evaluating non-GAAP operating expense and non-GAAP operating income together with GAAP operating expense and 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27202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 w:name="page13"/>
    <w:bookmarkEnd w:id="12"/>
    <w:p>
      <w:pPr>
        <w:spacing w:after="0" w:line="275" w:lineRule="auto"/>
        <w:rPr>
          <w:sz w:val="20"/>
          <w:szCs w:val="20"/>
          <w:color w:val="auto"/>
        </w:rPr>
      </w:pPr>
      <w:r>
        <w:rPr>
          <w:rFonts w:ascii="Arial" w:cs="Arial" w:eastAsia="Arial" w:hAnsi="Arial"/>
          <w:sz w:val="19"/>
          <w:szCs w:val="19"/>
          <w:i w:val="1"/>
          <w:iCs w:val="1"/>
          <w:color w:val="auto"/>
        </w:rPr>
        <w:t xml:space="preserve">Non-GAAP net income and non-GAAP diluted EPS </w:t>
      </w:r>
      <w:r>
        <w:rPr>
          <w:rFonts w:ascii="Arial" w:cs="Arial" w:eastAsia="Arial" w:hAnsi="Arial"/>
          <w:sz w:val="19"/>
          <w:szCs w:val="19"/>
          <w:color w:val="auto"/>
        </w:rPr>
        <w:t>– We define non-GAAP net income as net income excluding the expenses</w:t>
      </w:r>
      <w:r>
        <w:rPr>
          <w:rFonts w:ascii="Arial" w:cs="Arial" w:eastAsia="Arial" w:hAnsi="Arial"/>
          <w:sz w:val="19"/>
          <w:szCs w:val="19"/>
          <w:i w:val="1"/>
          <w:iCs w:val="1"/>
          <w:color w:val="auto"/>
        </w:rPr>
        <w:t xml:space="preserve"> </w:t>
      </w:r>
      <w:r>
        <w:rPr>
          <w:rFonts w:ascii="Arial" w:cs="Arial" w:eastAsia="Arial" w:hAnsi="Arial"/>
          <w:sz w:val="19"/>
          <w:szCs w:val="19"/>
          <w:color w:val="auto"/>
        </w:rPr>
        <w:t>associated with amortization of intangible assets, amortization of debt placement fees, amortization of convertible debt discount, and restructuring.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and GAAP diluted EPS.</w:t>
      </w:r>
    </w:p>
    <w:p>
      <w:pPr>
        <w:spacing w:after="0" w:line="159"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i w:val="1"/>
          <w:iCs w:val="1"/>
          <w:color w:val="auto"/>
        </w:rPr>
        <w:t xml:space="preserve">Adjusted EBITDA </w:t>
      </w:r>
      <w:r>
        <w:rPr>
          <w:rFonts w:ascii="Arial" w:cs="Arial" w:eastAsia="Arial" w:hAnsi="Arial"/>
          <w:sz w:val="19"/>
          <w:szCs w:val="19"/>
          <w:color w:val="auto"/>
        </w:rPr>
        <w:t>– We define adjusted EBITDA as net income (a) minus interest income, (b) plus interest expense, depreciation</w:t>
      </w:r>
      <w:r>
        <w:rPr>
          <w:rFonts w:ascii="Arial" w:cs="Arial" w:eastAsia="Arial" w:hAnsi="Arial"/>
          <w:sz w:val="19"/>
          <w:szCs w:val="19"/>
          <w:i w:val="1"/>
          <w:iCs w:val="1"/>
          <w:color w:val="auto"/>
        </w:rPr>
        <w:t xml:space="preserve"> </w:t>
      </w:r>
      <w:r>
        <w:rPr>
          <w:rFonts w:ascii="Arial" w:cs="Arial" w:eastAsia="Arial" w:hAnsi="Arial"/>
          <w:sz w:val="19"/>
          <w:szCs w:val="19"/>
          <w:color w:val="auto"/>
        </w:rPr>
        <w:t>and amortization of intangible asset expenses, and restructuring, and (c) exclude the tax expense or benefit. We believe that providing this financial measure is important for management and investors to understand our ability to service our debt as it is a measure of the cash generated by our core business.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Management compensates for this limitation by providing a reconciliation of this measure to GAAP net income.</w:t>
      </w:r>
    </w:p>
    <w:p>
      <w:pPr>
        <w:spacing w:after="0" w:line="158"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i w:val="1"/>
          <w:iCs w:val="1"/>
          <w:color w:val="auto"/>
        </w:rPr>
        <w:t xml:space="preserve">Free cash flow </w:t>
      </w:r>
      <w:r>
        <w:rPr>
          <w:rFonts w:ascii="Arial" w:cs="Arial" w:eastAsia="Arial" w:hAnsi="Arial"/>
          <w:sz w:val="21"/>
          <w:szCs w:val="21"/>
          <w:color w:val="auto"/>
        </w:rPr>
        <w:t>– We define free cash flow as net cash provided by operating activities less cash used for acquisitions of property,</w:t>
      </w:r>
      <w:r>
        <w:rPr>
          <w:rFonts w:ascii="Arial" w:cs="Arial" w:eastAsia="Arial" w:hAnsi="Arial"/>
          <w:sz w:val="21"/>
          <w:szCs w:val="21"/>
          <w:i w:val="1"/>
          <w:iCs w:val="1"/>
          <w:color w:val="auto"/>
        </w:rPr>
        <w:t xml:space="preserve"> </w:t>
      </w:r>
      <w:r>
        <w:rPr>
          <w:rFonts w:ascii="Arial" w:cs="Arial" w:eastAsia="Arial" w:hAnsi="Arial"/>
          <w:sz w:val="21"/>
          <w:szCs w:val="21"/>
          <w:color w:val="auto"/>
        </w:rPr>
        <w:t>plant, and equipment. We believe free cash flow provides investors with a relevant measure of liquidity and a useful basis for assessing our ability to fund our operations and repay our debt. The same limitations described above regarding our use of non-GAAP operating income apply to our use of free cash flow. We compensate for these limitations by providing specific information regarding the GAAP amounts and reconciling to free cash flow.</w:t>
      </w:r>
    </w:p>
    <w:p>
      <w:pPr>
        <w:spacing w:after="0" w:line="179"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The accompanying tables have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RECONCILIATIONS OF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MOST DIRECTLY COMPARABLE 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6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340" w:type="dxa"/>
            <w:vAlign w:val="bottom"/>
          </w:tcPr>
          <w:p>
            <w:pPr>
              <w:spacing w:after="0"/>
              <w:rPr>
                <w:sz w:val="15"/>
                <w:szCs w:val="15"/>
                <w:color w:val="auto"/>
              </w:rPr>
            </w:pPr>
          </w:p>
        </w:tc>
        <w:tc>
          <w:tcPr>
            <w:tcW w:w="2500" w:type="dxa"/>
            <w:vAlign w:val="bottom"/>
            <w:gridSpan w:val="4"/>
            <w:vMerge w:val="restart"/>
          </w:tcPr>
          <w:p>
            <w:pPr>
              <w:jc w:val="right"/>
              <w:ind w:right="428"/>
              <w:spacing w:after="0"/>
              <w:rPr>
                <w:sz w:val="20"/>
                <w:szCs w:val="20"/>
                <w:color w:val="auto"/>
              </w:rPr>
            </w:pPr>
            <w:r>
              <w:rPr>
                <w:rFonts w:ascii="Arial" w:cs="Arial" w:eastAsia="Arial" w:hAnsi="Arial"/>
                <w:sz w:val="14"/>
                <w:szCs w:val="14"/>
                <w:b w:val="1"/>
                <w:bCs w:val="1"/>
                <w:color w:val="auto"/>
                <w:w w:val="99"/>
              </w:rPr>
              <w:t>Three Months Ended June 30,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40" w:type="dxa"/>
            <w:vAlign w:val="bottom"/>
            <w:gridSpan w:val="4"/>
            <w:vMerge w:val="restart"/>
          </w:tcPr>
          <w:p>
            <w:pPr>
              <w:jc w:val="right"/>
              <w:ind w:right="40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4"/>
        </w:trPr>
        <w:tc>
          <w:tcPr>
            <w:tcW w:w="58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64"/>
        </w:trPr>
        <w:tc>
          <w:tcPr>
            <w:tcW w:w="5860" w:type="dxa"/>
            <w:vAlign w:val="bottom"/>
          </w:tcPr>
          <w:p>
            <w:pPr>
              <w:spacing w:after="0"/>
              <w:rPr>
                <w:sz w:val="20"/>
                <w:szCs w:val="20"/>
                <w:color w:val="auto"/>
              </w:rPr>
            </w:pPr>
            <w:r>
              <w:rPr>
                <w:rFonts w:ascii="Arial" w:cs="Arial" w:eastAsia="Arial" w:hAnsi="Arial"/>
                <w:sz w:val="14"/>
                <w:szCs w:val="14"/>
                <w:color w:val="auto"/>
              </w:rPr>
              <w:t>Non-GAAP operating expense:</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60" w:type="dxa"/>
            <w:vAlign w:val="bottom"/>
          </w:tcPr>
          <w:p>
            <w:pPr>
              <w:ind w:left="280"/>
              <w:spacing w:after="0"/>
              <w:rPr>
                <w:sz w:val="20"/>
                <w:szCs w:val="20"/>
                <w:color w:val="auto"/>
              </w:rPr>
            </w:pPr>
            <w:r>
              <w:rPr>
                <w:rFonts w:ascii="Arial" w:cs="Arial" w:eastAsia="Arial" w:hAnsi="Arial"/>
                <w:sz w:val="14"/>
                <w:szCs w:val="14"/>
                <w:color w:val="auto"/>
              </w:rPr>
              <w:t>GAAP operating expense - Itron North America</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54,219</w:t>
            </w:r>
          </w:p>
        </w:tc>
        <w:tc>
          <w:tcPr>
            <w:tcW w:w="5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45,588</w:t>
            </w:r>
          </w:p>
        </w:tc>
        <w:tc>
          <w:tcPr>
            <w:tcW w:w="3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105,148</w:t>
            </w:r>
          </w:p>
        </w:tc>
        <w:tc>
          <w:tcPr>
            <w:tcW w:w="4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91,711</w:t>
            </w:r>
          </w:p>
        </w:tc>
        <w:tc>
          <w:tcPr>
            <w:tcW w:w="0" w:type="dxa"/>
            <w:vAlign w:val="bottom"/>
          </w:tcPr>
          <w:p>
            <w:pPr>
              <w:spacing w:after="0"/>
              <w:rPr>
                <w:sz w:val="1"/>
                <w:szCs w:val="1"/>
                <w:color w:val="auto"/>
              </w:rPr>
            </w:pPr>
          </w:p>
        </w:tc>
      </w:tr>
      <w:tr>
        <w:trPr>
          <w:trHeight w:val="181"/>
        </w:trPr>
        <w:tc>
          <w:tcPr>
            <w:tcW w:w="5860" w:type="dxa"/>
            <w:vAlign w:val="bottom"/>
          </w:tcPr>
          <w:p>
            <w:pPr>
              <w:ind w:left="540"/>
              <w:spacing w:after="0"/>
              <w:rPr>
                <w:sz w:val="20"/>
                <w:szCs w:val="20"/>
                <w:color w:val="auto"/>
              </w:rPr>
            </w:pPr>
            <w:r>
              <w:rPr>
                <w:rFonts w:ascii="Arial" w:cs="Arial" w:eastAsia="Arial" w:hAnsi="Arial"/>
                <w:sz w:val="14"/>
                <w:szCs w:val="14"/>
                <w:color w:val="auto"/>
              </w:rPr>
              <w:t>Amortization of intangible assets - Itron North America</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(3,512)</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(4,085)</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(7,024)</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(8,170)</w:t>
            </w:r>
          </w:p>
        </w:tc>
        <w:tc>
          <w:tcPr>
            <w:tcW w:w="0" w:type="dxa"/>
            <w:vAlign w:val="bottom"/>
          </w:tcPr>
          <w:p>
            <w:pPr>
              <w:spacing w:after="0"/>
              <w:rPr>
                <w:sz w:val="1"/>
                <w:szCs w:val="1"/>
                <w:color w:val="auto"/>
              </w:rPr>
            </w:pPr>
          </w:p>
        </w:tc>
      </w:tr>
      <w:tr>
        <w:trPr>
          <w:trHeight w:val="169"/>
        </w:trPr>
        <w:tc>
          <w:tcPr>
            <w:tcW w:w="5860" w:type="dxa"/>
            <w:vAlign w:val="bottom"/>
          </w:tcPr>
          <w:p>
            <w:pPr>
              <w:ind w:left="280"/>
              <w:spacing w:after="0"/>
              <w:rPr>
                <w:sz w:val="20"/>
                <w:szCs w:val="20"/>
                <w:color w:val="auto"/>
              </w:rPr>
            </w:pPr>
            <w:r>
              <w:rPr>
                <w:rFonts w:ascii="Arial" w:cs="Arial" w:eastAsia="Arial" w:hAnsi="Arial"/>
                <w:sz w:val="14"/>
                <w:szCs w:val="14"/>
                <w:color w:val="auto"/>
              </w:rPr>
              <w:t>Non-GAAP operating expense - Itron North America</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50,707</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41,503</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98,124</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83,541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860" w:type="dxa"/>
            <w:vAlign w:val="bottom"/>
          </w:tcPr>
          <w:p>
            <w:pPr>
              <w:ind w:left="280"/>
              <w:spacing w:after="0"/>
              <w:rPr>
                <w:sz w:val="20"/>
                <w:szCs w:val="20"/>
                <w:color w:val="auto"/>
              </w:rPr>
            </w:pPr>
            <w:r>
              <w:rPr>
                <w:rFonts w:ascii="Arial" w:cs="Arial" w:eastAsia="Arial" w:hAnsi="Arial"/>
                <w:sz w:val="14"/>
                <w:szCs w:val="14"/>
                <w:color w:val="auto"/>
              </w:rPr>
              <w:t>GAAP operating expense - Itron International</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77,642</w:t>
            </w:r>
          </w:p>
        </w:tc>
        <w:tc>
          <w:tcPr>
            <w:tcW w:w="5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68,067</w:t>
            </w:r>
          </w:p>
        </w:tc>
        <w:tc>
          <w:tcPr>
            <w:tcW w:w="3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150,802</w:t>
            </w:r>
          </w:p>
        </w:tc>
        <w:tc>
          <w:tcPr>
            <w:tcW w:w="4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136,535</w:t>
            </w:r>
          </w:p>
        </w:tc>
        <w:tc>
          <w:tcPr>
            <w:tcW w:w="0" w:type="dxa"/>
            <w:vAlign w:val="bottom"/>
          </w:tcPr>
          <w:p>
            <w:pPr>
              <w:spacing w:after="0"/>
              <w:rPr>
                <w:sz w:val="1"/>
                <w:szCs w:val="1"/>
                <w:color w:val="auto"/>
              </w:rPr>
            </w:pPr>
          </w:p>
        </w:tc>
      </w:tr>
      <w:tr>
        <w:trPr>
          <w:trHeight w:val="176"/>
        </w:trPr>
        <w:tc>
          <w:tcPr>
            <w:tcW w:w="5860" w:type="dxa"/>
            <w:vAlign w:val="bottom"/>
          </w:tcPr>
          <w:p>
            <w:pPr>
              <w:ind w:left="540"/>
              <w:spacing w:after="0"/>
              <w:rPr>
                <w:sz w:val="20"/>
                <w:szCs w:val="20"/>
                <w:color w:val="auto"/>
              </w:rPr>
            </w:pPr>
            <w:r>
              <w:rPr>
                <w:rFonts w:ascii="Arial" w:cs="Arial" w:eastAsia="Arial" w:hAnsi="Arial"/>
                <w:sz w:val="14"/>
                <w:szCs w:val="14"/>
                <w:color w:val="auto"/>
              </w:rPr>
              <w:t>Amortization of intangible assets - Itron International</w:t>
            </w:r>
          </w:p>
        </w:tc>
        <w:tc>
          <w:tcPr>
            <w:tcW w:w="34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(12,685)</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(12,681)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(24,770)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(26,407)</w:t>
            </w:r>
          </w:p>
        </w:tc>
        <w:tc>
          <w:tcPr>
            <w:tcW w:w="0" w:type="dxa"/>
            <w:vAlign w:val="bottom"/>
          </w:tcPr>
          <w:p>
            <w:pPr>
              <w:spacing w:after="0"/>
              <w:rPr>
                <w:sz w:val="1"/>
                <w:szCs w:val="1"/>
                <w:color w:val="auto"/>
              </w:rPr>
            </w:pPr>
          </w:p>
        </w:tc>
      </w:tr>
      <w:tr>
        <w:trPr>
          <w:trHeight w:val="181"/>
        </w:trPr>
        <w:tc>
          <w:tcPr>
            <w:tcW w:w="5860" w:type="dxa"/>
            <w:vAlign w:val="bottom"/>
          </w:tcPr>
          <w:p>
            <w:pPr>
              <w:ind w:left="540"/>
              <w:spacing w:after="0"/>
              <w:rPr>
                <w:sz w:val="20"/>
                <w:szCs w:val="20"/>
                <w:color w:val="auto"/>
              </w:rPr>
            </w:pPr>
            <w:r>
              <w:rPr>
                <w:rFonts w:ascii="Arial" w:cs="Arial" w:eastAsia="Arial" w:hAnsi="Arial"/>
                <w:sz w:val="14"/>
                <w:szCs w:val="14"/>
                <w:color w:val="auto"/>
              </w:rPr>
              <w:t>Restructuring - Itron International</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(1,406)</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(1,406)</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860" w:type="dxa"/>
            <w:vAlign w:val="bottom"/>
          </w:tcPr>
          <w:p>
            <w:pPr>
              <w:ind w:left="280"/>
              <w:spacing w:after="0"/>
              <w:rPr>
                <w:sz w:val="20"/>
                <w:szCs w:val="20"/>
                <w:color w:val="auto"/>
              </w:rPr>
            </w:pPr>
            <w:r>
              <w:rPr>
                <w:rFonts w:ascii="Arial" w:cs="Arial" w:eastAsia="Arial" w:hAnsi="Arial"/>
                <w:sz w:val="14"/>
                <w:szCs w:val="14"/>
                <w:color w:val="auto"/>
              </w:rPr>
              <w:t>Non-GAAP operating expense - Itron International</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63,551</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55,386</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124,626</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110,128</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4"/>
                <w:szCs w:val="14"/>
                <w:color w:val="auto"/>
              </w:rPr>
              <w:t>Non-GAAP operating income:</w:t>
            </w: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60" w:type="dxa"/>
            <w:vAlign w:val="bottom"/>
          </w:tcPr>
          <w:p>
            <w:pPr>
              <w:ind w:left="280"/>
              <w:spacing w:after="0"/>
              <w:rPr>
                <w:sz w:val="20"/>
                <w:szCs w:val="20"/>
                <w:color w:val="auto"/>
              </w:rPr>
            </w:pPr>
            <w:r>
              <w:rPr>
                <w:rFonts w:ascii="Arial" w:cs="Arial" w:eastAsia="Arial" w:hAnsi="Arial"/>
                <w:sz w:val="14"/>
                <w:szCs w:val="14"/>
                <w:color w:val="auto"/>
              </w:rPr>
              <w:t>GAAP operating income</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48,085</w:t>
            </w:r>
          </w:p>
        </w:tc>
        <w:tc>
          <w:tcPr>
            <w:tcW w:w="5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50,009</w:t>
            </w:r>
          </w:p>
        </w:tc>
        <w:tc>
          <w:tcPr>
            <w:tcW w:w="3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98,174</w:t>
            </w:r>
          </w:p>
        </w:tc>
        <w:tc>
          <w:tcPr>
            <w:tcW w:w="4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81,628</w:t>
            </w:r>
          </w:p>
        </w:tc>
        <w:tc>
          <w:tcPr>
            <w:tcW w:w="0" w:type="dxa"/>
            <w:vAlign w:val="bottom"/>
          </w:tcPr>
          <w:p>
            <w:pPr>
              <w:spacing w:after="0"/>
              <w:rPr>
                <w:sz w:val="1"/>
                <w:szCs w:val="1"/>
                <w:color w:val="auto"/>
              </w:rPr>
            </w:pPr>
          </w:p>
        </w:tc>
      </w:tr>
      <w:tr>
        <w:trPr>
          <w:trHeight w:val="176"/>
        </w:trPr>
        <w:tc>
          <w:tcPr>
            <w:tcW w:w="5860" w:type="dxa"/>
            <w:vAlign w:val="bottom"/>
          </w:tcPr>
          <w:p>
            <w:pPr>
              <w:ind w:left="540"/>
              <w:spacing w:after="0"/>
              <w:rPr>
                <w:sz w:val="20"/>
                <w:szCs w:val="20"/>
                <w:color w:val="auto"/>
              </w:rPr>
            </w:pPr>
            <w:r>
              <w:rPr>
                <w:rFonts w:ascii="Arial" w:cs="Arial" w:eastAsia="Arial" w:hAnsi="Arial"/>
                <w:sz w:val="14"/>
                <w:szCs w:val="14"/>
                <w:color w:val="auto"/>
              </w:rPr>
              <w:t>Amortization of intangible assets</w:t>
            </w:r>
          </w:p>
        </w:tc>
        <w:tc>
          <w:tcPr>
            <w:tcW w:w="34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16,197</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16,766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31,794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34,577</w:t>
            </w:r>
          </w:p>
        </w:tc>
        <w:tc>
          <w:tcPr>
            <w:tcW w:w="0" w:type="dxa"/>
            <w:vAlign w:val="bottom"/>
          </w:tcPr>
          <w:p>
            <w:pPr>
              <w:spacing w:after="0"/>
              <w:rPr>
                <w:sz w:val="1"/>
                <w:szCs w:val="1"/>
                <w:color w:val="auto"/>
              </w:rPr>
            </w:pPr>
          </w:p>
        </w:tc>
      </w:tr>
      <w:tr>
        <w:trPr>
          <w:trHeight w:val="181"/>
        </w:trPr>
        <w:tc>
          <w:tcPr>
            <w:tcW w:w="5860" w:type="dxa"/>
            <w:vAlign w:val="bottom"/>
          </w:tcPr>
          <w:p>
            <w:pPr>
              <w:ind w:left="540"/>
              <w:spacing w:after="0"/>
              <w:rPr>
                <w:sz w:val="20"/>
                <w:szCs w:val="20"/>
                <w:color w:val="auto"/>
              </w:rPr>
            </w:pPr>
            <w:r>
              <w:rPr>
                <w:rFonts w:ascii="Arial" w:cs="Arial" w:eastAsia="Arial" w:hAnsi="Arial"/>
                <w:sz w:val="14"/>
                <w:szCs w:val="14"/>
                <w:color w:val="auto"/>
              </w:rPr>
              <w:t>Restructuring</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1,907</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1,907</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860" w:type="dxa"/>
            <w:vAlign w:val="bottom"/>
          </w:tcPr>
          <w:p>
            <w:pPr>
              <w:ind w:left="280"/>
              <w:spacing w:after="0"/>
              <w:rPr>
                <w:sz w:val="20"/>
                <w:szCs w:val="20"/>
                <w:color w:val="auto"/>
              </w:rPr>
            </w:pPr>
            <w:r>
              <w:rPr>
                <w:rFonts w:ascii="Arial" w:cs="Arial" w:eastAsia="Arial" w:hAnsi="Arial"/>
                <w:sz w:val="14"/>
                <w:szCs w:val="14"/>
                <w:color w:val="auto"/>
              </w:rPr>
              <w:t>Non-GAAP operating income</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66,189</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66,775</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131,875</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116,205</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4"/>
                <w:szCs w:val="14"/>
                <w:color w:val="auto"/>
              </w:rPr>
              <w:t>Non-GAAP net income:</w:t>
            </w: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60" w:type="dxa"/>
            <w:vAlign w:val="bottom"/>
          </w:tcPr>
          <w:p>
            <w:pPr>
              <w:ind w:left="280"/>
              <w:spacing w:after="0"/>
              <w:rPr>
                <w:sz w:val="20"/>
                <w:szCs w:val="20"/>
                <w:color w:val="auto"/>
              </w:rPr>
            </w:pPr>
            <w:r>
              <w:rPr>
                <w:rFonts w:ascii="Arial" w:cs="Arial" w:eastAsia="Arial" w:hAnsi="Arial"/>
                <w:sz w:val="14"/>
                <w:szCs w:val="14"/>
                <w:color w:val="auto"/>
              </w:rPr>
              <w:t>GAAP net income</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34,436</w:t>
            </w:r>
          </w:p>
        </w:tc>
        <w:tc>
          <w:tcPr>
            <w:tcW w:w="5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25,311</w:t>
            </w:r>
          </w:p>
        </w:tc>
        <w:tc>
          <w:tcPr>
            <w:tcW w:w="3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61,556</w:t>
            </w:r>
          </w:p>
        </w:tc>
        <w:tc>
          <w:tcPr>
            <w:tcW w:w="4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50,561</w:t>
            </w:r>
          </w:p>
        </w:tc>
        <w:tc>
          <w:tcPr>
            <w:tcW w:w="0" w:type="dxa"/>
            <w:vAlign w:val="bottom"/>
          </w:tcPr>
          <w:p>
            <w:pPr>
              <w:spacing w:after="0"/>
              <w:rPr>
                <w:sz w:val="1"/>
                <w:szCs w:val="1"/>
                <w:color w:val="auto"/>
              </w:rPr>
            </w:pPr>
          </w:p>
        </w:tc>
      </w:tr>
      <w:tr>
        <w:trPr>
          <w:trHeight w:val="176"/>
        </w:trPr>
        <w:tc>
          <w:tcPr>
            <w:tcW w:w="5860" w:type="dxa"/>
            <w:vAlign w:val="bottom"/>
          </w:tcPr>
          <w:p>
            <w:pPr>
              <w:ind w:left="540"/>
              <w:spacing w:after="0"/>
              <w:rPr>
                <w:sz w:val="20"/>
                <w:szCs w:val="20"/>
                <w:color w:val="auto"/>
              </w:rPr>
            </w:pPr>
            <w:r>
              <w:rPr>
                <w:rFonts w:ascii="Arial" w:cs="Arial" w:eastAsia="Arial" w:hAnsi="Arial"/>
                <w:sz w:val="14"/>
                <w:szCs w:val="14"/>
                <w:color w:val="auto"/>
              </w:rPr>
              <w:t>Amortization of intangible assets</w:t>
            </w:r>
          </w:p>
        </w:tc>
        <w:tc>
          <w:tcPr>
            <w:tcW w:w="34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16,197</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16,766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31,794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34,577</w:t>
            </w:r>
          </w:p>
        </w:tc>
        <w:tc>
          <w:tcPr>
            <w:tcW w:w="0" w:type="dxa"/>
            <w:vAlign w:val="bottom"/>
          </w:tcPr>
          <w:p>
            <w:pPr>
              <w:spacing w:after="0"/>
              <w:rPr>
                <w:sz w:val="1"/>
                <w:szCs w:val="1"/>
                <w:color w:val="auto"/>
              </w:rPr>
            </w:pPr>
          </w:p>
        </w:tc>
      </w:tr>
      <w:tr>
        <w:trPr>
          <w:trHeight w:val="176"/>
        </w:trPr>
        <w:tc>
          <w:tcPr>
            <w:tcW w:w="5860" w:type="dxa"/>
            <w:vAlign w:val="bottom"/>
          </w:tcPr>
          <w:p>
            <w:pPr>
              <w:ind w:left="540"/>
              <w:spacing w:after="0"/>
              <w:rPr>
                <w:sz w:val="20"/>
                <w:szCs w:val="20"/>
                <w:color w:val="auto"/>
              </w:rPr>
            </w:pPr>
            <w:r>
              <w:rPr>
                <w:rFonts w:ascii="Arial" w:cs="Arial" w:eastAsia="Arial" w:hAnsi="Arial"/>
                <w:sz w:val="14"/>
                <w:szCs w:val="14"/>
                <w:color w:val="auto"/>
              </w:rPr>
              <w:t>Amortization of debt placement fees</w:t>
            </w:r>
          </w:p>
        </w:tc>
        <w:tc>
          <w:tcPr>
            <w:tcW w:w="34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908</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1,458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2,162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2,659</w:t>
            </w:r>
          </w:p>
        </w:tc>
        <w:tc>
          <w:tcPr>
            <w:tcW w:w="0" w:type="dxa"/>
            <w:vAlign w:val="bottom"/>
          </w:tcPr>
          <w:p>
            <w:pPr>
              <w:spacing w:after="0"/>
              <w:rPr>
                <w:sz w:val="1"/>
                <w:szCs w:val="1"/>
                <w:color w:val="auto"/>
              </w:rPr>
            </w:pPr>
          </w:p>
        </w:tc>
      </w:tr>
      <w:tr>
        <w:trPr>
          <w:trHeight w:val="176"/>
        </w:trPr>
        <w:tc>
          <w:tcPr>
            <w:tcW w:w="5860" w:type="dxa"/>
            <w:vAlign w:val="bottom"/>
          </w:tcPr>
          <w:p>
            <w:pPr>
              <w:ind w:left="540"/>
              <w:spacing w:after="0"/>
              <w:rPr>
                <w:sz w:val="20"/>
                <w:szCs w:val="20"/>
                <w:color w:val="auto"/>
              </w:rPr>
            </w:pPr>
            <w:r>
              <w:rPr>
                <w:rFonts w:ascii="Arial" w:cs="Arial" w:eastAsia="Arial" w:hAnsi="Arial"/>
                <w:sz w:val="14"/>
                <w:szCs w:val="14"/>
                <w:color w:val="auto"/>
              </w:rPr>
              <w:t>Amortization of convertible debt discount</w:t>
            </w:r>
          </w:p>
        </w:tc>
        <w:tc>
          <w:tcPr>
            <w:tcW w:w="34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2,693</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2,501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5,336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4,957</w:t>
            </w:r>
          </w:p>
        </w:tc>
        <w:tc>
          <w:tcPr>
            <w:tcW w:w="0" w:type="dxa"/>
            <w:vAlign w:val="bottom"/>
          </w:tcPr>
          <w:p>
            <w:pPr>
              <w:spacing w:after="0"/>
              <w:rPr>
                <w:sz w:val="1"/>
                <w:szCs w:val="1"/>
                <w:color w:val="auto"/>
              </w:rPr>
            </w:pPr>
          </w:p>
        </w:tc>
      </w:tr>
      <w:tr>
        <w:trPr>
          <w:trHeight w:val="176"/>
        </w:trPr>
        <w:tc>
          <w:tcPr>
            <w:tcW w:w="5860" w:type="dxa"/>
            <w:vAlign w:val="bottom"/>
          </w:tcPr>
          <w:p>
            <w:pPr>
              <w:ind w:left="540"/>
              <w:spacing w:after="0"/>
              <w:rPr>
                <w:sz w:val="20"/>
                <w:szCs w:val="20"/>
                <w:color w:val="auto"/>
              </w:rPr>
            </w:pPr>
            <w:r>
              <w:rPr>
                <w:rFonts w:ascii="Arial" w:cs="Arial" w:eastAsia="Arial" w:hAnsi="Arial"/>
                <w:sz w:val="14"/>
                <w:szCs w:val="14"/>
                <w:color w:val="auto"/>
              </w:rPr>
              <w:t>Restructuring</w:t>
            </w:r>
          </w:p>
        </w:tc>
        <w:tc>
          <w:tcPr>
            <w:tcW w:w="34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1,907</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1,907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860" w:type="dxa"/>
            <w:vAlign w:val="bottom"/>
          </w:tcPr>
          <w:p>
            <w:pPr>
              <w:ind w:left="540"/>
              <w:spacing w:after="0"/>
              <w:rPr>
                <w:sz w:val="20"/>
                <w:szCs w:val="20"/>
                <w:color w:val="auto"/>
              </w:rPr>
            </w:pPr>
            <w:r>
              <w:rPr>
                <w:rFonts w:ascii="Arial" w:cs="Arial" w:eastAsia="Arial" w:hAnsi="Arial"/>
                <w:sz w:val="14"/>
                <w:szCs w:val="14"/>
                <w:color w:val="auto"/>
              </w:rPr>
              <w:t>Income tax effect of non-GAAP adjustments</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(6,995)</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(7,184)</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(13,091)</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(13,973)</w:t>
            </w:r>
          </w:p>
        </w:tc>
        <w:tc>
          <w:tcPr>
            <w:tcW w:w="0" w:type="dxa"/>
            <w:vAlign w:val="bottom"/>
          </w:tcPr>
          <w:p>
            <w:pPr>
              <w:spacing w:after="0"/>
              <w:rPr>
                <w:sz w:val="1"/>
                <w:szCs w:val="1"/>
                <w:color w:val="auto"/>
              </w:rPr>
            </w:pPr>
          </w:p>
        </w:tc>
      </w:tr>
      <w:tr>
        <w:trPr>
          <w:trHeight w:val="169"/>
        </w:trPr>
        <w:tc>
          <w:tcPr>
            <w:tcW w:w="5860" w:type="dxa"/>
            <w:vAlign w:val="bottom"/>
          </w:tcPr>
          <w:p>
            <w:pPr>
              <w:ind w:left="280"/>
              <w:spacing w:after="0"/>
              <w:rPr>
                <w:sz w:val="20"/>
                <w:szCs w:val="20"/>
                <w:color w:val="auto"/>
              </w:rPr>
            </w:pPr>
            <w:r>
              <w:rPr>
                <w:rFonts w:ascii="Arial" w:cs="Arial" w:eastAsia="Arial" w:hAnsi="Arial"/>
                <w:sz w:val="14"/>
                <w:szCs w:val="14"/>
                <w:color w:val="auto"/>
              </w:rPr>
              <w:t>Non-GAAP net income</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49,146</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38,852</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89,664</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78,781</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280"/>
              <w:spacing w:after="0"/>
              <w:rPr>
                <w:sz w:val="20"/>
                <w:szCs w:val="20"/>
                <w:color w:val="auto"/>
              </w:rPr>
            </w:pPr>
            <w:r>
              <w:rPr>
                <w:rFonts w:ascii="Arial" w:cs="Arial" w:eastAsia="Arial" w:hAnsi="Arial"/>
                <w:sz w:val="14"/>
                <w:szCs w:val="14"/>
                <w:color w:val="auto"/>
              </w:rPr>
              <w:t>Non-GAAP diluted EPS</w:t>
            </w: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60" w:type="dxa"/>
            <w:vAlign w:val="bottom"/>
            <w:vMerge w:val="continue"/>
          </w:tcPr>
          <w:p>
            <w:pPr>
              <w:spacing w:after="0"/>
              <w:rPr>
                <w:sz w:val="14"/>
                <w:szCs w:val="14"/>
                <w:color w:val="auto"/>
              </w:rPr>
            </w:pPr>
          </w:p>
        </w:tc>
        <w:tc>
          <w:tcPr>
            <w:tcW w:w="3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1.20</w:t>
            </w:r>
          </w:p>
        </w:tc>
        <w:tc>
          <w:tcPr>
            <w:tcW w:w="14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0.94</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860" w:type="dxa"/>
            <w:vAlign w:val="bottom"/>
          </w:tcPr>
          <w:p>
            <w:pPr>
              <w:ind w:left="280"/>
              <w:spacing w:after="0"/>
              <w:rPr>
                <w:sz w:val="20"/>
                <w:szCs w:val="20"/>
                <w:color w:val="auto"/>
              </w:rPr>
            </w:pPr>
            <w:r>
              <w:rPr>
                <w:rFonts w:ascii="Arial" w:cs="Arial" w:eastAsia="Arial" w:hAnsi="Arial"/>
                <w:sz w:val="14"/>
                <w:szCs w:val="14"/>
                <w:color w:val="auto"/>
              </w:rPr>
              <w:t>Weighted average common shares outstanding - Diluted</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41,077</w:t>
            </w:r>
          </w:p>
        </w:tc>
        <w:tc>
          <w:tcPr>
            <w:tcW w:w="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41,161</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41,059</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41,011</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4"/>
                <w:szCs w:val="14"/>
                <w:color w:val="auto"/>
              </w:rPr>
              <w:t>Adjusted EBITDA:</w:t>
            </w: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60" w:type="dxa"/>
            <w:vAlign w:val="bottom"/>
          </w:tcPr>
          <w:p>
            <w:pPr>
              <w:ind w:left="280"/>
              <w:spacing w:after="0"/>
              <w:rPr>
                <w:sz w:val="20"/>
                <w:szCs w:val="20"/>
                <w:color w:val="auto"/>
              </w:rPr>
            </w:pPr>
            <w:r>
              <w:rPr>
                <w:rFonts w:ascii="Arial" w:cs="Arial" w:eastAsia="Arial" w:hAnsi="Arial"/>
                <w:sz w:val="14"/>
                <w:szCs w:val="14"/>
                <w:color w:val="auto"/>
              </w:rPr>
              <w:t>GAAP net income</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34,436</w:t>
            </w:r>
          </w:p>
        </w:tc>
        <w:tc>
          <w:tcPr>
            <w:tcW w:w="5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25,311</w:t>
            </w:r>
          </w:p>
        </w:tc>
        <w:tc>
          <w:tcPr>
            <w:tcW w:w="3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61,556</w:t>
            </w:r>
          </w:p>
        </w:tc>
        <w:tc>
          <w:tcPr>
            <w:tcW w:w="4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50,561</w:t>
            </w:r>
          </w:p>
        </w:tc>
        <w:tc>
          <w:tcPr>
            <w:tcW w:w="0" w:type="dxa"/>
            <w:vAlign w:val="bottom"/>
          </w:tcPr>
          <w:p>
            <w:pPr>
              <w:spacing w:after="0"/>
              <w:rPr>
                <w:sz w:val="1"/>
                <w:szCs w:val="1"/>
                <w:color w:val="auto"/>
              </w:rPr>
            </w:pPr>
          </w:p>
        </w:tc>
      </w:tr>
      <w:tr>
        <w:trPr>
          <w:trHeight w:val="176"/>
        </w:trPr>
        <w:tc>
          <w:tcPr>
            <w:tcW w:w="5860" w:type="dxa"/>
            <w:vAlign w:val="bottom"/>
          </w:tcPr>
          <w:p>
            <w:pPr>
              <w:ind w:left="540"/>
              <w:spacing w:after="0"/>
              <w:rPr>
                <w:sz w:val="20"/>
                <w:szCs w:val="20"/>
                <w:color w:val="auto"/>
              </w:rPr>
            </w:pPr>
            <w:r>
              <w:rPr>
                <w:rFonts w:ascii="Arial" w:cs="Arial" w:eastAsia="Arial" w:hAnsi="Arial"/>
                <w:sz w:val="14"/>
                <w:szCs w:val="14"/>
                <w:color w:val="auto"/>
              </w:rPr>
              <w:t>Interest income</w:t>
            </w:r>
          </w:p>
        </w:tc>
        <w:tc>
          <w:tcPr>
            <w:tcW w:w="34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(168)</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76"/>
        </w:trPr>
        <w:tc>
          <w:tcPr>
            <w:tcW w:w="5860" w:type="dxa"/>
            <w:vAlign w:val="bottom"/>
          </w:tcPr>
          <w:p>
            <w:pPr>
              <w:ind w:left="540"/>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11,420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13,965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23,534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28,888</w:t>
            </w:r>
          </w:p>
        </w:tc>
        <w:tc>
          <w:tcPr>
            <w:tcW w:w="0" w:type="dxa"/>
            <w:vAlign w:val="bottom"/>
          </w:tcPr>
          <w:p>
            <w:pPr>
              <w:spacing w:after="0"/>
              <w:rPr>
                <w:sz w:val="1"/>
                <w:szCs w:val="1"/>
                <w:color w:val="auto"/>
              </w:rPr>
            </w:pPr>
          </w:p>
        </w:tc>
      </w:tr>
      <w:tr>
        <w:trPr>
          <w:trHeight w:val="176"/>
        </w:trPr>
        <w:tc>
          <w:tcPr>
            <w:tcW w:w="5860" w:type="dxa"/>
            <w:vAlign w:val="bottom"/>
          </w:tcPr>
          <w:p>
            <w:pPr>
              <w:ind w:left="540"/>
              <w:spacing w:after="0"/>
              <w:rPr>
                <w:sz w:val="20"/>
                <w:szCs w:val="20"/>
                <w:color w:val="auto"/>
              </w:rPr>
            </w:pPr>
            <w:r>
              <w:rPr>
                <w:rFonts w:ascii="Arial" w:cs="Arial" w:eastAsia="Arial" w:hAnsi="Arial"/>
                <w:sz w:val="14"/>
                <w:szCs w:val="14"/>
                <w:color w:val="auto"/>
              </w:rPr>
              <w:t>Income tax (benefit) provision</w:t>
            </w:r>
          </w:p>
        </w:tc>
        <w:tc>
          <w:tcPr>
            <w:tcW w:w="34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10,419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9,487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1,440</w:t>
            </w:r>
          </w:p>
        </w:tc>
        <w:tc>
          <w:tcPr>
            <w:tcW w:w="0" w:type="dxa"/>
            <w:vAlign w:val="bottom"/>
          </w:tcPr>
          <w:p>
            <w:pPr>
              <w:spacing w:after="0"/>
              <w:rPr>
                <w:sz w:val="1"/>
                <w:szCs w:val="1"/>
                <w:color w:val="auto"/>
              </w:rPr>
            </w:pPr>
          </w:p>
        </w:tc>
      </w:tr>
      <w:tr>
        <w:trPr>
          <w:trHeight w:val="176"/>
        </w:trPr>
        <w:tc>
          <w:tcPr>
            <w:tcW w:w="5860" w:type="dxa"/>
            <w:vAlign w:val="bottom"/>
          </w:tcPr>
          <w:p>
            <w:pPr>
              <w:ind w:left="5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32,768</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31,794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64,299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65,071</w:t>
            </w:r>
          </w:p>
        </w:tc>
        <w:tc>
          <w:tcPr>
            <w:tcW w:w="0" w:type="dxa"/>
            <w:vAlign w:val="bottom"/>
          </w:tcPr>
          <w:p>
            <w:pPr>
              <w:spacing w:after="0"/>
              <w:rPr>
                <w:sz w:val="1"/>
                <w:szCs w:val="1"/>
                <w:color w:val="auto"/>
              </w:rPr>
            </w:pPr>
          </w:p>
        </w:tc>
      </w:tr>
      <w:tr>
        <w:trPr>
          <w:trHeight w:val="181"/>
        </w:trPr>
        <w:tc>
          <w:tcPr>
            <w:tcW w:w="5860" w:type="dxa"/>
            <w:vAlign w:val="bottom"/>
          </w:tcPr>
          <w:p>
            <w:pPr>
              <w:ind w:left="540"/>
              <w:spacing w:after="0"/>
              <w:rPr>
                <w:sz w:val="20"/>
                <w:szCs w:val="20"/>
                <w:color w:val="auto"/>
              </w:rPr>
            </w:pPr>
            <w:r>
              <w:rPr>
                <w:rFonts w:ascii="Arial" w:cs="Arial" w:eastAsia="Arial" w:hAnsi="Arial"/>
                <w:sz w:val="14"/>
                <w:szCs w:val="14"/>
                <w:color w:val="auto"/>
              </w:rPr>
              <w:t>Restructuring</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1,907</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1,907</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860" w:type="dxa"/>
            <w:vAlign w:val="bottom"/>
          </w:tcPr>
          <w:p>
            <w:pPr>
              <w:ind w:left="280"/>
              <w:spacing w:after="0"/>
              <w:rPr>
                <w:sz w:val="20"/>
                <w:szCs w:val="20"/>
                <w:color w:val="auto"/>
              </w:rPr>
            </w:pPr>
            <w:r>
              <w:rPr>
                <w:rFonts w:ascii="Arial" w:cs="Arial" w:eastAsia="Arial" w:hAnsi="Arial"/>
                <w:sz w:val="14"/>
                <w:szCs w:val="14"/>
                <w:color w:val="auto"/>
              </w:rPr>
              <w:t>Adjusted EBITDA</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80,283</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81,378</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160,307</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145,682</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4"/>
                <w:szCs w:val="14"/>
                <w:color w:val="auto"/>
              </w:rPr>
              <w:t>Free Cash Flow:</w:t>
            </w: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60" w:type="dxa"/>
            <w:vAlign w:val="bottom"/>
          </w:tcPr>
          <w:p>
            <w:pPr>
              <w:ind w:left="54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51,679</w:t>
            </w:r>
          </w:p>
        </w:tc>
        <w:tc>
          <w:tcPr>
            <w:tcW w:w="5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51,307</w:t>
            </w:r>
          </w:p>
        </w:tc>
        <w:tc>
          <w:tcPr>
            <w:tcW w:w="3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87,692</w:t>
            </w:r>
          </w:p>
        </w:tc>
        <w:tc>
          <w:tcPr>
            <w:tcW w:w="4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117,086</w:t>
            </w:r>
          </w:p>
        </w:tc>
        <w:tc>
          <w:tcPr>
            <w:tcW w:w="0" w:type="dxa"/>
            <w:vAlign w:val="bottom"/>
          </w:tcPr>
          <w:p>
            <w:pPr>
              <w:spacing w:after="0"/>
              <w:rPr>
                <w:sz w:val="1"/>
                <w:szCs w:val="1"/>
                <w:color w:val="auto"/>
              </w:rPr>
            </w:pPr>
          </w:p>
        </w:tc>
      </w:tr>
      <w:tr>
        <w:trPr>
          <w:trHeight w:val="181"/>
        </w:trPr>
        <w:tc>
          <w:tcPr>
            <w:tcW w:w="5860" w:type="dxa"/>
            <w:vAlign w:val="bottom"/>
          </w:tcPr>
          <w:p>
            <w:pPr>
              <w:ind w:left="540"/>
              <w:spacing w:after="0"/>
              <w:rPr>
                <w:sz w:val="20"/>
                <w:szCs w:val="20"/>
                <w:color w:val="auto"/>
              </w:rPr>
            </w:pPr>
            <w:r>
              <w:rPr>
                <w:rFonts w:ascii="Arial" w:cs="Arial" w:eastAsia="Arial" w:hAnsi="Arial"/>
                <w:sz w:val="14"/>
                <w:szCs w:val="14"/>
                <w:color w:val="auto"/>
              </w:rPr>
              <w:t>Acquisitions of property, plant, and equipment</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(17,462)</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(11,565)</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(28,712)</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(27,716)</w:t>
            </w:r>
          </w:p>
        </w:tc>
        <w:tc>
          <w:tcPr>
            <w:tcW w:w="0" w:type="dxa"/>
            <w:vAlign w:val="bottom"/>
          </w:tcPr>
          <w:p>
            <w:pPr>
              <w:spacing w:after="0"/>
              <w:rPr>
                <w:sz w:val="1"/>
                <w:szCs w:val="1"/>
                <w:color w:val="auto"/>
              </w:rPr>
            </w:pPr>
          </w:p>
        </w:tc>
      </w:tr>
      <w:tr>
        <w:trPr>
          <w:trHeight w:val="169"/>
        </w:trPr>
        <w:tc>
          <w:tcPr>
            <w:tcW w:w="5860" w:type="dxa"/>
            <w:vAlign w:val="bottom"/>
          </w:tcPr>
          <w:p>
            <w:pPr>
              <w:ind w:left="280"/>
              <w:spacing w:after="0"/>
              <w:rPr>
                <w:sz w:val="20"/>
                <w:szCs w:val="20"/>
                <w:color w:val="auto"/>
              </w:rPr>
            </w:pPr>
            <w:r>
              <w:rPr>
                <w:rFonts w:ascii="Arial" w:cs="Arial" w:eastAsia="Arial" w:hAnsi="Arial"/>
                <w:sz w:val="14"/>
                <w:szCs w:val="14"/>
                <w:color w:val="auto"/>
              </w:rPr>
              <w:t>Free Cash Flow</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34,217</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39,742</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58,980</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89,370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Itron, Inc.</w:t>
      </w:r>
    </w:p>
    <w:p>
      <w:pPr>
        <w:spacing w:after="0" w:line="230" w:lineRule="auto"/>
        <w:rPr>
          <w:sz w:val="20"/>
          <w:szCs w:val="20"/>
          <w:color w:val="auto"/>
        </w:rPr>
      </w:pPr>
      <w:r>
        <w:rPr>
          <w:rFonts w:ascii="Arial" w:cs="Arial" w:eastAsia="Arial" w:hAnsi="Arial"/>
          <w:sz w:val="22"/>
          <w:szCs w:val="22"/>
          <w:color w:val="auto"/>
        </w:rPr>
        <w:t>Ranny Dwiggins, 509-891-3443</w:t>
      </w:r>
    </w:p>
    <w:p>
      <w:pPr>
        <w:spacing w:after="0" w:line="231" w:lineRule="auto"/>
        <w:rPr>
          <w:sz w:val="20"/>
          <w:szCs w:val="20"/>
          <w:color w:val="auto"/>
        </w:rPr>
      </w:pPr>
      <w:r>
        <w:rPr>
          <w:rFonts w:ascii="Arial" w:cs="Arial" w:eastAsia="Arial" w:hAnsi="Arial"/>
          <w:sz w:val="22"/>
          <w:szCs w:val="22"/>
          <w:color w:val="auto"/>
        </w:rPr>
        <w:t>Vice President,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ranny.dwiggins@itron.com</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2019-12-10T06:04:02Z</dcterms:created>
  <dcterms:modified xsi:type="dcterms:W3CDTF">2019-12-10T06:04:02Z</dcterms:modified>
</cp:coreProperties>
</file>