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228600</wp:posOffset>
            </wp:positionV>
            <wp:extent cx="21869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October 28, 2009</w:t>
      </w:r>
    </w:p>
    <w:p>
      <w:pPr>
        <w:spacing w:after="0" w:line="2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1574165</wp:posOffset>
            </wp:positionH>
            <wp:positionV relativeFrom="paragraph">
              <wp:posOffset>-130810</wp:posOffset>
            </wp:positionV>
            <wp:extent cx="3944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Washington</w:t>
            </w:r>
          </w:p>
        </w:tc>
        <w:tc>
          <w:tcPr>
            <w:tcW w:w="4380" w:type="dxa"/>
            <w:vAlign w:val="bottom"/>
            <w:gridSpan w:val="3"/>
          </w:tcPr>
          <w:p>
            <w:pPr>
              <w:jc w:val="right"/>
              <w:ind w:right="1210"/>
              <w:spacing w:after="0"/>
              <w:rPr>
                <w:sz w:val="20"/>
                <w:szCs w:val="20"/>
                <w:color w:val="auto"/>
              </w:rPr>
            </w:pPr>
            <w:r>
              <w:rPr>
                <w:rFonts w:ascii="Arial" w:cs="Arial" w:eastAsia="Arial" w:hAnsi="Arial"/>
                <w:sz w:val="18"/>
                <w:szCs w:val="18"/>
                <w:b w:val="1"/>
                <w:bCs w:val="1"/>
                <w:color w:val="auto"/>
              </w:rPr>
              <w:t>000-22418</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91-1011792</w:t>
            </w:r>
          </w:p>
        </w:tc>
      </w:tr>
      <w:tr>
        <w:trPr>
          <w:trHeight w:val="195"/>
        </w:trPr>
        <w:tc>
          <w:tcPr>
            <w:tcW w:w="3100" w:type="dxa"/>
            <w:vAlign w:val="bottom"/>
            <w:tcBorders>
              <w:top w:val="single" w:sz="8" w:color="auto"/>
            </w:tcBorders>
          </w:tcPr>
          <w:p>
            <w:pPr>
              <w:jc w:val="center"/>
              <w:ind w:left="570"/>
              <w:spacing w:after="0" w:line="195" w:lineRule="exact"/>
              <w:rPr>
                <w:sz w:val="20"/>
                <w:szCs w:val="20"/>
                <w:color w:val="auto"/>
              </w:rPr>
            </w:pPr>
            <w:r>
              <w:rPr>
                <w:rFonts w:ascii="Arial" w:cs="Arial" w:eastAsia="Arial" w:hAnsi="Arial"/>
                <w:sz w:val="18"/>
                <w:szCs w:val="18"/>
                <w:color w:val="auto"/>
                <w:w w:val="91"/>
              </w:rPr>
              <w:t>(State or Other Jurisdiction</w:t>
            </w:r>
          </w:p>
        </w:tc>
        <w:tc>
          <w:tcPr>
            <w:tcW w:w="6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(Commission File No.)</w:t>
            </w:r>
          </w:p>
        </w:tc>
        <w:tc>
          <w:tcPr>
            <w:tcW w:w="3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tcPr>
          <w:p>
            <w:pPr>
              <w:jc w:val="center"/>
              <w:ind w:right="63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left="570"/>
              <w:spacing w:after="0"/>
              <w:rPr>
                <w:sz w:val="20"/>
                <w:szCs w:val="20"/>
                <w:color w:val="auto"/>
              </w:rPr>
            </w:pPr>
            <w:r>
              <w:rPr>
                <w:rFonts w:ascii="Arial" w:cs="Arial" w:eastAsia="Arial" w:hAnsi="Arial"/>
                <w:sz w:val="18"/>
                <w:szCs w:val="18"/>
                <w:color w:val="auto"/>
                <w:w w:val="94"/>
              </w:rPr>
              <w:t>of Incorporation)</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630"/>
              <w:spacing w:after="0"/>
              <w:rPr>
                <w:sz w:val="20"/>
                <w:szCs w:val="20"/>
                <w:color w:val="auto"/>
              </w:rPr>
            </w:pPr>
            <w:r>
              <w:rPr>
                <w:rFonts w:ascii="Arial" w:cs="Arial" w:eastAsia="Arial" w:hAnsi="Arial"/>
                <w:sz w:val="18"/>
                <w:szCs w:val="18"/>
                <w:color w:val="auto"/>
                <w:w w:val="95"/>
              </w:rPr>
              <w:t>Identification No.)</w:t>
            </w:r>
          </w:p>
        </w:tc>
      </w:tr>
      <w:tr>
        <w:trPr>
          <w:trHeight w:val="675"/>
        </w:trPr>
        <w:tc>
          <w:tcPr>
            <w:tcW w:w="3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4"/>
          </w:tcPr>
          <w:p>
            <w:pPr>
              <w:jc w:val="center"/>
              <w:ind w:right="82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2900" w:type="dxa"/>
            <w:vAlign w:val="bottom"/>
            <w:tcBorders>
              <w:bottom w:val="single" w:sz="8" w:color="auto"/>
            </w:tcBorders>
          </w:tcPr>
          <w:p>
            <w:pPr>
              <w:spacing w:after="0"/>
              <w:rPr>
                <w:sz w:val="24"/>
                <w:szCs w:val="24"/>
                <w:color w:val="auto"/>
              </w:rPr>
            </w:pPr>
          </w:p>
        </w:tc>
      </w:tr>
      <w:tr>
        <w:trPr>
          <w:trHeight w:val="224"/>
        </w:trPr>
        <w:tc>
          <w:tcPr>
            <w:tcW w:w="3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780" w:type="dxa"/>
            <w:vAlign w:val="bottom"/>
            <w:gridSpan w:val="4"/>
          </w:tcPr>
          <w:p>
            <w:pPr>
              <w:jc w:val="center"/>
              <w:ind w:right="840"/>
              <w:spacing w:after="0"/>
              <w:rPr>
                <w:sz w:val="20"/>
                <w:szCs w:val="20"/>
                <w:color w:val="auto"/>
              </w:rPr>
            </w:pPr>
            <w:r>
              <w:rPr>
                <w:rFonts w:ascii="Arial" w:cs="Arial" w:eastAsia="Arial" w:hAnsi="Arial"/>
                <w:sz w:val="18"/>
                <w:szCs w:val="18"/>
                <w:color w:val="auto"/>
                <w:w w:val="92"/>
              </w:rPr>
              <w:t>(Address of Principal Executive Offices, Zip Code)</w:t>
            </w:r>
          </w:p>
        </w:tc>
        <w:tc>
          <w:tcPr>
            <w:tcW w:w="2900" w:type="dxa"/>
            <w:vAlign w:val="bottom"/>
          </w:tcPr>
          <w:p>
            <w:pPr>
              <w:spacing w:after="0"/>
              <w:rPr>
                <w:sz w:val="19"/>
                <w:szCs w:val="19"/>
                <w:color w:val="auto"/>
              </w:rPr>
            </w:pPr>
          </w:p>
        </w:tc>
      </w:tr>
      <w:tr>
        <w:trPr>
          <w:trHeight w:val="445"/>
        </w:trPr>
        <w:tc>
          <w:tcPr>
            <w:tcW w:w="31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0"/>
              </w:rPr>
              <w:t>(509) 924-9900</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24"/>
        </w:trPr>
        <w:tc>
          <w:tcPr>
            <w:tcW w:w="3100" w:type="dxa"/>
            <w:vAlign w:val="bottom"/>
          </w:tcPr>
          <w:p>
            <w:pPr>
              <w:spacing w:after="0"/>
              <w:rPr>
                <w:sz w:val="19"/>
                <w:szCs w:val="19"/>
                <w:color w:val="auto"/>
              </w:rPr>
            </w:pPr>
          </w:p>
        </w:tc>
        <w:tc>
          <w:tcPr>
            <w:tcW w:w="5420" w:type="dxa"/>
            <w:vAlign w:val="bottom"/>
            <w:gridSpan w:val="5"/>
          </w:tcPr>
          <w:p>
            <w:pPr>
              <w:jc w:val="center"/>
              <w:ind w:right="180"/>
              <w:spacing w:after="0"/>
              <w:rPr>
                <w:sz w:val="20"/>
                <w:szCs w:val="20"/>
                <w:color w:val="auto"/>
              </w:rPr>
            </w:pPr>
            <w:r>
              <w:rPr>
                <w:rFonts w:ascii="Arial" w:cs="Arial" w:eastAsia="Arial" w:hAnsi="Arial"/>
                <w:sz w:val="18"/>
                <w:szCs w:val="18"/>
                <w:color w:val="auto"/>
                <w:w w:val="91"/>
              </w:rPr>
              <w:t>(Registrant’s Telephone Number, Including Area Code)</w:t>
            </w:r>
          </w:p>
        </w:tc>
        <w:tc>
          <w:tcPr>
            <w:tcW w:w="2900" w:type="dxa"/>
            <w:vAlign w:val="bottom"/>
          </w:tcPr>
          <w:p>
            <w:pPr>
              <w:spacing w:after="0"/>
              <w:rPr>
                <w:sz w:val="19"/>
                <w:szCs w:val="19"/>
                <w:color w:val="auto"/>
              </w:rPr>
            </w:pPr>
          </w:p>
        </w:tc>
      </w:tr>
      <w:tr>
        <w:trPr>
          <w:trHeight w:val="445"/>
        </w:trPr>
        <w:tc>
          <w:tcPr>
            <w:tcW w:w="31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5"/>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24"/>
        </w:trPr>
        <w:tc>
          <w:tcPr>
            <w:tcW w:w="3100" w:type="dxa"/>
            <w:vAlign w:val="bottom"/>
          </w:tcPr>
          <w:p>
            <w:pPr>
              <w:spacing w:after="0"/>
              <w:rPr>
                <w:sz w:val="19"/>
                <w:szCs w:val="19"/>
                <w:color w:val="auto"/>
              </w:rPr>
            </w:pPr>
          </w:p>
        </w:tc>
        <w:tc>
          <w:tcPr>
            <w:tcW w:w="542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900" w:type="dxa"/>
            <w:vAlign w:val="bottom"/>
          </w:tcPr>
          <w:p>
            <w:pPr>
              <w:spacing w:after="0"/>
              <w:rPr>
                <w:sz w:val="19"/>
                <w:szCs w:val="19"/>
                <w:color w:val="auto"/>
              </w:rPr>
            </w:pPr>
          </w:p>
        </w:tc>
      </w:tr>
    </w:tbl>
    <w:p>
      <w:pPr>
        <w:spacing w:after="0" w:line="200" w:lineRule="exact"/>
        <w:rPr>
          <w:sz w:val="24"/>
          <w:szCs w:val="24"/>
          <w:color w:val="auto"/>
        </w:rPr>
      </w:pPr>
    </w:p>
    <w:p>
      <w:pPr>
        <w:spacing w:after="0" w:line="25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Written communications pursuant to Rule 425 under Securities Act (17 CFR 230.425)</w:t>
      </w:r>
    </w:p>
    <w:p>
      <w:pPr>
        <w:spacing w:after="0" w:line="23"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Soliciting material pursuant to Rule 14a-12 under the Exchange Act (17 CFR 240.14a-12)</w:t>
      </w:r>
    </w:p>
    <w:p>
      <w:pPr>
        <w:spacing w:after="0" w:line="9" w:lineRule="exact"/>
        <w:rPr>
          <w:sz w:val="24"/>
          <w:szCs w:val="24"/>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left="1300" w:right="260"/>
        <w:spacing w:after="0" w:line="308" w:lineRule="auto"/>
        <w:rPr>
          <w:sz w:val="20"/>
          <w:szCs w:val="20"/>
          <w:color w:val="auto"/>
        </w:rPr>
      </w:pPr>
      <w:r>
        <w:rPr>
          <w:rFonts w:ascii="Arial" w:cs="Arial" w:eastAsia="Arial" w:hAnsi="Arial"/>
          <w:sz w:val="17"/>
          <w:szCs w:val="17"/>
          <w:color w:val="auto"/>
        </w:rPr>
        <w:t>On October 28, 2009, Itron, Inc. issued a press release announcing their financial results for the three and nine months ending September 30, 2009. A copy of this press release and accompanying financial statements are attached as Exhibit 99.1.</w:t>
      </w:r>
    </w:p>
    <w:p>
      <w:pPr>
        <w:spacing w:after="0" w:line="200" w:lineRule="exact"/>
        <w:rPr>
          <w:sz w:val="20"/>
          <w:szCs w:val="20"/>
          <w:color w:val="auto"/>
        </w:rPr>
      </w:pP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(d) Exhibits.</w:t>
            </w:r>
          </w:p>
        </w:tc>
        <w:tc>
          <w:tcPr>
            <w:tcW w:w="9720" w:type="dxa"/>
            <w:vAlign w:val="bottom"/>
          </w:tcPr>
          <w:p>
            <w:pPr>
              <w:spacing w:after="0"/>
              <w:rPr>
                <w:sz w:val="20"/>
                <w:szCs w:val="20"/>
                <w:color w:val="auto"/>
              </w:rPr>
            </w:pPr>
          </w:p>
        </w:tc>
      </w:tr>
      <w:tr>
        <w:trPr>
          <w:trHeight w:val="466"/>
        </w:trPr>
        <w:tc>
          <w:tcPr>
            <w:tcW w:w="1700" w:type="dxa"/>
            <w:vAlign w:val="bottom"/>
            <w:gridSpan w:val="3"/>
          </w:tcPr>
          <w:p>
            <w:pPr>
              <w:spacing w:after="0"/>
              <w:rPr>
                <w:sz w:val="20"/>
                <w:szCs w:val="20"/>
                <w:color w:val="auto"/>
              </w:rPr>
            </w:pPr>
            <w:r>
              <w:rPr>
                <w:rFonts w:ascii="Arial" w:cs="Arial" w:eastAsia="Arial" w:hAnsi="Arial"/>
                <w:sz w:val="18"/>
                <w:szCs w:val="18"/>
                <w:color w:val="auto"/>
              </w:rPr>
              <w:t>Exhibit Number</w:t>
            </w:r>
          </w:p>
        </w:tc>
        <w:tc>
          <w:tcPr>
            <w:tcW w:w="9720" w:type="dxa"/>
            <w:vAlign w:val="bottom"/>
          </w:tcPr>
          <w:p>
            <w:pPr>
              <w:spacing w:after="0"/>
              <w:rPr>
                <w:sz w:val="20"/>
                <w:szCs w:val="20"/>
                <w:color w:val="auto"/>
              </w:rPr>
            </w:pPr>
            <w:r>
              <w:rPr>
                <w:rFonts w:ascii="Arial" w:cs="Arial" w:eastAsia="Arial" w:hAnsi="Arial"/>
                <w:sz w:val="18"/>
                <w:szCs w:val="18"/>
                <w:color w:val="auto"/>
              </w:rPr>
              <w:t>Description</w:t>
            </w:r>
          </w:p>
        </w:tc>
      </w:tr>
      <w:tr>
        <w:trPr>
          <w:trHeight w:val="392"/>
        </w:trPr>
        <w:tc>
          <w:tcPr>
            <w:tcW w:w="320" w:type="dxa"/>
            <w:vAlign w:val="bottom"/>
            <w:tcBorders>
              <w:top w:val="single" w:sz="8" w:color="auto"/>
              <w:bottom w:val="single" w:sz="8" w:color="0000EE"/>
            </w:tcBorders>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9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9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October 28, 2009.</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information presented in this Current Report on Form 8-K may contain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ITRON, INC.</w:t>
            </w:r>
          </w:p>
        </w:tc>
        <w:tc>
          <w:tcPr>
            <w:tcW w:w="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662"/>
        </w:trPr>
        <w:tc>
          <w:tcPr>
            <w:tcW w:w="3380" w:type="dxa"/>
            <w:vAlign w:val="bottom"/>
          </w:tcPr>
          <w:p>
            <w:pPr>
              <w:spacing w:after="0"/>
              <w:rPr>
                <w:sz w:val="20"/>
                <w:szCs w:val="20"/>
                <w:color w:val="auto"/>
              </w:rPr>
            </w:pPr>
            <w:r>
              <w:rPr>
                <w:rFonts w:ascii="Arial" w:cs="Arial" w:eastAsia="Arial" w:hAnsi="Arial"/>
                <w:sz w:val="18"/>
                <w:szCs w:val="18"/>
                <w:color w:val="auto"/>
              </w:rPr>
              <w:t>Dated: October 28, 2009</w:t>
            </w:r>
          </w:p>
        </w:tc>
        <w:tc>
          <w:tcPr>
            <w:tcW w:w="8040" w:type="dxa"/>
            <w:vAlign w:val="bottom"/>
            <w:gridSpan w:val="3"/>
          </w:tcPr>
          <w:p>
            <w:pPr>
              <w:ind w:left="80"/>
              <w:spacing w:after="0"/>
              <w:rPr>
                <w:sz w:val="20"/>
                <w:szCs w:val="20"/>
                <w:color w:val="auto"/>
              </w:rPr>
            </w:pPr>
            <w:r>
              <w:rPr>
                <w:rFonts w:ascii="Arial" w:cs="Arial" w:eastAsia="Arial" w:hAnsi="Arial"/>
                <w:sz w:val="18"/>
                <w:szCs w:val="18"/>
                <w:color w:val="auto"/>
              </w:rPr>
              <w:t>By: /s/ Steven M. Helmbrecht</w:t>
            </w: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Steven M. Helmbrecht</w:t>
            </w:r>
          </w:p>
        </w:tc>
        <w:tc>
          <w:tcPr>
            <w:tcW w:w="80" w:type="dxa"/>
            <w:vAlign w:val="bottom"/>
          </w:tcPr>
          <w:p>
            <w:pPr>
              <w:spacing w:after="0"/>
              <w:rPr>
                <w:sz w:val="19"/>
                <w:szCs w:val="19"/>
                <w:color w:val="auto"/>
              </w:rPr>
            </w:pPr>
          </w:p>
        </w:tc>
        <w:tc>
          <w:tcPr>
            <w:tcW w:w="4060" w:type="dxa"/>
            <w:vAlign w:val="bottom"/>
            <w:tcBorders>
              <w:top w:val="single" w:sz="8" w:color="auto"/>
            </w:tcBorders>
          </w:tcPr>
          <w:p>
            <w:pPr>
              <w:spacing w:after="0"/>
              <w:rPr>
                <w:sz w:val="19"/>
                <w:szCs w:val="19"/>
                <w:color w:val="auto"/>
              </w:rPr>
            </w:pPr>
          </w:p>
        </w:tc>
        <w:tc>
          <w:tcPr>
            <w:tcW w:w="3900" w:type="dxa"/>
            <w:vAlign w:val="bottom"/>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w w:val="93"/>
              </w:rPr>
              <w:t>Sr. Vice President and Chief Financial Officer</w:t>
            </w:r>
          </w:p>
        </w:tc>
        <w:tc>
          <w:tcPr>
            <w:tcW w:w="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902"/>
        </w:trPr>
        <w:tc>
          <w:tcPr>
            <w:tcW w:w="33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Number</w:t>
            </w:r>
          </w:p>
        </w:tc>
        <w:tc>
          <w:tcPr>
            <w:tcW w:w="460" w:type="dxa"/>
            <w:vAlign w:val="bottom"/>
          </w:tcPr>
          <w:p>
            <w:pPr>
              <w:spacing w:after="0"/>
              <w:rPr>
                <w:sz w:val="20"/>
                <w:szCs w:val="20"/>
                <w:color w:val="auto"/>
              </w:rPr>
            </w:pPr>
          </w:p>
        </w:tc>
        <w:tc>
          <w:tcPr>
            <w:tcW w:w="9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99.1</w:t>
            </w: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rPr>
              <w:t>Press release dated October 28, 2009.</w:t>
            </w:r>
          </w:p>
        </w:tc>
      </w:tr>
    </w:tbl>
    <w:p>
      <w:pPr>
        <w:sectPr>
          <w:pgSz w:w="11900" w:h="16838" w:orient="portrait"/>
          <w:cols w:equalWidth="0" w:num="1">
            <w:col w:w="11420"/>
          </w:cols>
          <w:pgMar w:left="240" w:top="124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ANNOUNCES THIRD QUARTER RESULTS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LIBERTY LAKE, WA. — October 28, 2009 — Itron, Inc. (NASDAQ:ITRI) today reported financial results for the three and nine 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2009. Financial results include:</w:t>
      </w:r>
    </w:p>
    <w:p>
      <w:pPr>
        <w:spacing w:after="0" w:line="238" w:lineRule="exact"/>
        <w:rPr>
          <w:sz w:val="20"/>
          <w:szCs w:val="20"/>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and nine-month revenues of $408 million and $1.2 billion;</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and nine-month non-GAAP diluted EPS of $0.45 and $1.28;</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and nine-month adjusted EBITDA of $41 million and $131 million;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twelve-month backlog of $749 million and total backlog of $1.6 billion.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expected, third quarter results reflect continued softness in the market,” said Malcolm Unsworth, president and CEO. “We are still being negatively affected by the economy, foreign currency exchange rates and lower order volumes as our customers await stimulus fund award announcements. On the positive side, we have now shipped more than 400,000 OpenWay units, our AMI deployments are gaining momentum and stimulus awards have been announced. We are confident and excited about the opportunities for growth next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p>
      <w:pPr>
        <w:spacing w:after="0" w:line="27" w:lineRule="exact"/>
        <w:rPr>
          <w:sz w:val="20"/>
          <w:szCs w:val="20"/>
          <w:color w:val="auto"/>
        </w:rPr>
      </w:pPr>
    </w:p>
    <w:p>
      <w:pPr>
        <w:jc w:val="both"/>
        <w:ind w:left="340" w:right="320"/>
        <w:spacing w:after="0" w:line="261" w:lineRule="auto"/>
        <w:rPr>
          <w:sz w:val="20"/>
          <w:szCs w:val="20"/>
          <w:color w:val="auto"/>
        </w:rPr>
      </w:pPr>
      <w:r>
        <w:rPr>
          <w:rFonts w:ascii="Arial" w:cs="Arial" w:eastAsia="Arial" w:hAnsi="Arial"/>
          <w:sz w:val="18"/>
          <w:szCs w:val="18"/>
          <w:b w:val="1"/>
          <w:bCs w:val="1"/>
          <w:i w:val="1"/>
          <w:iCs w:val="1"/>
          <w:color w:val="auto"/>
        </w:rPr>
        <w:t xml:space="preserve">Total Company </w:t>
      </w:r>
      <w:r>
        <w:rPr>
          <w:rFonts w:ascii="Arial" w:cs="Arial" w:eastAsia="Arial" w:hAnsi="Arial"/>
          <w:sz w:val="18"/>
          <w:szCs w:val="18"/>
          <w:color w:val="auto"/>
        </w:rPr>
        <w:t>- Revenues of $408 million for the third quarter and $1.21 billion for the first nine months of 2009 were 16% and 18% lower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 2008 revenues of $485 million and $1.48 billion.</w:t>
      </w:r>
    </w:p>
    <w:p>
      <w:pPr>
        <w:spacing w:after="0" w:line="211" w:lineRule="exact"/>
        <w:rPr>
          <w:sz w:val="20"/>
          <w:szCs w:val="20"/>
          <w:color w:val="auto"/>
        </w:rPr>
      </w:pPr>
    </w:p>
    <w:p>
      <w:pPr>
        <w:jc w:val="both"/>
        <w:ind w:left="340" w:right="320"/>
        <w:spacing w:after="0" w:line="259" w:lineRule="auto"/>
        <w:rPr>
          <w:sz w:val="20"/>
          <w:szCs w:val="20"/>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color w:val="auto"/>
        </w:rPr>
        <w:t>- Revenues of $137 million for the third quarter and $420 million for the first nine months of 2009 were 22% and 21% lower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 2008 revenue of $176 million and $528 million. The lower North America revenues in the 2009 periods were primarily driven by the substantial completion of a number of AMR contracts in 2008 and fewer shipments of electric meters and AMR modules due to the economic downturn and uncertainty surrounding stimulus funds announcements.</w:t>
      </w:r>
    </w:p>
    <w:p>
      <w:pPr>
        <w:spacing w:after="0" w:line="214" w:lineRule="exact"/>
        <w:rPr>
          <w:sz w:val="20"/>
          <w:szCs w:val="20"/>
          <w:color w:val="auto"/>
        </w:rPr>
      </w:pPr>
    </w:p>
    <w:p>
      <w:pPr>
        <w:jc w:val="both"/>
        <w:ind w:left="340" w:right="320"/>
        <w:spacing w:after="0" w:line="259" w:lineRule="auto"/>
        <w:rPr>
          <w:sz w:val="20"/>
          <w:szCs w:val="20"/>
          <w:color w:val="auto"/>
        </w:rPr>
      </w:pPr>
      <w:r>
        <w:rPr>
          <w:rFonts w:ascii="Arial" w:cs="Arial" w:eastAsia="Arial" w:hAnsi="Arial"/>
          <w:sz w:val="18"/>
          <w:szCs w:val="18"/>
          <w:b w:val="1"/>
          <w:bCs w:val="1"/>
          <w:i w:val="1"/>
          <w:iCs w:val="1"/>
          <w:color w:val="auto"/>
        </w:rPr>
        <w:t xml:space="preserve">International </w:t>
      </w:r>
      <w:r>
        <w:rPr>
          <w:rFonts w:ascii="Arial" w:cs="Arial" w:eastAsia="Arial" w:hAnsi="Arial"/>
          <w:sz w:val="18"/>
          <w:szCs w:val="18"/>
          <w:color w:val="auto"/>
        </w:rPr>
        <w:t>- - Revenues of $271 million for the third quarter and $791 million for the first nine months of 2009 were 12% and 17% lower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 2008 revenue of $309 million and $949 million. Approximately 65% of the quarterly and 80% of the year-to-date decrease was due to foreign exchange rates while the remainder was primarily due to completion of a smart metering/AMI project in 2008, softening of demand in some markets and economic conditions in certain countries.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Margins</w:t>
      </w:r>
      <w:r>
        <w:rPr>
          <w:rFonts w:ascii="Arial" w:cs="Arial" w:eastAsia="Arial" w:hAnsi="Arial"/>
          <w:sz w:val="18"/>
          <w:szCs w:val="18"/>
          <w:color w:val="auto"/>
        </w:rPr>
        <w:t>:</w:t>
      </w:r>
    </w:p>
    <w:p>
      <w:pPr>
        <w:spacing w:after="0" w:line="27" w:lineRule="exact"/>
        <w:rPr>
          <w:sz w:val="20"/>
          <w:szCs w:val="20"/>
          <w:color w:val="auto"/>
        </w:rPr>
      </w:pPr>
    </w:p>
    <w:p>
      <w:pPr>
        <w:jc w:val="both"/>
        <w:ind w:left="340" w:right="340"/>
        <w:spacing w:after="0" w:line="261" w:lineRule="auto"/>
        <w:rPr>
          <w:sz w:val="20"/>
          <w:szCs w:val="20"/>
          <w:color w:val="auto"/>
        </w:rPr>
      </w:pPr>
      <w:r>
        <w:rPr>
          <w:rFonts w:ascii="Arial" w:cs="Arial" w:eastAsia="Arial" w:hAnsi="Arial"/>
          <w:sz w:val="18"/>
          <w:szCs w:val="18"/>
          <w:b w:val="1"/>
          <w:bCs w:val="1"/>
          <w:i w:val="1"/>
          <w:iCs w:val="1"/>
          <w:color w:val="auto"/>
        </w:rPr>
        <w:t xml:space="preserve">Total Company </w:t>
      </w:r>
      <w:r>
        <w:rPr>
          <w:rFonts w:ascii="Arial" w:cs="Arial" w:eastAsia="Arial" w:hAnsi="Arial"/>
          <w:sz w:val="18"/>
          <w:szCs w:val="18"/>
          <w:color w:val="auto"/>
        </w:rPr>
        <w:t>- Gross margins of 31.7% for the third quarter and 32.4% for the first nine months of 2009 were lower than 2008 gross margins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33.6% and 34%.</w:t>
      </w:r>
    </w:p>
    <w:p>
      <w:pPr>
        <w:spacing w:after="0" w:line="211" w:lineRule="exact"/>
        <w:rPr>
          <w:sz w:val="20"/>
          <w:szCs w:val="20"/>
          <w:color w:val="auto"/>
        </w:rPr>
      </w:pPr>
    </w:p>
    <w:p>
      <w:pPr>
        <w:jc w:val="both"/>
        <w:ind w:left="340" w:right="320"/>
        <w:spacing w:after="0" w:line="286" w:lineRule="auto"/>
        <w:rPr>
          <w:sz w:val="20"/>
          <w:szCs w:val="20"/>
          <w:color w:val="auto"/>
        </w:rPr>
      </w:pPr>
      <w:r>
        <w:rPr>
          <w:rFonts w:ascii="Arial" w:cs="Arial" w:eastAsia="Arial" w:hAnsi="Arial"/>
          <w:sz w:val="17"/>
          <w:szCs w:val="17"/>
          <w:b w:val="1"/>
          <w:bCs w:val="1"/>
          <w:i w:val="1"/>
          <w:iCs w:val="1"/>
          <w:color w:val="auto"/>
        </w:rPr>
        <w:t xml:space="preserve">North America </w:t>
      </w:r>
      <w:r>
        <w:rPr>
          <w:rFonts w:ascii="Arial" w:cs="Arial" w:eastAsia="Arial" w:hAnsi="Arial"/>
          <w:sz w:val="17"/>
          <w:szCs w:val="17"/>
          <w:color w:val="auto"/>
        </w:rPr>
        <w:t>- Gross margins of 31% for the quarter and 34.5% for the first nine months of 2009 were lower than 2008 gross margins of 37.8%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38%. The decline in gross margins in 2009 was primarily driven by shipments of our first generation AMI meters, which currently have higher costs, fewer AMR meter and module shipments and reduced overhead absorption resulting from lower overall production levels.</w:t>
      </w:r>
    </w:p>
    <w:p>
      <w:pPr>
        <w:spacing w:after="0" w:line="193" w:lineRule="exact"/>
        <w:rPr>
          <w:sz w:val="20"/>
          <w:szCs w:val="20"/>
          <w:color w:val="auto"/>
        </w:rPr>
      </w:pPr>
    </w:p>
    <w:p>
      <w:pPr>
        <w:jc w:val="both"/>
        <w:ind w:left="340" w:right="320"/>
        <w:spacing w:after="0" w:line="277" w:lineRule="auto"/>
        <w:rPr>
          <w:sz w:val="20"/>
          <w:szCs w:val="20"/>
          <w:color w:val="auto"/>
        </w:rPr>
      </w:pPr>
      <w:r>
        <w:rPr>
          <w:rFonts w:ascii="Arial" w:cs="Arial" w:eastAsia="Arial" w:hAnsi="Arial"/>
          <w:sz w:val="18"/>
          <w:szCs w:val="18"/>
          <w:b w:val="1"/>
          <w:bCs w:val="1"/>
          <w:i w:val="1"/>
          <w:iCs w:val="1"/>
          <w:color w:val="auto"/>
        </w:rPr>
        <w:t xml:space="preserve">International </w:t>
      </w:r>
      <w:r>
        <w:rPr>
          <w:rFonts w:ascii="Arial" w:cs="Arial" w:eastAsia="Arial" w:hAnsi="Arial"/>
          <w:sz w:val="18"/>
          <w:szCs w:val="18"/>
          <w:color w:val="auto"/>
        </w:rPr>
        <w:t>- Gross margins of 32.1% for the quarter and 31.3% for the first nine months compared with 2008 gross margins of 31.2%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31.7%. The increased margins in the current quarter were primarily due to lower material costs and product mix.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r>
        <w:rPr>
          <w:rFonts w:ascii="Arial" w:cs="Arial" w:eastAsia="Arial" w:hAnsi="Arial"/>
          <w:sz w:val="18"/>
          <w:szCs w:val="18"/>
          <w:color w:val="auto"/>
        </w:rPr>
        <w:t>:</w:t>
      </w:r>
    </w:p>
    <w:p>
      <w:pPr>
        <w:spacing w:after="0" w:line="27" w:lineRule="exact"/>
        <w:rPr>
          <w:sz w:val="20"/>
          <w:szCs w:val="20"/>
          <w:color w:val="auto"/>
        </w:rPr>
      </w:pPr>
    </w:p>
    <w:p>
      <w:pPr>
        <w:jc w:val="both"/>
        <w:ind w:left="340" w:right="320"/>
        <w:spacing w:after="0" w:line="261" w:lineRule="auto"/>
        <w:rPr>
          <w:sz w:val="20"/>
          <w:szCs w:val="20"/>
          <w:color w:val="auto"/>
        </w:rPr>
      </w:pPr>
      <w:r>
        <w:rPr>
          <w:rFonts w:ascii="Arial" w:cs="Arial" w:eastAsia="Arial" w:hAnsi="Arial"/>
          <w:sz w:val="18"/>
          <w:szCs w:val="18"/>
          <w:b w:val="1"/>
          <w:bCs w:val="1"/>
          <w:i w:val="1"/>
          <w:iCs w:val="1"/>
          <w:color w:val="auto"/>
        </w:rPr>
        <w:t xml:space="preserve">Total Company </w:t>
      </w:r>
      <w:r>
        <w:rPr>
          <w:rFonts w:ascii="Arial" w:cs="Arial" w:eastAsia="Arial" w:hAnsi="Arial"/>
          <w:sz w:val="18"/>
          <w:szCs w:val="18"/>
          <w:color w:val="auto"/>
        </w:rPr>
        <w:t>- Operating expenses of $120 million for the third quarter and $362 million for the first nine months of 2009 were lower than 2008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quarter and year-to-date operating expenses of $138 million and $413 million.</w:t>
      </w:r>
    </w:p>
    <w:p>
      <w:pPr>
        <w:spacing w:after="0" w:line="211" w:lineRule="exact"/>
        <w:rPr>
          <w:sz w:val="20"/>
          <w:szCs w:val="20"/>
          <w:color w:val="auto"/>
        </w:rPr>
      </w:pPr>
    </w:p>
    <w:p>
      <w:pPr>
        <w:jc w:val="both"/>
        <w:ind w:left="340" w:right="340"/>
        <w:spacing w:after="0" w:line="264" w:lineRule="auto"/>
        <w:rPr>
          <w:sz w:val="20"/>
          <w:szCs w:val="20"/>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color w:val="auto"/>
        </w:rPr>
        <w:t>- Operating expenses were $44 million in the third quarter and $132 million in the first nine months of 2009 compared with $49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and $145 million in the same periods of 2008. The decrease in 2009 was primarily due to lower sales expenses and lower general and administrative expenses.</w:t>
      </w:r>
    </w:p>
    <w:p>
      <w:pPr>
        <w:spacing w:after="0" w:line="208" w:lineRule="exact"/>
        <w:rPr>
          <w:sz w:val="20"/>
          <w:szCs w:val="20"/>
          <w:color w:val="auto"/>
        </w:rPr>
      </w:pPr>
    </w:p>
    <w:p>
      <w:pPr>
        <w:jc w:val="both"/>
        <w:ind w:left="340" w:right="340"/>
        <w:spacing w:after="0" w:line="264" w:lineRule="auto"/>
        <w:rPr>
          <w:sz w:val="20"/>
          <w:szCs w:val="20"/>
          <w:color w:val="auto"/>
        </w:rPr>
      </w:pPr>
      <w:r>
        <w:rPr>
          <w:rFonts w:ascii="Arial" w:cs="Arial" w:eastAsia="Arial" w:hAnsi="Arial"/>
          <w:sz w:val="18"/>
          <w:szCs w:val="18"/>
          <w:b w:val="1"/>
          <w:bCs w:val="1"/>
          <w:i w:val="1"/>
          <w:iCs w:val="1"/>
          <w:color w:val="auto"/>
        </w:rPr>
        <w:t xml:space="preserve">International </w:t>
      </w:r>
      <w:r>
        <w:rPr>
          <w:rFonts w:ascii="Arial" w:cs="Arial" w:eastAsia="Arial" w:hAnsi="Arial"/>
          <w:sz w:val="18"/>
          <w:szCs w:val="18"/>
          <w:color w:val="auto"/>
        </w:rPr>
        <w:t>- Operating expenses of $70 million in the third quarter and $207 million in the first nine months of 2009 compared with $78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$238 million in the same periods of 2008. Decreased amortization of intangibles expense in the 2009 periods and foreign exchange rates accounted for the majority of the decrease.</w:t>
      </w:r>
    </w:p>
    <w:p>
      <w:pPr>
        <w:spacing w:after="0" w:line="208" w:lineRule="exact"/>
        <w:rPr>
          <w:sz w:val="20"/>
          <w:szCs w:val="20"/>
          <w:color w:val="auto"/>
        </w:rPr>
      </w:pPr>
    </w:p>
    <w:p>
      <w:pPr>
        <w:jc w:val="both"/>
        <w:ind w:left="340" w:right="340"/>
        <w:spacing w:after="0" w:line="264" w:lineRule="auto"/>
        <w:rPr>
          <w:sz w:val="20"/>
          <w:szCs w:val="20"/>
          <w:color w:val="auto"/>
        </w:rPr>
      </w:pPr>
      <w:r>
        <w:rPr>
          <w:rFonts w:ascii="Arial" w:cs="Arial" w:eastAsia="Arial" w:hAnsi="Arial"/>
          <w:sz w:val="18"/>
          <w:szCs w:val="18"/>
          <w:b w:val="1"/>
          <w:bCs w:val="1"/>
          <w:i w:val="1"/>
          <w:iCs w:val="1"/>
          <w:color w:val="auto"/>
        </w:rPr>
        <w:t xml:space="preserve">Corporate Unallocated </w:t>
      </w:r>
      <w:r>
        <w:rPr>
          <w:rFonts w:ascii="Arial" w:cs="Arial" w:eastAsia="Arial" w:hAnsi="Arial"/>
          <w:sz w:val="18"/>
          <w:szCs w:val="18"/>
          <w:color w:val="auto"/>
        </w:rPr>
        <w:t>– Operating expenses were $7 million for the third quarter and $23 million in the first nine months of 2009 compared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 million and $31 million in the respective periods of 2008. The decrease in 2009 is due to reductions in compensation expenses and consulting fees related to financial integration and Sarbanes-Oxley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Interest and Other Income</w:t>
      </w:r>
      <w:r>
        <w:rPr>
          <w:rFonts w:ascii="Arial" w:cs="Arial" w:eastAsia="Arial" w:hAnsi="Arial"/>
          <w:sz w:val="18"/>
          <w:szCs w:val="18"/>
          <w:color w:val="auto"/>
        </w:rPr>
        <w:t>:</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 Net interest expense of $20 million in the third quarter and $52 million in the first nine months of 2009 compared with $19 million and $71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same periods of 2008. Amortization of debt placement fees, which is included in net interest expense, of $4.0 million in the third quarter and $6.2 million in the first nine months of 2009 compared with $1.7 million and $7.5 million in the same periods in 2008. Amortization of debt placement fees varies ratably depending on the amount of debt repayments in each period. During the last twelve months, we reduced our debt by approximately $360 million.</w:t>
      </w:r>
    </w:p>
    <w:p>
      <w:pPr>
        <w:spacing w:after="0" w:line="218" w:lineRule="exact"/>
        <w:rPr>
          <w:sz w:val="20"/>
          <w:szCs w:val="20"/>
          <w:color w:val="auto"/>
        </w:rPr>
      </w:pPr>
    </w:p>
    <w:p>
      <w:pPr>
        <w:jc w:val="both"/>
        <w:ind w:left="340" w:right="20"/>
        <w:spacing w:after="0" w:line="279" w:lineRule="auto"/>
        <w:rPr>
          <w:sz w:val="20"/>
          <w:szCs w:val="20"/>
          <w:color w:val="auto"/>
        </w:rPr>
      </w:pPr>
      <w:r>
        <w:rPr>
          <w:rFonts w:ascii="Arial" w:cs="Arial" w:eastAsia="Arial" w:hAnsi="Arial"/>
          <w:sz w:val="17"/>
          <w:szCs w:val="17"/>
          <w:b w:val="1"/>
          <w:bCs w:val="1"/>
          <w:i w:val="1"/>
          <w:iCs w:val="1"/>
          <w:color w:val="auto"/>
        </w:rPr>
        <w:t xml:space="preserve">Other Expense </w:t>
      </w:r>
      <w:r>
        <w:rPr>
          <w:rFonts w:ascii="Arial" w:cs="Arial" w:eastAsia="Arial" w:hAnsi="Arial"/>
          <w:sz w:val="17"/>
          <w:szCs w:val="17"/>
          <w:color w:val="auto"/>
        </w:rPr>
        <w:t>– Other expense was $4.5 million in the third quarter and $9.4 million in the first nine months of 2009 compared with $281,000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$1.9 million in the same periods of 2008. Other expense for both periods in 2009 includes foreign exchange losses caused by fluctuations in exchange rates driven by material purchases and associated product sales in differing currencies. Year-to-date 2009 expense includes legal and advisory fees associated with an amendment to our senior debt agreement which was completed in the second quarter.</w:t>
      </w:r>
    </w:p>
    <w:p>
      <w:pPr>
        <w:spacing w:after="0" w:line="17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b w:val="1"/>
          <w:bCs w:val="1"/>
          <w:i w:val="1"/>
          <w:iCs w:val="1"/>
          <w:color w:val="auto"/>
        </w:rPr>
        <w:t xml:space="preserve">Loss on Extinguishment </w:t>
      </w:r>
      <w:r>
        <w:rPr>
          <w:rFonts w:ascii="Arial" w:cs="Arial" w:eastAsia="Arial" w:hAnsi="Arial"/>
          <w:sz w:val="17"/>
          <w:szCs w:val="17"/>
          <w:color w:val="auto"/>
        </w:rPr>
        <w:t>- On July 17, 2009, we paid $113.2 million to redeem our 7¾% senior subordinated notes which had a remaining principal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of $109.6 million. We redeemed the notes at 101.938% of the principal amount. This redemption resulted in a net loss on extinguishment of $2.5 million. In the first nine months of 2009, we incurred a total net loss on extinguishment of debt of $12.8 million due to a convertible debt for common stock exchange in January and the redemption of our senior subordinated notes in July. The debt for stock exchange resulted in a net loss of $10.3 million as the value of the shares of Itron’s common stock issued under the exchange agreement differed from the value of the shares used to derive the amount payable under the original conversion agreement.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Measures:</w:t>
      </w:r>
    </w:p>
    <w:p>
      <w:pPr>
        <w:spacing w:after="0" w:line="27" w:lineRule="exact"/>
        <w:rPr>
          <w:sz w:val="20"/>
          <w:szCs w:val="20"/>
          <w:color w:val="auto"/>
        </w:rPr>
      </w:pPr>
    </w:p>
    <w:p>
      <w:pPr>
        <w:jc w:val="both"/>
        <w:ind w:left="340" w:right="20"/>
        <w:spacing w:after="0" w:line="302" w:lineRule="auto"/>
        <w:rPr>
          <w:sz w:val="20"/>
          <w:szCs w:val="20"/>
          <w:color w:val="auto"/>
        </w:rPr>
      </w:pPr>
      <w:r>
        <w:rPr>
          <w:rFonts w:ascii="Arial" w:cs="Arial" w:eastAsia="Arial" w:hAnsi="Arial"/>
          <w:sz w:val="16"/>
          <w:szCs w:val="16"/>
          <w:b w:val="1"/>
          <w:bCs w:val="1"/>
          <w:i w:val="1"/>
          <w:iCs w:val="1"/>
          <w:color w:val="auto"/>
        </w:rPr>
        <w:t xml:space="preserve">GAAP Income Taxes </w:t>
      </w:r>
      <w:r>
        <w:rPr>
          <w:rFonts w:ascii="Arial" w:cs="Arial" w:eastAsia="Arial" w:hAnsi="Arial"/>
          <w:sz w:val="16"/>
          <w:szCs w:val="16"/>
          <w:color w:val="auto"/>
        </w:rPr>
        <w:t>– We had a tax benefit of $15.1 million in the third quarter and $37.5 million in the first nine months of 2009 compared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expense of $377,000 in the third quarter and a tax benefit of $1.3 million in the first nine months of 2008. The 2009 tax benefits are primarily due to pre-tax losses, the benefit for claiming foreign taxes as credits rather than deductions and expected lower income in higher tax jurisdictions.</w:t>
      </w:r>
    </w:p>
    <w:p>
      <w:pPr>
        <w:spacing w:after="0" w:line="18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GAAP Net Income/Loss and Diluted EPS </w:t>
      </w:r>
      <w:r>
        <w:rPr>
          <w:rFonts w:ascii="Arial" w:cs="Arial" w:eastAsia="Arial" w:hAnsi="Arial"/>
          <w:sz w:val="18"/>
          <w:szCs w:val="18"/>
          <w:color w:val="auto"/>
        </w:rPr>
        <w:t>– Our GAAP net loss and diluted EPS for the third quarter and first nine months of 2009 was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7 cents per share, and $7.4 million, or 19 cents per share. This compares with net income of $5.6 million, or 15 cents per share and $17.6 million, or 50 cents per share, in the same periods in 2008. The net loss in 2009 was due to lower revenue, contraction of gross margins and foreign exchange losses.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r>
        <w:rPr>
          <w:rFonts w:ascii="Arial" w:cs="Arial" w:eastAsia="Arial" w:hAnsi="Arial"/>
          <w:sz w:val="18"/>
          <w:szCs w:val="18"/>
          <w:color w:val="auto"/>
        </w:rPr>
        <w:t>:</w:t>
      </w:r>
    </w:p>
    <w:p>
      <w:pPr>
        <w:spacing w:after="0" w:line="2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b w:val="1"/>
          <w:bCs w:val="1"/>
          <w:i w:val="1"/>
          <w:iCs w:val="1"/>
          <w:color w:val="auto"/>
        </w:rPr>
        <w:t xml:space="preserve">Non-GAAP Operating Income </w:t>
      </w:r>
      <w:r>
        <w:rPr>
          <w:rFonts w:ascii="Arial" w:cs="Arial" w:eastAsia="Arial" w:hAnsi="Arial"/>
          <w:sz w:val="18"/>
          <w:szCs w:val="18"/>
          <w:color w:val="auto"/>
        </w:rPr>
        <w:t>- Non-GAAP operating income excludes amortization expense related to intangible assets and was $34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8.4% of revenues, in the third quarter and $102 million, or 8.5% of revenues in the first nine months of 2009. This compares with $56 million, or 11.5% of revenues and $182 million, or 12.3% of revenues, in the third quarter and first nine months of 2008. The decreased operating income and margin was primarily due to the combination of lower revenues and gross margins in 2009.</w:t>
      </w:r>
    </w:p>
    <w:p>
      <w:pPr>
        <w:spacing w:after="0" w:line="217"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b w:val="1"/>
          <w:bCs w:val="1"/>
          <w:i w:val="1"/>
          <w:iCs w:val="1"/>
          <w:color w:val="auto"/>
        </w:rPr>
        <w:t xml:space="preserve">Non-GAAP Income Taxes </w:t>
      </w:r>
      <w:r>
        <w:rPr>
          <w:rFonts w:ascii="Arial" w:cs="Arial" w:eastAsia="Arial" w:hAnsi="Arial"/>
          <w:sz w:val="17"/>
          <w:szCs w:val="17"/>
          <w:color w:val="auto"/>
        </w:rPr>
        <w:t>- We had a non-GAAP tax benefit in the third quarter of 2009 and our year-to-date 2009 non-GAAP tax rate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4.5%. This compares with 28% for the third quarter and 27% for the first nine months of 2008. The lower non-GAAP tax rate in 2009 is due to projected lower income in higher tax jurisdictions, and the benefit for claiming foreign taxes as credits rather than deductions.</w:t>
      </w:r>
    </w:p>
    <w:p>
      <w:pPr>
        <w:spacing w:after="0" w:line="193"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b w:val="1"/>
          <w:bCs w:val="1"/>
          <w:i w:val="1"/>
          <w:iCs w:val="1"/>
          <w:color w:val="auto"/>
        </w:rPr>
        <w:t xml:space="preserve">Non-GAAP Net Income and Diluted EPS </w:t>
      </w:r>
      <w:r>
        <w:rPr>
          <w:rFonts w:ascii="Arial" w:cs="Arial" w:eastAsia="Arial" w:hAnsi="Arial"/>
          <w:sz w:val="17"/>
          <w:szCs w:val="17"/>
          <w:color w:val="auto"/>
        </w:rPr>
        <w:t>– Non-GAAP net income, which excludes amortization expenses related to intangibles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amortization of debt placement fees, the additional non-cash interest expense related to the adoption of FSP 14-1 and the non-cash net loss associated with the convertible debt for stock exchange, was $18 million for the third quarter and $49 million for the first nine months of 2009. This compares with $30 million and $93 million in the same periods in 2008. Non-GAAP diluted EPS was 45 cents and $1.28 in the third quarter and first nine months of 2009 compared with 81 cents and $2.65 in the same periods of 2008. The lower net income and diluted EPS was primarily due to lower revenues and a decline in gross margin in 2009. Diluted weighted average shares outstanding in 2009 were approximately 3.6 million and 3.4 million shares higher than the same periods in 2008 primarily due to the convertible debt for stock exchange in the first quarter of 2009 and the equity offering in the second quarter of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337" w:right="5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Other Financial Highlights:</w:t>
      </w:r>
    </w:p>
    <w:p>
      <w:pPr>
        <w:spacing w:after="0" w:line="27" w:lineRule="exact"/>
        <w:rPr>
          <w:sz w:val="20"/>
          <w:szCs w:val="20"/>
          <w:color w:val="auto"/>
        </w:rPr>
      </w:pPr>
    </w:p>
    <w:p>
      <w:pPr>
        <w:jc w:val="both"/>
        <w:ind w:left="340" w:right="320"/>
        <w:spacing w:after="0" w:line="290" w:lineRule="auto"/>
        <w:rPr>
          <w:sz w:val="20"/>
          <w:szCs w:val="20"/>
          <w:color w:val="auto"/>
        </w:rPr>
      </w:pPr>
      <w:r>
        <w:rPr>
          <w:rFonts w:ascii="Arial" w:cs="Arial" w:eastAsia="Arial" w:hAnsi="Arial"/>
          <w:sz w:val="16"/>
          <w:szCs w:val="16"/>
          <w:b w:val="1"/>
          <w:bCs w:val="1"/>
          <w:i w:val="1"/>
          <w:iCs w:val="1"/>
          <w:color w:val="auto"/>
        </w:rPr>
        <w:t xml:space="preserve">Backlog and New Order Bookings </w:t>
      </w:r>
      <w:r>
        <w:rPr>
          <w:rFonts w:ascii="Arial" w:cs="Arial" w:eastAsia="Arial" w:hAnsi="Arial"/>
          <w:sz w:val="16"/>
          <w:szCs w:val="16"/>
          <w:color w:val="auto"/>
        </w:rPr>
        <w:t>– Total backlog was $1.6 billion at September 30, 2009 compared with $1 billion at September 30, 2008. Twelve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 backlog of $749 million at September 30, 2009 was higher than the $436 million at September 30, 2008 due to the inclusion of Q3 2010 AMI shipments in the current twelve month backlog. New order bookings for the third quarter of 2009 were $400 million, compared with $894 million in the third quarter of 2008. Our book-to-bill ratios were .98 to 1 and 1.9 to 1 for the third quarter of 2009 and 2008, respectively. New order bookings for the first nine months of 2009 were $1.5 billion compared with $1.8 billion in the same nine months of 2008. New order bookings for the three and nine month periods of 2008 included $470 million related to an AMI contract with Southern California Edison (SCE).</w:t>
      </w:r>
    </w:p>
    <w:p>
      <w:pPr>
        <w:spacing w:after="0" w:line="191" w:lineRule="exact"/>
        <w:rPr>
          <w:sz w:val="20"/>
          <w:szCs w:val="20"/>
          <w:color w:val="auto"/>
        </w:rPr>
      </w:pPr>
    </w:p>
    <w:p>
      <w:pPr>
        <w:jc w:val="both"/>
        <w:ind w:left="340" w:right="320"/>
        <w:spacing w:after="0" w:line="257" w:lineRule="auto"/>
        <w:rPr>
          <w:sz w:val="20"/>
          <w:szCs w:val="20"/>
          <w:color w:val="auto"/>
        </w:rPr>
      </w:pPr>
      <w:r>
        <w:rPr>
          <w:rFonts w:ascii="Arial" w:cs="Arial" w:eastAsia="Arial" w:hAnsi="Arial"/>
          <w:sz w:val="18"/>
          <w:szCs w:val="18"/>
          <w:b w:val="1"/>
          <w:bCs w:val="1"/>
          <w:i w:val="1"/>
          <w:iCs w:val="1"/>
          <w:color w:val="auto"/>
        </w:rPr>
        <w:t xml:space="preserve">Cash Flows </w:t>
      </w:r>
      <w:r>
        <w:rPr>
          <w:rFonts w:ascii="Arial" w:cs="Arial" w:eastAsia="Arial" w:hAnsi="Arial"/>
          <w:sz w:val="18"/>
          <w:szCs w:val="18"/>
          <w:color w:val="auto"/>
        </w:rPr>
        <w:t>– Net cash provided by operating activities during the first nine months of 2009 was $87 million, compared with $156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2008. Adjusted earnings before interest, taxes, depreciation and amortization and the non-cash net loss on extinguishment of debt (adjusted EBITDA) in the third quarter of 2009 was $41 million compared with $69 million for the same period in 2008. Adjusted EBITDA for the first nine months of 2009 was $131 million compared with $220 million in the first nine months of 2008. Free cash flow in the first nine months of 2009 was $49 million compared with $115 million in the same period of 2008.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supplement our consolidated financial statements presented in accordance with GAAP, we use certain non-GAAP financial measures, including non-GAAP operating income, non-GAAP net income and diluted EPS, adjusted EBITDA and free cash flow. We provide these non-GAAP financial measures because we believe they provide greater transparency and represent supplemental information used by management in its financial and operational decision making. Specifically, these non-GAAP financial measures are provided to enhance investors’ overall understanding of our current financial performance and our future anticipated performance by excluding infrequent costs, particularly those associated with acquisitions. We exclude these expenses in our non-GAAP financial measures as we believe the net result is a measure of our core business that is not subject to the variations of expenses associated with these infrequently occurring items. Non-GAAP performance measures should be considered in addition to, and not as a substitute for, results prepared in accordance with GAAP. Finally,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Itron will host a conference call to discuss the financial results contained in this release at 2:00 p.m. (PDT) on October 28, 2009. The call will be webcast in a listen only mode and can be accessed online at </w:t>
      </w:r>
      <w:r>
        <w:rPr>
          <w:rFonts w:ascii="Arial" w:cs="Arial" w:eastAsia="Arial" w:hAnsi="Arial"/>
          <w:sz w:val="18"/>
          <w:szCs w:val="18"/>
          <w:b w:val="1"/>
          <w:bCs w:val="1"/>
          <w:u w:val="single" w:color="auto"/>
          <w:color w:val="auto"/>
        </w:rPr>
        <w:t>www.itron.com,</w:t>
      </w:r>
      <w:r>
        <w:rPr>
          <w:rFonts w:ascii="Arial" w:cs="Arial" w:eastAsia="Arial" w:hAnsi="Arial"/>
          <w:sz w:val="18"/>
          <w:szCs w:val="18"/>
          <w:color w:val="auto"/>
        </w:rPr>
        <w:t xml:space="preserve"> “</w:t>
      </w:r>
      <w:r>
        <w:rPr>
          <w:rFonts w:ascii="Arial" w:cs="Arial" w:eastAsia="Arial" w:hAnsi="Arial"/>
          <w:sz w:val="18"/>
          <w:szCs w:val="18"/>
          <w:i w:val="1"/>
          <w:iCs w:val="1"/>
          <w:color w:val="auto"/>
        </w:rPr>
        <w:t>Investors/Investor Events.”</w:t>
      </w:r>
      <w:r>
        <w:rPr>
          <w:rFonts w:ascii="Arial" w:cs="Arial" w:eastAsia="Arial" w:hAnsi="Arial"/>
          <w:sz w:val="18"/>
          <w:szCs w:val="18"/>
          <w:color w:val="auto"/>
        </w:rPr>
        <w:t xml:space="preserve"> The live webcast will begin at 2:00 p.m. (PDT). The webcast replay will begin after the conclusion of the live call and will be available for two weeks. A telephone replay of the call will also be available approximately one hour after the conclusion of the live call, for 48 hours, and is accessible by dialing </w:t>
      </w:r>
      <w:r>
        <w:rPr>
          <w:rFonts w:ascii="Arial" w:cs="Arial" w:eastAsia="Arial" w:hAnsi="Arial"/>
          <w:sz w:val="18"/>
          <w:szCs w:val="18"/>
          <w:b w:val="1"/>
          <w:bCs w:val="1"/>
          <w:color w:val="auto"/>
        </w:rPr>
        <w:t>(888) 203-1112 (Domestic)</w:t>
      </w:r>
      <w:r>
        <w:rPr>
          <w:rFonts w:ascii="Arial" w:cs="Arial" w:eastAsia="Arial" w:hAnsi="Arial"/>
          <w:sz w:val="18"/>
          <w:szCs w:val="18"/>
          <w:color w:val="auto"/>
        </w:rPr>
        <w:t xml:space="preserve"> or </w:t>
      </w:r>
      <w:r>
        <w:rPr>
          <w:rFonts w:ascii="Arial" w:cs="Arial" w:eastAsia="Arial" w:hAnsi="Arial"/>
          <w:sz w:val="18"/>
          <w:szCs w:val="18"/>
          <w:b w:val="1"/>
          <w:bCs w:val="1"/>
          <w:color w:val="auto"/>
        </w:rPr>
        <w:t>(719) 457-0820 (International)</w:t>
      </w:r>
      <w:r>
        <w:rPr>
          <w:rFonts w:ascii="Arial" w:cs="Arial" w:eastAsia="Arial" w:hAnsi="Arial"/>
          <w:sz w:val="18"/>
          <w:szCs w:val="18"/>
          <w:color w:val="auto"/>
        </w:rPr>
        <w:t xml:space="preserve">, entering passcode </w:t>
      </w:r>
      <w:r>
        <w:rPr>
          <w:rFonts w:ascii="Arial" w:cs="Arial" w:eastAsia="Arial" w:hAnsi="Arial"/>
          <w:sz w:val="18"/>
          <w:szCs w:val="18"/>
          <w:b w:val="1"/>
          <w:bCs w:val="1"/>
          <w:color w:val="auto"/>
        </w:rPr>
        <w:t>#5642738.</w:t>
      </w:r>
      <w:r>
        <w:rPr>
          <w:rFonts w:ascii="Arial" w:cs="Arial" w:eastAsia="Arial" w:hAnsi="Arial"/>
          <w:sz w:val="18"/>
          <w:szCs w:val="18"/>
          <w:color w:val="auto"/>
        </w:rPr>
        <w:t xml:space="preserve"> You may also view presentation materials related to the earnings call on Itron’s website, </w:t>
      </w:r>
      <w:r>
        <w:rPr>
          <w:rFonts w:ascii="Arial" w:cs="Arial" w:eastAsia="Arial" w:hAnsi="Arial"/>
          <w:sz w:val="18"/>
          <w:szCs w:val="18"/>
          <w:u w:val="single" w:color="auto"/>
          <w:color w:val="auto"/>
        </w:rPr>
        <w:t>www.itron.com</w:t>
      </w:r>
      <w:r>
        <w:rPr>
          <w:rFonts w:ascii="Arial" w:cs="Arial" w:eastAsia="Arial" w:hAnsi="Arial"/>
          <w:sz w:val="18"/>
          <w:szCs w:val="18"/>
          <w:color w:val="auto"/>
        </w:rPr>
        <w:t xml:space="preserve"> / Investors / Presentations.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Itron:</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Itron, Inc. is a leading technology provider to the global energy and water industries. Our company is the world’s leading provider of intelligent metering, data collection and utility software solutions, with nearly 8,000 utilities worldwide relying on our technology to optimize the delivery and use of energy and water. Our products include electricity, gas, water and heat meters, data collection and communication systems, including automated meter reading (AMR) and advanced metering infrastructure (AMI); meter data management and related software applications; as well as project management, installation and consulting services. To know more, start here: </w:t>
      </w:r>
      <w:r>
        <w:rPr>
          <w:rFonts w:ascii="Arial" w:cs="Arial" w:eastAsia="Arial" w:hAnsi="Arial"/>
          <w:sz w:val="18"/>
          <w:szCs w:val="18"/>
          <w:u w:val="single" w:color="auto"/>
          <w:color w:val="auto"/>
        </w:rPr>
        <w:t>www.itron.com</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Deloris Duquette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and Corporate Communications</w:t>
      </w:r>
    </w:p>
    <w:p>
      <w:pPr>
        <w:spacing w:after="0" w:line="9" w:lineRule="exact"/>
        <w:rPr>
          <w:sz w:val="20"/>
          <w:szCs w:val="20"/>
          <w:color w:val="auto"/>
        </w:rPr>
      </w:pPr>
    </w:p>
    <w:p>
      <w:pPr>
        <w:ind w:right="940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891-3523 </w:t>
      </w:r>
      <w:r>
        <w:rPr>
          <w:rFonts w:ascii="Arial" w:cs="Arial" w:eastAsia="Arial" w:hAnsi="Arial"/>
          <w:sz w:val="16"/>
          <w:szCs w:val="16"/>
          <w:u w:val="single" w:color="auto"/>
          <w:color w:val="auto"/>
        </w:rPr>
        <w:t>deloris.duquette@itron.com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Marni Pilcher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right="958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891-3847 marni.pilcher@itron.com</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Statements of operations, segment information, balance sheets, cash flow statements and reconciliations of non-GAAP financial measures to the most directly comparable financial measures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right="10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(Unaudited, in thousands, except per share data)</w:t>
            </w:r>
          </w:p>
        </w:tc>
        <w:tc>
          <w:tcPr>
            <w:tcW w:w="120" w:type="dxa"/>
            <w:vAlign w:val="bottom"/>
          </w:tcPr>
          <w:p>
            <w:pPr>
              <w:spacing w:after="0"/>
              <w:rPr>
                <w:sz w:val="20"/>
                <w:szCs w:val="20"/>
                <w:color w:val="auto"/>
              </w:rPr>
            </w:pPr>
          </w:p>
        </w:tc>
        <w:tc>
          <w:tcPr>
            <w:tcW w:w="3140" w:type="dxa"/>
            <w:vAlign w:val="bottom"/>
            <w:gridSpan w:val="6"/>
            <w:vMerge w:val="restart"/>
          </w:tcPr>
          <w:p>
            <w:pPr>
              <w:jc w:val="right"/>
              <w:ind w:right="320"/>
              <w:spacing w:after="0"/>
              <w:rPr>
                <w:sz w:val="20"/>
                <w:szCs w:val="20"/>
                <w:color w:val="auto"/>
              </w:rPr>
            </w:pPr>
            <w:r>
              <w:rPr>
                <w:rFonts w:ascii="Arial" w:cs="Arial" w:eastAsia="Arial" w:hAnsi="Arial"/>
                <w:sz w:val="18"/>
                <w:szCs w:val="18"/>
                <w:b w:val="1"/>
                <w:bCs w:val="1"/>
                <w:color w:val="auto"/>
                <w:w w:val="91"/>
              </w:rPr>
              <w:t>Three Months Ended September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6"/>
            <w:vMerge w:val="restart"/>
          </w:tcPr>
          <w:p>
            <w:pPr>
              <w:jc w:val="right"/>
              <w:ind w:right="34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40" w:type="dxa"/>
            <w:vAlign w:val="bottom"/>
            <w:gridSpan w:val="6"/>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2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408,358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484,818</w:t>
            </w:r>
          </w:p>
        </w:tc>
        <w:tc>
          <w:tcPr>
            <w:tcW w:w="140" w:type="dxa"/>
            <w:vAlign w:val="bottom"/>
          </w:tcPr>
          <w:p>
            <w:pPr>
              <w:spacing w:after="0"/>
              <w:rPr>
                <w:sz w:val="24"/>
                <w:szCs w:val="24"/>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1,210,624</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1,477,225</w:t>
            </w: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278,879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321,858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818,452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975,496</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129,479</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162,960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392,172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501,729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82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37,669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41,363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112,569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127,534</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31,077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31,781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93,044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92,283</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26,606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34,088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84,097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7"/>
        </w:trPr>
        <w:tc>
          <w:tcPr>
            <w:tcW w:w="4820" w:type="dxa"/>
            <w:vAlign w:val="bottom"/>
          </w:tcPr>
          <w:p>
            <w:pPr>
              <w:ind w:left="1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25,121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30,395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72,788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93,114</w:t>
            </w:r>
          </w:p>
        </w:tc>
        <w:tc>
          <w:tcPr>
            <w:tcW w:w="0" w:type="dxa"/>
            <w:vAlign w:val="bottom"/>
          </w:tcPr>
          <w:p>
            <w:pPr>
              <w:spacing w:after="0"/>
              <w:rPr>
                <w:sz w:val="1"/>
                <w:szCs w:val="1"/>
                <w:color w:val="auto"/>
              </w:rPr>
            </w:pPr>
          </w:p>
        </w:tc>
      </w:tr>
      <w:tr>
        <w:trPr>
          <w:trHeight w:val="223"/>
        </w:trPr>
        <w:tc>
          <w:tcPr>
            <w:tcW w:w="482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120,473</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362,498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2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9,006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25,333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29,674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88,798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(20,075)</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(21,037)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(53,319)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(75,362)</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Loss on extinguishment of debt, net</w:t>
            </w:r>
          </w:p>
        </w:tc>
        <w:tc>
          <w:tcPr>
            <w:tcW w:w="12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(2,460)</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(12,800)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2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20"/>
                <w:szCs w:val="20"/>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(4,534)</w:t>
            </w:r>
          </w:p>
        </w:tc>
        <w:tc>
          <w:tcPr>
            <w:tcW w:w="32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(9,445)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23"/>
        </w:trPr>
        <w:tc>
          <w:tcPr>
            <w:tcW w:w="4820" w:type="dxa"/>
            <w:vAlign w:val="bottom"/>
          </w:tcPr>
          <w:p>
            <w:pPr>
              <w:ind w:left="240"/>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24"/>
                <w:szCs w:val="24"/>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(18,108)</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5,977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(44,919)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16,344</w:t>
            </w: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2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15,146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37,517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20" w:type="dxa"/>
            <w:vAlign w:val="bottom"/>
            <w:vMerge w:val="restart"/>
          </w:tcPr>
          <w:p>
            <w:pPr>
              <w:spacing w:after="0"/>
              <w:rPr>
                <w:sz w:val="20"/>
                <w:szCs w:val="20"/>
                <w:color w:val="auto"/>
              </w:rPr>
            </w:pPr>
            <w:r>
              <w:rPr>
                <w:rFonts w:ascii="Arial" w:cs="Arial" w:eastAsia="Arial" w:hAnsi="Arial"/>
                <w:sz w:val="18"/>
                <w:szCs w:val="18"/>
                <w:color w:val="auto"/>
              </w:rPr>
              <w:t>Earnings (loss)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(0.07)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
        </w:trPr>
        <w:tc>
          <w:tcPr>
            <w:tcW w:w="4820" w:type="dxa"/>
            <w:vAlign w:val="bottom"/>
            <w:vMerge w:val="restart"/>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(0.07)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0.15</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80" w:type="dxa"/>
            <w:vAlign w:val="bottom"/>
            <w:vMerge w:val="continue"/>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2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40,039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34,385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38,003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32,632</w:t>
            </w:r>
          </w:p>
        </w:tc>
        <w:tc>
          <w:tcPr>
            <w:tcW w:w="0" w:type="dxa"/>
            <w:vAlign w:val="bottom"/>
          </w:tcPr>
          <w:p>
            <w:pPr>
              <w:spacing w:after="0"/>
              <w:rPr>
                <w:sz w:val="1"/>
                <w:szCs w:val="1"/>
                <w:color w:val="auto"/>
              </w:rPr>
            </w:pPr>
          </w:p>
        </w:tc>
      </w:tr>
      <w:tr>
        <w:trPr>
          <w:trHeight w:val="230"/>
        </w:trPr>
        <w:tc>
          <w:tcPr>
            <w:tcW w:w="4820" w:type="dxa"/>
            <w:vAlign w:val="bottom"/>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40,039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36,872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38,003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34,991</w:t>
            </w:r>
          </w:p>
        </w:tc>
        <w:tc>
          <w:tcPr>
            <w:tcW w:w="0" w:type="dxa"/>
            <w:vAlign w:val="bottom"/>
          </w:tcPr>
          <w:p>
            <w:pPr>
              <w:spacing w:after="0"/>
              <w:rPr>
                <w:sz w:val="1"/>
                <w:szCs w:val="1"/>
                <w:color w:val="auto"/>
              </w:rPr>
            </w:pPr>
          </w:p>
        </w:tc>
      </w:tr>
      <w:tr>
        <w:trPr>
          <w:trHeight w:val="659"/>
        </w:trPr>
        <w:tc>
          <w:tcPr>
            <w:tcW w:w="48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8" w:name="page9"/>
    <w:bookmarkEnd w:id="8"/>
    <w:p>
      <w:pPr>
        <w:jc w:val="center"/>
        <w:ind w:right="6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SEGMENT INFORMATION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(Unaudited, in thousands)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gridSpan w:val="7"/>
            <w:vMerge w:val="restart"/>
          </w:tcPr>
          <w:p>
            <w:pPr>
              <w:jc w:val="right"/>
              <w:ind w:right="360"/>
              <w:spacing w:after="0"/>
              <w:rPr>
                <w:sz w:val="20"/>
                <w:szCs w:val="20"/>
                <w:color w:val="auto"/>
              </w:rPr>
            </w:pPr>
            <w:r>
              <w:rPr>
                <w:rFonts w:ascii="Arial" w:cs="Arial" w:eastAsia="Arial" w:hAnsi="Arial"/>
                <w:sz w:val="18"/>
                <w:szCs w:val="18"/>
                <w:b w:val="1"/>
                <w:bCs w:val="1"/>
                <w:color w:val="auto"/>
                <w:w w:val="92"/>
              </w:rPr>
              <w:t>Three Months Ended September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6"/>
            <w:vMerge w:val="restart"/>
          </w:tcPr>
          <w:p>
            <w:pPr>
              <w:jc w:val="right"/>
              <w:ind w:right="30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20" w:type="dxa"/>
            <w:vAlign w:val="bottom"/>
            <w:gridSpan w:val="7"/>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6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b w:val="1"/>
                <w:bCs w:val="1"/>
                <w:color w:val="auto"/>
              </w:rPr>
              <w:t>Revenues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20"/>
              <w:spacing w:after="0"/>
              <w:rPr>
                <w:sz w:val="20"/>
                <w:szCs w:val="20"/>
                <w:color w:val="auto"/>
              </w:rPr>
            </w:pPr>
            <w:r>
              <w:rPr>
                <w:rFonts w:ascii="Arial" w:cs="Arial" w:eastAsia="Arial" w:hAnsi="Arial"/>
                <w:sz w:val="18"/>
                <w:szCs w:val="18"/>
                <w:color w:val="auto"/>
              </w:rPr>
              <w:t>Itron North America</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137,360</w:t>
            </w:r>
          </w:p>
        </w:tc>
        <w:tc>
          <w:tcPr>
            <w:tcW w:w="140" w:type="dxa"/>
            <w:vAlign w:val="bottom"/>
          </w:tcPr>
          <w:p>
            <w:pPr>
              <w:spacing w:after="0"/>
              <w:rPr>
                <w:sz w:val="18"/>
                <w:szCs w:val="18"/>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176,135</w:t>
            </w:r>
          </w:p>
        </w:tc>
        <w:tc>
          <w:tcPr>
            <w:tcW w:w="14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419,689</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527,986</w:t>
            </w:r>
          </w:p>
        </w:tc>
        <w:tc>
          <w:tcPr>
            <w:tcW w:w="0" w:type="dxa"/>
            <w:vAlign w:val="bottom"/>
          </w:tcPr>
          <w:p>
            <w:pPr>
              <w:spacing w:after="0"/>
              <w:rPr>
                <w:sz w:val="1"/>
                <w:szCs w:val="1"/>
                <w:color w:val="auto"/>
              </w:rPr>
            </w:pPr>
          </w:p>
        </w:tc>
      </w:tr>
      <w:tr>
        <w:trPr>
          <w:trHeight w:val="237"/>
        </w:trPr>
        <w:tc>
          <w:tcPr>
            <w:tcW w:w="4060" w:type="dxa"/>
            <w:vAlign w:val="bottom"/>
          </w:tcPr>
          <w:p>
            <w:pPr>
              <w:ind w:left="120"/>
              <w:spacing w:after="0"/>
              <w:rPr>
                <w:sz w:val="20"/>
                <w:szCs w:val="20"/>
                <w:color w:val="auto"/>
              </w:rPr>
            </w:pPr>
            <w:r>
              <w:rPr>
                <w:rFonts w:ascii="Arial" w:cs="Arial" w:eastAsia="Arial" w:hAnsi="Arial"/>
                <w:sz w:val="18"/>
                <w:szCs w:val="18"/>
                <w:color w:val="auto"/>
              </w:rPr>
              <w:t>Itron International</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270,998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308,683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790,935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949,239</w:t>
            </w:r>
          </w:p>
        </w:tc>
        <w:tc>
          <w:tcPr>
            <w:tcW w:w="0" w:type="dxa"/>
            <w:vAlign w:val="bottom"/>
          </w:tcPr>
          <w:p>
            <w:pPr>
              <w:spacing w:after="0"/>
              <w:rPr>
                <w:sz w:val="1"/>
                <w:szCs w:val="1"/>
                <w:color w:val="auto"/>
              </w:rPr>
            </w:pPr>
          </w:p>
        </w:tc>
      </w:tr>
      <w:tr>
        <w:trPr>
          <w:trHeight w:val="216"/>
        </w:trPr>
        <w:tc>
          <w:tcPr>
            <w:tcW w:w="4060" w:type="dxa"/>
            <w:vAlign w:val="bottom"/>
          </w:tcPr>
          <w:p>
            <w:pPr>
              <w:ind w:left="1280"/>
              <w:spacing w:after="0"/>
              <w:rPr>
                <w:sz w:val="20"/>
                <w:szCs w:val="20"/>
                <w:color w:val="auto"/>
              </w:rPr>
            </w:pPr>
            <w:r>
              <w:rPr>
                <w:rFonts w:ascii="Arial" w:cs="Arial" w:eastAsia="Arial" w:hAnsi="Arial"/>
                <w:sz w:val="18"/>
                <w:szCs w:val="18"/>
                <w:color w:val="auto"/>
              </w:rPr>
              <w:t>Total Company</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408,358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484,818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1,210,624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1,477,225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60" w:type="dxa"/>
            <w:vAlign w:val="bottom"/>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0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20"/>
              <w:spacing w:after="0"/>
              <w:rPr>
                <w:sz w:val="20"/>
                <w:szCs w:val="20"/>
                <w:color w:val="auto"/>
              </w:rPr>
            </w:pPr>
            <w:r>
              <w:rPr>
                <w:rFonts w:ascii="Arial" w:cs="Arial" w:eastAsia="Arial" w:hAnsi="Arial"/>
                <w:sz w:val="18"/>
                <w:szCs w:val="18"/>
                <w:color w:val="auto"/>
              </w:rPr>
              <w:t>Itron North America</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42,553</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66,500</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144,849</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200,847</w:t>
            </w:r>
          </w:p>
        </w:tc>
        <w:tc>
          <w:tcPr>
            <w:tcW w:w="0" w:type="dxa"/>
            <w:vAlign w:val="bottom"/>
          </w:tcPr>
          <w:p>
            <w:pPr>
              <w:spacing w:after="0"/>
              <w:rPr>
                <w:sz w:val="1"/>
                <w:szCs w:val="1"/>
                <w:color w:val="auto"/>
              </w:rPr>
            </w:pPr>
          </w:p>
        </w:tc>
      </w:tr>
      <w:tr>
        <w:trPr>
          <w:trHeight w:val="237"/>
        </w:trPr>
        <w:tc>
          <w:tcPr>
            <w:tcW w:w="4060" w:type="dxa"/>
            <w:vAlign w:val="bottom"/>
          </w:tcPr>
          <w:p>
            <w:pPr>
              <w:ind w:left="120"/>
              <w:spacing w:after="0"/>
              <w:rPr>
                <w:sz w:val="20"/>
                <w:szCs w:val="20"/>
                <w:color w:val="auto"/>
              </w:rPr>
            </w:pPr>
            <w:r>
              <w:rPr>
                <w:rFonts w:ascii="Arial" w:cs="Arial" w:eastAsia="Arial" w:hAnsi="Arial"/>
                <w:sz w:val="18"/>
                <w:szCs w:val="18"/>
                <w:color w:val="auto"/>
              </w:rPr>
              <w:t>Itron International</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86,926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96,460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247,323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300,882</w:t>
            </w:r>
          </w:p>
        </w:tc>
        <w:tc>
          <w:tcPr>
            <w:tcW w:w="0" w:type="dxa"/>
            <w:vAlign w:val="bottom"/>
          </w:tcPr>
          <w:p>
            <w:pPr>
              <w:spacing w:after="0"/>
              <w:rPr>
                <w:sz w:val="1"/>
                <w:szCs w:val="1"/>
                <w:color w:val="auto"/>
              </w:rPr>
            </w:pPr>
          </w:p>
        </w:tc>
      </w:tr>
      <w:tr>
        <w:trPr>
          <w:trHeight w:val="216"/>
        </w:trPr>
        <w:tc>
          <w:tcPr>
            <w:tcW w:w="4060" w:type="dxa"/>
            <w:vAlign w:val="bottom"/>
          </w:tcPr>
          <w:p>
            <w:pPr>
              <w:ind w:left="1280"/>
              <w:spacing w:after="0"/>
              <w:rPr>
                <w:sz w:val="20"/>
                <w:szCs w:val="20"/>
                <w:color w:val="auto"/>
              </w:rPr>
            </w:pPr>
            <w:r>
              <w:rPr>
                <w:rFonts w:ascii="Arial" w:cs="Arial" w:eastAsia="Arial" w:hAnsi="Arial"/>
                <w:sz w:val="18"/>
                <w:szCs w:val="18"/>
                <w:color w:val="auto"/>
              </w:rPr>
              <w:t>Total Company</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129,479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162,960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392,172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6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0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20"/>
              <w:spacing w:after="0"/>
              <w:rPr>
                <w:sz w:val="20"/>
                <w:szCs w:val="20"/>
                <w:color w:val="auto"/>
              </w:rPr>
            </w:pPr>
            <w:r>
              <w:rPr>
                <w:rFonts w:ascii="Arial" w:cs="Arial" w:eastAsia="Arial" w:hAnsi="Arial"/>
                <w:sz w:val="18"/>
                <w:szCs w:val="18"/>
                <w:color w:val="auto"/>
              </w:rPr>
              <w:t>Itron North America</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(1,187)</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17,934</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12,461</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56,296</w:t>
            </w:r>
          </w:p>
        </w:tc>
        <w:tc>
          <w:tcPr>
            <w:tcW w:w="0" w:type="dxa"/>
            <w:vAlign w:val="bottom"/>
          </w:tcPr>
          <w:p>
            <w:pPr>
              <w:spacing w:after="0"/>
              <w:rPr>
                <w:sz w:val="1"/>
                <w:szCs w:val="1"/>
                <w:color w:val="auto"/>
              </w:rPr>
            </w:pPr>
          </w:p>
        </w:tc>
      </w:tr>
      <w:tr>
        <w:trPr>
          <w:trHeight w:val="216"/>
        </w:trPr>
        <w:tc>
          <w:tcPr>
            <w:tcW w:w="4060" w:type="dxa"/>
            <w:vAlign w:val="bottom"/>
          </w:tcPr>
          <w:p>
            <w:pPr>
              <w:ind w:left="120"/>
              <w:spacing w:after="0"/>
              <w:rPr>
                <w:sz w:val="20"/>
                <w:szCs w:val="20"/>
                <w:color w:val="auto"/>
              </w:rPr>
            </w:pPr>
            <w:r>
              <w:rPr>
                <w:rFonts w:ascii="Arial" w:cs="Arial" w:eastAsia="Arial" w:hAnsi="Arial"/>
                <w:sz w:val="18"/>
                <w:szCs w:val="18"/>
                <w:color w:val="auto"/>
              </w:rPr>
              <w:t>Itron International</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17,318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18,408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40,016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63,074</w:t>
            </w:r>
          </w:p>
        </w:tc>
        <w:tc>
          <w:tcPr>
            <w:tcW w:w="0" w:type="dxa"/>
            <w:vAlign w:val="bottom"/>
          </w:tcPr>
          <w:p>
            <w:pPr>
              <w:spacing w:after="0"/>
              <w:rPr>
                <w:sz w:val="1"/>
                <w:szCs w:val="1"/>
                <w:color w:val="auto"/>
              </w:rPr>
            </w:pPr>
          </w:p>
        </w:tc>
      </w:tr>
      <w:tr>
        <w:trPr>
          <w:trHeight w:val="237"/>
        </w:trPr>
        <w:tc>
          <w:tcPr>
            <w:tcW w:w="4060" w:type="dxa"/>
            <w:vAlign w:val="bottom"/>
          </w:tcPr>
          <w:p>
            <w:pPr>
              <w:ind w:left="120"/>
              <w:spacing w:after="0"/>
              <w:rPr>
                <w:sz w:val="20"/>
                <w:szCs w:val="20"/>
                <w:color w:val="auto"/>
              </w:rPr>
            </w:pPr>
            <w:r>
              <w:rPr>
                <w:rFonts w:ascii="Arial" w:cs="Arial" w:eastAsia="Arial" w:hAnsi="Arial"/>
                <w:sz w:val="18"/>
                <w:szCs w:val="18"/>
                <w:color w:val="auto"/>
              </w:rPr>
              <w:t>Corporate unallocated</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(7,125)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(11,009)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(22,803)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(30,572)</w:t>
            </w:r>
          </w:p>
        </w:tc>
        <w:tc>
          <w:tcPr>
            <w:tcW w:w="0" w:type="dxa"/>
            <w:vAlign w:val="bottom"/>
          </w:tcPr>
          <w:p>
            <w:pPr>
              <w:spacing w:after="0"/>
              <w:rPr>
                <w:sz w:val="1"/>
                <w:szCs w:val="1"/>
                <w:color w:val="auto"/>
              </w:rPr>
            </w:pPr>
          </w:p>
        </w:tc>
      </w:tr>
      <w:tr>
        <w:trPr>
          <w:trHeight w:val="216"/>
        </w:trPr>
        <w:tc>
          <w:tcPr>
            <w:tcW w:w="4060" w:type="dxa"/>
            <w:vAlign w:val="bottom"/>
          </w:tcPr>
          <w:p>
            <w:pPr>
              <w:ind w:left="1280"/>
              <w:spacing w:after="0"/>
              <w:rPr>
                <w:sz w:val="20"/>
                <w:szCs w:val="20"/>
                <w:color w:val="auto"/>
              </w:rPr>
            </w:pPr>
            <w:r>
              <w:rPr>
                <w:rFonts w:ascii="Arial" w:cs="Arial" w:eastAsia="Arial" w:hAnsi="Arial"/>
                <w:sz w:val="18"/>
                <w:szCs w:val="18"/>
                <w:color w:val="auto"/>
              </w:rPr>
              <w:t>Total Company</w:t>
            </w:r>
          </w:p>
        </w:tc>
        <w:tc>
          <w:tcPr>
            <w:tcW w:w="6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9,006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4060" w:type="dxa"/>
            <w:vAlign w:val="bottom"/>
            <w:vMerge w:val="restart"/>
          </w:tcPr>
          <w:p>
            <w:pPr>
              <w:spacing w:after="0"/>
              <w:rPr>
                <w:sz w:val="20"/>
                <w:szCs w:val="20"/>
                <w:color w:val="auto"/>
              </w:rPr>
            </w:pPr>
            <w:r>
              <w:rPr>
                <w:rFonts w:ascii="Arial" w:cs="Arial" w:eastAsia="Arial" w:hAnsi="Arial"/>
                <w:sz w:val="18"/>
                <w:szCs w:val="18"/>
                <w:color w:val="auto"/>
              </w:rPr>
              <w:t>(Units in thousands)</w:t>
            </w:r>
          </w:p>
        </w:tc>
        <w:tc>
          <w:tcPr>
            <w:tcW w:w="4020" w:type="dxa"/>
            <w:vAlign w:val="bottom"/>
            <w:gridSpan w:val="10"/>
          </w:tcPr>
          <w:p>
            <w:pPr>
              <w:jc w:val="right"/>
              <w:ind w:right="940"/>
              <w:spacing w:after="0"/>
              <w:rPr>
                <w:sz w:val="20"/>
                <w:szCs w:val="20"/>
                <w:color w:val="auto"/>
              </w:rPr>
            </w:pPr>
            <w:r>
              <w:rPr>
                <w:rFonts w:ascii="Arial" w:cs="Arial" w:eastAsia="Arial" w:hAnsi="Arial"/>
                <w:sz w:val="18"/>
                <w:szCs w:val="18"/>
                <w:b w:val="1"/>
                <w:bCs w:val="1"/>
                <w:color w:val="auto"/>
              </w:rPr>
              <w:t>METER AND MODULE SUMMARY</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7"/>
            <w:vMerge w:val="restart"/>
          </w:tcPr>
          <w:p>
            <w:pPr>
              <w:jc w:val="right"/>
              <w:ind w:right="360"/>
              <w:spacing w:after="0"/>
              <w:rPr>
                <w:sz w:val="20"/>
                <w:szCs w:val="20"/>
                <w:color w:val="auto"/>
              </w:rPr>
            </w:pPr>
            <w:r>
              <w:rPr>
                <w:rFonts w:ascii="Arial" w:cs="Arial" w:eastAsia="Arial" w:hAnsi="Arial"/>
                <w:sz w:val="18"/>
                <w:szCs w:val="18"/>
                <w:b w:val="1"/>
                <w:bCs w:val="1"/>
                <w:color w:val="auto"/>
                <w:w w:val="92"/>
              </w:rPr>
              <w:t>Three Months Ended 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6"/>
            <w:vMerge w:val="restart"/>
          </w:tcPr>
          <w:p>
            <w:pPr>
              <w:jc w:val="right"/>
              <w:ind w:right="30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20" w:type="dxa"/>
            <w:vAlign w:val="bottom"/>
            <w:gridSpan w:val="7"/>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6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Total meters (with and without AMR/AMI)</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20"/>
              <w:spacing w:after="0"/>
              <w:rPr>
                <w:sz w:val="20"/>
                <w:szCs w:val="20"/>
                <w:color w:val="auto"/>
              </w:rPr>
            </w:pPr>
            <w:r>
              <w:rPr>
                <w:rFonts w:ascii="Arial" w:cs="Arial" w:eastAsia="Arial" w:hAnsi="Arial"/>
                <w:sz w:val="18"/>
                <w:szCs w:val="18"/>
                <w:color w:val="auto"/>
              </w:rPr>
              <w:t>Itron North America</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280"/>
              <w:spacing w:after="0"/>
              <w:rPr>
                <w:sz w:val="20"/>
                <w:szCs w:val="20"/>
                <w:color w:val="auto"/>
              </w:rPr>
            </w:pPr>
            <w:r>
              <w:rPr>
                <w:rFonts w:ascii="Arial" w:cs="Arial" w:eastAsia="Arial" w:hAnsi="Arial"/>
                <w:sz w:val="18"/>
                <w:szCs w:val="18"/>
                <w:color w:val="auto"/>
              </w:rPr>
              <w:t>Electricity</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2,340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16"/>
        </w:trPr>
        <w:tc>
          <w:tcPr>
            <w:tcW w:w="4060" w:type="dxa"/>
            <w:vAlign w:val="bottom"/>
          </w:tcPr>
          <w:p>
            <w:pPr>
              <w:ind w:left="1280"/>
              <w:spacing w:after="0"/>
              <w:rPr>
                <w:sz w:val="20"/>
                <w:szCs w:val="20"/>
                <w:color w:val="auto"/>
              </w:rPr>
            </w:pPr>
            <w:r>
              <w:rPr>
                <w:rFonts w:ascii="Arial" w:cs="Arial" w:eastAsia="Arial" w:hAnsi="Arial"/>
                <w:sz w:val="18"/>
                <w:szCs w:val="18"/>
                <w:color w:val="auto"/>
              </w:rPr>
              <w:t>Gas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4060" w:type="dxa"/>
            <w:vAlign w:val="bottom"/>
          </w:tcPr>
          <w:p>
            <w:pPr>
              <w:ind w:left="120"/>
              <w:spacing w:after="0"/>
              <w:rPr>
                <w:sz w:val="20"/>
                <w:szCs w:val="20"/>
                <w:color w:val="auto"/>
              </w:rPr>
            </w:pPr>
            <w:r>
              <w:rPr>
                <w:rFonts w:ascii="Arial" w:cs="Arial" w:eastAsia="Arial" w:hAnsi="Arial"/>
                <w:sz w:val="18"/>
                <w:szCs w:val="18"/>
                <w:color w:val="auto"/>
              </w:rPr>
              <w:t>Itron International</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280"/>
              <w:spacing w:after="0"/>
              <w:rPr>
                <w:sz w:val="20"/>
                <w:szCs w:val="20"/>
                <w:color w:val="auto"/>
              </w:rPr>
            </w:pPr>
            <w:r>
              <w:rPr>
                <w:rFonts w:ascii="Arial" w:cs="Arial" w:eastAsia="Arial" w:hAnsi="Arial"/>
                <w:sz w:val="18"/>
                <w:szCs w:val="18"/>
                <w:color w:val="auto"/>
              </w:rPr>
              <w:t>Electricity</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1,890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5,670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5,760</w:t>
            </w:r>
          </w:p>
        </w:tc>
        <w:tc>
          <w:tcPr>
            <w:tcW w:w="0" w:type="dxa"/>
            <w:vAlign w:val="bottom"/>
          </w:tcPr>
          <w:p>
            <w:pPr>
              <w:spacing w:after="0"/>
              <w:rPr>
                <w:sz w:val="1"/>
                <w:szCs w:val="1"/>
                <w:color w:val="auto"/>
              </w:rPr>
            </w:pPr>
          </w:p>
        </w:tc>
      </w:tr>
      <w:tr>
        <w:trPr>
          <w:trHeight w:val="216"/>
        </w:trPr>
        <w:tc>
          <w:tcPr>
            <w:tcW w:w="4060" w:type="dxa"/>
            <w:vAlign w:val="bottom"/>
          </w:tcPr>
          <w:p>
            <w:pPr>
              <w:ind w:left="1280"/>
              <w:spacing w:after="0"/>
              <w:rPr>
                <w:sz w:val="20"/>
                <w:szCs w:val="20"/>
                <w:color w:val="auto"/>
              </w:rPr>
            </w:pPr>
            <w:r>
              <w:rPr>
                <w:rFonts w:ascii="Arial" w:cs="Arial" w:eastAsia="Arial" w:hAnsi="Arial"/>
                <w:sz w:val="18"/>
                <w:szCs w:val="18"/>
                <w:color w:val="auto"/>
              </w:rPr>
              <w:t>Gas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3,880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37"/>
        </w:trPr>
        <w:tc>
          <w:tcPr>
            <w:tcW w:w="4060" w:type="dxa"/>
            <w:vAlign w:val="bottom"/>
          </w:tcPr>
          <w:p>
            <w:pPr>
              <w:ind w:left="1280"/>
              <w:spacing w:after="0"/>
              <w:rPr>
                <w:sz w:val="20"/>
                <w:szCs w:val="20"/>
                <w:color w:val="auto"/>
              </w:rPr>
            </w:pPr>
            <w:r>
              <w:rPr>
                <w:rFonts w:ascii="Arial" w:cs="Arial" w:eastAsia="Arial" w:hAnsi="Arial"/>
                <w:sz w:val="18"/>
                <w:szCs w:val="18"/>
                <w:color w:val="auto"/>
              </w:rPr>
              <w:t>Water</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1,960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6,540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7,080</w:t>
            </w:r>
          </w:p>
        </w:tc>
        <w:tc>
          <w:tcPr>
            <w:tcW w:w="0" w:type="dxa"/>
            <w:vAlign w:val="bottom"/>
          </w:tcPr>
          <w:p>
            <w:pPr>
              <w:spacing w:after="0"/>
              <w:rPr>
                <w:sz w:val="1"/>
                <w:szCs w:val="1"/>
                <w:color w:val="auto"/>
              </w:rPr>
            </w:pPr>
          </w:p>
        </w:tc>
      </w:tr>
      <w:tr>
        <w:trPr>
          <w:trHeight w:val="216"/>
        </w:trPr>
        <w:tc>
          <w:tcPr>
            <w:tcW w:w="4060" w:type="dxa"/>
            <w:vAlign w:val="bottom"/>
          </w:tcPr>
          <w:p>
            <w:pPr>
              <w:ind w:left="120"/>
              <w:spacing w:after="0"/>
              <w:rPr>
                <w:sz w:val="20"/>
                <w:szCs w:val="20"/>
                <w:color w:val="auto"/>
              </w:rPr>
            </w:pPr>
            <w:r>
              <w:rPr>
                <w:rFonts w:ascii="Arial" w:cs="Arial" w:eastAsia="Arial" w:hAnsi="Arial"/>
                <w:sz w:val="18"/>
                <w:szCs w:val="18"/>
                <w:color w:val="auto"/>
              </w:rPr>
              <w:t>Total meters with and without AMR/AMI</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60" w:type="dxa"/>
            <w:vAlign w:val="bottom"/>
            <w:vMerge w:val="restart"/>
          </w:tcPr>
          <w:p>
            <w:pPr>
              <w:spacing w:after="0"/>
              <w:rPr>
                <w:sz w:val="20"/>
                <w:szCs w:val="20"/>
                <w:color w:val="auto"/>
              </w:rPr>
            </w:pPr>
            <w:r>
              <w:rPr>
                <w:rFonts w:ascii="Arial" w:cs="Arial" w:eastAsia="Arial" w:hAnsi="Arial"/>
                <w:sz w:val="18"/>
                <w:szCs w:val="18"/>
                <w:color w:val="auto"/>
              </w:rPr>
              <w:t>Additional meter information (Total Company)</w:t>
            </w: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0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20"/>
              <w:spacing w:after="0"/>
              <w:rPr>
                <w:sz w:val="20"/>
                <w:szCs w:val="20"/>
                <w:color w:val="auto"/>
              </w:rPr>
            </w:pPr>
            <w:r>
              <w:rPr>
                <w:rFonts w:ascii="Arial" w:cs="Arial" w:eastAsia="Arial" w:hAnsi="Arial"/>
                <w:sz w:val="18"/>
                <w:szCs w:val="18"/>
                <w:color w:val="auto"/>
              </w:rPr>
              <w:t>Meters with AMR</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2,200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16"/>
        </w:trPr>
        <w:tc>
          <w:tcPr>
            <w:tcW w:w="4060" w:type="dxa"/>
            <w:vAlign w:val="bottom"/>
          </w:tcPr>
          <w:p>
            <w:pPr>
              <w:ind w:left="120"/>
              <w:spacing w:after="0"/>
              <w:rPr>
                <w:sz w:val="20"/>
                <w:szCs w:val="20"/>
                <w:color w:val="auto"/>
              </w:rPr>
            </w:pPr>
            <w:r>
              <w:rPr>
                <w:rFonts w:ascii="Arial" w:cs="Arial" w:eastAsia="Arial" w:hAnsi="Arial"/>
                <w:sz w:val="18"/>
                <w:szCs w:val="18"/>
                <w:color w:val="auto"/>
              </w:rPr>
              <w:t>Meters with AMI</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r>
              <w:rPr>
                <w:rFonts w:ascii="Arial" w:cs="Arial" w:eastAsia="Arial" w:hAnsi="Arial"/>
                <w:sz w:val="18"/>
                <w:szCs w:val="18"/>
                <w:color w:val="auto"/>
              </w:rPr>
              <w:t>Standalone AMR/AMI modules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850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2,860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216"/>
        </w:trPr>
        <w:tc>
          <w:tcPr>
            <w:tcW w:w="4060" w:type="dxa"/>
            <w:vAlign w:val="bottom"/>
          </w:tcPr>
          <w:p>
            <w:pPr>
              <w:ind w:left="1280"/>
              <w:spacing w:after="0"/>
              <w:rPr>
                <w:sz w:val="20"/>
                <w:szCs w:val="20"/>
                <w:color w:val="auto"/>
              </w:rPr>
            </w:pPr>
            <w:r>
              <w:rPr>
                <w:rFonts w:ascii="Arial" w:cs="Arial" w:eastAsia="Arial" w:hAnsi="Arial"/>
                <w:sz w:val="18"/>
                <w:szCs w:val="18"/>
                <w:color w:val="auto"/>
                <w:w w:val="97"/>
              </w:rPr>
              <w:t>Meters with AMR/AMI and modules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060" w:type="dxa"/>
            <w:vAlign w:val="bottom"/>
          </w:tcPr>
          <w:p>
            <w:pPr>
              <w:spacing w:after="0"/>
              <w:rPr>
                <w:sz w:val="20"/>
                <w:szCs w:val="20"/>
                <w:color w:val="auto"/>
              </w:rPr>
            </w:pPr>
            <w:r>
              <w:rPr>
                <w:rFonts w:ascii="Arial" w:cs="Arial" w:eastAsia="Arial" w:hAnsi="Arial"/>
                <w:sz w:val="18"/>
                <w:szCs w:val="18"/>
                <w:color w:val="auto"/>
              </w:rPr>
              <w:t>Meters with other vendors' AMR/AMI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As part of the integration of the 2007 Actaris acquisition, we made refinements to our two operating segments on January 1, 2009. The information presented for the three and nine months ended September 30, 2008 reflects the restatement of our segment operating results based on this refinement.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805815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72" w:right="279" w:bottom="1440" w:gutter="0" w:footer="0" w:header="0"/>
        </w:sectPr>
      </w:pPr>
    </w:p>
    <w:bookmarkStart w:id="9" w:name="page10"/>
    <w:bookmarkEnd w:id="9"/>
    <w:p>
      <w:pPr>
        <w:jc w:val="center"/>
        <w:ind w:right="10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(Unaudited, in thousands)</w:t>
            </w: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90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September 30, 2009</w:t>
            </w:r>
          </w:p>
        </w:tc>
        <w:tc>
          <w:tcPr>
            <w:tcW w:w="220" w:type="dxa"/>
            <w:vAlign w:val="bottom"/>
          </w:tcPr>
          <w:p>
            <w:pPr>
              <w:spacing w:after="0"/>
              <w:rPr>
                <w:sz w:val="24"/>
                <w:szCs w:val="24"/>
                <w:color w:val="auto"/>
              </w:rPr>
            </w:pPr>
          </w:p>
        </w:tc>
        <w:tc>
          <w:tcPr>
            <w:tcW w:w="16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December 31, 2008</w:t>
            </w:r>
          </w:p>
        </w:tc>
        <w:tc>
          <w:tcPr>
            <w:tcW w:w="0" w:type="dxa"/>
            <w:vAlign w:val="bottom"/>
          </w:tcPr>
          <w:p>
            <w:pPr>
              <w:spacing w:after="0"/>
              <w:rPr>
                <w:sz w:val="1"/>
                <w:szCs w:val="1"/>
                <w:color w:val="auto"/>
              </w:rPr>
            </w:pPr>
          </w:p>
        </w:tc>
      </w:tr>
      <w:tr>
        <w:trPr>
          <w:trHeight w:val="202"/>
        </w:trPr>
        <w:tc>
          <w:tcPr>
            <w:tcW w:w="7900" w:type="dxa"/>
            <w:vAlign w:val="bottom"/>
          </w:tcPr>
          <w:p>
            <w:pPr>
              <w:ind w:left="3600"/>
              <w:spacing w:after="0" w:line="201" w:lineRule="exact"/>
              <w:rPr>
                <w:sz w:val="20"/>
                <w:szCs w:val="20"/>
                <w:color w:val="auto"/>
              </w:rPr>
            </w:pPr>
            <w:r>
              <w:rPr>
                <w:rFonts w:ascii="Arial" w:cs="Arial" w:eastAsia="Arial" w:hAnsi="Arial"/>
                <w:sz w:val="18"/>
                <w:szCs w:val="18"/>
                <w:b w:val="1"/>
                <w:bCs w:val="1"/>
                <w:color w:val="auto"/>
              </w:rPr>
              <w:t>ASSETS</w:t>
            </w:r>
          </w:p>
        </w:tc>
        <w:tc>
          <w:tcPr>
            <w:tcW w:w="5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Current assets</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124,721</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144,390</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325,119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321,278</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177,766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164,210</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8"/>
                <w:szCs w:val="18"/>
                <w:color w:val="auto"/>
              </w:rPr>
              <w:t>Deferred income taxes, net</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28,993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31,807</w:t>
            </w:r>
          </w:p>
        </w:tc>
        <w:tc>
          <w:tcPr>
            <w:tcW w:w="0" w:type="dxa"/>
            <w:vAlign w:val="bottom"/>
          </w:tcPr>
          <w:p>
            <w:pPr>
              <w:spacing w:after="0"/>
              <w:rPr>
                <w:sz w:val="1"/>
                <w:szCs w:val="1"/>
                <w:color w:val="auto"/>
              </w:rPr>
            </w:pPr>
          </w:p>
        </w:tc>
      </w:tr>
      <w:tr>
        <w:trPr>
          <w:trHeight w:val="237"/>
        </w:trPr>
        <w:tc>
          <w:tcPr>
            <w:tcW w:w="7900" w:type="dxa"/>
            <w:vAlign w:val="bottom"/>
          </w:tcPr>
          <w:p>
            <w:pPr>
              <w:ind w:left="80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69,583</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56,032</w:t>
            </w:r>
          </w:p>
        </w:tc>
        <w:tc>
          <w:tcPr>
            <w:tcW w:w="0" w:type="dxa"/>
            <w:vAlign w:val="bottom"/>
          </w:tcPr>
          <w:p>
            <w:pPr>
              <w:spacing w:after="0"/>
              <w:rPr>
                <w:sz w:val="1"/>
                <w:szCs w:val="1"/>
                <w:color w:val="auto"/>
              </w:rPr>
            </w:pPr>
          </w:p>
        </w:tc>
      </w:tr>
      <w:tr>
        <w:trPr>
          <w:trHeight w:val="230"/>
        </w:trPr>
        <w:tc>
          <w:tcPr>
            <w:tcW w:w="790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5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726,182</w:t>
            </w:r>
          </w:p>
        </w:tc>
        <w:tc>
          <w:tcPr>
            <w:tcW w:w="2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717,717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79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315,967</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307,717</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Prepaid debt fees</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10,450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12,943</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68,934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30,917</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18,831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19,315</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419,136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481,886</w:t>
            </w: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1,323,932</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1,285,853</w:t>
            </w:r>
          </w:p>
        </w:tc>
        <w:tc>
          <w:tcPr>
            <w:tcW w:w="0" w:type="dxa"/>
            <w:vAlign w:val="bottom"/>
          </w:tcPr>
          <w:p>
            <w:pPr>
              <w:spacing w:after="0"/>
              <w:rPr>
                <w:sz w:val="1"/>
                <w:szCs w:val="1"/>
                <w:color w:val="auto"/>
              </w:rPr>
            </w:pPr>
          </w:p>
        </w:tc>
      </w:tr>
      <w:tr>
        <w:trPr>
          <w:trHeight w:val="216"/>
        </w:trPr>
        <w:tc>
          <w:tcPr>
            <w:tcW w:w="790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2,883,432</w:t>
            </w: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2,856,348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900" w:type="dxa"/>
            <w:vAlign w:val="bottom"/>
            <w:vMerge w:val="restart"/>
          </w:tcPr>
          <w:p>
            <w:pPr>
              <w:ind w:left="2300"/>
              <w:spacing w:after="0"/>
              <w:rPr>
                <w:sz w:val="20"/>
                <w:szCs w:val="20"/>
                <w:color w:val="auto"/>
              </w:rPr>
            </w:pPr>
            <w:r>
              <w:rPr>
                <w:rFonts w:ascii="Arial" w:cs="Arial" w:eastAsia="Arial" w:hAnsi="Arial"/>
                <w:sz w:val="18"/>
                <w:szCs w:val="18"/>
                <w:b w:val="1"/>
                <w:bCs w:val="1"/>
                <w:color w:val="auto"/>
              </w:rPr>
              <w:t>LIABILITIES AND SHAREHOLDERS' EQUITY</w:t>
            </w: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79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193,867</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200,725</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8"/>
                <w:szCs w:val="18"/>
                <w:color w:val="auto"/>
              </w:rPr>
              <w:t>Other current liabilities</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59,687</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66,365</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8"/>
                <w:szCs w:val="18"/>
                <w:color w:val="auto"/>
              </w:rPr>
              <w:t>Wages and benefits payable</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70,559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78,336</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8"/>
                <w:szCs w:val="18"/>
                <w:color w:val="auto"/>
              </w:rPr>
              <w:t>Taxes payable</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34,309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18,595</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10,953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10,769</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8"/>
                <w:szCs w:val="18"/>
                <w:color w:val="auto"/>
              </w:rPr>
              <w:t>Current portion of warranty</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20,751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8"/>
                <w:szCs w:val="18"/>
                <w:color w:val="auto"/>
              </w:rPr>
              <w:t>Unearned revenue</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34,731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24,329</w:t>
            </w:r>
          </w:p>
        </w:tc>
        <w:tc>
          <w:tcPr>
            <w:tcW w:w="0" w:type="dxa"/>
            <w:vAlign w:val="bottom"/>
          </w:tcPr>
          <w:p>
            <w:pPr>
              <w:spacing w:after="0"/>
              <w:rPr>
                <w:sz w:val="1"/>
                <w:szCs w:val="1"/>
                <w:color w:val="auto"/>
              </w:rPr>
            </w:pPr>
          </w:p>
        </w:tc>
      </w:tr>
      <w:tr>
        <w:trPr>
          <w:trHeight w:val="237"/>
        </w:trPr>
        <w:tc>
          <w:tcPr>
            <w:tcW w:w="7900" w:type="dxa"/>
            <w:vAlign w:val="bottom"/>
          </w:tcPr>
          <w:p>
            <w:pPr>
              <w:ind w:left="120"/>
              <w:spacing w:after="0"/>
              <w:rPr>
                <w:sz w:val="20"/>
                <w:szCs w:val="20"/>
                <w:color w:val="auto"/>
              </w:rPr>
            </w:pPr>
            <w:r>
              <w:rPr>
                <w:rFonts w:ascii="Arial" w:cs="Arial" w:eastAsia="Arial" w:hAnsi="Arial"/>
                <w:sz w:val="18"/>
                <w:szCs w:val="18"/>
                <w:color w:val="auto"/>
              </w:rPr>
              <w:t>Deferred income taxes, net</w:t>
            </w: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1,927</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30"/>
        </w:trPr>
        <w:tc>
          <w:tcPr>
            <w:tcW w:w="790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5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426,784</w:t>
            </w:r>
          </w:p>
        </w:tc>
        <w:tc>
          <w:tcPr>
            <w:tcW w:w="2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424,421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7900" w:type="dxa"/>
            <w:vAlign w:val="bottom"/>
          </w:tcPr>
          <w:p>
            <w:pPr>
              <w:spacing w:after="0"/>
              <w:rPr>
                <w:sz w:val="20"/>
                <w:szCs w:val="20"/>
                <w:color w:val="auto"/>
              </w:rPr>
            </w:pPr>
            <w:r>
              <w:rPr>
                <w:rFonts w:ascii="Arial" w:cs="Arial" w:eastAsia="Arial" w:hAnsi="Arial"/>
                <w:sz w:val="18"/>
                <w:szCs w:val="18"/>
                <w:color w:val="auto"/>
              </w:rPr>
              <w:t>Long-term debt</w:t>
            </w:r>
          </w:p>
        </w:tc>
        <w:tc>
          <w:tcPr>
            <w:tcW w:w="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812,991</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1,140,998</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Warranty</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12,764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14,880</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Pension plan benefits</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59,026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55,810</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83,745</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102,720</w:t>
            </w: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r>
              <w:rPr>
                <w:rFonts w:ascii="Arial" w:cs="Arial" w:eastAsia="Arial" w:hAnsi="Arial"/>
                <w:sz w:val="18"/>
                <w:szCs w:val="18"/>
                <w:color w:val="auto"/>
              </w:rPr>
              <w:t>Other obligations</w:t>
            </w: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77,280</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58,743</w:t>
            </w:r>
          </w:p>
        </w:tc>
        <w:tc>
          <w:tcPr>
            <w:tcW w:w="0" w:type="dxa"/>
            <w:vAlign w:val="bottom"/>
          </w:tcPr>
          <w:p>
            <w:pPr>
              <w:spacing w:after="0"/>
              <w:rPr>
                <w:sz w:val="1"/>
                <w:szCs w:val="1"/>
                <w:color w:val="auto"/>
              </w:rPr>
            </w:pPr>
          </w:p>
        </w:tc>
      </w:tr>
      <w:tr>
        <w:trPr>
          <w:trHeight w:val="230"/>
        </w:trPr>
        <w:tc>
          <w:tcPr>
            <w:tcW w:w="790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5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1,472,590</w:t>
            </w:r>
          </w:p>
        </w:tc>
        <w:tc>
          <w:tcPr>
            <w:tcW w:w="2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1,797,572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9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900" w:type="dxa"/>
            <w:vAlign w:val="bottom"/>
          </w:tcPr>
          <w:p>
            <w:pPr>
              <w:spacing w:after="0"/>
              <w:rPr>
                <w:sz w:val="20"/>
                <w:szCs w:val="20"/>
                <w:color w:val="auto"/>
              </w:rPr>
            </w:pPr>
            <w:r>
              <w:rPr>
                <w:rFonts w:ascii="Arial" w:cs="Arial" w:eastAsia="Arial" w:hAnsi="Arial"/>
                <w:sz w:val="18"/>
                <w:szCs w:val="18"/>
                <w:color w:val="auto"/>
              </w:rPr>
              <w:t>Shareholders' equity</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8"/>
                <w:szCs w:val="18"/>
                <w:color w:val="auto"/>
              </w:rPr>
              <w:t>Preferred stock</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1,294,425</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992,184</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8"/>
                <w:szCs w:val="18"/>
                <w:color w:val="auto"/>
              </w:rPr>
              <w:t>Accumulated other comprehensive income, net</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91,320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34,093</w:t>
            </w:r>
          </w:p>
        </w:tc>
        <w:tc>
          <w:tcPr>
            <w:tcW w:w="0" w:type="dxa"/>
            <w:vAlign w:val="bottom"/>
          </w:tcPr>
          <w:p>
            <w:pPr>
              <w:spacing w:after="0"/>
              <w:rPr>
                <w:sz w:val="1"/>
                <w:szCs w:val="1"/>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25,097</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50,291</w:t>
            </w:r>
          </w:p>
        </w:tc>
        <w:tc>
          <w:tcPr>
            <w:tcW w:w="0" w:type="dxa"/>
            <w:vAlign w:val="bottom"/>
          </w:tcPr>
          <w:p>
            <w:pPr>
              <w:spacing w:after="0"/>
              <w:rPr>
                <w:sz w:val="1"/>
                <w:szCs w:val="1"/>
                <w:color w:val="auto"/>
              </w:rPr>
            </w:pPr>
          </w:p>
        </w:tc>
      </w:tr>
      <w:tr>
        <w:trPr>
          <w:trHeight w:val="237"/>
        </w:trPr>
        <w:tc>
          <w:tcPr>
            <w:tcW w:w="7900" w:type="dxa"/>
            <w:vAlign w:val="bottom"/>
          </w:tcPr>
          <w:p>
            <w:pPr>
              <w:ind w:left="120"/>
              <w:spacing w:after="0"/>
              <w:rPr>
                <w:sz w:val="20"/>
                <w:szCs w:val="20"/>
                <w:color w:val="auto"/>
              </w:rPr>
            </w:pPr>
            <w:r>
              <w:rPr>
                <w:rFonts w:ascii="Arial" w:cs="Arial" w:eastAsia="Arial" w:hAnsi="Arial"/>
                <w:sz w:val="18"/>
                <w:szCs w:val="18"/>
                <w:color w:val="auto"/>
              </w:rPr>
              <w:t>Cumulative effect of change in accounting principle</w:t>
            </w: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(17,792)</w:t>
            </w:r>
          </w:p>
        </w:tc>
        <w:tc>
          <w:tcPr>
            <w:tcW w:w="0" w:type="dxa"/>
            <w:vAlign w:val="bottom"/>
          </w:tcPr>
          <w:p>
            <w:pPr>
              <w:spacing w:after="0"/>
              <w:rPr>
                <w:sz w:val="1"/>
                <w:szCs w:val="1"/>
                <w:color w:val="auto"/>
              </w:rPr>
            </w:pPr>
          </w:p>
        </w:tc>
      </w:tr>
      <w:tr>
        <w:trPr>
          <w:trHeight w:val="223"/>
        </w:trPr>
        <w:tc>
          <w:tcPr>
            <w:tcW w:w="7900" w:type="dxa"/>
            <w:vAlign w:val="bottom"/>
          </w:tcPr>
          <w:p>
            <w:pPr>
              <w:ind w:left="700"/>
              <w:spacing w:after="0"/>
              <w:rPr>
                <w:sz w:val="20"/>
                <w:szCs w:val="20"/>
                <w:color w:val="auto"/>
              </w:rPr>
            </w:pPr>
            <w:r>
              <w:rPr>
                <w:rFonts w:ascii="Arial" w:cs="Arial" w:eastAsia="Arial" w:hAnsi="Arial"/>
                <w:sz w:val="18"/>
                <w:szCs w:val="18"/>
                <w:color w:val="auto"/>
              </w:rPr>
              <w:t>Total shareholders' equity</w:t>
            </w:r>
          </w:p>
        </w:tc>
        <w:tc>
          <w:tcPr>
            <w:tcW w:w="5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1,410,842</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700"/>
              <w:spacing w:after="0"/>
              <w:rPr>
                <w:sz w:val="20"/>
                <w:szCs w:val="20"/>
                <w:color w:val="auto"/>
              </w:rPr>
            </w:pPr>
            <w:r>
              <w:rPr>
                <w:rFonts w:ascii="Arial" w:cs="Arial" w:eastAsia="Arial" w:hAnsi="Arial"/>
                <w:sz w:val="18"/>
                <w:szCs w:val="18"/>
                <w:color w:val="auto"/>
              </w:rPr>
              <w:t>Total liabilities and shareholders' equity</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2,883,432</w:t>
            </w:r>
          </w:p>
        </w:tc>
        <w:tc>
          <w:tcPr>
            <w:tcW w:w="220" w:type="dxa"/>
            <w:vAlign w:val="bottom"/>
          </w:tcPr>
          <w:p>
            <w:pPr>
              <w:spacing w:after="0"/>
              <w:rPr>
                <w:sz w:val="18"/>
                <w:szCs w:val="18"/>
                <w:color w:val="auto"/>
              </w:rPr>
            </w:pPr>
          </w:p>
        </w:tc>
        <w:tc>
          <w:tcPr>
            <w:tcW w:w="460" w:type="dxa"/>
            <w:vAlign w:val="bottom"/>
            <w:tcBorders>
              <w:bottom w:val="single" w:sz="8" w:color="auto"/>
            </w:tcBorders>
          </w:tcPr>
          <w:p>
            <w:pPr>
              <w:jc w:val="right"/>
              <w:ind w:right="30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5"/>
        </w:trPr>
        <w:tc>
          <w:tcPr>
            <w:tcW w:w="79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10" w:name="page11"/>
    <w:bookmarkEnd w:id="10"/>
    <w:p>
      <w:pPr>
        <w:jc w:val="center"/>
        <w:ind w:right="10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(Unaudited, in thousands)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8"/>
            <w:vMerge w:val="restart"/>
          </w:tcPr>
          <w:p>
            <w:pPr>
              <w:jc w:val="right"/>
              <w:ind w:right="36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3"/>
        </w:trPr>
        <w:tc>
          <w:tcPr>
            <w:tcW w:w="8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gridSpan w:val="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120" w:type="dxa"/>
            <w:vAlign w:val="bottom"/>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460" w:type="dxa"/>
            <w:vAlign w:val="bottom"/>
            <w:gridSpan w:val="4"/>
          </w:tcPr>
          <w:p>
            <w:pPr>
              <w:jc w:val="right"/>
              <w:ind w:right="80"/>
              <w:spacing w:after="0"/>
              <w:rPr>
                <w:sz w:val="20"/>
                <w:szCs w:val="20"/>
                <w:color w:val="auto"/>
              </w:rPr>
            </w:pPr>
            <w:r>
              <w:rPr>
                <w:rFonts w:ascii="Arial" w:cs="Arial" w:eastAsia="Arial" w:hAnsi="Arial"/>
                <w:sz w:val="18"/>
                <w:szCs w:val="18"/>
                <w:color w:val="auto"/>
              </w:rPr>
              <w:t>(7,402)</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16"/>
        </w:trPr>
        <w:tc>
          <w:tcPr>
            <w:tcW w:w="8120" w:type="dxa"/>
            <w:vAlign w:val="bottom"/>
          </w:tcPr>
          <w:p>
            <w:pPr>
              <w:ind w:left="1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113,812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133,295</w:t>
            </w:r>
          </w:p>
        </w:tc>
        <w:tc>
          <w:tcPr>
            <w:tcW w:w="0" w:type="dxa"/>
            <w:vAlign w:val="bottom"/>
          </w:tcPr>
          <w:p>
            <w:pPr>
              <w:spacing w:after="0"/>
              <w:rPr>
                <w:sz w:val="1"/>
                <w:szCs w:val="1"/>
                <w:color w:val="auto"/>
              </w:rPr>
            </w:pPr>
          </w:p>
        </w:tc>
      </w:tr>
      <w:tr>
        <w:trPr>
          <w:trHeight w:val="216"/>
        </w:trPr>
        <w:tc>
          <w:tcPr>
            <w:tcW w:w="81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13,467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12,560</w:t>
            </w:r>
          </w:p>
        </w:tc>
        <w:tc>
          <w:tcPr>
            <w:tcW w:w="0" w:type="dxa"/>
            <w:vAlign w:val="bottom"/>
          </w:tcPr>
          <w:p>
            <w:pPr>
              <w:spacing w:after="0"/>
              <w:rPr>
                <w:sz w:val="1"/>
                <w:szCs w:val="1"/>
                <w:color w:val="auto"/>
              </w:rPr>
            </w:pPr>
          </w:p>
        </w:tc>
      </w:tr>
      <w:tr>
        <w:trPr>
          <w:trHeight w:val="216"/>
        </w:trPr>
        <w:tc>
          <w:tcPr>
            <w:tcW w:w="8120" w:type="dxa"/>
            <w:vAlign w:val="bottom"/>
          </w:tcPr>
          <w:p>
            <w:pPr>
              <w:ind w:left="240"/>
              <w:spacing w:after="0"/>
              <w:rPr>
                <w:sz w:val="20"/>
                <w:szCs w:val="20"/>
                <w:color w:val="auto"/>
              </w:rPr>
            </w:pPr>
            <w:r>
              <w:rPr>
                <w:rFonts w:ascii="Arial" w:cs="Arial" w:eastAsia="Arial" w:hAnsi="Arial"/>
                <w:sz w:val="18"/>
                <w:szCs w:val="18"/>
                <w:color w:val="auto"/>
              </w:rPr>
              <w:t>Amortization of prepaid debt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6,384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7,665</w:t>
            </w:r>
          </w:p>
        </w:tc>
        <w:tc>
          <w:tcPr>
            <w:tcW w:w="0" w:type="dxa"/>
            <w:vAlign w:val="bottom"/>
          </w:tcPr>
          <w:p>
            <w:pPr>
              <w:spacing w:after="0"/>
              <w:rPr>
                <w:sz w:val="1"/>
                <w:szCs w:val="1"/>
                <w:color w:val="auto"/>
              </w:rPr>
            </w:pPr>
          </w:p>
        </w:tc>
      </w:tr>
      <w:tr>
        <w:trPr>
          <w:trHeight w:val="216"/>
        </w:trPr>
        <w:tc>
          <w:tcPr>
            <w:tcW w:w="8120" w:type="dxa"/>
            <w:vAlign w:val="bottom"/>
          </w:tcPr>
          <w:p>
            <w:pPr>
              <w:ind w:left="240"/>
              <w:spacing w:after="0"/>
              <w:rPr>
                <w:sz w:val="20"/>
                <w:szCs w:val="20"/>
                <w:color w:val="auto"/>
              </w:rPr>
            </w:pPr>
            <w:r>
              <w:rPr>
                <w:rFonts w:ascii="Arial" w:cs="Arial" w:eastAsia="Arial" w:hAnsi="Arial"/>
                <w:sz w:val="18"/>
                <w:szCs w:val="18"/>
                <w:color w:val="auto"/>
              </w:rPr>
              <w:t>Amortization of convertible debt discount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7,262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9,995</w:t>
            </w:r>
          </w:p>
        </w:tc>
        <w:tc>
          <w:tcPr>
            <w:tcW w:w="0" w:type="dxa"/>
            <w:vAlign w:val="bottom"/>
          </w:tcPr>
          <w:p>
            <w:pPr>
              <w:spacing w:after="0"/>
              <w:rPr>
                <w:sz w:val="1"/>
                <w:szCs w:val="1"/>
                <w:color w:val="auto"/>
              </w:rPr>
            </w:pPr>
          </w:p>
        </w:tc>
      </w:tr>
      <w:tr>
        <w:trPr>
          <w:trHeight w:val="216"/>
        </w:trPr>
        <w:tc>
          <w:tcPr>
            <w:tcW w:w="8120" w:type="dxa"/>
            <w:vAlign w:val="bottom"/>
          </w:tcPr>
          <w:p>
            <w:pPr>
              <w:ind w:left="240"/>
              <w:spacing w:after="0"/>
              <w:rPr>
                <w:sz w:val="20"/>
                <w:szCs w:val="20"/>
                <w:color w:val="auto"/>
              </w:rPr>
            </w:pPr>
            <w:r>
              <w:rPr>
                <w:rFonts w:ascii="Arial" w:cs="Arial" w:eastAsia="Arial" w:hAnsi="Arial"/>
                <w:sz w:val="18"/>
                <w:szCs w:val="18"/>
                <w:color w:val="auto"/>
              </w:rPr>
              <w:t>Loss on extinguishment of debt,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9,960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20" w:type="dxa"/>
            <w:vAlign w:val="bottom"/>
          </w:tcPr>
          <w:p>
            <w:pPr>
              <w:ind w:left="240"/>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8"/>
                <w:szCs w:val="18"/>
                <w:color w:val="auto"/>
              </w:rPr>
              <w:t>(51,341)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(31,357)</w:t>
            </w:r>
          </w:p>
        </w:tc>
        <w:tc>
          <w:tcPr>
            <w:tcW w:w="0" w:type="dxa"/>
            <w:vAlign w:val="bottom"/>
          </w:tcPr>
          <w:p>
            <w:pPr>
              <w:spacing w:after="0"/>
              <w:rPr>
                <w:sz w:val="1"/>
                <w:szCs w:val="1"/>
                <w:color w:val="auto"/>
              </w:rPr>
            </w:pPr>
          </w:p>
        </w:tc>
      </w:tr>
      <w:tr>
        <w:trPr>
          <w:trHeight w:val="216"/>
        </w:trPr>
        <w:tc>
          <w:tcPr>
            <w:tcW w:w="812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1,768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11,608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16"/>
        </w:trPr>
        <w:tc>
          <w:tcPr>
            <w:tcW w:w="812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8"/>
                <w:szCs w:val="18"/>
                <w:color w:val="auto"/>
              </w:rPr>
              <w:t>(4,211)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(19,100)</w:t>
            </w:r>
          </w:p>
        </w:tc>
        <w:tc>
          <w:tcPr>
            <w:tcW w:w="0" w:type="dxa"/>
            <w:vAlign w:val="bottom"/>
          </w:tcPr>
          <w:p>
            <w:pPr>
              <w:spacing w:after="0"/>
              <w:rPr>
                <w:sz w:val="1"/>
                <w:szCs w:val="1"/>
                <w:color w:val="auto"/>
              </w:rPr>
            </w:pPr>
          </w:p>
        </w:tc>
      </w:tr>
      <w:tr>
        <w:trPr>
          <w:trHeight w:val="216"/>
        </w:trPr>
        <w:tc>
          <w:tcPr>
            <w:tcW w:w="8120" w:type="dxa"/>
            <w:vAlign w:val="bottom"/>
          </w:tcPr>
          <w:p>
            <w:pPr>
              <w:ind w:left="120"/>
              <w:spacing w:after="0"/>
              <w:rPr>
                <w:sz w:val="20"/>
                <w:szCs w:val="20"/>
                <w:color w:val="auto"/>
              </w:rPr>
            </w:pPr>
            <w:r>
              <w:rPr>
                <w:rFonts w:ascii="Arial" w:cs="Arial" w:eastAsia="Arial" w:hAnsi="Arial"/>
                <w:sz w:val="18"/>
                <w:szCs w:val="18"/>
                <w:color w:val="auto"/>
              </w:rPr>
              <w:t>Accounts payables, other current liabilities, and taxes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8"/>
                <w:szCs w:val="18"/>
                <w:color w:val="auto"/>
              </w:rPr>
              <w:t>(2,473)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15,373</w:t>
            </w:r>
          </w:p>
        </w:tc>
        <w:tc>
          <w:tcPr>
            <w:tcW w:w="0" w:type="dxa"/>
            <w:vAlign w:val="bottom"/>
          </w:tcPr>
          <w:p>
            <w:pPr>
              <w:spacing w:after="0"/>
              <w:rPr>
                <w:sz w:val="1"/>
                <w:szCs w:val="1"/>
                <w:color w:val="auto"/>
              </w:rPr>
            </w:pPr>
          </w:p>
        </w:tc>
      </w:tr>
      <w:tr>
        <w:trPr>
          <w:trHeight w:val="216"/>
        </w:trPr>
        <w:tc>
          <w:tcPr>
            <w:tcW w:w="8120" w:type="dxa"/>
            <w:vAlign w:val="bottom"/>
          </w:tcPr>
          <w:p>
            <w:pPr>
              <w:ind w:left="120"/>
              <w:spacing w:after="0"/>
              <w:rPr>
                <w:sz w:val="20"/>
                <w:szCs w:val="20"/>
                <w:color w:val="auto"/>
              </w:rPr>
            </w:pPr>
            <w:r>
              <w:rPr>
                <w:rFonts w:ascii="Arial" w:cs="Arial" w:eastAsia="Arial" w:hAnsi="Arial"/>
                <w:sz w:val="18"/>
                <w:szCs w:val="18"/>
                <w:color w:val="auto"/>
              </w:rPr>
              <w:t>Wages and benefits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8"/>
                <w:szCs w:val="18"/>
                <w:color w:val="auto"/>
              </w:rPr>
              <w:t>(10,404)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15,549</w:t>
            </w:r>
          </w:p>
        </w:tc>
        <w:tc>
          <w:tcPr>
            <w:tcW w:w="0" w:type="dxa"/>
            <w:vAlign w:val="bottom"/>
          </w:tcPr>
          <w:p>
            <w:pPr>
              <w:spacing w:after="0"/>
              <w:rPr>
                <w:sz w:val="1"/>
                <w:szCs w:val="1"/>
                <w:color w:val="auto"/>
              </w:rPr>
            </w:pPr>
          </w:p>
        </w:tc>
      </w:tr>
      <w:tr>
        <w:trPr>
          <w:trHeight w:val="216"/>
        </w:trPr>
        <w:tc>
          <w:tcPr>
            <w:tcW w:w="8120" w:type="dxa"/>
            <w:vAlign w:val="bottom"/>
          </w:tcPr>
          <w:p>
            <w:pPr>
              <w:ind w:left="120"/>
              <w:spacing w:after="0"/>
              <w:rPr>
                <w:sz w:val="20"/>
                <w:szCs w:val="20"/>
                <w:color w:val="auto"/>
              </w:rPr>
            </w:pPr>
            <w:r>
              <w:rPr>
                <w:rFonts w:ascii="Arial" w:cs="Arial" w:eastAsia="Arial" w:hAnsi="Arial"/>
                <w:sz w:val="18"/>
                <w:szCs w:val="18"/>
                <w:color w:val="auto"/>
              </w:rPr>
              <w:t>Unearned revenue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9,272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5,339</w:t>
            </w:r>
          </w:p>
        </w:tc>
        <w:tc>
          <w:tcPr>
            <w:tcW w:w="0" w:type="dxa"/>
            <w:vAlign w:val="bottom"/>
          </w:tcPr>
          <w:p>
            <w:pPr>
              <w:spacing w:after="0"/>
              <w:rPr>
                <w:sz w:val="1"/>
                <w:szCs w:val="1"/>
                <w:color w:val="auto"/>
              </w:rPr>
            </w:pPr>
          </w:p>
        </w:tc>
      </w:tr>
      <w:tr>
        <w:trPr>
          <w:trHeight w:val="216"/>
        </w:trPr>
        <w:tc>
          <w:tcPr>
            <w:tcW w:w="8120" w:type="dxa"/>
            <w:vAlign w:val="bottom"/>
          </w:tcPr>
          <w:p>
            <w:pPr>
              <w:ind w:left="120"/>
              <w:spacing w:after="0"/>
              <w:rPr>
                <w:sz w:val="20"/>
                <w:szCs w:val="20"/>
                <w:color w:val="auto"/>
              </w:rPr>
            </w:pPr>
            <w:r>
              <w:rPr>
                <w:rFonts w:ascii="Arial" w:cs="Arial" w:eastAsia="Arial" w:hAnsi="Arial"/>
                <w:sz w:val="18"/>
                <w:szCs w:val="18"/>
                <w:color w:val="auto"/>
              </w:rPr>
              <w:t>Warranty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8"/>
                <w:szCs w:val="18"/>
                <w:color w:val="auto"/>
              </w:rPr>
              <w:t>(5,735)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7"/>
        </w:trPr>
        <w:tc>
          <w:tcPr>
            <w:tcW w:w="812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8"/>
                <w:szCs w:val="18"/>
                <w:color w:val="auto"/>
              </w:rPr>
              <w:t>(4,880)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(12,910)</w:t>
            </w:r>
          </w:p>
        </w:tc>
        <w:tc>
          <w:tcPr>
            <w:tcW w:w="0" w:type="dxa"/>
            <w:vAlign w:val="bottom"/>
          </w:tcPr>
          <w:p>
            <w:pPr>
              <w:spacing w:after="0"/>
              <w:rPr>
                <w:sz w:val="1"/>
                <w:szCs w:val="1"/>
                <w:color w:val="auto"/>
              </w:rPr>
            </w:pPr>
          </w:p>
        </w:tc>
      </w:tr>
      <w:tr>
        <w:trPr>
          <w:trHeight w:val="230"/>
        </w:trPr>
        <w:tc>
          <w:tcPr>
            <w:tcW w:w="8120" w:type="dxa"/>
            <w:vAlign w:val="bottom"/>
          </w:tcPr>
          <w:p>
            <w:pPr>
              <w:ind w:left="24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87,087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120" w:type="dxa"/>
            <w:vAlign w:val="bottom"/>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20"/>
              <w:spacing w:after="0"/>
              <w:rPr>
                <w:sz w:val="20"/>
                <w:szCs w:val="20"/>
                <w:color w:val="auto"/>
              </w:rPr>
            </w:pPr>
            <w:r>
              <w:rPr>
                <w:rFonts w:ascii="Arial" w:cs="Arial" w:eastAsia="Arial" w:hAnsi="Arial"/>
                <w:sz w:val="18"/>
                <w:szCs w:val="18"/>
                <w:color w:val="auto"/>
              </w:rPr>
              <w:t>Acquisitions of property, plant,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8"/>
                <w:szCs w:val="18"/>
                <w:color w:val="auto"/>
              </w:rPr>
              <w:t>(38,023)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(41,422)</w:t>
            </w:r>
          </w:p>
        </w:tc>
        <w:tc>
          <w:tcPr>
            <w:tcW w:w="0" w:type="dxa"/>
            <w:vAlign w:val="bottom"/>
          </w:tcPr>
          <w:p>
            <w:pPr>
              <w:spacing w:after="0"/>
              <w:rPr>
                <w:sz w:val="1"/>
                <w:szCs w:val="1"/>
                <w:color w:val="auto"/>
              </w:rPr>
            </w:pPr>
          </w:p>
        </w:tc>
      </w:tr>
      <w:tr>
        <w:trPr>
          <w:trHeight w:val="216"/>
        </w:trPr>
        <w:tc>
          <w:tcPr>
            <w:tcW w:w="8120" w:type="dxa"/>
            <w:vAlign w:val="bottom"/>
          </w:tcPr>
          <w:p>
            <w:pPr>
              <w:ind w:left="120"/>
              <w:spacing w:after="0"/>
              <w:rPr>
                <w:sz w:val="20"/>
                <w:szCs w:val="20"/>
                <w:color w:val="auto"/>
              </w:rPr>
            </w:pPr>
            <w:r>
              <w:rPr>
                <w:rFonts w:ascii="Arial" w:cs="Arial" w:eastAsia="Arial" w:hAnsi="Arial"/>
                <w:sz w:val="18"/>
                <w:szCs w:val="18"/>
                <w:color w:val="auto"/>
              </w:rPr>
              <w:t>Business acquisitions &amp; contingent consideration, net of cash equivalents acquired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8"/>
                <w:szCs w:val="18"/>
                <w:color w:val="auto"/>
              </w:rPr>
              <w:t>(1,317)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7"/>
        </w:trPr>
        <w:tc>
          <w:tcPr>
            <w:tcW w:w="812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4,101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30"/>
        </w:trPr>
        <w:tc>
          <w:tcPr>
            <w:tcW w:w="8120" w:type="dxa"/>
            <w:vAlign w:val="bottom"/>
          </w:tcPr>
          <w:p>
            <w:pPr>
              <w:ind w:left="24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(35,239)</w:t>
            </w:r>
          </w:p>
        </w:tc>
        <w:tc>
          <w:tcPr>
            <w:tcW w:w="1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120" w:type="dxa"/>
            <w:vAlign w:val="bottom"/>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20"/>
              <w:spacing w:after="0"/>
              <w:rPr>
                <w:sz w:val="20"/>
                <w:szCs w:val="20"/>
                <w:color w:val="auto"/>
              </w:rPr>
            </w:pPr>
            <w:r>
              <w:rPr>
                <w:rFonts w:ascii="Arial" w:cs="Arial" w:eastAsia="Arial" w:hAnsi="Arial"/>
                <w:sz w:val="18"/>
                <w:szCs w:val="18"/>
                <w:color w:val="auto"/>
              </w:rPr>
              <w:t>Payments on debt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8"/>
                <w:szCs w:val="18"/>
                <w:color w:val="auto"/>
              </w:rPr>
              <w:t>(236,495)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(384,426)</w:t>
            </w:r>
          </w:p>
        </w:tc>
        <w:tc>
          <w:tcPr>
            <w:tcW w:w="0" w:type="dxa"/>
            <w:vAlign w:val="bottom"/>
          </w:tcPr>
          <w:p>
            <w:pPr>
              <w:spacing w:after="0"/>
              <w:rPr>
                <w:sz w:val="1"/>
                <w:szCs w:val="1"/>
                <w:color w:val="auto"/>
              </w:rPr>
            </w:pPr>
          </w:p>
        </w:tc>
      </w:tr>
      <w:tr>
        <w:trPr>
          <w:trHeight w:val="216"/>
        </w:trPr>
        <w:tc>
          <w:tcPr>
            <w:tcW w:w="812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165,235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323,424</w:t>
            </w:r>
          </w:p>
        </w:tc>
        <w:tc>
          <w:tcPr>
            <w:tcW w:w="0" w:type="dxa"/>
            <w:vAlign w:val="bottom"/>
          </w:tcPr>
          <w:p>
            <w:pPr>
              <w:spacing w:after="0"/>
              <w:rPr>
                <w:sz w:val="1"/>
                <w:szCs w:val="1"/>
                <w:color w:val="auto"/>
              </w:rPr>
            </w:pPr>
          </w:p>
        </w:tc>
      </w:tr>
      <w:tr>
        <w:trPr>
          <w:trHeight w:val="216"/>
        </w:trPr>
        <w:tc>
          <w:tcPr>
            <w:tcW w:w="8120" w:type="dxa"/>
            <w:vAlign w:val="bottom"/>
          </w:tcPr>
          <w:p>
            <w:pPr>
              <w:ind w:left="120"/>
              <w:spacing w:after="0"/>
              <w:rPr>
                <w:sz w:val="20"/>
                <w:szCs w:val="20"/>
                <w:color w:val="auto"/>
              </w:rPr>
            </w:pPr>
            <w:r>
              <w:rPr>
                <w:rFonts w:ascii="Arial" w:cs="Arial" w:eastAsia="Arial" w:hAnsi="Arial"/>
                <w:sz w:val="18"/>
                <w:szCs w:val="18"/>
                <w:color w:val="auto"/>
              </w:rPr>
              <w:t>Prepaid debt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8"/>
                <w:szCs w:val="18"/>
                <w:color w:val="auto"/>
              </w:rPr>
              <w:t>(3,936)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7"/>
        </w:trPr>
        <w:tc>
          <w:tcPr>
            <w:tcW w:w="812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8"/>
                <w:szCs w:val="18"/>
                <w:color w:val="auto"/>
              </w:rPr>
              <w:t>(1,309)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8120" w:type="dxa"/>
            <w:vAlign w:val="bottom"/>
          </w:tcPr>
          <w:p>
            <w:pPr>
              <w:ind w:left="24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(76,505)</w:t>
            </w:r>
          </w:p>
        </w:tc>
        <w:tc>
          <w:tcPr>
            <w:tcW w:w="140" w:type="dxa"/>
            <w:vAlign w:val="bottom"/>
            <w:gridSpan w:val="3"/>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81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4,988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2"/>
        </w:trPr>
        <w:tc>
          <w:tcPr>
            <w:tcW w:w="8120" w:type="dxa"/>
            <w:vAlign w:val="bottom"/>
          </w:tcPr>
          <w:p>
            <w:pPr>
              <w:spacing w:after="0" w:line="201" w:lineRule="exact"/>
              <w:rPr>
                <w:sz w:val="20"/>
                <w:szCs w:val="20"/>
                <w:color w:val="auto"/>
              </w:rPr>
            </w:pPr>
            <w:r>
              <w:rPr>
                <w:rFonts w:ascii="Arial" w:cs="Arial" w:eastAsia="Arial" w:hAnsi="Arial"/>
                <w:sz w:val="18"/>
                <w:szCs w:val="18"/>
                <w:color w:val="auto"/>
              </w:rPr>
              <w:t>Increase (decrease) in cash and cash equivalents</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(19,669)</w:t>
            </w: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55,403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144,390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91,988</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124,721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2"/>
        </w:trPr>
        <w:tc>
          <w:tcPr>
            <w:tcW w:w="8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Non-GAAP Financial Measures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press release dated October 28, 2009 contains non-GAAP financial measures. To supplement our consolidated financial statements, which are prepared and presented in accordance with GAAP, we use certain non-GAAP financial measures, including non-GAAP operating income, non-GAAP net income, non-GAAP diluted EPS, adjusted EBITDA and free cash flow. The presentation of this financial information is not intended to be considered in isolation or as a substitute for, or superior to, the financial information prepared and presented in accordance with GAAP. For more information on these non-GAAP financial measures please see the table captioned “Reconciliations of Non-GAAP Financial Measures to Most Directly Comparable GAAP Financial Measures”.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use these non-GAAP financial measures for financial and operational decision making and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non-recurring discrete cash and non-cash charges that are infrequent in nature such as in-process research and development (IPR&amp;D), purchase accounting adjustments or extinguishment of debt gains and losses.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help them analyze the health of our business.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Non-GAAP operating income </w:t>
      </w:r>
      <w:r>
        <w:rPr>
          <w:rFonts w:ascii="Arial" w:cs="Arial" w:eastAsia="Arial" w:hAnsi="Arial"/>
          <w:sz w:val="17"/>
          <w:szCs w:val="17"/>
          <w:color w:val="auto"/>
        </w:rPr>
        <w:t>– We define non-GAAP operating income as operating income excluding the expense related to the amortization of intangible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We consider this non-GAAP financial measure to be a useful metric for management and investors because it excludes the effect of expenses that are related to previous acquisitions. By excluding these expenses we believe that it is easier for management and investors to compare our financial results over multiple periods and analyze trends in our operations. For example, expenses related to amortization of intangible assets are now decreasing, which is improving GAAP operating margins, yet the improvement in GAAP operating margins due to this lower expense is not necessarily reflective of an improvement in our core business. There are some limitations related to the use of non-GAAP operating income versus operating income calculated in accordance with GAAP. Non-GAAP operating income excludes some costs that are recurring. Additionally, the expenses that we exclude in our calculation of non-GAAP operating income may differ from the expenses that our peer companies exclude when they report the results of their operations. We compensate for these limitations by providing specific information about the GAAP amounts we have excluded from our non-GAAP operating income and evaluating non-GAAP operating income together with GAAP operating income.</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Non-GAAP net income and non-GAAP diluted EPS </w:t>
      </w:r>
      <w:r>
        <w:rPr>
          <w:rFonts w:ascii="Arial" w:cs="Arial" w:eastAsia="Arial" w:hAnsi="Arial"/>
          <w:sz w:val="16"/>
          <w:szCs w:val="16"/>
          <w:color w:val="auto"/>
        </w:rPr>
        <w:t>– We define non-GAAP net income as net income excluding the expenses associated with amortization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assets, amortization of debt placement fees, non-cash interest expense from the adoption of FSB APB 14-1 and the non-cash net loss on the extinguishment of debt.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and GAAP diluted EPS.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 We define adjusted EBITDA as net income (a) minus interest income, (b) plus interest expense, depreciation and amortization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 expenses and the non-cash net loss on the extinguishment of debt, and (c) exclude the tax expense or benefit. We believe that providing this financial measure is important for management and investors to understand our ability to service our debt as it is a measure of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Management compensates for this limitation by providing a reconciliation of this measure to GAAP net income.</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Free cash flow </w:t>
      </w:r>
      <w:r>
        <w:rPr>
          <w:rFonts w:ascii="Arial" w:cs="Arial" w:eastAsia="Arial" w:hAnsi="Arial"/>
          <w:sz w:val="17"/>
          <w:szCs w:val="17"/>
          <w:color w:val="auto"/>
        </w:rPr>
        <w:t>– We define free cash flow as net cash provided by operating activities less cash used for acquisitions of property, plant and equipment.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free cash flow provides investors with a relevant measure of liquidity and a useful basis for assessing our ability to fund our operations and repay our debt. The same limitations described above regarding our use of non-GAAP operating income apply to our use of free cash flow. We compensate for these limitations by providing specific information regarding the GAAP amounts and reconciling to free cash flow.</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2" w:name="page13"/>
    <w:bookmarkEnd w:id="12"/>
    <w:p>
      <w:pPr>
        <w:jc w:val="center"/>
        <w:ind w:right="6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RECONCILIATIONS OF NON-GAAP FINANCIAL MEASURES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TO MOST DIRECTLY COMPARABLE GAAP FINANCIAL MEASURES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(Unaudited, in thousands, except per share data)</w:t>
            </w:r>
          </w:p>
        </w:tc>
        <w:tc>
          <w:tcPr>
            <w:tcW w:w="3300" w:type="dxa"/>
            <w:vAlign w:val="bottom"/>
            <w:gridSpan w:val="7"/>
            <w:vMerge w:val="restart"/>
          </w:tcPr>
          <w:p>
            <w:pPr>
              <w:jc w:val="right"/>
              <w:ind w:right="340"/>
              <w:spacing w:after="0"/>
              <w:rPr>
                <w:sz w:val="20"/>
                <w:szCs w:val="20"/>
                <w:color w:val="auto"/>
              </w:rPr>
            </w:pPr>
            <w:r>
              <w:rPr>
                <w:rFonts w:ascii="Arial" w:cs="Arial" w:eastAsia="Arial" w:hAnsi="Arial"/>
                <w:sz w:val="18"/>
                <w:szCs w:val="18"/>
                <w:b w:val="1"/>
                <w:bCs w:val="1"/>
                <w:color w:val="auto"/>
                <w:w w:val="96"/>
              </w:rPr>
              <w:t>Three Months Ended September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6"/>
            <w:vMerge w:val="restart"/>
          </w:tcPr>
          <w:p>
            <w:pPr>
              <w:jc w:val="right"/>
              <w:ind w:right="30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3300" w:type="dxa"/>
            <w:vAlign w:val="bottom"/>
            <w:gridSpan w:val="7"/>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6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5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rPr>
              <w:t>Non-GAAP operating income:</w:t>
            </w: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60"/>
              <w:spacing w:after="0"/>
              <w:rPr>
                <w:sz w:val="20"/>
                <w:szCs w:val="20"/>
                <w:color w:val="auto"/>
              </w:rPr>
            </w:pPr>
            <w:r>
              <w:rPr>
                <w:rFonts w:ascii="Arial" w:cs="Arial" w:eastAsia="Arial" w:hAnsi="Arial"/>
                <w:sz w:val="18"/>
                <w:szCs w:val="18"/>
                <w:color w:val="auto"/>
              </w:rPr>
              <w:t>GAAP operating income</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9,006</w:t>
            </w: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25,333</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29,674</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88,798</w:t>
            </w:r>
          </w:p>
        </w:tc>
        <w:tc>
          <w:tcPr>
            <w:tcW w:w="0" w:type="dxa"/>
            <w:vAlign w:val="bottom"/>
          </w:tcPr>
          <w:p>
            <w:pPr>
              <w:spacing w:after="0"/>
              <w:rPr>
                <w:sz w:val="1"/>
                <w:szCs w:val="1"/>
                <w:color w:val="auto"/>
              </w:rPr>
            </w:pPr>
          </w:p>
        </w:tc>
      </w:tr>
      <w:tr>
        <w:trPr>
          <w:trHeight w:val="237"/>
        </w:trPr>
        <w:tc>
          <w:tcPr>
            <w:tcW w:w="4780" w:type="dxa"/>
            <w:vAlign w:val="bottom"/>
          </w:tcPr>
          <w:p>
            <w:pPr>
              <w:ind w:left="480"/>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25,121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30,395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72,788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93,114</w:t>
            </w:r>
          </w:p>
        </w:tc>
        <w:tc>
          <w:tcPr>
            <w:tcW w:w="0" w:type="dxa"/>
            <w:vAlign w:val="bottom"/>
          </w:tcPr>
          <w:p>
            <w:pPr>
              <w:spacing w:after="0"/>
              <w:rPr>
                <w:sz w:val="1"/>
                <w:szCs w:val="1"/>
                <w:color w:val="auto"/>
              </w:rPr>
            </w:pPr>
          </w:p>
        </w:tc>
      </w:tr>
      <w:tr>
        <w:trPr>
          <w:trHeight w:val="216"/>
        </w:trPr>
        <w:tc>
          <w:tcPr>
            <w:tcW w:w="4780" w:type="dxa"/>
            <w:vAlign w:val="bottom"/>
          </w:tcPr>
          <w:p>
            <w:pPr>
              <w:ind w:left="260"/>
              <w:spacing w:after="0"/>
              <w:rPr>
                <w:sz w:val="20"/>
                <w:szCs w:val="20"/>
                <w:color w:val="auto"/>
              </w:rPr>
            </w:pPr>
            <w:r>
              <w:rPr>
                <w:rFonts w:ascii="Arial" w:cs="Arial" w:eastAsia="Arial" w:hAnsi="Arial"/>
                <w:sz w:val="18"/>
                <w:szCs w:val="18"/>
                <w:color w:val="auto"/>
              </w:rPr>
              <w:t>Non-GAAP operating income</w:t>
            </w:r>
          </w:p>
        </w:tc>
        <w:tc>
          <w:tcPr>
            <w:tcW w:w="920" w:type="dxa"/>
            <w:vAlign w:val="bottom"/>
            <w:tcBorders>
              <w:top w:val="single" w:sz="8" w:color="auto"/>
            </w:tcBorders>
          </w:tcPr>
          <w:p>
            <w:pPr>
              <w:jc w:val="right"/>
              <w:ind w:right="762"/>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34,127</w:t>
            </w:r>
          </w:p>
        </w:tc>
        <w:tc>
          <w:tcPr>
            <w:tcW w:w="20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181,912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80" w:type="dxa"/>
            <w:vAlign w:val="bottom"/>
            <w:vMerge w:val="restart"/>
          </w:tcPr>
          <w:p>
            <w:pPr>
              <w:spacing w:after="0"/>
              <w:rPr>
                <w:sz w:val="20"/>
                <w:szCs w:val="20"/>
                <w:color w:val="auto"/>
              </w:rPr>
            </w:pPr>
            <w:r>
              <w:rPr>
                <w:rFonts w:ascii="Arial" w:cs="Arial" w:eastAsia="Arial" w:hAnsi="Arial"/>
                <w:sz w:val="18"/>
                <w:szCs w:val="18"/>
                <w:color w:val="auto"/>
              </w:rPr>
              <w:t>Non-GAAP net income:</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7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60"/>
              <w:spacing w:after="0"/>
              <w:rPr>
                <w:sz w:val="20"/>
                <w:szCs w:val="20"/>
                <w:color w:val="auto"/>
              </w:rPr>
            </w:pPr>
            <w:r>
              <w:rPr>
                <w:rFonts w:ascii="Arial" w:cs="Arial" w:eastAsia="Arial" w:hAnsi="Arial"/>
                <w:sz w:val="18"/>
                <w:szCs w:val="18"/>
                <w:color w:val="auto"/>
              </w:rPr>
              <w:t>GAAP net income (loss)</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(2,962)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5,600</w:t>
            </w:r>
          </w:p>
        </w:tc>
        <w:tc>
          <w:tcPr>
            <w:tcW w:w="14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(7,402)</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16"/>
        </w:trPr>
        <w:tc>
          <w:tcPr>
            <w:tcW w:w="4780" w:type="dxa"/>
            <w:vAlign w:val="bottom"/>
          </w:tcPr>
          <w:p>
            <w:pPr>
              <w:ind w:left="480"/>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25,121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30,395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72,788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93,114</w:t>
            </w:r>
          </w:p>
        </w:tc>
        <w:tc>
          <w:tcPr>
            <w:tcW w:w="0" w:type="dxa"/>
            <w:vAlign w:val="bottom"/>
          </w:tcPr>
          <w:p>
            <w:pPr>
              <w:spacing w:after="0"/>
              <w:rPr>
                <w:sz w:val="1"/>
                <w:szCs w:val="1"/>
                <w:color w:val="auto"/>
              </w:rPr>
            </w:pPr>
          </w:p>
        </w:tc>
      </w:tr>
      <w:tr>
        <w:trPr>
          <w:trHeight w:val="216"/>
        </w:trPr>
        <w:tc>
          <w:tcPr>
            <w:tcW w:w="4780" w:type="dxa"/>
            <w:vAlign w:val="bottom"/>
          </w:tcPr>
          <w:p>
            <w:pPr>
              <w:ind w:left="480"/>
              <w:spacing w:after="0"/>
              <w:rPr>
                <w:sz w:val="20"/>
                <w:szCs w:val="20"/>
                <w:color w:val="auto"/>
              </w:rPr>
            </w:pPr>
            <w:r>
              <w:rPr>
                <w:rFonts w:ascii="Arial" w:cs="Arial" w:eastAsia="Arial" w:hAnsi="Arial"/>
                <w:sz w:val="18"/>
                <w:szCs w:val="18"/>
                <w:color w:val="auto"/>
              </w:rPr>
              <w:t>Amortization of debt placement fees</w:t>
            </w:r>
          </w:p>
        </w:tc>
        <w:tc>
          <w:tcPr>
            <w:tcW w:w="9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4,053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6,214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7,475</w:t>
            </w:r>
          </w:p>
        </w:tc>
        <w:tc>
          <w:tcPr>
            <w:tcW w:w="0" w:type="dxa"/>
            <w:vAlign w:val="bottom"/>
          </w:tcPr>
          <w:p>
            <w:pPr>
              <w:spacing w:after="0"/>
              <w:rPr>
                <w:sz w:val="1"/>
                <w:szCs w:val="1"/>
                <w:color w:val="auto"/>
              </w:rPr>
            </w:pPr>
          </w:p>
        </w:tc>
      </w:tr>
      <w:tr>
        <w:trPr>
          <w:trHeight w:val="216"/>
        </w:trPr>
        <w:tc>
          <w:tcPr>
            <w:tcW w:w="4780" w:type="dxa"/>
            <w:vAlign w:val="bottom"/>
          </w:tcPr>
          <w:p>
            <w:pPr>
              <w:ind w:left="280"/>
              <w:spacing w:after="0"/>
              <w:rPr>
                <w:sz w:val="20"/>
                <w:szCs w:val="20"/>
                <w:color w:val="auto"/>
              </w:rPr>
            </w:pPr>
            <w:r>
              <w:rPr>
                <w:rFonts w:ascii="Arial" w:cs="Arial" w:eastAsia="Arial" w:hAnsi="Arial"/>
                <w:sz w:val="18"/>
                <w:szCs w:val="18"/>
                <w:color w:val="auto"/>
              </w:rPr>
              <w:t>(1)FSP APB 14-1 interest expense</w:t>
            </w:r>
          </w:p>
        </w:tc>
        <w:tc>
          <w:tcPr>
            <w:tcW w:w="9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2,367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7,262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9,995</w:t>
            </w:r>
          </w:p>
        </w:tc>
        <w:tc>
          <w:tcPr>
            <w:tcW w:w="0" w:type="dxa"/>
            <w:vAlign w:val="bottom"/>
          </w:tcPr>
          <w:p>
            <w:pPr>
              <w:spacing w:after="0"/>
              <w:rPr>
                <w:sz w:val="1"/>
                <w:szCs w:val="1"/>
                <w:color w:val="auto"/>
              </w:rPr>
            </w:pPr>
          </w:p>
        </w:tc>
      </w:tr>
      <w:tr>
        <w:trPr>
          <w:trHeight w:val="237"/>
        </w:trPr>
        <w:tc>
          <w:tcPr>
            <w:tcW w:w="4780" w:type="dxa"/>
            <w:vAlign w:val="bottom"/>
          </w:tcPr>
          <w:p>
            <w:pPr>
              <w:ind w:left="480"/>
              <w:spacing w:after="0"/>
              <w:rPr>
                <w:sz w:val="20"/>
                <w:szCs w:val="20"/>
                <w:color w:val="auto"/>
              </w:rPr>
            </w:pPr>
            <w:r>
              <w:rPr>
                <w:rFonts w:ascii="Arial" w:cs="Arial" w:eastAsia="Arial" w:hAnsi="Arial"/>
                <w:sz w:val="18"/>
                <w:szCs w:val="18"/>
                <w:color w:val="auto"/>
              </w:rPr>
              <w:t>Loss on extinguishment of debt, net</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9,960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tcPr>
          <w:p>
            <w:pPr>
              <w:ind w:left="480"/>
              <w:spacing w:after="0"/>
              <w:rPr>
                <w:sz w:val="20"/>
                <w:szCs w:val="20"/>
                <w:color w:val="auto"/>
              </w:rPr>
            </w:pPr>
            <w:r>
              <w:rPr>
                <w:rFonts w:ascii="Arial" w:cs="Arial" w:eastAsia="Arial" w:hAnsi="Arial"/>
                <w:sz w:val="18"/>
                <w:szCs w:val="18"/>
                <w:color w:val="auto"/>
              </w:rPr>
              <w:t>Income tax effect of non-GAAP adjustments</w:t>
            </w:r>
          </w:p>
        </w:tc>
        <w:tc>
          <w:tcPr>
            <w:tcW w:w="9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(10,378)</w:t>
            </w:r>
          </w:p>
        </w:tc>
        <w:tc>
          <w:tcPr>
            <w:tcW w:w="220" w:type="dxa"/>
            <w:vAlign w:val="bottom"/>
            <w:gridSpan w:val="2"/>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60"/>
              <w:spacing w:after="0"/>
              <w:rPr>
                <w:sz w:val="20"/>
                <w:szCs w:val="20"/>
                <w:color w:val="auto"/>
              </w:rPr>
            </w:pPr>
            <w:r>
              <w:rPr>
                <w:rFonts w:ascii="Arial" w:cs="Arial" w:eastAsia="Arial" w:hAnsi="Arial"/>
                <w:sz w:val="18"/>
                <w:szCs w:val="18"/>
                <w:color w:val="auto"/>
              </w:rPr>
              <w:t>Non-GAAP net income</w:t>
            </w:r>
          </w:p>
        </w:tc>
        <w:tc>
          <w:tcPr>
            <w:tcW w:w="92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18,201</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780" w:type="dxa"/>
            <w:vAlign w:val="bottom"/>
          </w:tcPr>
          <w:p>
            <w:pPr>
              <w:ind w:left="260"/>
              <w:spacing w:after="0"/>
              <w:rPr>
                <w:sz w:val="20"/>
                <w:szCs w:val="20"/>
                <w:color w:val="auto"/>
              </w:rPr>
            </w:pPr>
            <w:r>
              <w:rPr>
                <w:rFonts w:ascii="Arial" w:cs="Arial" w:eastAsia="Arial" w:hAnsi="Arial"/>
                <w:sz w:val="18"/>
                <w:szCs w:val="18"/>
                <w:color w:val="auto"/>
              </w:rPr>
              <w:t>Non-GAAP diluted EPS</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0.45</w:t>
            </w:r>
          </w:p>
        </w:tc>
        <w:tc>
          <w:tcPr>
            <w:tcW w:w="2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0.81</w:t>
            </w:r>
          </w:p>
        </w:tc>
        <w:tc>
          <w:tcPr>
            <w:tcW w:w="140" w:type="dxa"/>
            <w:vAlign w:val="bottom"/>
          </w:tcPr>
          <w:p>
            <w:pPr>
              <w:spacing w:after="0"/>
              <w:rPr>
                <w:sz w:val="24"/>
                <w:szCs w:val="24"/>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78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 - Diluted</w:t>
            </w:r>
          </w:p>
        </w:tc>
        <w:tc>
          <w:tcPr>
            <w:tcW w:w="92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40,456</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36,872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38,387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34,991</w:t>
            </w:r>
          </w:p>
        </w:tc>
        <w:tc>
          <w:tcPr>
            <w:tcW w:w="0" w:type="dxa"/>
            <w:vAlign w:val="bottom"/>
          </w:tcPr>
          <w:p>
            <w:pPr>
              <w:spacing w:after="0"/>
              <w:rPr>
                <w:sz w:val="1"/>
                <w:szCs w:val="1"/>
                <w:color w:val="auto"/>
              </w:rPr>
            </w:pPr>
          </w:p>
        </w:tc>
      </w:tr>
      <w:tr>
        <w:trPr>
          <w:trHeight w:val="21"/>
        </w:trPr>
        <w:tc>
          <w:tcPr>
            <w:tcW w:w="478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7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60"/>
              <w:spacing w:after="0"/>
              <w:rPr>
                <w:sz w:val="20"/>
                <w:szCs w:val="20"/>
                <w:color w:val="auto"/>
              </w:rPr>
            </w:pPr>
            <w:r>
              <w:rPr>
                <w:rFonts w:ascii="Arial" w:cs="Arial" w:eastAsia="Arial" w:hAnsi="Arial"/>
                <w:sz w:val="18"/>
                <w:szCs w:val="18"/>
                <w:color w:val="auto"/>
              </w:rPr>
              <w:t>GAAP net income (loss)</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(2,962)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5,600</w:t>
            </w:r>
          </w:p>
        </w:tc>
        <w:tc>
          <w:tcPr>
            <w:tcW w:w="14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(7,402)</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16"/>
        </w:trPr>
        <w:tc>
          <w:tcPr>
            <w:tcW w:w="4780" w:type="dxa"/>
            <w:vAlign w:val="bottom"/>
          </w:tcPr>
          <w:p>
            <w:pPr>
              <w:ind w:left="480"/>
              <w:spacing w:after="0"/>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(1,962)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(971)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16"/>
        </w:trPr>
        <w:tc>
          <w:tcPr>
            <w:tcW w:w="478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20,075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21,037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53,319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75,362</w:t>
            </w:r>
          </w:p>
        </w:tc>
        <w:tc>
          <w:tcPr>
            <w:tcW w:w="0" w:type="dxa"/>
            <w:vAlign w:val="bottom"/>
          </w:tcPr>
          <w:p>
            <w:pPr>
              <w:spacing w:after="0"/>
              <w:rPr>
                <w:sz w:val="1"/>
                <w:szCs w:val="1"/>
                <w:color w:val="auto"/>
              </w:rPr>
            </w:pPr>
          </w:p>
        </w:tc>
      </w:tr>
      <w:tr>
        <w:trPr>
          <w:trHeight w:val="216"/>
        </w:trPr>
        <w:tc>
          <w:tcPr>
            <w:tcW w:w="4780" w:type="dxa"/>
            <w:vAlign w:val="bottom"/>
          </w:tcPr>
          <w:p>
            <w:pPr>
              <w:ind w:left="480"/>
              <w:spacing w:after="0"/>
              <w:rPr>
                <w:sz w:val="20"/>
                <w:szCs w:val="20"/>
                <w:color w:val="auto"/>
              </w:rPr>
            </w:pPr>
            <w:r>
              <w:rPr>
                <w:rFonts w:ascii="Arial" w:cs="Arial" w:eastAsia="Arial" w:hAnsi="Arial"/>
                <w:sz w:val="18"/>
                <w:szCs w:val="18"/>
                <w:color w:val="auto"/>
              </w:rPr>
              <w:t>Income tax (benefit) provision</w:t>
            </w:r>
          </w:p>
        </w:tc>
        <w:tc>
          <w:tcPr>
            <w:tcW w:w="92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w w:val="86"/>
              </w:rPr>
              <w:t>(15,146)</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(37,517)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478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39,405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43,829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113,812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133,295</w:t>
            </w:r>
          </w:p>
        </w:tc>
        <w:tc>
          <w:tcPr>
            <w:tcW w:w="0" w:type="dxa"/>
            <w:vAlign w:val="bottom"/>
          </w:tcPr>
          <w:p>
            <w:pPr>
              <w:spacing w:after="0"/>
              <w:rPr>
                <w:sz w:val="1"/>
                <w:szCs w:val="1"/>
                <w:color w:val="auto"/>
              </w:rPr>
            </w:pPr>
          </w:p>
        </w:tc>
      </w:tr>
      <w:tr>
        <w:trPr>
          <w:trHeight w:val="237"/>
        </w:trPr>
        <w:tc>
          <w:tcPr>
            <w:tcW w:w="4780" w:type="dxa"/>
            <w:vAlign w:val="bottom"/>
          </w:tcPr>
          <w:p>
            <w:pPr>
              <w:ind w:left="480"/>
              <w:spacing w:after="0"/>
              <w:rPr>
                <w:sz w:val="20"/>
                <w:szCs w:val="20"/>
                <w:color w:val="auto"/>
              </w:rPr>
            </w:pPr>
            <w:r>
              <w:rPr>
                <w:rFonts w:ascii="Arial" w:cs="Arial" w:eastAsia="Arial" w:hAnsi="Arial"/>
                <w:sz w:val="18"/>
                <w:szCs w:val="18"/>
                <w:color w:val="auto"/>
              </w:rPr>
              <w:t>Loss on extinguishment of debt, net</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9,960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ind w:left="260"/>
              <w:spacing w:after="0"/>
              <w:rPr>
                <w:sz w:val="20"/>
                <w:szCs w:val="20"/>
                <w:color w:val="auto"/>
              </w:rPr>
            </w:pPr>
            <w:r>
              <w:rPr>
                <w:rFonts w:ascii="Arial" w:cs="Arial" w:eastAsia="Arial" w:hAnsi="Arial"/>
                <w:sz w:val="18"/>
                <w:szCs w:val="18"/>
                <w:color w:val="auto"/>
              </w:rPr>
              <w:t>Adjusted EBITDA</w:t>
            </w:r>
          </w:p>
        </w:tc>
        <w:tc>
          <w:tcPr>
            <w:tcW w:w="92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41,417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220,155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80" w:type="dxa"/>
            <w:vAlign w:val="bottom"/>
            <w:vMerge w:val="restart"/>
          </w:tcPr>
          <w:p>
            <w:pPr>
              <w:spacing w:after="0"/>
              <w:rPr>
                <w:sz w:val="20"/>
                <w:szCs w:val="20"/>
                <w:color w:val="auto"/>
              </w:rPr>
            </w:pPr>
            <w:r>
              <w:rPr>
                <w:rFonts w:ascii="Arial" w:cs="Arial" w:eastAsia="Arial" w:hAnsi="Arial"/>
                <w:sz w:val="18"/>
                <w:szCs w:val="18"/>
                <w:color w:val="auto"/>
              </w:rPr>
              <w:t>Free Cash Flow:</w:t>
            </w: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7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19,734</w:t>
            </w: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35,775</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87,087</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156,224</w:t>
            </w:r>
          </w:p>
        </w:tc>
        <w:tc>
          <w:tcPr>
            <w:tcW w:w="0" w:type="dxa"/>
            <w:vAlign w:val="bottom"/>
          </w:tcPr>
          <w:p>
            <w:pPr>
              <w:spacing w:after="0"/>
              <w:rPr>
                <w:sz w:val="1"/>
                <w:szCs w:val="1"/>
                <w:color w:val="auto"/>
              </w:rPr>
            </w:pPr>
          </w:p>
        </w:tc>
      </w:tr>
      <w:tr>
        <w:trPr>
          <w:trHeight w:val="237"/>
        </w:trPr>
        <w:tc>
          <w:tcPr>
            <w:tcW w:w="4780" w:type="dxa"/>
            <w:vAlign w:val="bottom"/>
          </w:tcPr>
          <w:p>
            <w:pPr>
              <w:ind w:left="480"/>
              <w:spacing w:after="0"/>
              <w:rPr>
                <w:sz w:val="20"/>
                <w:szCs w:val="20"/>
                <w:color w:val="auto"/>
              </w:rPr>
            </w:pPr>
            <w:r>
              <w:rPr>
                <w:rFonts w:ascii="Arial" w:cs="Arial" w:eastAsia="Arial" w:hAnsi="Arial"/>
                <w:sz w:val="18"/>
                <w:szCs w:val="18"/>
                <w:color w:val="auto"/>
              </w:rPr>
              <w:t>Acquisitions of property, plant, and equipment</w:t>
            </w:r>
          </w:p>
        </w:tc>
        <w:tc>
          <w:tcPr>
            <w:tcW w:w="92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w w:val="86"/>
              </w:rPr>
              <w:t>(10,219)</w:t>
            </w:r>
          </w:p>
        </w:tc>
        <w:tc>
          <w:tcPr>
            <w:tcW w:w="3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(12,456)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(38,023)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(41,422)</w:t>
            </w:r>
          </w:p>
        </w:tc>
        <w:tc>
          <w:tcPr>
            <w:tcW w:w="0" w:type="dxa"/>
            <w:vAlign w:val="bottom"/>
          </w:tcPr>
          <w:p>
            <w:pPr>
              <w:spacing w:after="0"/>
              <w:rPr>
                <w:sz w:val="1"/>
                <w:szCs w:val="1"/>
                <w:color w:val="auto"/>
              </w:rPr>
            </w:pPr>
          </w:p>
        </w:tc>
      </w:tr>
      <w:tr>
        <w:trPr>
          <w:trHeight w:val="216"/>
        </w:trPr>
        <w:tc>
          <w:tcPr>
            <w:tcW w:w="4780" w:type="dxa"/>
            <w:vAlign w:val="bottom"/>
          </w:tcPr>
          <w:p>
            <w:pPr>
              <w:ind w:left="260"/>
              <w:spacing w:after="0"/>
              <w:rPr>
                <w:sz w:val="20"/>
                <w:szCs w:val="20"/>
                <w:color w:val="auto"/>
              </w:rPr>
            </w:pPr>
            <w:r>
              <w:rPr>
                <w:rFonts w:ascii="Arial" w:cs="Arial" w:eastAsia="Arial" w:hAnsi="Arial"/>
                <w:sz w:val="18"/>
                <w:szCs w:val="18"/>
                <w:color w:val="auto"/>
              </w:rPr>
              <w:t>Free Cash Flow</w:t>
            </w:r>
          </w:p>
        </w:tc>
        <w:tc>
          <w:tcPr>
            <w:tcW w:w="92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9,515</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right="140" w:hanging="210"/>
        <w:spacing w:after="0" w:line="259" w:lineRule="auto"/>
        <w:rPr>
          <w:sz w:val="20"/>
          <w:szCs w:val="20"/>
          <w:color w:val="auto"/>
        </w:rPr>
      </w:pPr>
      <w:r>
        <w:rPr>
          <w:rFonts w:ascii="Arial" w:cs="Arial" w:eastAsia="Arial" w:hAnsi="Arial"/>
          <w:sz w:val="18"/>
          <w:szCs w:val="18"/>
          <w:color w:val="auto"/>
        </w:rPr>
        <w:t xml:space="preserve">(1)On January 1, 2009, we adopted FSP APB 14-1, </w:t>
      </w:r>
      <w:r>
        <w:rPr>
          <w:rFonts w:ascii="Arial" w:cs="Arial" w:eastAsia="Arial" w:hAnsi="Arial"/>
          <w:sz w:val="18"/>
          <w:szCs w:val="18"/>
          <w:i w:val="1"/>
          <w:iCs w:val="1"/>
          <w:color w:val="auto"/>
        </w:rPr>
        <w:t>Accounting for Convertible Debt Instruments That May Be Settled in Cash upon Conversion (Including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Partial Cash Settlement) </w:t>
      </w:r>
      <w:r>
        <w:rPr>
          <w:rFonts w:ascii="Arial" w:cs="Arial" w:eastAsia="Arial" w:hAnsi="Arial"/>
          <w:sz w:val="18"/>
          <w:szCs w:val="18"/>
          <w:color w:val="auto"/>
        </w:rPr>
        <w:t>(FSP 14-1), and applied FSP 14-1 retrospectively to all periods for which our convertible debt was outstanding.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excluded the additional interest expense associated with FSP 14-1 as detailed in our discussion of our use of non-GAAP financial measures. (The guidance in FSP 14-1 is now located within ASC 470)</w:t>
      </w:r>
    </w:p>
    <w:sectPr>
      <w:pgSz w:w="11900" w:h="16838" w:orient="portrait"/>
      <w:cols w:equalWidth="0" w:num="1">
        <w:col w:w="11380"/>
      </w:cols>
      <w:pgMar w:left="240" w:top="97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509"/>
    </w:lvl>
  </w:abstractNum>
  <w:abstractNum w:abstractNumId="3">
    <w:nsid w:val="625558EC"/>
    <w:multiLevelType w:val="hybridMultilevel"/>
    <w:lvl w:ilvl="0">
      <w:lvlJc w:val="left"/>
      <w:lvlText w:val="(%1)"/>
      <w:numFmt w:val="decimal"/>
      <w:start w:val="50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2019-12-10T06:20:43Z</dcterms:created>
  <dcterms:modified xsi:type="dcterms:W3CDTF">2019-12-10T06:20:43Z</dcterms:modified>
</cp:coreProperties>
</file>