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26670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3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000-22418</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File Number)</w:t>
            </w: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860" w:type="dxa"/>
            <w:vAlign w:val="bottom"/>
          </w:tcPr>
          <w:p>
            <w:pPr>
              <w:spacing w:after="0"/>
              <w:rPr>
                <w:sz w:val="20"/>
                <w:szCs w:val="20"/>
                <w:color w:val="auto"/>
              </w:rPr>
            </w:pPr>
          </w:p>
        </w:tc>
      </w:tr>
      <w:tr>
        <w:trPr>
          <w:trHeight w:val="421"/>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r>
      <w:tr>
        <w:trPr>
          <w:trHeight w:val="421"/>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60" w:type="dxa"/>
            <w:vAlign w:val="bottom"/>
          </w:tcPr>
          <w:p>
            <w:pPr>
              <w:spacing w:after="0"/>
              <w:rPr>
                <w:sz w:val="20"/>
                <w:szCs w:val="20"/>
                <w:color w:val="auto"/>
              </w:rPr>
            </w:pPr>
          </w:p>
        </w:tc>
      </w:tr>
    </w:tbl>
    <w:p>
      <w:pPr>
        <w:spacing w:after="0" w:line="39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On November 3, 2022, Itron, Inc. issued a press release announcing its financial results for the three and nine months ended September 30, 2022. A copy of this press release and accompanying financial statements are attached as Exhibit 99.1.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749"/>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3, 2022</w:t>
      </w:r>
      <w:r>
        <w:rPr>
          <w:rFonts w:ascii="Times New Roman" w:cs="Times New Roman" w:eastAsia="Times New Roman" w:hAnsi="Times New Roman"/>
          <w:sz w:val="17"/>
          <w:szCs w:val="17"/>
          <w:color w:val="000000"/>
        </w:rPr>
        <w:t>.*</w:t>
      </w:r>
    </w:p>
    <w:p>
      <w:pPr>
        <w:spacing w:after="0" w:line="27"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Securities and Exchange Commission.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ITRON, INC.</w:t>
            </w:r>
          </w:p>
        </w:tc>
        <w:tc>
          <w:tcPr>
            <w:tcW w:w="5620" w:type="dxa"/>
            <w:vAlign w:val="bottom"/>
          </w:tcPr>
          <w:p>
            <w:pPr>
              <w:spacing w:after="0"/>
              <w:rPr>
                <w:sz w:val="20"/>
                <w:szCs w:val="20"/>
                <w:color w:val="auto"/>
              </w:rPr>
            </w:pPr>
          </w:p>
        </w:tc>
      </w:tr>
      <w:tr>
        <w:trPr>
          <w:trHeight w:val="439"/>
        </w:trPr>
        <w:tc>
          <w:tcPr>
            <w:tcW w:w="3600" w:type="dxa"/>
            <w:vAlign w:val="bottom"/>
          </w:tcPr>
          <w:p>
            <w:pPr>
              <w:spacing w:after="0"/>
              <w:rPr>
                <w:sz w:val="24"/>
                <w:szCs w:val="24"/>
                <w:color w:val="auto"/>
              </w:rPr>
            </w:pP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0"/>
        </w:trPr>
        <w:tc>
          <w:tcPr>
            <w:tcW w:w="4660" w:type="dxa"/>
            <w:vAlign w:val="bottom"/>
            <w:gridSpan w:val="2"/>
          </w:tcPr>
          <w:p>
            <w:pPr>
              <w:jc w:val="center"/>
              <w:ind w:right="950"/>
              <w:spacing w:after="0" w:line="202" w:lineRule="exact"/>
              <w:rPr>
                <w:sz w:val="20"/>
                <w:szCs w:val="20"/>
                <w:color w:val="auto"/>
              </w:rPr>
            </w:pPr>
            <w:r>
              <w:rPr>
                <w:rFonts w:ascii="Times New Roman" w:cs="Times New Roman" w:eastAsia="Times New Roman" w:hAnsi="Times New Roman"/>
                <w:sz w:val="18"/>
                <w:szCs w:val="18"/>
                <w:color w:val="auto"/>
                <w:w w:val="99"/>
              </w:rPr>
              <w:t>November 3, 2022</w:t>
            </w:r>
          </w:p>
        </w:tc>
        <w:tc>
          <w:tcPr>
            <w:tcW w:w="960" w:type="dxa"/>
            <w:vAlign w:val="bottom"/>
            <w:tcBorders>
              <w:top w:val="single" w:sz="8" w:color="auto"/>
            </w:tcBorders>
          </w:tcPr>
          <w:p>
            <w:pPr>
              <w:spacing w:after="0"/>
              <w:rPr>
                <w:sz w:val="18"/>
                <w:szCs w:val="18"/>
                <w:color w:val="auto"/>
              </w:rPr>
            </w:pPr>
          </w:p>
        </w:tc>
        <w:tc>
          <w:tcPr>
            <w:tcW w:w="5620" w:type="dxa"/>
            <w:vAlign w:val="bottom"/>
            <w:tcBorders>
              <w:top w:val="single" w:sz="8" w:color="auto"/>
            </w:tcBorders>
          </w:tcPr>
          <w:p>
            <w:pPr>
              <w:jc w:val="center"/>
              <w:ind w:right="870"/>
              <w:spacing w:after="0" w:line="202" w:lineRule="exact"/>
              <w:rPr>
                <w:sz w:val="20"/>
                <w:szCs w:val="20"/>
                <w:color w:val="auto"/>
              </w:rPr>
            </w:pPr>
            <w:r>
              <w:rPr>
                <w:rFonts w:ascii="Times New Roman" w:cs="Times New Roman" w:eastAsia="Times New Roman" w:hAnsi="Times New Roman"/>
                <w:sz w:val="18"/>
                <w:szCs w:val="18"/>
                <w:color w:val="auto"/>
                <w:w w:val="99"/>
              </w:rPr>
              <w:t>Joan S. Hooper</w:t>
            </w:r>
          </w:p>
        </w:tc>
      </w:tr>
      <w:tr>
        <w:trPr>
          <w:trHeight w:val="23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Third Quarter 2022 Financial Results</w:t>
      </w:r>
    </w:p>
    <w:p>
      <w:pPr>
        <w:spacing w:after="0" w:line="19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LIBERTY LAKE, Wash.--(BUSINESS WIRE)--November 3, 2022--Itron, Inc. (NASDAQ:ITRI) announced today financial results for its third quarter ended Sept. 30, 2022. Key results for the quarter include (compared with the third quarter of 2021):</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Revenue of $421 million, compared with $487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Gross margin of 28.5%; compared with 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GAAP net income of $4 million, compared with a loss of $(2)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GAAP diluted earnings per share (EPS) of $0.09, compared with a loss per share of $(0.04);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Non-GAAP diluted EPS of $0.23, compared with $0.21;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Adjusted EBITDA of $24 million, compared with $26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Free cash flow of $11 million, consistent with prior 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Total backlog of $4.2 billion, compared with $3.4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third quarter of 2022, we saw continued strong market demand and had another robust quarter of bookings, which pushed our total backlog to new record levels." said Tom Deitrich, Itron's president and chief executive officer. "However, semiconductor supply constraints continued to slow the conversion of backlog into revenue which limited our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Third Quarter Consolidated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made are against the prior year period unless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Total third quarter revenue decreased 14% to $421 million, or 9%, excluding the impact of changes in foreign currency exchange rates. The decrease was primarily due to the strategic sale and exit of certain product lines in our Device Solutions business, along with the continued impact of component shortages on our Networked Solutions business limiting our ability to meet customer demand.</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Device Solutions revenue declined 38%, Networked Solutions revenue decreased 2%, and Outcomes revenue decreased 5% primarily due to the continuing decline of our prepay business in EMEA.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p>
    <w:p>
      <w:pPr>
        <w:spacing w:after="0" w:line="185"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Consolidated company gross margin of 28.5% increased 80 basis points from the prior year, primarily due to favorable mix, partially offset by inefficiencies related to component shortages.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Operating Expenses and Operating Income (Loss)</w:t>
      </w:r>
    </w:p>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GAAP operating expenses of $113 million decreased $18 million from the prior year primarily due to lower sales, general and administrative, and product development expenses. Non-GAAP operating expenses of $105 million decreased $13 million from the prior year primarily due to lower sales, general and administrative, and product development expenses.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GAAP operating income of $7 million was $3 million higher than the prior year primarily due to lower operating expenses, partially offset by lower gross profit. Non-GAAP operating income of $15 million was $2 million lower than prior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 and Earnings (Loss) per Share</w:t>
      </w:r>
    </w:p>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income attributable to Itron, Inc. for the quarter was $4 million, or $0.09 per diluted share, compared with a loss of $(2) million, or $(0.04) per share in 2021. The increase was driven by higher GAAP operating income and lower interest and other expense.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Non-GAAP net income, which excludes certain charges including amortization of intangible assets, amortization of debt placement fees, debt extinguishment, restructuring, loss on sale of business, strategic initiatives, currency translation write-off, acquisition and integration, goodwill impairment, and the income tax effect of those adjustments, was $11 million, or $0.23 per diluted share, compared with $9 million, or $0.21 per diluted share, in 2021. The higher year-over-year results were primarily due to lower operating expenses and a lower effective tax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$15 million in the third quarter compared with $18 million in the same quarter of 2021. Free cash flow was $11 million in the third quarter consistent with prior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Measures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backlog was $4.2 billion and 12-month backlog was $1.6 billion, compared with $3.4 billion and $1.4 billion, respectively, in the prior year. Bookings in the quarter totaled $578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Insights and Q4 2022 Outlook</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third quarter, we were hampered by unanticipated supplier decommitments, component deliveries below expectations, and the non-linear timing of key components arriving at our factories. While we were receiving more positive signals from suppliers, their deliveries did not meet the promised performance, resulting in lower-than-expected company results.</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Recent discussions with key suppliers leave us cautiously optimistic about supply availability improving over time. However, we anticipate this volatile supply environment will continue in the fourth quarter. As a result, we are providing a Q4 2022 revenue and earnings outlook. Our expectations for the fourth quarter of 2022 are revenue in a range of $420 million to $460 million and non-GAAP EPS between $0.00 and $0.15.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Itron will host a conference call to discuss the financial results and guidance contained in this release at 10 a.m. EDT on Nov. 3, 2022. The call will be webcast in a listen-only mode. Webcast information and conference call materials will be made available 10 minutes before the start of the call and will be accessible on Itron’s website at http://investors.itron.com/events.cfm. A replay of the audio webcast will be made available at http://investors.itron.com/events.cfm. A telephone replay of the conference call will be available through Nov. 8, 2022. To access the telephone replay, dial 888-203-1112 or 719-457-0820 and enter passcode </w:t>
      </w:r>
      <w:r>
        <w:rPr>
          <w:rFonts w:ascii="Times New Roman" w:cs="Times New Roman" w:eastAsia="Times New Roman" w:hAnsi="Times New Roman"/>
          <w:sz w:val="18"/>
          <w:szCs w:val="18"/>
          <w:b w:val="1"/>
          <w:bCs w:val="1"/>
          <w:color w:val="auto"/>
        </w:rPr>
        <w:t>6390616.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Itron</w:t>
      </w:r>
    </w:p>
    <w:p>
      <w:pPr>
        <w:spacing w:after="0" w:line="179"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8"/>
          <w:szCs w:val="18"/>
          <w:color w:val="auto"/>
        </w:rPr>
        <w:t>Itron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93"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Securities and Exchange Commission (SEC).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221"/>
        </w:trPr>
        <w:tc>
          <w:tcPr>
            <w:tcW w:w="4080" w:type="dxa"/>
            <w:vAlign w:val="bottom"/>
          </w:tcPr>
          <w:p>
            <w:pPr>
              <w:spacing w:after="0"/>
              <w:rPr>
                <w:sz w:val="19"/>
                <w:szCs w:val="19"/>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20" w:type="dxa"/>
            <w:vAlign w:val="bottom"/>
          </w:tcPr>
          <w:p>
            <w:pPr>
              <w:spacing w:after="0"/>
              <w:rPr>
                <w:sz w:val="19"/>
                <w:szCs w:val="19"/>
                <w:color w:val="auto"/>
              </w:rPr>
            </w:pPr>
          </w:p>
        </w:tc>
      </w:tr>
      <w:tr>
        <w:trPr>
          <w:trHeight w:val="245"/>
        </w:trPr>
        <w:tc>
          <w:tcPr>
            <w:tcW w:w="4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20" w:type="dxa"/>
            <w:vAlign w:val="bottom"/>
          </w:tcPr>
          <w:p>
            <w:pPr>
              <w:spacing w:after="0"/>
              <w:rPr>
                <w:sz w:val="21"/>
                <w:szCs w:val="21"/>
                <w:color w:val="auto"/>
              </w:rPr>
            </w:pPr>
          </w:p>
        </w:tc>
      </w:tr>
      <w:tr>
        <w:trPr>
          <w:trHeight w:val="238"/>
        </w:trPr>
        <w:tc>
          <w:tcPr>
            <w:tcW w:w="4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20" w:type="dxa"/>
            <w:vAlign w:val="bottom"/>
          </w:tcPr>
          <w:p>
            <w:pPr>
              <w:spacing w:after="0"/>
              <w:rPr>
                <w:sz w:val="20"/>
                <w:szCs w:val="20"/>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347,791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1,107,499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1,265,470</w:t>
            </w:r>
          </w:p>
        </w:tc>
        <w:tc>
          <w:tcPr>
            <w:tcW w:w="3620" w:type="dxa"/>
            <w:vAlign w:val="bottom"/>
          </w:tcPr>
          <w:p>
            <w:pPr>
              <w:spacing w:after="0"/>
              <w:rPr>
                <w:sz w:val="21"/>
                <w:szCs w:val="21"/>
                <w:color w:val="auto"/>
              </w:rPr>
            </w:pPr>
          </w:p>
        </w:tc>
      </w:tr>
      <w:tr>
        <w:trPr>
          <w:trHeight w:val="25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73,069</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220,574</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230,465</w:t>
            </w:r>
          </w:p>
        </w:tc>
        <w:tc>
          <w:tcPr>
            <w:tcW w:w="3620" w:type="dxa"/>
            <w:vAlign w:val="bottom"/>
          </w:tcPr>
          <w:p>
            <w:pPr>
              <w:spacing w:after="0"/>
              <w:rPr>
                <w:sz w:val="22"/>
                <w:szCs w:val="22"/>
                <w:color w:val="auto"/>
              </w:rPr>
            </w:pPr>
          </w:p>
        </w:tc>
      </w:tr>
      <w:tr>
        <w:trPr>
          <w:trHeight w:val="228"/>
        </w:trPr>
        <w:tc>
          <w:tcPr>
            <w:tcW w:w="4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420,860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1,328,073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1,495,935</w:t>
            </w:r>
          </w:p>
        </w:tc>
        <w:tc>
          <w:tcPr>
            <w:tcW w:w="3620" w:type="dxa"/>
            <w:vAlign w:val="bottom"/>
          </w:tcPr>
          <w:p>
            <w:pPr>
              <w:spacing w:after="0"/>
              <w:rPr>
                <w:sz w:val="19"/>
                <w:szCs w:val="19"/>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cost of revenues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258,541</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818,639</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908,923</w:t>
            </w:r>
          </w:p>
        </w:tc>
        <w:tc>
          <w:tcPr>
            <w:tcW w:w="3620" w:type="dxa"/>
            <w:vAlign w:val="bottom"/>
          </w:tcPr>
          <w:p>
            <w:pPr>
              <w:spacing w:after="0"/>
              <w:rPr>
                <w:sz w:val="21"/>
                <w:szCs w:val="21"/>
                <w:color w:val="auto"/>
              </w:rPr>
            </w:pPr>
          </w:p>
        </w:tc>
      </w:tr>
      <w:tr>
        <w:trPr>
          <w:trHeight w:val="25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 of revenues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42,257</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128,043</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135,130</w:t>
            </w:r>
          </w:p>
        </w:tc>
        <w:tc>
          <w:tcPr>
            <w:tcW w:w="3620" w:type="dxa"/>
            <w:vAlign w:val="bottom"/>
          </w:tcPr>
          <w:p>
            <w:pPr>
              <w:spacing w:after="0"/>
              <w:rPr>
                <w:sz w:val="22"/>
                <w:szCs w:val="22"/>
                <w:color w:val="auto"/>
              </w:rPr>
            </w:pPr>
          </w:p>
        </w:tc>
      </w:tr>
      <w:tr>
        <w:trPr>
          <w:trHeight w:val="237"/>
        </w:trPr>
        <w:tc>
          <w:tcPr>
            <w:tcW w:w="4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cost of revenues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300,798</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351,986</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946,682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1,044,053</w:t>
            </w:r>
          </w:p>
        </w:tc>
        <w:tc>
          <w:tcPr>
            <w:tcW w:w="3620" w:type="dxa"/>
            <w:vAlign w:val="bottom"/>
          </w:tcPr>
          <w:p>
            <w:pPr>
              <w:spacing w:after="0"/>
              <w:rPr>
                <w:sz w:val="20"/>
                <w:szCs w:val="20"/>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120,062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381,391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451,882</w:t>
            </w:r>
          </w:p>
        </w:tc>
        <w:tc>
          <w:tcPr>
            <w:tcW w:w="3620" w:type="dxa"/>
            <w:vAlign w:val="bottom"/>
          </w:tcPr>
          <w:p>
            <w:pPr>
              <w:spacing w:after="0"/>
              <w:rPr>
                <w:sz w:val="19"/>
                <w:szCs w:val="19"/>
                <w:color w:val="auto"/>
              </w:rPr>
            </w:pPr>
          </w:p>
        </w:tc>
      </w:tr>
      <w:tr>
        <w:trPr>
          <w:trHeight w:val="48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63,446</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212,724</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221,974</w:t>
            </w: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43,820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147,379</w:t>
            </w: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3620" w:type="dxa"/>
            <w:vAlign w:val="bottom"/>
          </w:tcPr>
          <w:p>
            <w:pPr>
              <w:spacing w:after="0"/>
              <w:rPr>
                <w:sz w:val="21"/>
                <w:szCs w:val="21"/>
                <w:color w:val="auto"/>
              </w:rPr>
            </w:pPr>
          </w:p>
        </w:tc>
      </w:tr>
      <w:tr>
        <w:trPr>
          <w:trHeight w:val="25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spacing w:after="0"/>
              <w:rPr>
                <w:sz w:val="22"/>
                <w:szCs w:val="22"/>
                <w:color w:val="auto"/>
              </w:rPr>
            </w:pPr>
          </w:p>
        </w:tc>
      </w:tr>
      <w:tr>
        <w:trPr>
          <w:trHeight w:val="237"/>
        </w:trPr>
        <w:tc>
          <w:tcPr>
            <w:tcW w:w="4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113,174</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130,800</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401,211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423,711</w:t>
            </w:r>
          </w:p>
        </w:tc>
        <w:tc>
          <w:tcPr>
            <w:tcW w:w="3620" w:type="dxa"/>
            <w:vAlign w:val="bottom"/>
          </w:tcPr>
          <w:p>
            <w:pPr>
              <w:spacing w:after="0"/>
              <w:rPr>
                <w:sz w:val="20"/>
                <w:szCs w:val="20"/>
                <w:color w:val="auto"/>
              </w:rPr>
            </w:pPr>
          </w:p>
        </w:tc>
      </w:tr>
      <w:tr>
        <w:trPr>
          <w:trHeight w:val="46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3620" w:type="dxa"/>
            <w:vAlign w:val="bottom"/>
          </w:tcPr>
          <w:p>
            <w:pPr>
              <w:spacing w:after="0"/>
              <w:rPr>
                <w:sz w:val="24"/>
                <w:szCs w:val="24"/>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620" w:type="dxa"/>
            <w:vAlign w:val="bottom"/>
          </w:tcPr>
          <w:p>
            <w:pPr>
              <w:spacing w:after="0"/>
              <w:rPr>
                <w:sz w:val="21"/>
                <w:szCs w:val="2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3620" w:type="dxa"/>
            <w:vAlign w:val="bottom"/>
          </w:tcPr>
          <w:p>
            <w:pPr>
              <w:spacing w:after="0"/>
              <w:rPr>
                <w:sz w:val="21"/>
                <w:szCs w:val="21"/>
                <w:color w:val="auto"/>
              </w:rPr>
            </w:pPr>
          </w:p>
        </w:tc>
      </w:tr>
      <w:tr>
        <w:trPr>
          <w:trHeight w:val="25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3620" w:type="dxa"/>
            <w:vAlign w:val="bottom"/>
          </w:tcPr>
          <w:p>
            <w:pPr>
              <w:spacing w:after="0"/>
              <w:rPr>
                <w:sz w:val="22"/>
                <w:szCs w:val="22"/>
                <w:color w:val="auto"/>
              </w:rPr>
            </w:pPr>
          </w:p>
        </w:tc>
      </w:tr>
      <w:tr>
        <w:trPr>
          <w:trHeight w:val="236"/>
        </w:trPr>
        <w:tc>
          <w:tcPr>
            <w:tcW w:w="4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3620" w:type="dxa"/>
            <w:vAlign w:val="bottom"/>
          </w:tcPr>
          <w:p>
            <w:pPr>
              <w:spacing w:after="0"/>
              <w:rPr>
                <w:sz w:val="20"/>
                <w:szCs w:val="20"/>
                <w:color w:val="auto"/>
              </w:rPr>
            </w:pPr>
          </w:p>
        </w:tc>
      </w:tr>
      <w:tr>
        <w:trPr>
          <w:trHeight w:val="46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3620" w:type="dxa"/>
            <w:vAlign w:val="bottom"/>
          </w:tcPr>
          <w:p>
            <w:pPr>
              <w:spacing w:after="0"/>
              <w:rPr>
                <w:sz w:val="24"/>
                <w:szCs w:val="24"/>
                <w:color w:val="auto"/>
              </w:rPr>
            </w:pPr>
          </w:p>
        </w:tc>
      </w:tr>
      <w:tr>
        <w:trPr>
          <w:trHeight w:val="25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3620" w:type="dxa"/>
            <w:vAlign w:val="bottom"/>
          </w:tcPr>
          <w:p>
            <w:pPr>
              <w:spacing w:after="0"/>
              <w:rPr>
                <w:sz w:val="22"/>
                <w:szCs w:val="22"/>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3620" w:type="dxa"/>
            <w:vAlign w:val="bottom"/>
          </w:tcPr>
          <w:p>
            <w:pPr>
              <w:spacing w:after="0"/>
              <w:rPr>
                <w:sz w:val="19"/>
                <w:szCs w:val="19"/>
                <w:color w:val="auto"/>
              </w:rPr>
            </w:pPr>
          </w:p>
        </w:tc>
      </w:tr>
      <w:tr>
        <w:trPr>
          <w:trHeight w:val="25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620" w:type="dxa"/>
            <w:vAlign w:val="bottom"/>
          </w:tcPr>
          <w:p>
            <w:pPr>
              <w:spacing w:after="0"/>
              <w:rPr>
                <w:sz w:val="21"/>
                <w:szCs w:val="2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362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6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20" w:type="dxa"/>
            <w:vAlign w:val="bottom"/>
          </w:tcPr>
          <w:p>
            <w:pPr>
              <w:spacing w:after="0"/>
              <w:rPr>
                <w:sz w:val="24"/>
                <w:szCs w:val="24"/>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2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5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3620" w:type="dxa"/>
            <w:vAlign w:val="bottom"/>
          </w:tcPr>
          <w:p>
            <w:pPr>
              <w:spacing w:after="0"/>
              <w:rPr>
                <w:sz w:val="24"/>
                <w:szCs w:val="24"/>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3620" w:type="dxa"/>
            <w:vAlign w:val="bottom"/>
          </w:tcPr>
          <w:p>
            <w:pPr>
              <w:spacing w:after="0"/>
              <w:rPr>
                <w:sz w:val="21"/>
                <w:szCs w:val="2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1" w:right="339" w:bottom="1440" w:gutter="0" w:footer="0" w:header="0"/>
        </w:sectPr>
      </w:pPr>
    </w:p>
    <w:bookmarkStart w:id="9" w:name="page10"/>
    <w:bookmarkEnd w:id="9"/>
    <w:p>
      <w:pPr>
        <w:jc w:val="center"/>
        <w:ind w:right="578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20" w:type="dxa"/>
            <w:vAlign w:val="bottom"/>
          </w:tcPr>
          <w:p>
            <w:pPr>
              <w:spacing w:after="0"/>
              <w:rPr>
                <w:sz w:val="19"/>
                <w:szCs w:val="19"/>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5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480,808</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240,498</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731,358</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736,397</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14,400</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5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347,791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410,947</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1,107,499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1,265,470</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29,374</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86,796</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91,473</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42,585</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129,612</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131,818</w:t>
            </w:r>
          </w:p>
        </w:tc>
        <w:tc>
          <w:tcPr>
            <w:tcW w:w="5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230,465</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487,982</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269,872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818,154</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827,870</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56,985</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171,541</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180,083</w:t>
            </w:r>
          </w:p>
        </w:tc>
        <w:tc>
          <w:tcPr>
            <w:tcW w:w="5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420,860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486,949</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1,328,073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1,495,935</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85,228</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81,895</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263,155</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298,627</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23,362</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68,027</w:t>
            </w:r>
          </w:p>
        </w:tc>
        <w:tc>
          <w:tcPr>
            <w:tcW w:w="5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120,062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134,963</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381,391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451,882</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Device Solutions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Networked Solutions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54,640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205,071</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Outcomes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11,339</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unallocated</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(66,157)</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(80,856)</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(250,641)</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(265,331)</w:t>
            </w:r>
          </w:p>
        </w:tc>
        <w:tc>
          <w:tcPr>
            <w:tcW w:w="5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0" w:name="page11"/>
    <w:bookmarkEnd w:id="10"/>
    <w:p>
      <w:pPr>
        <w:jc w:val="center"/>
        <w:ind w:right="48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30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2022 December 31, 2021</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215,413</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162,579</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266,669</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298,459</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203,612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165,799</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122,948</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123,092</w:t>
            </w: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808,642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749,929</w:t>
            </w: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138,768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163,184</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188,728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181,472</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44,433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42,178</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54,814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65,523</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70,346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92,529</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1,011,051</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1,098,975</w:t>
            </w: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2,316,782</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2,393,790</w:t>
            </w: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235,812</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193,129</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46,555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81,253</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77,613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113,532</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payable</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12,208</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18,406</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110,531</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82,816</w:t>
            </w: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502,117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501,344</w:t>
            </w: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451,947</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450,228</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13,616</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71,111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87,863</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47,147</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57,314</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118,049</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138,666</w:t>
            </w: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1,199,609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1,251,031</w:t>
            </w: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1,783,193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1,779,775</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(547,544)</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(515,600)</w:t>
            </w: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1,093,828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1,116,077</w:t>
            </w: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23,345</w:t>
            </w: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26,682</w:t>
            </w: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1,117,173</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1,142,759</w:t>
            </w: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2,316,782</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2,393,790</w:t>
            </w: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1" w:name="page12"/>
    <w:bookmarkEnd w:id="11"/>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600" w:type="dxa"/>
            <w:vAlign w:val="bottom"/>
          </w:tcPr>
          <w:p>
            <w:pPr>
              <w:spacing w:after="0"/>
              <w:rPr>
                <w:sz w:val="21"/>
                <w:szCs w:val="21"/>
                <w:color w:val="auto"/>
              </w:rPr>
            </w:pPr>
          </w:p>
        </w:tc>
      </w:tr>
      <w:tr>
        <w:trPr>
          <w:trHeight w:val="232"/>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0" w:type="dxa"/>
            <w:vAlign w:val="bottom"/>
          </w:tcPr>
          <w:p>
            <w:pPr>
              <w:spacing w:after="0"/>
              <w:rPr>
                <w:sz w:val="20"/>
                <w:szCs w:val="20"/>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50,612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64,252</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12,962</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17,416</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18,251</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17,383</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taxes,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28,274</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38,480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non-cash</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c>
          <w:tcPr>
            <w:tcW w:w="2600" w:type="dxa"/>
            <w:vAlign w:val="bottom"/>
          </w:tcPr>
          <w:p>
            <w:pPr>
              <w:spacing w:after="0"/>
              <w:rPr>
                <w:sz w:val="21"/>
                <w:szCs w:val="21"/>
                <w:color w:val="auto"/>
              </w:rPr>
            </w:pPr>
          </w:p>
        </w:tc>
      </w:tr>
      <w:tr>
        <w:trPr>
          <w:trHeight w:val="243"/>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adjustments, net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w:t>
            </w:r>
          </w:p>
        </w:tc>
        <w:tc>
          <w:tcPr>
            <w:tcW w:w="2600" w:type="dxa"/>
            <w:vAlign w:val="bottom"/>
          </w:tcPr>
          <w:p>
            <w:pPr>
              <w:spacing w:after="0"/>
              <w:rPr>
                <w:sz w:val="21"/>
                <w:szCs w:val="2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 and sale of business: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40,624</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26,072</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5,058</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other current liabilities, and taxes payable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42,550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14,110</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32,151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600" w:type="dxa"/>
            <w:vAlign w:val="bottom"/>
          </w:tcPr>
          <w:p>
            <w:pPr>
              <w:spacing w:after="0"/>
              <w:rPr>
                <w:sz w:val="21"/>
                <w:szCs w:val="21"/>
                <w:color w:val="auto"/>
              </w:rPr>
            </w:pPr>
          </w:p>
        </w:tc>
      </w:tr>
      <w:tr>
        <w:trPr>
          <w:trHeight w:val="25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net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(29,246)</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2600" w:type="dxa"/>
            <w:vAlign w:val="bottom"/>
          </w:tcPr>
          <w:p>
            <w:pPr>
              <w:spacing w:after="0"/>
              <w:rPr>
                <w:sz w:val="22"/>
                <w:szCs w:val="22"/>
                <w:color w:val="auto"/>
              </w:rPr>
            </w:pPr>
          </w:p>
        </w:tc>
      </w:tr>
      <w:tr>
        <w:trPr>
          <w:trHeight w:val="228"/>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141,147</w:t>
            </w:r>
          </w:p>
        </w:tc>
        <w:tc>
          <w:tcPr>
            <w:tcW w:w="2600" w:type="dxa"/>
            <w:vAlign w:val="bottom"/>
          </w:tcPr>
          <w:p>
            <w:pPr>
              <w:spacing w:after="0"/>
              <w:rPr>
                <w:sz w:val="19"/>
                <w:szCs w:val="19"/>
                <w:color w:val="auto"/>
              </w:rPr>
            </w:pPr>
          </w:p>
        </w:tc>
      </w:tr>
      <w:tr>
        <w:trPr>
          <w:trHeight w:val="48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related to the sale of business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55,933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3,142</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acquisitions, net of cash and cash equivalents acquired</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21"/>
                <w:szCs w:val="21"/>
                <w:color w:val="auto"/>
              </w:rPr>
            </w:pPr>
          </w:p>
        </w:tc>
      </w:tr>
      <w:tr>
        <w:trPr>
          <w:trHeight w:val="25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investing, net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w:t>
            </w:r>
          </w:p>
        </w:tc>
        <w:tc>
          <w:tcPr>
            <w:tcW w:w="2600" w:type="dxa"/>
            <w:vAlign w:val="bottom"/>
          </w:tcPr>
          <w:p>
            <w:pPr>
              <w:spacing w:after="0"/>
              <w:rPr>
                <w:sz w:val="22"/>
                <w:szCs w:val="22"/>
                <w:color w:val="auto"/>
              </w:rPr>
            </w:pPr>
          </w:p>
        </w:tc>
      </w:tr>
      <w:tr>
        <w:trPr>
          <w:trHeight w:val="228"/>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43,494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2600" w:type="dxa"/>
            <w:vAlign w:val="bottom"/>
          </w:tcPr>
          <w:p>
            <w:pPr>
              <w:spacing w:after="0"/>
              <w:rPr>
                <w:sz w:val="19"/>
                <w:szCs w:val="19"/>
                <w:color w:val="auto"/>
              </w:rPr>
            </w:pPr>
          </w:p>
        </w:tc>
      </w:tr>
      <w:tr>
        <w:trPr>
          <w:trHeight w:val="48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460,000</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debt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(946,094)</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4,351</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common stock offering</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389,419</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warrants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45,349</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convertible note hedge contracts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(84,139)</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spacing w:after="0"/>
              <w:rPr>
                <w:sz w:val="21"/>
                <w:szCs w:val="2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debt fees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600" w:type="dxa"/>
            <w:vAlign w:val="bottom"/>
          </w:tcPr>
          <w:p>
            <w:pPr>
              <w:spacing w:after="0"/>
              <w:rPr>
                <w:sz w:val="21"/>
                <w:szCs w:val="21"/>
                <w:color w:val="auto"/>
              </w:rPr>
            </w:pPr>
          </w:p>
        </w:tc>
      </w:tr>
      <w:tr>
        <w:trPr>
          <w:trHeight w:val="25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financing, net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6,327</w:t>
            </w:r>
          </w:p>
        </w:tc>
        <w:tc>
          <w:tcPr>
            <w:tcW w:w="2600" w:type="dxa"/>
            <w:vAlign w:val="bottom"/>
          </w:tcPr>
          <w:p>
            <w:pPr>
              <w:spacing w:after="0"/>
              <w:rPr>
                <w:sz w:val="22"/>
                <w:szCs w:val="22"/>
                <w:color w:val="auto"/>
              </w:rPr>
            </w:pPr>
          </w:p>
        </w:tc>
      </w:tr>
      <w:tr>
        <w:trPr>
          <w:trHeight w:val="228"/>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(136,808)</w:t>
            </w:r>
          </w:p>
        </w:tc>
        <w:tc>
          <w:tcPr>
            <w:tcW w:w="2600" w:type="dxa"/>
            <w:vAlign w:val="bottom"/>
          </w:tcPr>
          <w:p>
            <w:pPr>
              <w:spacing w:after="0"/>
              <w:rPr>
                <w:sz w:val="19"/>
                <w:szCs w:val="19"/>
                <w:color w:val="auto"/>
              </w:rPr>
            </w:pPr>
          </w:p>
        </w:tc>
      </w:tr>
      <w:tr>
        <w:trPr>
          <w:trHeight w:val="49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0" w:type="dxa"/>
            <w:vAlign w:val="bottom"/>
          </w:tcPr>
          <w:p>
            <w:pPr>
              <w:spacing w:after="0"/>
              <w:rPr>
                <w:sz w:val="24"/>
                <w:szCs w:val="24"/>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2600" w:type="dxa"/>
            <w:vAlign w:val="bottom"/>
          </w:tcPr>
          <w:p>
            <w:pPr>
              <w:spacing w:after="0"/>
              <w:rPr>
                <w:sz w:val="19"/>
                <w:szCs w:val="19"/>
                <w:color w:val="auto"/>
              </w:rPr>
            </w:pP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162,579</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206,933</w:t>
            </w:r>
          </w:p>
        </w:tc>
        <w:tc>
          <w:tcPr>
            <w:tcW w:w="260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215,413</w:t>
            </w: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188,691</w:t>
            </w:r>
          </w:p>
        </w:tc>
        <w:tc>
          <w:tcPr>
            <w:tcW w:w="26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3"/>
        </w:trPr>
        <w:tc>
          <w:tcPr>
            <w:tcW w:w="5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1"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strategic initiative expenses, Russian currency translation write-off, goodwill impairment,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Non-GAAP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non-GAAP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Russian currency translation write-off, goodwill impairment, and acquisition and integration. We define non-GAAP operating income as operating income excluding the expenses related to the amortization of intangible assets, restructuring, loss on sale of business, strategic initiative, Russian currency translation write-off,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Non-GAAP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non-GAAP diluted 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debt extinguishment, restructuring, loss on sale of business, strategic initiative, Russian currency translation write-off, acquisition and integration, goodwill impairment,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extinguishment, restructuring, loss on sale of business, strategic initiative, Russian currency translation write-off, goodwill impairment,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95" w:right="519" w:bottom="1440" w:gutter="0" w:footer="0" w:header="0"/>
        </w:sectPr>
      </w:pPr>
    </w:p>
    <w:bookmarkStart w:id="15" w:name="page16"/>
    <w:bookmarkEnd w:id="15"/>
    <w:p>
      <w:pPr>
        <w:spacing w:after="0" w:line="185" w:lineRule="auto"/>
        <w:framePr w:w="5600" w:h="160" w:wrap="auto" w:vAnchor="page" w:hAnchor="page" w:x="5640" w:y="112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Three Months Ended September 30, Nine Months Ended September 30,</w:t>
      </w:r>
    </w:p>
    <w:p>
      <w:pPr>
        <w:spacing w:after="0" w:line="185" w:lineRule="auto"/>
        <w:framePr w:w="440" w:h="160" w:wrap="auto" w:vAnchor="page" w:hAnchor="page" w:x="6140" w:y="138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w:t>
      </w:r>
    </w:p>
    <w:p>
      <w:pPr>
        <w:spacing w:after="0" w:line="185" w:lineRule="auto"/>
        <w:framePr w:w="440" w:h="160" w:wrap="auto" w:vAnchor="page" w:hAnchor="page" w:x="7560" w:y="138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w:t>
      </w:r>
    </w:p>
    <w:p>
      <w:pPr>
        <w:spacing w:after="0" w:line="185" w:lineRule="auto"/>
        <w:framePr w:w="440" w:h="160" w:wrap="auto" w:vAnchor="page" w:hAnchor="page" w:x="8940" w:y="138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w:t>
      </w:r>
    </w:p>
    <w:p>
      <w:pPr>
        <w:spacing w:after="0" w:line="185" w:lineRule="auto"/>
        <w:framePr w:w="440" w:h="160" w:wrap="auto" w:vAnchor="page" w:hAnchor="page" w:x="10320" w:y="138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w:t>
      </w:r>
    </w:p>
    <w:p>
      <w:pPr>
        <w:ind w:left="49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rFonts w:ascii="Times New Roman" w:cs="Times New Roman" w:eastAsia="Times New Roman" w:hAnsi="Times New Roman"/>
          <w:sz w:val="18"/>
          <w:szCs w:val="18"/>
          <w:b w:val="1"/>
          <w:bCs w:val="1"/>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36" w:lineRule="exact"/>
        <w:rPr>
          <w:rFonts w:ascii="Times New Roman" w:cs="Times New Roman" w:eastAsia="Times New Roman" w:hAnsi="Times New Roman"/>
          <w:sz w:val="18"/>
          <w:szCs w:val="18"/>
          <w:b w:val="1"/>
          <w:bCs w:val="1"/>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TO THE MOST DIRECTLY COMPARABLE GAAP FINANCIAL MEASURES</w:t>
      </w:r>
    </w:p>
    <w:p>
      <w:pPr>
        <w:spacing w:after="0" w:line="40"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32"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909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261" w:lineRule="exact"/>
        <w:rPr>
          <w:rFonts w:ascii="Times New Roman" w:cs="Times New Roman" w:eastAsia="Times New Roman" w:hAnsi="Times New Roman"/>
          <w:sz w:val="18"/>
          <w:szCs w:val="18"/>
          <w:b w:val="1"/>
          <w:bCs w:val="1"/>
          <w:color w:val="auto"/>
        </w:rPr>
      </w:pPr>
    </w:p>
    <w:tbl>
      <w:tblPr>
        <w:tblLayout w:type="fixed"/>
        <w:tblInd w:w="220" w:type="dxa"/>
        <w:tblCellMar>
          <w:top w:w="0" w:type="dxa"/>
          <w:left w:w="0" w:type="dxa"/>
          <w:bottom w:w="0" w:type="dxa"/>
          <w:right w:w="0" w:type="dxa"/>
        </w:tblCellMar>
      </w:tblPr>
      <w:tr>
        <w:trPr>
          <w:trHeight w:val="25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operating expenses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113,174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130,800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401,211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423,711</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1,272</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11,097</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Strategic initiative</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105,262</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118,609</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348,265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369,721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operating income (loss)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6,888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28,171</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6,413</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19,451</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26,914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3,182</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Strategic initiative</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14,800</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16,354</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33,126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82,161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&amp; DILUTED EPS</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net income (loss) attributable to Itron, Inc.</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6,413</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19,451</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26,914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debt placement fees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846</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2,478</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17,252</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extinguishment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3,182</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Strategic initiative</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effect of non-GAAP adjustments</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(2,362)</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0" w:type="dxa"/>
            <w:vAlign w:val="bottom"/>
          </w:tcPr>
          <w:p>
            <w:pPr>
              <w:spacing w:after="0"/>
              <w:rPr>
                <w:sz w:val="1"/>
                <w:szCs w:val="1"/>
                <w:color w:val="auto"/>
              </w:rPr>
            </w:pPr>
          </w:p>
        </w:tc>
      </w:tr>
      <w:tr>
        <w:trPr>
          <w:trHeight w:val="237"/>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net income attributable to Itron, Inc.</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10,513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9,452</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18,817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diluted EPS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Non-GAAP weighted average common shares outstanding - Diluted</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45,330</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45,506</w:t>
            </w: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45,267</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44,330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net income (loss) attributable to Itron, Inc.</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1,679</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4,931</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27,107</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473</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4,973</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extinguishment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17,361</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21,333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50,612</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64,252</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3,182</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28,274</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Strategic initiative</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Russian currency translation write-off</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38,480</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7"/>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24,328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26,123</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60,700</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111,982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14,874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18,467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37,530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141,147</w:t>
            </w:r>
          </w:p>
        </w:tc>
        <w:tc>
          <w:tcPr>
            <w:tcW w:w="0" w:type="dxa"/>
            <w:vAlign w:val="bottom"/>
          </w:tcPr>
          <w:p>
            <w:pPr>
              <w:spacing w:after="0"/>
              <w:rPr>
                <w:sz w:val="1"/>
                <w:szCs w:val="1"/>
                <w:color w:val="auto"/>
              </w:rPr>
            </w:pPr>
          </w:p>
        </w:tc>
      </w:tr>
      <w:tr>
        <w:trPr>
          <w:trHeight w:val="256"/>
        </w:trPr>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(4,223)</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0" w:type="dxa"/>
            <w:vAlign w:val="bottom"/>
          </w:tcPr>
          <w:p>
            <w:pPr>
              <w:spacing w:after="0"/>
              <w:rPr>
                <w:sz w:val="1"/>
                <w:szCs w:val="1"/>
                <w:color w:val="auto"/>
              </w:rPr>
            </w:pPr>
          </w:p>
        </w:tc>
      </w:tr>
      <w:tr>
        <w:trPr>
          <w:trHeight w:val="23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10,651</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11,162</w:t>
            </w:r>
          </w:p>
        </w:tc>
        <w:tc>
          <w:tcPr>
            <w:tcW w:w="20" w:type="dxa"/>
            <w:vAlign w:val="bottom"/>
          </w:tcPr>
          <w:p>
            <w:pPr>
              <w:spacing w:after="0"/>
              <w:rPr>
                <w:sz w:val="20"/>
                <w:szCs w:val="20"/>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22,644</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113,366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80"/>
          </w:cols>
          <w:pgMar w:left="320" w:top="131" w:right="69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contact: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P. Gianella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(669) 770-4643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Means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 242-8448</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2022-11-03T07:37:53Z</dcterms:created>
  <dcterms:modified xsi:type="dcterms:W3CDTF">2022-11-03T07:37:53Z</dcterms:modified>
</cp:coreProperties>
</file>