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Itron,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no par value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and Class of Securities)</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465741106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Samantha Nasello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Scopia Capital Management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152 West 57th St., 33rd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370-0303</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13d-7(b)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right="12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40" w:type="dxa"/>
            <w:vAlign w:val="bottom"/>
          </w:tcPr>
          <w:p>
            <w:pPr>
              <w:ind w:left="330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338"/>
        </w:trPr>
        <w:tc>
          <w:tcPr>
            <w:tcW w:w="1900" w:type="dxa"/>
            <w:vAlign w:val="bottom"/>
            <w:gridSpan w:val="6"/>
          </w:tcPr>
          <w:p>
            <w:pPr>
              <w:jc w:val="right"/>
              <w:ind w:right="150"/>
              <w:spacing w:after="0"/>
              <w:rPr>
                <w:sz w:val="20"/>
                <w:szCs w:val="20"/>
                <w:color w:val="auto"/>
              </w:rPr>
            </w:pPr>
            <w:r>
              <w:rPr>
                <w:rFonts w:ascii="Arial" w:cs="Arial" w:eastAsia="Arial" w:hAnsi="Arial"/>
                <w:sz w:val="18"/>
                <w:szCs w:val="18"/>
                <w:color w:val="auto"/>
                <w:w w:val="89"/>
              </w:rPr>
              <w:t>CUSIP No. 465741106</w:t>
            </w:r>
          </w:p>
        </w:tc>
        <w:tc>
          <w:tcPr>
            <w:tcW w:w="9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76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Scopia Capital Management LP</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4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54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spacing w:after="0"/>
              <w:rPr>
                <w:sz w:val="20"/>
                <w:szCs w:val="20"/>
                <w:color w:val="auto"/>
              </w:rPr>
            </w:pPr>
          </w:p>
        </w:tc>
        <w:tc>
          <w:tcPr>
            <w:tcW w:w="9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9"/>
                <w:szCs w:val="19"/>
                <w:color w:val="auto"/>
              </w:rPr>
            </w:pPr>
          </w:p>
        </w:tc>
        <w:tc>
          <w:tcPr>
            <w:tcW w:w="1220" w:type="dxa"/>
            <w:vAlign w:val="bottom"/>
            <w:gridSpan w:val="3"/>
          </w:tcPr>
          <w:p>
            <w:pPr>
              <w:ind w:left="100"/>
              <w:spacing w:after="0"/>
              <w:rPr>
                <w:sz w:val="20"/>
                <w:szCs w:val="20"/>
                <w:color w:val="auto"/>
              </w:rPr>
            </w:pPr>
            <w:r>
              <w:rPr>
                <w:rFonts w:ascii="Arial" w:cs="Arial" w:eastAsia="Arial" w:hAnsi="Arial"/>
                <w:sz w:val="18"/>
                <w:szCs w:val="18"/>
                <w:color w:val="auto"/>
                <w:w w:val="89"/>
              </w:rPr>
              <w:t>SEC Use Only:</w:t>
            </w:r>
          </w:p>
        </w:tc>
        <w:tc>
          <w:tcPr>
            <w:tcW w:w="9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AF</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Delaware</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1"/>
              </w:rPr>
              <w:t>SHARES</w:t>
            </w: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4,558,387</w:t>
            </w: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Borders>
              <w:right w:val="single" w:sz="8" w:color="auto"/>
            </w:tcBorders>
            <w:gridSpan w:val="2"/>
          </w:tcPr>
          <w:p>
            <w:pPr>
              <w:jc w:val="center"/>
              <w:ind w:right="250"/>
              <w:spacing w:after="0" w:line="157" w:lineRule="exact"/>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(10)</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4,558,387</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4,558,387</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 IA</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4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38,700,680 shares of Common Stock of Itron, Inc. (the “Issuer”) outstanding as of June 30, 2017, as reported in the Issuer’s Form 10-Q filed with the Securities and Exchange Commission (“SEC”) on August 3, 2017.</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40" w:type="dxa"/>
            <w:vAlign w:val="bottom"/>
          </w:tcPr>
          <w:p>
            <w:pPr>
              <w:ind w:left="330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338"/>
        </w:trPr>
        <w:tc>
          <w:tcPr>
            <w:tcW w:w="1900" w:type="dxa"/>
            <w:vAlign w:val="bottom"/>
            <w:gridSpan w:val="6"/>
          </w:tcPr>
          <w:p>
            <w:pPr>
              <w:jc w:val="right"/>
              <w:ind w:right="150"/>
              <w:spacing w:after="0"/>
              <w:rPr>
                <w:sz w:val="20"/>
                <w:szCs w:val="20"/>
                <w:color w:val="auto"/>
              </w:rPr>
            </w:pPr>
            <w:r>
              <w:rPr>
                <w:rFonts w:ascii="Arial" w:cs="Arial" w:eastAsia="Arial" w:hAnsi="Arial"/>
                <w:sz w:val="18"/>
                <w:szCs w:val="18"/>
                <w:color w:val="auto"/>
                <w:w w:val="89"/>
              </w:rPr>
              <w:t>CUSIP No. 465741106</w:t>
            </w:r>
          </w:p>
        </w:tc>
        <w:tc>
          <w:tcPr>
            <w:tcW w:w="9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76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Scopia Management, Inc.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4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54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spacing w:after="0"/>
              <w:rPr>
                <w:sz w:val="20"/>
                <w:szCs w:val="20"/>
                <w:color w:val="auto"/>
              </w:rPr>
            </w:pPr>
          </w:p>
        </w:tc>
        <w:tc>
          <w:tcPr>
            <w:tcW w:w="9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9"/>
                <w:szCs w:val="19"/>
                <w:color w:val="auto"/>
              </w:rPr>
            </w:pPr>
          </w:p>
        </w:tc>
        <w:tc>
          <w:tcPr>
            <w:tcW w:w="1220" w:type="dxa"/>
            <w:vAlign w:val="bottom"/>
            <w:gridSpan w:val="3"/>
          </w:tcPr>
          <w:p>
            <w:pPr>
              <w:ind w:left="100"/>
              <w:spacing w:after="0"/>
              <w:rPr>
                <w:sz w:val="20"/>
                <w:szCs w:val="20"/>
                <w:color w:val="auto"/>
              </w:rPr>
            </w:pPr>
            <w:r>
              <w:rPr>
                <w:rFonts w:ascii="Arial" w:cs="Arial" w:eastAsia="Arial" w:hAnsi="Arial"/>
                <w:sz w:val="18"/>
                <w:szCs w:val="18"/>
                <w:color w:val="auto"/>
                <w:w w:val="89"/>
              </w:rPr>
              <w:t>SEC Use Only:</w:t>
            </w:r>
          </w:p>
        </w:tc>
        <w:tc>
          <w:tcPr>
            <w:tcW w:w="9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AF</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New York</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1"/>
              </w:rPr>
              <w:t>SHARES</w:t>
            </w: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4,558,387</w:t>
            </w: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Borders>
              <w:right w:val="single" w:sz="8" w:color="auto"/>
            </w:tcBorders>
            <w:gridSpan w:val="2"/>
          </w:tcPr>
          <w:p>
            <w:pPr>
              <w:jc w:val="center"/>
              <w:ind w:right="250"/>
              <w:spacing w:after="0" w:line="157" w:lineRule="exact"/>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(10)</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4,558,387</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4,558,387</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 HC</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38,700,680 shares of Common Stock of the Issuer outstanding as of June 30, 2017, as reported in the Issuer’s Form 10-Q filed with the SEC on August 3, 2017.</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40" w:type="dxa"/>
            <w:vAlign w:val="bottom"/>
          </w:tcPr>
          <w:p>
            <w:pPr>
              <w:ind w:left="330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338"/>
        </w:trPr>
        <w:tc>
          <w:tcPr>
            <w:tcW w:w="1900" w:type="dxa"/>
            <w:vAlign w:val="bottom"/>
            <w:gridSpan w:val="6"/>
          </w:tcPr>
          <w:p>
            <w:pPr>
              <w:jc w:val="right"/>
              <w:ind w:right="150"/>
              <w:spacing w:after="0"/>
              <w:rPr>
                <w:sz w:val="20"/>
                <w:szCs w:val="20"/>
                <w:color w:val="auto"/>
              </w:rPr>
            </w:pPr>
            <w:r>
              <w:rPr>
                <w:rFonts w:ascii="Arial" w:cs="Arial" w:eastAsia="Arial" w:hAnsi="Arial"/>
                <w:sz w:val="18"/>
                <w:szCs w:val="18"/>
                <w:color w:val="auto"/>
                <w:w w:val="89"/>
              </w:rPr>
              <w:t>CUSIP No. 465741106</w:t>
            </w:r>
          </w:p>
        </w:tc>
        <w:tc>
          <w:tcPr>
            <w:tcW w:w="9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76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Matthew Sirovich</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4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54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spacing w:after="0"/>
              <w:rPr>
                <w:sz w:val="20"/>
                <w:szCs w:val="20"/>
                <w:color w:val="auto"/>
              </w:rPr>
            </w:pPr>
          </w:p>
        </w:tc>
        <w:tc>
          <w:tcPr>
            <w:tcW w:w="9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9"/>
                <w:szCs w:val="19"/>
                <w:color w:val="auto"/>
              </w:rPr>
            </w:pPr>
          </w:p>
        </w:tc>
        <w:tc>
          <w:tcPr>
            <w:tcW w:w="1220" w:type="dxa"/>
            <w:vAlign w:val="bottom"/>
            <w:gridSpan w:val="3"/>
          </w:tcPr>
          <w:p>
            <w:pPr>
              <w:ind w:left="100"/>
              <w:spacing w:after="0"/>
              <w:rPr>
                <w:sz w:val="20"/>
                <w:szCs w:val="20"/>
                <w:color w:val="auto"/>
              </w:rPr>
            </w:pPr>
            <w:r>
              <w:rPr>
                <w:rFonts w:ascii="Arial" w:cs="Arial" w:eastAsia="Arial" w:hAnsi="Arial"/>
                <w:sz w:val="18"/>
                <w:szCs w:val="18"/>
                <w:color w:val="auto"/>
                <w:w w:val="89"/>
              </w:rPr>
              <w:t>SEC Use Only:</w:t>
            </w:r>
          </w:p>
        </w:tc>
        <w:tc>
          <w:tcPr>
            <w:tcW w:w="9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AF</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9"/>
              </w:rPr>
              <w:t>United States</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1"/>
              </w:rPr>
              <w:t>SHARES</w:t>
            </w: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4,558,387</w:t>
            </w: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Borders>
              <w:right w:val="single" w:sz="8" w:color="auto"/>
            </w:tcBorders>
            <w:gridSpan w:val="2"/>
          </w:tcPr>
          <w:p>
            <w:pPr>
              <w:jc w:val="center"/>
              <w:ind w:right="250"/>
              <w:spacing w:after="0" w:line="157" w:lineRule="exact"/>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(10)</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4,558,387</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4,558,387</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HC, IN</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38,700,680 shares of Common Stock of the Issuer outstanding as of June 30, 2017, as reported in the Issuer’s Form 10-Q filed with the SEC on August 3, 2017.</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40" w:type="dxa"/>
            <w:vAlign w:val="bottom"/>
          </w:tcPr>
          <w:p>
            <w:pPr>
              <w:ind w:left="330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338"/>
        </w:trPr>
        <w:tc>
          <w:tcPr>
            <w:tcW w:w="1900" w:type="dxa"/>
            <w:vAlign w:val="bottom"/>
            <w:gridSpan w:val="6"/>
          </w:tcPr>
          <w:p>
            <w:pPr>
              <w:jc w:val="right"/>
              <w:ind w:right="150"/>
              <w:spacing w:after="0"/>
              <w:rPr>
                <w:sz w:val="20"/>
                <w:szCs w:val="20"/>
                <w:color w:val="auto"/>
              </w:rPr>
            </w:pPr>
            <w:r>
              <w:rPr>
                <w:rFonts w:ascii="Arial" w:cs="Arial" w:eastAsia="Arial" w:hAnsi="Arial"/>
                <w:sz w:val="18"/>
                <w:szCs w:val="18"/>
                <w:color w:val="auto"/>
                <w:w w:val="89"/>
              </w:rPr>
              <w:t>CUSIP No. 465741106</w:t>
            </w:r>
          </w:p>
        </w:tc>
        <w:tc>
          <w:tcPr>
            <w:tcW w:w="9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76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Jeremy Mindich</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4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54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spacing w:after="0"/>
              <w:rPr>
                <w:sz w:val="20"/>
                <w:szCs w:val="20"/>
                <w:color w:val="auto"/>
              </w:rPr>
            </w:pPr>
          </w:p>
        </w:tc>
        <w:tc>
          <w:tcPr>
            <w:tcW w:w="9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9"/>
                <w:szCs w:val="19"/>
                <w:color w:val="auto"/>
              </w:rPr>
            </w:pPr>
          </w:p>
        </w:tc>
        <w:tc>
          <w:tcPr>
            <w:tcW w:w="1220" w:type="dxa"/>
            <w:vAlign w:val="bottom"/>
            <w:gridSpan w:val="3"/>
          </w:tcPr>
          <w:p>
            <w:pPr>
              <w:ind w:left="100"/>
              <w:spacing w:after="0"/>
              <w:rPr>
                <w:sz w:val="20"/>
                <w:szCs w:val="20"/>
                <w:color w:val="auto"/>
              </w:rPr>
            </w:pPr>
            <w:r>
              <w:rPr>
                <w:rFonts w:ascii="Arial" w:cs="Arial" w:eastAsia="Arial" w:hAnsi="Arial"/>
                <w:sz w:val="18"/>
                <w:szCs w:val="18"/>
                <w:color w:val="auto"/>
                <w:w w:val="89"/>
              </w:rPr>
              <w:t>SEC Use Only:</w:t>
            </w:r>
          </w:p>
        </w:tc>
        <w:tc>
          <w:tcPr>
            <w:tcW w:w="9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AF</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9"/>
              </w:rPr>
              <w:t>United States</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1"/>
              </w:rPr>
              <w:t>SHARES</w:t>
            </w: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4,558,387</w:t>
            </w: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Borders>
              <w:right w:val="single" w:sz="8" w:color="auto"/>
            </w:tcBorders>
            <w:gridSpan w:val="2"/>
          </w:tcPr>
          <w:p>
            <w:pPr>
              <w:jc w:val="center"/>
              <w:ind w:right="250"/>
              <w:spacing w:after="0" w:line="157" w:lineRule="exact"/>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(10)</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4,558,387</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4,558,387</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HC, IN</w:t>
            </w:r>
          </w:p>
        </w:tc>
        <w:tc>
          <w:tcPr>
            <w:tcW w:w="3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8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38,700,680 shares of Common Stock of the Issuer outstanding as of June 30, 2017, as reported in the Issuer’s Form 10-Q filed with the SEC on August 3, 2017.</w:t>
      </w:r>
    </w:p>
    <w:p>
      <w:pPr>
        <w:sectPr>
          <w:pgSz w:w="11900" w:h="16838" w:orient="portrait"/>
          <w:cols w:equalWidth="0" w:num="1">
            <w:col w:w="11440"/>
          </w:cols>
          <w:pgMar w:left="240" w:top="274"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No. 9 to Schedule 13D</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constitutes Amendment No. 9 to the Schedule 13D filed by the undersigned (“Amendment No. 9”). This Amendment No. 9 amends the Schedule 13D as specifically set forth herein.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capitalized terms contained herein but not otherwise defined shall have the meanings ascribed to such terms in the Schedule 13D, as amended.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given in response to each item shall be deemed incorporated by reference in all other items, as applicable.</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tab/>
        <w:t>IDENTITY AND BACKGROUND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2 of the Schedule 13D is hereby amended and restated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The persons filing this Schedule 13D (collectively, the “Reporting Persons”) are:</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Scopia Capital Management LP (“Scopia Capital”)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Scopia Management, Inc. (“Scopia Management”)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Matthew Sirovich</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Jeremy Mindich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 The business address or address of its principal office, as applicable, of the Reporting Persons 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152 West 57th St., 33rd Floor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103" w:lineRule="exact"/>
        <w:rPr>
          <w:sz w:val="20"/>
          <w:szCs w:val="20"/>
          <w:color w:val="auto"/>
        </w:rPr>
      </w:pPr>
    </w:p>
    <w:p>
      <w:pPr>
        <w:ind w:right="100" w:firstLine="8"/>
        <w:spacing w:after="0" w:line="312" w:lineRule="auto"/>
        <w:tabs>
          <w:tab w:leader="none" w:pos="245"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of the Reporting Persons is engaged in the business of investing. Scopia Capital’s principal business is serving as investment manager to certain private investment funds and a certain managed account (collectively, the “Investment Vehicles”). Scopia Management’s principal business is serving as the general partner of Scopia Capital. The principal business of each of Messrs. Sirovich and Mindich is serving as a Managing Director of Scopia Management.</w:t>
      </w:r>
    </w:p>
    <w:p>
      <w:pPr>
        <w:spacing w:after="0" w:line="38" w:lineRule="exact"/>
        <w:rPr>
          <w:rFonts w:ascii="Arial" w:cs="Arial" w:eastAsia="Arial" w:hAnsi="Arial"/>
          <w:sz w:val="16"/>
          <w:szCs w:val="16"/>
          <w:color w:val="auto"/>
        </w:rPr>
      </w:pPr>
    </w:p>
    <w:p>
      <w:pPr>
        <w:ind w:right="60" w:firstLine="8"/>
        <w:spacing w:after="0" w:line="259"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(e) During the past five years, none of the Reporting Persons nor any of the Investment Vehicles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(f) The citizenship with respect to a natural person or state of organization with respect to an entity, as applicable, of the Reporting Persons is as follows:</w:t>
      </w:r>
    </w:p>
    <w:p>
      <w:pPr>
        <w:spacing w:after="0" w:line="15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Scopia Capital – Delaware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Scopia Management – New York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Matthew Sirovich – United States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Jeremy Mindich – United States</w:t>
      </w:r>
    </w:p>
    <w:p>
      <w:pPr>
        <w:spacing w:after="0" w:line="370" w:lineRule="exact"/>
        <w:rPr>
          <w:sz w:val="20"/>
          <w:szCs w:val="20"/>
          <w:color w:val="auto"/>
        </w:rPr>
      </w:pPr>
    </w:p>
    <w:p>
      <w:pPr>
        <w:ind w:right="4940"/>
        <w:spacing w:after="0" w:line="378" w:lineRule="auto"/>
        <w:rPr>
          <w:sz w:val="20"/>
          <w:szCs w:val="20"/>
          <w:color w:val="auto"/>
        </w:rPr>
      </w:pPr>
      <w:r>
        <w:rPr>
          <w:rFonts w:ascii="Arial" w:cs="Arial" w:eastAsia="Arial" w:hAnsi="Arial"/>
          <w:sz w:val="18"/>
          <w:szCs w:val="18"/>
          <w:b w:val="1"/>
          <w:bCs w:val="1"/>
          <w:color w:val="auto"/>
        </w:rPr>
        <w:t xml:space="preserve">ITEM 3. SOURCE AND AMOUNT OF FUNDS OR OTHER CONSIDERATION </w:t>
      </w:r>
      <w:r>
        <w:rPr>
          <w:rFonts w:ascii="Arial" w:cs="Arial" w:eastAsia="Arial" w:hAnsi="Arial"/>
          <w:sz w:val="18"/>
          <w:szCs w:val="18"/>
          <w:color w:val="auto"/>
        </w:rPr>
        <w:t>Item 3 of the Schedule 13D is hereby amended and restated as follows:</w:t>
      </w:r>
    </w:p>
    <w:p>
      <w:pPr>
        <w:spacing w:after="0" w:line="257" w:lineRule="auto"/>
        <w:rPr>
          <w:sz w:val="20"/>
          <w:szCs w:val="20"/>
          <w:color w:val="auto"/>
        </w:rPr>
      </w:pPr>
      <w:r>
        <w:rPr>
          <w:rFonts w:ascii="Arial" w:cs="Arial" w:eastAsia="Arial" w:hAnsi="Arial"/>
          <w:sz w:val="18"/>
          <w:szCs w:val="18"/>
          <w:color w:val="auto"/>
        </w:rPr>
        <w:t>The aggregate purchase price of the shares of common stock, no par value per share, of the Issuer (“Common Stock”) directly held by the Investment Vehicles reported herein was $157,267,595.91. The shares of Common Stock directly held by the Investment Vehicles were purchased with the working capital of the Investment Vehicles (which may, at any given time, include margin loans made by brokerage firms in the ordinary course of business). All shares of Common Stock reported herein were purchased in open market transactions through a broker unless as otherwise previously disclosed in this Schedule 13D, as amended.</w:t>
      </w:r>
    </w:p>
    <w:p>
      <w:pPr>
        <w:sectPr>
          <w:pgSz w:w="11900" w:h="16838" w:orient="portrait"/>
          <w:cols w:equalWidth="0" w:num="1">
            <w:col w:w="11420"/>
          </w:cols>
          <w:pgMar w:left="240" w:top="270" w:right="239" w:bottom="1440" w:gutter="0" w:footer="0" w:header="0"/>
        </w:sectPr>
      </w:pPr>
    </w:p>
    <w:bookmarkStart w:id="6" w:name="page7"/>
    <w:bookmarkEnd w:id="6"/>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7"/>
          <w:szCs w:val="17"/>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Schedule 13D is supplemented and superseded, as the case may be, as follows: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disclosed in Amendment No. 4 to this Schedule 13D, on December 9, 2015, the Reporting Persons entered into a Cooperation Agreement (the “Cooperation Agreement”) with the Issuer pursuant to which, among other things, the Reporting Persons obtained representation on the Board of Directors of the Issuer. Under the Cooperation Agreement, the Reporting Persons agreed to certain standstill restrictions, including a limitation on beneficial ownership of securities of the Issuer. On November 1, 2017, the Cooperation Agreement was amended (the “First Amendment to Cooperation Agreement”) to increase this limitation on beneficial ownership from 12.5% to 15.0% of the shares of Common Stock outstanding. In addition, pursuant to the First Amendment to Cooperation Agreement, the Coppersmith Entities (as defined in the First Amendment to Cooperation Agreement) and Craig Rosenblum were removed as parties to the Cooperation Agreement as the Coppersmith Entities were previously dissolved.</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foregoing description of the First Amendment to Cooperation Agreement is qualified in its entirety by reference to the full text of such amendment, which is filed as Exhibit 99.2 hereto and is incorporated herein by reference.</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Reporting Persons intend to review their investment in the Issuer on a continuing basis and may from time to time and at any time in the future depending on various factors, including, without limitation, the outcome of any discussions with directors and officers of the Issuer, the Issuer’s financial position and strategic direction, actions taken by the Board, price levels of the Issuer’s securities, other investment opportunities available to the Reporting Persons, conditions in the securities market and general economic and industry conditions, take such actions with respect to the investment in the Issuer as they deem appropriate. These actions may include: (i) acquiring additional shares of Common Stock and/or other equity, debt, notes, other securities, or derivative or other instruments that are based upon or relate to the value of securities of the Issuer (collectively, “Securities”) in the open market or otherwise; (ii) disposing of any or all of their Securities in the open market or otherwise; (iii) engaging in any hedging or similar transactions with respect to the Securities; or (iv) proposing or considering one or more of the actions described in subsections (a) through (j) of Item 4 of Schedule 13D.</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Except as set forth herein or previously disclosed in the Schedule 13D, the Reporting Persons do not have present plans or proposals at this time that relate to or would result in any of the transactions described in subparagraphs (a) through (j) of Item 4 of Schedule 13D.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tab/>
        <w:t>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as follows:</w:t>
      </w:r>
    </w:p>
    <w:p>
      <w:pPr>
        <w:spacing w:after="0" w:line="117" w:lineRule="exact"/>
        <w:rPr>
          <w:sz w:val="20"/>
          <w:szCs w:val="20"/>
          <w:color w:val="auto"/>
        </w:rPr>
      </w:pPr>
    </w:p>
    <w:p>
      <w:pPr>
        <w:ind w:right="380" w:firstLine="8"/>
        <w:spacing w:after="0" w:line="342" w:lineRule="auto"/>
        <w:tabs>
          <w:tab w:leader="none" w:pos="245" w:val="left"/>
        </w:tabs>
        <w:numPr>
          <w:ilvl w:val="0"/>
          <w:numId w:val="9"/>
        </w:numPr>
        <w:rPr>
          <w:rFonts w:ascii="Arial" w:cs="Arial" w:eastAsia="Arial" w:hAnsi="Arial"/>
          <w:sz w:val="16"/>
          <w:szCs w:val="16"/>
          <w:color w:val="auto"/>
        </w:rPr>
      </w:pPr>
      <w:r>
        <w:rPr>
          <w:rFonts w:ascii="Arial" w:cs="Arial" w:eastAsia="Arial" w:hAnsi="Arial"/>
          <w:sz w:val="16"/>
          <w:szCs w:val="16"/>
          <w:color w:val="auto"/>
        </w:rPr>
        <w:t>and (b) Items 7 through 11 and 13 of each of the cover pages of this Schedule 13D are incorporated herein by reference. Such information is based on 38,700,680 shares of Common Stock outstanding as of June 30, 2017, as reported in the Issuer’s Form 10-Q filed with the SEC on August 3, 2017.</w:t>
      </w:r>
    </w:p>
    <w:p>
      <w:pPr>
        <w:spacing w:after="0" w:line="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Investment Vehicles have delegated to Scopia Capital sole voting and investment power over the securities held by the Investment Vehicles pursuant to their respective Investment Management Agreements with Scopia Capital. As a result, each of Scopia Capital, Scopia Management, as the general partner of Scopia Capital, and Messrs. Sirovich and Mindich, as Managing Directors of Scopia Management, may be deemed to exercise voting and investment power over the shares of Common Stock directly held by the Investment Vehicles. The Investment Vehicles specifically disclaim beneficial ownership of the securities of the Issuer directly held by them by virtue of their inability to vote or dispose of such securities as a result of their respective Investment Management Agreements with Scopia Capital.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 There have been no transactions in shares of Common Stock during the 60 days prior to the date hereof by any of the Reporting Persons.</w:t>
      </w:r>
    </w:p>
    <w:p>
      <w:pPr>
        <w:sectPr>
          <w:pgSz w:w="11900" w:h="16838" w:orient="portrait"/>
          <w:cols w:equalWidth="0" w:num="1">
            <w:col w:w="11420"/>
          </w:cols>
          <w:pgMar w:left="240" w:top="270" w:right="239" w:bottom="1440" w:gutter="0" w:footer="0" w:header="0"/>
        </w:sectPr>
      </w:pPr>
    </w:p>
    <w:bookmarkStart w:id="7" w:name="page8"/>
    <w:bookmarkEnd w:id="7"/>
    <w:p>
      <w:pPr>
        <w:ind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disclosure regarding the relationship between the Reporting Persons in Item 2(c) of this Schedule 13D is incorporated by reference herein. All securities reported in this Schedule 13D are directly held by the Investment Vehicles, all of which are investment management clients of Scopia Capital. None of the Investment Vehicles individually directly holds more than 5% of the Issuer’s outstanding shares of Common Stock. The limited partners of (or investors in) each of the Investment Vehicles have the right to participate in the receipt of dividends from, or proceeds from the sale of, the shares of Common Stock held for the accounts of their respective Investment Vehicles in accordance with their respective limited partnership interests (or investment percentages) in their respective Investment Vehicles.</w:t>
      </w:r>
    </w:p>
    <w:p>
      <w:pPr>
        <w:spacing w:after="0" w:line="8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20" w:right="54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6.</w:t>
        <w:tab/>
        <w:t>CONTRACTS, ARRANGEMENTS, UNDERSTANDINGS OR RELATIONSHIPS WITH RESPECT TO SECURITIES OF THE ISSUER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Item 6 of Schedule 13D is supplemented and superseded, as the case may be,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regarding the First Amendment to Cooperation Agreement in Item 4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First Amendment to Cooperation Agreement is filed as Exhibit 99.2 to this Amendment No. 9 and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are no longer parties to the Swap Agreements (as defined in Amendment No. 4 to the Schedule 13D).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7.</w:t>
            </w:r>
          </w:p>
        </w:tc>
        <w:tc>
          <w:tcPr>
            <w:tcW w:w="10300" w:type="dxa"/>
            <w:vAlign w:val="bottom"/>
            <w:gridSpan w:val="3"/>
          </w:tcPr>
          <w:p>
            <w:pPr>
              <w:ind w:left="120"/>
              <w:spacing w:after="0"/>
              <w:rPr>
                <w:sz w:val="20"/>
                <w:szCs w:val="20"/>
                <w:color w:val="auto"/>
              </w:rPr>
            </w:pPr>
            <w:r>
              <w:rPr>
                <w:rFonts w:ascii="Arial" w:cs="Arial" w:eastAsia="Arial" w:hAnsi="Arial"/>
                <w:sz w:val="18"/>
                <w:szCs w:val="18"/>
                <w:b w:val="1"/>
                <w:bCs w:val="1"/>
                <w:color w:val="auto"/>
              </w:rPr>
              <w:t>MATERIAL TO BE FILED AS EXHIBITS</w:t>
            </w:r>
          </w:p>
        </w:tc>
      </w:tr>
      <w:tr>
        <w:trPr>
          <w:trHeight w:val="392"/>
        </w:trPr>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300" w:type="dxa"/>
            <w:vAlign w:val="bottom"/>
            <w:gridSpan w:val="3"/>
          </w:tcPr>
          <w:p>
            <w:pPr>
              <w:ind w:left="50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Agreement Regarding the Joint Filing of Schedule 13D by and among the Reporting Persons.</w:t>
            </w: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4"/>
                <w:szCs w:val="24"/>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w w:val="90"/>
              </w:rPr>
              <w:t>First Amendment to Cooperation Agreement, dated November 1, 2017, by and among Itron, Inc. and the other persons and entities listed on</w:t>
            </w:r>
          </w:p>
        </w:tc>
      </w:tr>
      <w:tr>
        <w:trPr>
          <w:trHeight w:val="230"/>
        </w:trPr>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Annex A attached thereto.</w:t>
            </w:r>
          </w:p>
        </w:tc>
      </w:tr>
    </w:tbl>
    <w:p>
      <w:pPr>
        <w:sectPr>
          <w:pgSz w:w="11900" w:h="16838" w:orient="portrait"/>
          <w:cols w:equalWidth="0" w:num="1">
            <w:col w:w="11400"/>
          </w:cols>
          <w:pgMar w:left="240" w:top="27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After reasonable inquiry and to the best of my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as of November 2,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SCOPIA CAPITAL MANAGEMENT LP</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Scopia Management, Inc.,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Sirovich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Sirovich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SCOPIA MANAGEMENT,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Sirovich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Sirovich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Sirovich</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Mindich</w:t>
            </w:r>
          </w:p>
        </w:tc>
      </w:tr>
    </w:tbl>
    <w:p>
      <w:pPr>
        <w:sectPr>
          <w:pgSz w:w="11900" w:h="16838" w:orient="portrait"/>
          <w:cols w:equalWidth="0" w:num="1">
            <w:col w:w="11420"/>
          </w:cols>
          <w:pgMar w:left="240" w:top="27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accordance with Rule 13d-1(k)(1) under the Securities Exchange Act of 1934, as amended, the persons named below agree to the joint filing on behalf of each of them of a Statement on Schedule 13D (including additional amendments thereto) with respect to the shares of Common Stock, no par value per share, of Itron, Inc. This Joint Filing Agreement shall be filed as an Exhibit to such Statement. The undersigned acknowledge that each shall be responsible for the timely filing of any amendments to such joint filing and for the completeness and accuracy of the information concerning him or it contained herein and therein, but shall not be responsible for the completeness and accuracy of the information concerning the others.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executed in any number of counterparts, each of which shall be deemed an original.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this 2nd day of November,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SCOPIA CAPITAL MANAGEMENT LP</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Scopia Management, Inc.,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Sirovich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Sirovich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SCOPIA MANAGEMENT,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Sirovich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Sirovich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Sirovich</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Mindich</w:t>
            </w:r>
          </w:p>
        </w:tc>
      </w:tr>
    </w:tbl>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COOPERATION AGREEMENT</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This FIRST AMENDMENT TO COOPERATION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made as of November 1, 2017 by and among Itron,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the other persons and entities listed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Current Group</w:t>
      </w:r>
      <w:r>
        <w:rPr>
          <w:rFonts w:ascii="Arial" w:cs="Arial" w:eastAsia="Arial" w:hAnsi="Arial"/>
          <w:sz w:val="18"/>
          <w:szCs w:val="18"/>
          <w:color w:val="auto"/>
        </w:rPr>
        <w:t>”) (each of the Company and the Current Group, a “</w:t>
      </w:r>
      <w:r>
        <w:rPr>
          <w:rFonts w:ascii="Arial" w:cs="Arial" w:eastAsia="Arial" w:hAnsi="Arial"/>
          <w:sz w:val="18"/>
          <w:szCs w:val="18"/>
          <w:b w:val="1"/>
          <w:bCs w:val="1"/>
          <w:color w:val="auto"/>
        </w:rPr>
        <w:t>Party</w:t>
      </w:r>
      <w:r>
        <w:rPr>
          <w:rFonts w:ascii="Arial" w:cs="Arial" w:eastAsia="Arial" w:hAnsi="Arial"/>
          <w:sz w:val="18"/>
          <w:szCs w:val="18"/>
          <w:color w:val="auto"/>
        </w:rPr>
        <w:t>” to this Amendment,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are parties to that certain Cooperation Agreement, dated as of December 9, 2015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Coppersmith Value Partners II, LP, Coppersmith Capital Partners, LLC and Coppersmith Capital Management, LLC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Coppersmith Entities</w:t>
      </w:r>
      <w:r>
        <w:rPr>
          <w:rFonts w:ascii="Arial" w:cs="Arial" w:eastAsia="Arial" w:hAnsi="Arial"/>
          <w:sz w:val="18"/>
          <w:szCs w:val="18"/>
          <w:color w:val="auto"/>
        </w:rPr>
        <w:t>”) and Craig Rosenblum are also parties to the Agreement;</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Coppersmith Entities were dissolved as legal entities in December 2016 as evidenced by the Certificates of Cancellation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State of the State of Delaware, copies of which have been furnished to the Company;</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light of the dissolution of the Coppersmith Entities, the Parties desire to amend the Agreement to remove the Coppersmith Entities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Craig Rosenblum as parties thereto; and</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Agreement so that the Current Group may purchase Common Stock of the Company in an amount up to</w:t>
      </w:r>
      <w:r>
        <w:rPr>
          <w:rFonts w:ascii="Arial" w:cs="Arial" w:eastAsia="Arial" w:hAnsi="Arial"/>
          <w:sz w:val="18"/>
          <w:szCs w:val="18"/>
          <w:b w:val="1"/>
          <w:bCs w:val="1"/>
          <w:color w:val="auto"/>
        </w:rPr>
        <w:t xml:space="preserve"> </w:t>
      </w:r>
      <w:r>
        <w:rPr>
          <w:rFonts w:ascii="Arial" w:cs="Arial" w:eastAsia="Arial" w:hAnsi="Arial"/>
          <w:sz w:val="18"/>
          <w:szCs w:val="18"/>
          <w:color w:val="auto"/>
        </w:rPr>
        <w:t>fifteen percent (15%) of the then outstanding shares of the Company’s Common Stock.</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contained in this Amendment,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hereby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THE AGREEMENT</w:t>
      </w:r>
    </w:p>
    <w:p>
      <w:pPr>
        <w:spacing w:after="0" w:line="229" w:lineRule="exact"/>
        <w:rPr>
          <w:sz w:val="20"/>
          <w:szCs w:val="20"/>
          <w:color w:val="auto"/>
        </w:rPr>
      </w:pPr>
    </w:p>
    <w:p>
      <w:pPr>
        <w:ind w:right="60" w:firstLine="8"/>
        <w:spacing w:after="0" w:line="286"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Pursuant to Section 15 of the Agreement, effective as of the date hereof, (a) the Agreement is hereby amended to remove the Coppersmith Entities and Craig Rosenblum from the definition of “Group” thereunder, (b) in furtherance of the foregoing,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of the Agreement is hereby replaced with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attached to this Amendment and (c) the Coppersmith Entities and Craig Rosenblum are no longer parties to the Agreement.</w:t>
      </w:r>
    </w:p>
    <w:p>
      <w:pPr>
        <w:spacing w:after="0" w:line="57" w:lineRule="exact"/>
        <w:rPr>
          <w:rFonts w:ascii="Arial" w:cs="Arial" w:eastAsia="Arial" w:hAnsi="Arial"/>
          <w:sz w:val="17"/>
          <w:szCs w:val="17"/>
          <w:color w:val="auto"/>
        </w:rPr>
      </w:pPr>
    </w:p>
    <w:p>
      <w:pPr>
        <w:ind w:right="12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Section 15 of the Agreement, effective as of the date hereof, Section 2(a)(x) of the Agreement is hereby amended and restated in its entirety to read as follows:</w:t>
      </w:r>
    </w:p>
    <w:p>
      <w:pPr>
        <w:spacing w:after="0" w:line="62"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“(x) purchase or cause to be purchased or otherwise acquire or agree to acquire beneficial ownership of any Common Stock or other securities issued by the Company, or any securities convertible into or exchangeable for Common Stock, if, in any such case immediately after the taking of such action, the Group together with its Affiliates and Associates would, in the aggregate, beneficially own fifteen percent (15.0%) or more of the then outstanding shares of Common Stock;”</w:t>
      </w:r>
    </w:p>
    <w:p>
      <w:pPr>
        <w:sectPr>
          <w:pgSz w:w="11900" w:h="16838" w:orient="portrait"/>
          <w:cols w:equalWidth="0" w:num="1">
            <w:col w:w="11420"/>
          </w:cols>
          <w:pgMar w:left="240" w:top="121" w:right="239" w:bottom="1440" w:gutter="0" w:footer="0" w:header="0"/>
        </w:sectPr>
      </w:pPr>
    </w:p>
    <w:bookmarkStart w:id="11" w:name="page12"/>
    <w:bookmarkEnd w:id="11"/>
    <w:p>
      <w:pPr>
        <w:ind w:left="-8" w:right="460" w:firstLine="8"/>
        <w:spacing w:after="0" w:line="308" w:lineRule="auto"/>
        <w:tabs>
          <w:tab w:leader="none" w:pos="172"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Section 15 of the Agreement, effective as of the date hereof, Section 10 of the Agreement is hereby amended to provide that the contact information of the Group (as defined in the Agreement) for purposes of the notification requirements set forth therein is as follows:</w:t>
      </w:r>
    </w:p>
    <w:p>
      <w:pPr>
        <w:spacing w:after="0" w:line="3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Scopia Capital Management LP</w:t>
      </w:r>
    </w:p>
    <w:p>
      <w:pPr>
        <w:spacing w:after="0" w:line="2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152 West 57</w:t>
      </w:r>
      <w:r>
        <w:rPr>
          <w:rFonts w:ascii="Arial" w:cs="Arial" w:eastAsia="Arial" w:hAnsi="Arial"/>
          <w:sz w:val="15"/>
          <w:szCs w:val="15"/>
          <w:color w:val="auto"/>
        </w:rPr>
        <w:t>th</w:t>
      </w:r>
      <w:r>
        <w:rPr>
          <w:rFonts w:ascii="Arial" w:cs="Arial" w:eastAsia="Arial" w:hAnsi="Arial"/>
          <w:sz w:val="18"/>
          <w:szCs w:val="18"/>
          <w:color w:val="auto"/>
        </w:rPr>
        <w:t xml:space="preserve"> Street, 33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Attention: Samantha Nasello</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Telephone: (212) 370-0303</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Facsimile: (212) 370-0404</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Email: snasello@scopicapital.com; trading@scopicapital.com</w:t>
      </w:r>
    </w:p>
    <w:p>
      <w:pPr>
        <w:spacing w:after="0" w:line="103" w:lineRule="exact"/>
        <w:rPr>
          <w:sz w:val="20"/>
          <w:szCs w:val="20"/>
          <w:color w:val="auto"/>
        </w:rPr>
      </w:pPr>
    </w:p>
    <w:p>
      <w:pPr>
        <w:ind w:left="172" w:hanging="172"/>
        <w:spacing w:after="0"/>
        <w:tabs>
          <w:tab w:leader="none" w:pos="17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other terms and conditions set forth in the Agreement not otherwise amended pursuant to this Amendment shall continue in full force and effect.</w:t>
      </w:r>
    </w:p>
    <w:p>
      <w:pPr>
        <w:spacing w:after="0" w:line="140" w:lineRule="exact"/>
        <w:rPr>
          <w:rFonts w:ascii="Arial" w:cs="Arial" w:eastAsia="Arial" w:hAnsi="Arial"/>
          <w:sz w:val="16"/>
          <w:szCs w:val="16"/>
          <w:color w:val="auto"/>
        </w:rPr>
      </w:pPr>
    </w:p>
    <w:p>
      <w:pPr>
        <w:ind w:left="-8" w:right="800" w:firstLine="8"/>
        <w:spacing w:after="0" w:line="277" w:lineRule="auto"/>
        <w:tabs>
          <w:tab w:leader="none" w:pos="1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avoidance of doubt, the Parties acknowledge and agree that the amendments to the Agreement set forth in this Amendment are binding notwithstanding the absence of the Coppersmith Entities as signatories hereto.</w:t>
      </w:r>
    </w:p>
    <w:p>
      <w:pPr>
        <w:spacing w:after="0" w:line="62" w:lineRule="exact"/>
        <w:rPr>
          <w:rFonts w:ascii="Arial" w:cs="Arial" w:eastAsia="Arial" w:hAnsi="Arial"/>
          <w:sz w:val="18"/>
          <w:szCs w:val="18"/>
          <w:color w:val="auto"/>
        </w:rPr>
      </w:pPr>
    </w:p>
    <w:p>
      <w:pPr>
        <w:ind w:left="-8" w:firstLine="8"/>
        <w:spacing w:after="0" w:line="277" w:lineRule="auto"/>
        <w:tabs>
          <w:tab w:leader="none" w:pos="1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each of which, when executed and delivered, shall be an original, but all of which shall collectively constitute one and the same instrument.</w:t>
      </w:r>
    </w:p>
    <w:p>
      <w:pPr>
        <w:spacing w:after="0" w:line="170"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i w:val="1"/>
          <w:iCs w:val="1"/>
          <w:color w:val="auto"/>
        </w:rPr>
        <w:t>[Signature Pages Follow]</w:t>
      </w:r>
    </w:p>
    <w:p>
      <w:pPr>
        <w:spacing w:after="0" w:line="15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52"/>
          </w:cols>
          <w:pgMar w:left="248" w:top="274" w:right="399" w:bottom="1440" w:gutter="0" w:footer="0" w:header="0"/>
        </w:sectPr>
      </w:pPr>
    </w:p>
    <w:bookmarkStart w:id="12" w:name="page13"/>
    <w:bookmarkEnd w:id="1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and delivered by the duly authorized signatories of the Parties as of the date 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Mezey</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Philip Mezey</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[Signature Page to First Amendment to Cooperation Agreement]</w:t>
      </w:r>
    </w:p>
    <w:p>
      <w:pPr>
        <w:sectPr>
          <w:pgSz w:w="11900" w:h="16838" w:orient="portrait"/>
          <w:cols w:equalWidth="0" w:num="1">
            <w:col w:w="10880"/>
          </w:cols>
          <w:pgMar w:left="240" w:top="274" w:right="7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Jerome J. Lande</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Jerome J. Lande</w:t>
            </w:r>
          </w:p>
        </w:tc>
      </w:tr>
      <w:tr>
        <w:trPr>
          <w:trHeight w:val="43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Rosenblum</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Craig Rosenblum</w:t>
            </w:r>
          </w:p>
        </w:tc>
      </w:tr>
    </w:tbl>
    <w:p>
      <w:pPr>
        <w:spacing w:after="0" w:line="201" w:lineRule="exact"/>
        <w:rPr>
          <w:sz w:val="20"/>
          <w:szCs w:val="20"/>
          <w:color w:val="auto"/>
        </w:rPr>
      </w:pPr>
    </w:p>
    <w:p>
      <w:pPr>
        <w:jc w:val="right"/>
        <w:ind w:right="2179"/>
        <w:spacing w:after="0"/>
        <w:rPr>
          <w:sz w:val="20"/>
          <w:szCs w:val="20"/>
          <w:color w:val="auto"/>
        </w:rPr>
      </w:pPr>
      <w:r>
        <w:rPr>
          <w:rFonts w:ascii="Arial" w:cs="Arial" w:eastAsia="Arial" w:hAnsi="Arial"/>
          <w:sz w:val="18"/>
          <w:szCs w:val="18"/>
          <w:color w:val="auto"/>
        </w:rPr>
        <w:t>[Signature Page to First Amendment to Cooperation Agreement]</w:t>
      </w:r>
    </w:p>
    <w:p>
      <w:pPr>
        <w:sectPr>
          <w:pgSz w:w="11900" w:h="16838" w:orient="portrait"/>
          <w:cols w:equalWidth="0" w:num="1">
            <w:col w:w="10219"/>
          </w:cols>
          <w:pgMar w:left="240" w:top="274"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SCOPIA LONG LLC</w:t>
            </w:r>
          </w:p>
        </w:tc>
        <w:tc>
          <w:tcPr>
            <w:tcW w:w="5440" w:type="dxa"/>
            <w:vAlign w:val="bottom"/>
          </w:tcPr>
          <w:p>
            <w:pPr>
              <w:ind w:left="1480"/>
              <w:spacing w:after="0"/>
              <w:rPr>
                <w:sz w:val="20"/>
                <w:szCs w:val="20"/>
                <w:color w:val="auto"/>
              </w:rPr>
            </w:pPr>
            <w:r>
              <w:rPr>
                <w:rFonts w:ascii="Arial" w:cs="Arial" w:eastAsia="Arial" w:hAnsi="Arial"/>
                <w:sz w:val="18"/>
                <w:szCs w:val="18"/>
                <w:color w:val="auto"/>
              </w:rPr>
              <w:t>SCOPIA WINDMILL FUND LP</w:t>
            </w: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SCOPIA LB LLC</w:t>
            </w:r>
          </w:p>
        </w:tc>
        <w:tc>
          <w:tcPr>
            <w:tcW w:w="5440" w:type="dxa"/>
            <w:vAlign w:val="bottom"/>
          </w:tcPr>
          <w:p>
            <w:pPr>
              <w:ind w:left="1480"/>
              <w:spacing w:after="0"/>
              <w:rPr>
                <w:sz w:val="20"/>
                <w:szCs w:val="20"/>
                <w:color w:val="auto"/>
              </w:rPr>
            </w:pPr>
            <w:r>
              <w:rPr>
                <w:rFonts w:ascii="Arial" w:cs="Arial" w:eastAsia="Arial" w:hAnsi="Arial"/>
                <w:sz w:val="18"/>
                <w:szCs w:val="18"/>
                <w:color w:val="auto"/>
              </w:rPr>
              <w:t>SCOPIA INTERNATIONAL MASTER FUND LP</w:t>
            </w: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SCOPIA PX LLC</w:t>
            </w:r>
          </w:p>
        </w:tc>
        <w:tc>
          <w:tcPr>
            <w:tcW w:w="5440" w:type="dxa"/>
            <w:vAlign w:val="bottom"/>
          </w:tcPr>
          <w:p>
            <w:pPr>
              <w:ind w:left="1480"/>
              <w:spacing w:after="0"/>
              <w:rPr>
                <w:sz w:val="20"/>
                <w:szCs w:val="20"/>
                <w:color w:val="auto"/>
              </w:rPr>
            </w:pPr>
            <w:r>
              <w:rPr>
                <w:rFonts w:ascii="Arial" w:cs="Arial" w:eastAsia="Arial" w:hAnsi="Arial"/>
                <w:sz w:val="18"/>
                <w:szCs w:val="18"/>
                <w:color w:val="auto"/>
                <w:w w:val="96"/>
              </w:rPr>
              <w:t>SCOPIA PX INTERNATIONAL MASTER FUND LP</w:t>
            </w: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SCOPIA PARTNERS LLC</w:t>
            </w:r>
          </w:p>
        </w:tc>
        <w:tc>
          <w:tcPr>
            <w:tcW w:w="5440" w:type="dxa"/>
            <w:vAlign w:val="bottom"/>
          </w:tcPr>
          <w:p>
            <w:pPr>
              <w:ind w:left="1480"/>
              <w:spacing w:after="0"/>
              <w:rPr>
                <w:sz w:val="20"/>
                <w:szCs w:val="20"/>
                <w:color w:val="auto"/>
              </w:rPr>
            </w:pPr>
            <w:r>
              <w:rPr>
                <w:rFonts w:ascii="Arial" w:cs="Arial" w:eastAsia="Arial" w:hAnsi="Arial"/>
                <w:sz w:val="18"/>
                <w:szCs w:val="18"/>
                <w:color w:val="auto"/>
                <w:w w:val="97"/>
              </w:rPr>
              <w:t>SCOPIA LB INTERNATIONAL MASTER FUND LP</w:t>
            </w: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SCOPIA LONG INTERNATIONAL MASTER FUND LP</w:t>
            </w:r>
          </w:p>
        </w:tc>
        <w:tc>
          <w:tcPr>
            <w:tcW w:w="5440" w:type="dxa"/>
            <w:vAlign w:val="bottom"/>
          </w:tcPr>
          <w:p>
            <w:pPr>
              <w:ind w:left="1480"/>
              <w:spacing w:after="0"/>
              <w:rPr>
                <w:sz w:val="20"/>
                <w:szCs w:val="20"/>
                <w:color w:val="auto"/>
              </w:rPr>
            </w:pPr>
            <w:r>
              <w:rPr>
                <w:rFonts w:ascii="Arial" w:cs="Arial" w:eastAsia="Arial" w:hAnsi="Arial"/>
                <w:sz w:val="18"/>
                <w:szCs w:val="18"/>
                <w:color w:val="auto"/>
              </w:rPr>
              <w:t>SCOPIA LONG QP LLC</w:t>
            </w: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w w:val="94"/>
              </w:rPr>
              <w:t>By: Scopia Capital Management LP, its Investment Manager</w:t>
            </w:r>
          </w:p>
        </w:tc>
        <w:tc>
          <w:tcPr>
            <w:tcW w:w="5440" w:type="dxa"/>
            <w:vAlign w:val="bottom"/>
          </w:tcPr>
          <w:p>
            <w:pPr>
              <w:spacing w:after="0"/>
              <w:rPr>
                <w:sz w:val="24"/>
                <w:szCs w:val="24"/>
                <w:color w:val="auto"/>
              </w:rPr>
            </w:pP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By: Scopia Management, Inc., its General Partner</w:t>
            </w:r>
          </w:p>
        </w:tc>
        <w:tc>
          <w:tcPr>
            <w:tcW w:w="5440" w:type="dxa"/>
            <w:vAlign w:val="bottom"/>
          </w:tcPr>
          <w:p>
            <w:pPr>
              <w:spacing w:after="0"/>
              <w:rPr>
                <w:sz w:val="24"/>
                <w:szCs w:val="24"/>
                <w:color w:val="auto"/>
              </w:rPr>
            </w:pP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Sirovich</w:t>
            </w:r>
          </w:p>
        </w:tc>
        <w:tc>
          <w:tcPr>
            <w:tcW w:w="5440" w:type="dxa"/>
            <w:vAlign w:val="bottom"/>
          </w:tcPr>
          <w:p>
            <w:pPr>
              <w:spacing w:after="0"/>
              <w:rPr>
                <w:sz w:val="24"/>
                <w:szCs w:val="24"/>
                <w:color w:val="auto"/>
              </w:rPr>
            </w:pP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Matthew Sirovich</w:t>
            </w:r>
          </w:p>
        </w:tc>
        <w:tc>
          <w:tcPr>
            <w:tcW w:w="54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c>
          <w:tcPr>
            <w:tcW w:w="5440" w:type="dxa"/>
            <w:vAlign w:val="bottom"/>
          </w:tcPr>
          <w:p>
            <w:pPr>
              <w:spacing w:after="0"/>
              <w:rPr>
                <w:sz w:val="20"/>
                <w:szCs w:val="20"/>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SCOPIA CAPITAL MANAGEMENT LP</w:t>
            </w:r>
          </w:p>
        </w:tc>
        <w:tc>
          <w:tcPr>
            <w:tcW w:w="5440" w:type="dxa"/>
            <w:vAlign w:val="bottom"/>
          </w:tcPr>
          <w:p>
            <w:pPr>
              <w:spacing w:after="0"/>
              <w:rPr>
                <w:sz w:val="24"/>
                <w:szCs w:val="24"/>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By: Scopia Management, Inc., its General Partner</w:t>
            </w:r>
          </w:p>
        </w:tc>
        <w:tc>
          <w:tcPr>
            <w:tcW w:w="544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Sirovich</w:t>
            </w:r>
          </w:p>
        </w:tc>
        <w:tc>
          <w:tcPr>
            <w:tcW w:w="5440" w:type="dxa"/>
            <w:vAlign w:val="bottom"/>
          </w:tcPr>
          <w:p>
            <w:pPr>
              <w:spacing w:after="0"/>
              <w:rPr>
                <w:sz w:val="24"/>
                <w:szCs w:val="24"/>
                <w:color w:val="auto"/>
              </w:rPr>
            </w:pP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Matthew Sirovich</w:t>
            </w:r>
          </w:p>
        </w:tc>
        <w:tc>
          <w:tcPr>
            <w:tcW w:w="54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c>
          <w:tcPr>
            <w:tcW w:w="5440" w:type="dxa"/>
            <w:vAlign w:val="bottom"/>
          </w:tcPr>
          <w:p>
            <w:pPr>
              <w:spacing w:after="0"/>
              <w:rPr>
                <w:sz w:val="20"/>
                <w:szCs w:val="20"/>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SCOPIA CAPITAL GP LLC</w:t>
            </w:r>
          </w:p>
        </w:tc>
        <w:tc>
          <w:tcPr>
            <w:tcW w:w="544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Sirovich</w:t>
            </w:r>
          </w:p>
        </w:tc>
        <w:tc>
          <w:tcPr>
            <w:tcW w:w="5440" w:type="dxa"/>
            <w:vAlign w:val="bottom"/>
          </w:tcPr>
          <w:p>
            <w:pPr>
              <w:spacing w:after="0"/>
              <w:rPr>
                <w:sz w:val="24"/>
                <w:szCs w:val="24"/>
                <w:color w:val="auto"/>
              </w:rPr>
            </w:pP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Matthew Sirovich</w:t>
            </w:r>
          </w:p>
        </w:tc>
        <w:tc>
          <w:tcPr>
            <w:tcW w:w="54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c>
          <w:tcPr>
            <w:tcW w:w="5440" w:type="dxa"/>
            <w:vAlign w:val="bottom"/>
          </w:tcPr>
          <w:p>
            <w:pPr>
              <w:spacing w:after="0"/>
              <w:rPr>
                <w:sz w:val="20"/>
                <w:szCs w:val="20"/>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SCOPIA MANAGEMENT, INC.</w:t>
            </w:r>
          </w:p>
        </w:tc>
        <w:tc>
          <w:tcPr>
            <w:tcW w:w="544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Sirovich</w:t>
            </w:r>
          </w:p>
        </w:tc>
        <w:tc>
          <w:tcPr>
            <w:tcW w:w="5440" w:type="dxa"/>
            <w:vAlign w:val="bottom"/>
          </w:tcPr>
          <w:p>
            <w:pPr>
              <w:spacing w:after="0"/>
              <w:rPr>
                <w:sz w:val="24"/>
                <w:szCs w:val="24"/>
                <w:color w:val="auto"/>
              </w:rPr>
            </w:pP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Matthew Sirovich</w:t>
            </w:r>
          </w:p>
        </w:tc>
        <w:tc>
          <w:tcPr>
            <w:tcW w:w="54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c>
          <w:tcPr>
            <w:tcW w:w="5440" w:type="dxa"/>
            <w:vAlign w:val="bottom"/>
          </w:tcPr>
          <w:p>
            <w:pPr>
              <w:spacing w:after="0"/>
              <w:rPr>
                <w:sz w:val="20"/>
                <w:szCs w:val="20"/>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INDIVIDUALS:</w:t>
            </w:r>
          </w:p>
        </w:tc>
        <w:tc>
          <w:tcPr>
            <w:tcW w:w="544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Sirovich</w:t>
            </w:r>
          </w:p>
        </w:tc>
        <w:tc>
          <w:tcPr>
            <w:tcW w:w="5440" w:type="dxa"/>
            <w:vAlign w:val="bottom"/>
          </w:tcPr>
          <w:p>
            <w:pPr>
              <w:spacing w:after="0"/>
              <w:rPr>
                <w:sz w:val="24"/>
                <w:szCs w:val="24"/>
                <w:color w:val="auto"/>
              </w:rPr>
            </w:pP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Matthew Sirovich</w:t>
            </w:r>
          </w:p>
        </w:tc>
        <w:tc>
          <w:tcPr>
            <w:tcW w:w="5440" w:type="dxa"/>
            <w:vAlign w:val="bottom"/>
          </w:tcPr>
          <w:p>
            <w:pPr>
              <w:spacing w:after="0"/>
              <w:rPr>
                <w:sz w:val="19"/>
                <w:szCs w:val="19"/>
                <w:color w:val="auto"/>
              </w:rPr>
            </w:pPr>
          </w:p>
        </w:tc>
      </w:tr>
      <w:tr>
        <w:trPr>
          <w:trHeight w:val="43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Mindich</w:t>
            </w:r>
          </w:p>
        </w:tc>
        <w:tc>
          <w:tcPr>
            <w:tcW w:w="5440" w:type="dxa"/>
            <w:vAlign w:val="bottom"/>
          </w:tcPr>
          <w:p>
            <w:pPr>
              <w:spacing w:after="0"/>
              <w:rPr>
                <w:sz w:val="24"/>
                <w:szCs w:val="24"/>
                <w:color w:val="auto"/>
              </w:rPr>
            </w:pP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Jeremy Mindich</w:t>
            </w:r>
          </w:p>
        </w:tc>
        <w:tc>
          <w:tcPr>
            <w:tcW w:w="5440" w:type="dxa"/>
            <w:vAlign w:val="bottom"/>
          </w:tcPr>
          <w:p>
            <w:pPr>
              <w:spacing w:after="0"/>
              <w:rPr>
                <w:sz w:val="19"/>
                <w:szCs w:val="19"/>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380"/>
        <w:spacing w:after="0"/>
        <w:rPr>
          <w:sz w:val="20"/>
          <w:szCs w:val="20"/>
          <w:color w:val="auto"/>
        </w:rPr>
      </w:pPr>
      <w:r>
        <w:rPr>
          <w:rFonts w:ascii="Arial" w:cs="Arial" w:eastAsia="Arial" w:hAnsi="Arial"/>
          <w:sz w:val="18"/>
          <w:szCs w:val="18"/>
          <w:color w:val="auto"/>
        </w:rPr>
        <w:t>[Signature Page to First Amendment to Cooperation Agreement]</w:t>
      </w:r>
    </w:p>
    <w:p>
      <w:pPr>
        <w:sectPr>
          <w:pgSz w:w="11900" w:h="16838" w:orient="portrait"/>
          <w:cols w:equalWidth="0" w:num="1">
            <w:col w:w="10219"/>
          </w:cols>
          <w:pgMar w:left="240" w:top="382" w:right="1440" w:bottom="1440" w:gutter="0" w:footer="0" w:header="0"/>
        </w:sectPr>
      </w:pPr>
    </w:p>
    <w:bookmarkStart w:id="15" w:name="page16"/>
    <w:bookmarkEnd w:id="15"/>
    <w:p>
      <w:pPr>
        <w:ind w:left="10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JEROME J. LANDE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SCOPIA LONG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SCOPIA LB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SCOPIA PX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SCOPIA PARTNERS LLC</w:t>
      </w:r>
    </w:p>
    <w:p>
      <w:pPr>
        <w:spacing w:after="0" w:line="225" w:lineRule="exact"/>
        <w:rPr>
          <w:sz w:val="20"/>
          <w:szCs w:val="20"/>
          <w:color w:val="auto"/>
        </w:rPr>
      </w:pPr>
    </w:p>
    <w:p>
      <w:pPr>
        <w:spacing w:after="0" w:line="501" w:lineRule="auto"/>
        <w:rPr>
          <w:sz w:val="20"/>
          <w:szCs w:val="20"/>
          <w:color w:val="auto"/>
        </w:rPr>
      </w:pPr>
      <w:r>
        <w:rPr>
          <w:rFonts w:ascii="Arial" w:cs="Arial" w:eastAsia="Arial" w:hAnsi="Arial"/>
          <w:sz w:val="18"/>
          <w:szCs w:val="18"/>
          <w:color w:val="auto"/>
        </w:rPr>
        <w:t>SCOPIA LONG INTERNATIONAL MASTER FUND LP SCOPIA WINDMILL FUND LP</w:t>
      </w:r>
    </w:p>
    <w:p>
      <w:pPr>
        <w:ind w:right="260"/>
        <w:spacing w:after="0" w:line="501" w:lineRule="auto"/>
        <w:rPr>
          <w:sz w:val="20"/>
          <w:szCs w:val="20"/>
          <w:color w:val="auto"/>
        </w:rPr>
      </w:pPr>
      <w:r>
        <w:rPr>
          <w:rFonts w:ascii="Arial" w:cs="Arial" w:eastAsia="Arial" w:hAnsi="Arial"/>
          <w:sz w:val="18"/>
          <w:szCs w:val="18"/>
          <w:color w:val="auto"/>
        </w:rPr>
        <w:t>SCOPIA INTERNATIONAL MASTER FUND LP SCOPIA PX INTERNATIONAL MASTER FUND LP SCOPIA LB INTERNATIONAL MASTER FUND LP SCOPIA CAPITAL MANAGEMENT LP</w:t>
      </w:r>
    </w:p>
    <w:p>
      <w:pPr>
        <w:ind w:right="1820"/>
        <w:spacing w:after="0" w:line="507" w:lineRule="auto"/>
        <w:rPr>
          <w:sz w:val="20"/>
          <w:szCs w:val="20"/>
          <w:color w:val="auto"/>
        </w:rPr>
      </w:pPr>
      <w:r>
        <w:rPr>
          <w:rFonts w:ascii="Arial" w:cs="Arial" w:eastAsia="Arial" w:hAnsi="Arial"/>
          <w:sz w:val="18"/>
          <w:szCs w:val="18"/>
          <w:color w:val="auto"/>
        </w:rPr>
        <w:t>SCOPIA MANAGEMENT, INC. SCOPIA CAPITAL GP LLC SCOPIA LONG QP LLC MATTHEW SIROVICH JEREMY MINDICH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 of the Current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[Annex A]</w:t>
      </w:r>
    </w:p>
    <w:sectPr>
      <w:pgSz w:w="11900" w:h="16838" w:orient="portrait"/>
      <w:cols w:equalWidth="0" w:num="2">
        <w:col w:w="4240" w:space="260"/>
        <w:col w:w="692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3"/>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3"/>
    </w:lvl>
  </w:abstractNum>
  <w:abstractNum w:abstractNumId="12">
    <w:nsid w:val="335225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2019-12-20T22:51:12Z</dcterms:created>
  <dcterms:modified xsi:type="dcterms:W3CDTF">2019-12-20T22:51:12Z</dcterms:modified>
</cp:coreProperties>
</file>