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us4657411066_011718.txt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15)</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ITRON INC</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465741106</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31, 2017</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6" w:lineRule="exact"/>
        <w:rPr>
          <w:sz w:val="24"/>
          <w:szCs w:val="24"/>
          <w:color w:val="auto"/>
        </w:rPr>
      </w:pPr>
    </w:p>
    <w:p>
      <w:pPr>
        <w:ind w:right="399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8" w:lineRule="exact"/>
        <w:rPr>
          <w:sz w:val="24"/>
          <w:szCs w:val="24"/>
          <w:color w:val="auto"/>
        </w:rPr>
      </w:pPr>
    </w:p>
    <w:p>
      <w:pPr>
        <w:jc w:val="both"/>
        <w:ind w:right="8419" w:firstLine="8"/>
        <w:spacing w:after="0" w:line="279"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381" w:lineRule="exact"/>
        <w:rPr>
          <w:sz w:val="24"/>
          <w:szCs w:val="24"/>
          <w:color w:val="auto"/>
        </w:rPr>
      </w:pPr>
    </w:p>
    <w:p>
      <w:pPr>
        <w:ind w:right="4199"/>
        <w:spacing w:after="0" w:line="268" w:lineRule="auto"/>
        <w:rPr>
          <w:sz w:val="20"/>
          <w:szCs w:val="20"/>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 of securities, and for any subsequent amendment containing information which</w:t>
      </w:r>
    </w:p>
    <w:p>
      <w:pPr>
        <w:spacing w:after="0" w:line="234" w:lineRule="auto"/>
        <w:rPr>
          <w:sz w:val="20"/>
          <w:szCs w:val="20"/>
          <w:color w:val="auto"/>
        </w:rPr>
      </w:pPr>
      <w:r>
        <w:rPr>
          <w:rFonts w:ascii="Courier New" w:cs="Courier New" w:eastAsia="Courier New" w:hAnsi="Courier New"/>
          <w:sz w:val="18"/>
          <w:szCs w:val="18"/>
          <w:color w:val="auto"/>
        </w:rPr>
        <w:t>would alter the disclosures provided in a prior cover page.</w:t>
      </w:r>
    </w:p>
    <w:p>
      <w:pPr>
        <w:spacing w:after="0" w:line="207" w:lineRule="exact"/>
        <w:rPr>
          <w:sz w:val="24"/>
          <w:szCs w:val="24"/>
          <w:color w:val="auto"/>
        </w:rPr>
      </w:pPr>
    </w:p>
    <w:p>
      <w:pPr>
        <w:ind w:right="4419"/>
        <w:spacing w:after="0" w:line="272"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0"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465741106</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(1)Names of reporting persons. BlackRock, Inc.</w:t>
      </w:r>
    </w:p>
    <w:p>
      <w:pPr>
        <w:spacing w:after="0" w:line="200" w:lineRule="exact"/>
        <w:rPr>
          <w:sz w:val="24"/>
          <w:szCs w:val="24"/>
          <w:color w:val="auto"/>
        </w:rPr>
      </w:pPr>
    </w:p>
    <w:p>
      <w:pPr>
        <w:spacing w:after="0" w:line="204"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  ]</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 [X]</w:t>
      </w:r>
    </w:p>
    <w:p>
      <w:pPr>
        <w:spacing w:after="0" w:line="200" w:lineRule="exact"/>
        <w:rPr>
          <w:rFonts w:ascii="Courier New" w:cs="Courier New" w:eastAsia="Courier New" w:hAnsi="Courier New"/>
          <w:sz w:val="18"/>
          <w:szCs w:val="18"/>
          <w:color w:val="auto"/>
        </w:rPr>
      </w:pPr>
    </w:p>
    <w:p>
      <w:pPr>
        <w:spacing w:after="0" w:line="204"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24" w:lineRule="exact"/>
        <w:rPr>
          <w:sz w:val="24"/>
          <w:szCs w:val="24"/>
          <w:color w:val="auto"/>
        </w:rPr>
      </w:pPr>
    </w:p>
    <w:p>
      <w:pPr>
        <w:ind w:left="120" w:right="7999" w:hanging="112"/>
        <w:spacing w:after="0" w:line="470"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4545058</w:t>
      </w:r>
    </w:p>
    <w:p>
      <w:pPr>
        <w:spacing w:after="0" w:line="6"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w:t>
      </w:r>
    </w:p>
    <w:p>
      <w:pPr>
        <w:sectPr>
          <w:pgSz w:w="11900" w:h="16838" w:orient="portrait"/>
          <w:cols w:equalWidth="0" w:num="1">
            <w:col w:w="10219"/>
          </w:cols>
          <w:pgMar w:left="240" w:top="244" w:right="1440" w:bottom="0" w:gutter="0" w:footer="0" w:header="0"/>
        </w:sectPr>
      </w:pPr>
    </w:p>
    <w:bookmarkStart w:id="1" w:name="page2"/>
    <w:bookmarkEnd w:id="1"/>
    <w:p>
      <w:pPr>
        <w:ind w:left="120"/>
        <w:spacing w:after="0"/>
        <w:rPr>
          <w:sz w:val="20"/>
          <w:szCs w:val="20"/>
          <w:color w:val="auto"/>
        </w:rPr>
      </w:pPr>
      <w:r>
        <w:rPr>
          <w:rFonts w:ascii="Courier New" w:cs="Courier New" w:eastAsia="Courier New" w:hAnsi="Courier New"/>
          <w:sz w:val="18"/>
          <w:szCs w:val="18"/>
          <w:color w:val="auto"/>
        </w:rPr>
        <w:t>4620250</w:t>
      </w:r>
    </w:p>
    <w:p>
      <w:pPr>
        <w:spacing w:after="0" w:line="201" w:lineRule="exact"/>
        <w:rPr>
          <w:sz w:val="20"/>
          <w:szCs w:val="20"/>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6" w:lineRule="exact"/>
        <w:rPr>
          <w:rFonts w:ascii="Courier New" w:cs="Courier New" w:eastAsia="Courier New" w:hAnsi="Courier New"/>
          <w:sz w:val="18"/>
          <w:szCs w:val="18"/>
          <w:color w:val="auto"/>
        </w:rPr>
      </w:pPr>
    </w:p>
    <w:p>
      <w:pPr>
        <w:ind w:left="120" w:right="3479" w:hanging="112"/>
        <w:spacing w:after="0" w:line="470" w:lineRule="auto"/>
        <w:tabs>
          <w:tab w:leader="none" w:pos="43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4620250</w:t>
      </w:r>
    </w:p>
    <w:p>
      <w:pPr>
        <w:spacing w:after="0" w:line="6"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11.9%</w:t>
      </w:r>
    </w:p>
    <w:p>
      <w:pPr>
        <w:spacing w:after="0" w:line="201"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ITRON INC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2111 N MOLTER ROAD</w:t>
      </w:r>
    </w:p>
    <w:p>
      <w:pPr>
        <w:spacing w:after="0" w:line="238" w:lineRule="auto"/>
        <w:rPr>
          <w:sz w:val="20"/>
          <w:szCs w:val="20"/>
          <w:color w:val="auto"/>
        </w:rPr>
      </w:pPr>
      <w:r>
        <w:rPr>
          <w:rFonts w:ascii="Courier New" w:cs="Courier New" w:eastAsia="Courier New" w:hAnsi="Courier New"/>
          <w:sz w:val="18"/>
          <w:szCs w:val="18"/>
          <w:color w:val="auto"/>
        </w:rPr>
        <w:t>LIBERTY LAKE WA 99019</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2(a) Name of person filing:</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2(b) Address or principal business office or, if none, residence:</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237" w:lineRule="auto"/>
        <w:rPr>
          <w:sz w:val="20"/>
          <w:szCs w:val="20"/>
          <w:color w:val="auto"/>
        </w:rPr>
      </w:pPr>
      <w:r>
        <w:rPr>
          <w:rFonts w:ascii="Courier New" w:cs="Courier New" w:eastAsia="Courier New" w:hAnsi="Courier New"/>
          <w:sz w:val="18"/>
          <w:szCs w:val="18"/>
          <w:color w:val="auto"/>
        </w:rPr>
        <w:t>55 East 52nd Street</w:t>
      </w:r>
    </w:p>
    <w:p>
      <w:pPr>
        <w:spacing w:after="0" w:line="238" w:lineRule="auto"/>
        <w:rPr>
          <w:sz w:val="20"/>
          <w:szCs w:val="20"/>
          <w:color w:val="auto"/>
        </w:rPr>
      </w:pPr>
      <w:r>
        <w:rPr>
          <w:rFonts w:ascii="Courier New" w:cs="Courier New" w:eastAsia="Courier New" w:hAnsi="Courier New"/>
          <w:sz w:val="18"/>
          <w:szCs w:val="18"/>
          <w:color w:val="auto"/>
        </w:rPr>
        <w:t>New York, NY 10055</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 Citizenship:</w:t>
      </w:r>
    </w:p>
    <w:p>
      <w:pPr>
        <w:spacing w:after="0" w:line="238" w:lineRule="auto"/>
        <w:rPr>
          <w:sz w:val="20"/>
          <w:szCs w:val="20"/>
          <w:color w:val="auto"/>
        </w:rPr>
      </w:pPr>
      <w:r>
        <w:rPr>
          <w:rFonts w:ascii="Courier New" w:cs="Courier New" w:eastAsia="Courier New" w:hAnsi="Courier New"/>
          <w:sz w:val="18"/>
          <w:szCs w:val="18"/>
          <w:color w:val="auto"/>
        </w:rPr>
        <w:t>--------------------------------------------------------------------</w:t>
      </w:r>
    </w:p>
    <w:p>
      <w:pPr>
        <w:ind w:left="120"/>
        <w:spacing w:after="0"/>
        <w:rPr>
          <w:sz w:val="20"/>
          <w:szCs w:val="20"/>
          <w:color w:val="auto"/>
        </w:rPr>
      </w:pPr>
      <w:r>
        <w:rPr>
          <w:rFonts w:ascii="Courier New" w:cs="Courier New" w:eastAsia="Courier New" w:hAnsi="Courier New"/>
          <w:sz w:val="18"/>
          <w:szCs w:val="18"/>
          <w:color w:val="auto"/>
        </w:rPr>
        <w:t>See Item 4 of Cover Page</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2(d) Title of class of securities: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2(e) CUSIP No.:</w:t>
      </w:r>
    </w:p>
    <w:p>
      <w:pPr>
        <w:spacing w:after="0" w:line="238" w:lineRule="auto"/>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7" w:lineRule="exact"/>
        <w:rPr>
          <w:sz w:val="20"/>
          <w:szCs w:val="20"/>
          <w:color w:val="auto"/>
        </w:rPr>
      </w:pPr>
    </w:p>
    <w:p>
      <w:pPr>
        <w:ind w:right="2419"/>
        <w:spacing w:after="0" w:line="235" w:lineRule="auto"/>
        <w:rPr>
          <w:sz w:val="20"/>
          <w:szCs w:val="20"/>
          <w:color w:val="auto"/>
        </w:rPr>
      </w:pPr>
      <w:r>
        <w:rPr>
          <w:rFonts w:ascii="Courier New" w:cs="Courier New" w:eastAsia="Courier New" w:hAnsi="Courier New"/>
          <w:sz w:val="18"/>
          <w:szCs w:val="18"/>
          <w:color w:val="auto"/>
        </w:rPr>
        <w:t>If this statement is filed pursuant to Rules 13d-1(b), or 13d-2(b) or (c), check whether the person filing is a:</w:t>
      </w: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spacing w:after="0" w:line="4" w:lineRule="exact"/>
        <w:rPr>
          <w:rFonts w:ascii="Courier New" w:cs="Courier New" w:eastAsia="Courier New" w:hAnsi="Courier New"/>
          <w:sz w:val="18"/>
          <w:szCs w:val="18"/>
          <w:color w:val="auto"/>
        </w:rPr>
      </w:pPr>
    </w:p>
    <w:p>
      <w:pPr>
        <w:ind w:right="4319" w:firstLine="8"/>
        <w:spacing w:after="0" w:line="235"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w:t>
      </w:r>
    </w:p>
    <w:p>
      <w:pPr>
        <w:spacing w:after="0" w:line="1" w:lineRule="exact"/>
        <w:rPr>
          <w:rFonts w:ascii="Courier New" w:cs="Courier New" w:eastAsia="Courier New" w:hAnsi="Courier New"/>
          <w:sz w:val="18"/>
          <w:szCs w:val="18"/>
          <w:color w:val="auto"/>
        </w:rPr>
      </w:pP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investment adviser in accordance with Rule 13d-1(b)(1)(ii)(E);</w:t>
      </w:r>
    </w:p>
    <w:p>
      <w:pPr>
        <w:sectPr>
          <w:pgSz w:w="11900" w:h="16838" w:orient="portrait"/>
          <w:cols w:equalWidth="0" w:num="1">
            <w:col w:w="10219"/>
          </w:cols>
          <w:pgMar w:left="240" w:top="136" w:right="1440" w:bottom="0" w:gutter="0" w:footer="0" w:header="0"/>
        </w:sectPr>
      </w:pPr>
    </w:p>
    <w:bookmarkStart w:id="2" w:name="page3"/>
    <w:bookmarkEnd w:id="2"/>
    <w:p>
      <w:pPr>
        <w:ind w:left="1280" w:right="3359" w:hanging="1272"/>
        <w:spacing w:after="0" w:line="235" w:lineRule="auto"/>
        <w:tabs>
          <w:tab w:leader="none" w:pos="22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 Rule 13d-1(b)(1)(ii)(F);</w:t>
      </w:r>
    </w:p>
    <w:p>
      <w:pPr>
        <w:spacing w:after="0" w:line="6" w:lineRule="exact"/>
        <w:rPr>
          <w:sz w:val="20"/>
          <w:szCs w:val="20"/>
          <w:color w:val="auto"/>
        </w:rPr>
      </w:pPr>
    </w:p>
    <w:p>
      <w:pPr>
        <w:ind w:left="1280" w:right="3359" w:hanging="1272"/>
        <w:spacing w:after="0" w:line="235" w:lineRule="auto"/>
        <w:tabs>
          <w:tab w:leader="none" w:pos="437"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holding company or control person in accordance with Rule 13d-1(b)(1)(ii)(G);</w:t>
      </w:r>
    </w:p>
    <w:p>
      <w:pPr>
        <w:spacing w:after="0" w:line="6" w:lineRule="exact"/>
        <w:rPr>
          <w:sz w:val="20"/>
          <w:szCs w:val="20"/>
          <w:color w:val="auto"/>
        </w:rPr>
      </w:pPr>
    </w:p>
    <w:p>
      <w:pPr>
        <w:ind w:left="1280" w:right="3039" w:hanging="1272"/>
        <w:spacing w:after="0" w:line="235" w:lineRule="auto"/>
        <w:tabs>
          <w:tab w:leader="none" w:pos="227"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savings associations as defined in Section 3(b) of the Federal Deposit Insurance Act (12 U.S.C. 1813);</w:t>
      </w:r>
    </w:p>
    <w:p>
      <w:pPr>
        <w:spacing w:after="0"/>
        <w:rPr>
          <w:sz w:val="20"/>
          <w:szCs w:val="20"/>
          <w:color w:val="auto"/>
        </w:rPr>
      </w:pPr>
      <w:r>
        <w:rPr>
          <w:rFonts w:ascii="Courier New" w:cs="Courier New" w:eastAsia="Courier New" w:hAnsi="Courier New"/>
          <w:sz w:val="18"/>
          <w:szCs w:val="18"/>
          <w:color w:val="auto"/>
        </w:rPr>
        <w:t>[ ] A church plan that is excluded from the definition of an</w:t>
      </w:r>
    </w:p>
    <w:p>
      <w:pPr>
        <w:spacing w:after="0" w:line="4" w:lineRule="exact"/>
        <w:rPr>
          <w:sz w:val="20"/>
          <w:szCs w:val="20"/>
          <w:color w:val="auto"/>
        </w:rPr>
      </w:pPr>
    </w:p>
    <w:p>
      <w:pPr>
        <w:ind w:left="1280" w:right="1879"/>
        <w:spacing w:after="0" w:line="235" w:lineRule="auto"/>
        <w:rPr>
          <w:sz w:val="20"/>
          <w:szCs w:val="20"/>
          <w:color w:val="auto"/>
        </w:rPr>
      </w:pPr>
      <w:r>
        <w:rPr>
          <w:rFonts w:ascii="Courier New" w:cs="Courier New" w:eastAsia="Courier New" w:hAnsi="Courier New"/>
          <w:sz w:val="18"/>
          <w:szCs w:val="18"/>
          <w:color w:val="auto"/>
        </w:rPr>
        <w:t>investment company under section 3(c)(14) of the Investment Company Act of 1940;</w:t>
      </w:r>
    </w:p>
    <w:p>
      <w:pPr>
        <w:spacing w:after="0" w:line="6" w:lineRule="exact"/>
        <w:rPr>
          <w:sz w:val="20"/>
          <w:szCs w:val="20"/>
          <w:color w:val="auto"/>
        </w:rPr>
      </w:pPr>
    </w:p>
    <w:p>
      <w:pPr>
        <w:ind w:left="1280" w:right="5479" w:hanging="1272"/>
        <w:spacing w:after="0" w:line="268" w:lineRule="auto"/>
        <w:tabs>
          <w:tab w:leader="none" w:pos="227"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 A non-U.S. institution in accordance with Rule 240.13d-1(b)(1)(ii)(J);</w:t>
      </w:r>
    </w:p>
    <w:p>
      <w:pPr>
        <w:ind w:left="1280" w:right="3039" w:hanging="1272"/>
        <w:spacing w:after="0" w:line="235" w:lineRule="auto"/>
        <w:tabs>
          <w:tab w:leader="none" w:pos="227"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Rule 240.13d-1(b)(1)(ii)(K). If filing as a non-U.S. institution in accordance with</w:t>
      </w:r>
    </w:p>
    <w:p>
      <w:pPr>
        <w:spacing w:after="0" w:line="5" w:lineRule="exact"/>
        <w:rPr>
          <w:rFonts w:ascii="Courier New" w:cs="Courier New" w:eastAsia="Courier New" w:hAnsi="Courier New"/>
          <w:sz w:val="18"/>
          <w:szCs w:val="18"/>
          <w:color w:val="auto"/>
        </w:rPr>
      </w:pPr>
    </w:p>
    <w:p>
      <w:pPr>
        <w:ind w:left="1280" w:right="315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Rule 240.13d-1(b)(1)(ii)(J), please specify the type of institution:</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w:t>
      </w:r>
    </w:p>
    <w:p>
      <w:pPr>
        <w:spacing w:after="0" w:line="238" w:lineRule="auto"/>
        <w:rPr>
          <w:sz w:val="20"/>
          <w:szCs w:val="20"/>
          <w:color w:val="auto"/>
        </w:rPr>
      </w:pPr>
      <w:r>
        <w:rPr>
          <w:rFonts w:ascii="Courier New" w:cs="Courier New" w:eastAsia="Courier New" w:hAnsi="Courier New"/>
          <w:sz w:val="18"/>
          <w:szCs w:val="18"/>
          <w:color w:val="auto"/>
        </w:rPr>
        <w:t>and percentage of the class of securities of the issuer identified in Item 1.</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4620250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11.9%</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4545058</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4620250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07" w:lineRule="exact"/>
        <w:rPr>
          <w:sz w:val="20"/>
          <w:szCs w:val="20"/>
          <w:color w:val="auto"/>
        </w:rPr>
      </w:pPr>
    </w:p>
    <w:p>
      <w:pPr>
        <w:ind w:right="2619"/>
        <w:spacing w:after="0" w:line="237" w:lineRule="auto"/>
        <w:rPr>
          <w:sz w:val="20"/>
          <w:szCs w:val="20"/>
          <w:color w:val="auto"/>
        </w:rPr>
      </w:pPr>
      <w:r>
        <w:rPr>
          <w:rFonts w:ascii="Courier New" w:cs="Courier New" w:eastAsia="Courier New" w:hAnsi="Courier New"/>
          <w:sz w:val="18"/>
          <w:szCs w:val="18"/>
          <w:color w:val="auto"/>
        </w:rPr>
        <w:t>Ownership of 5 Percent or Less of a Class. If this statement is being filed to report the fact that as of the date hereof the reporting person has ceased to be the beneficial owner of more than 5 percent of the class of securities, check the following [ ].</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7" w:lineRule="exact"/>
        <w:rPr>
          <w:sz w:val="20"/>
          <w:szCs w:val="20"/>
          <w:color w:val="auto"/>
        </w:rPr>
      </w:pPr>
    </w:p>
    <w:p>
      <w:pPr>
        <w:ind w:left="220" w:right="2199"/>
        <w:spacing w:after="0" w:line="237" w:lineRule="auto"/>
        <w:rPr>
          <w:sz w:val="20"/>
          <w:szCs w:val="20"/>
          <w:color w:val="auto"/>
        </w:rPr>
      </w:pPr>
      <w:r>
        <w:rPr>
          <w:rFonts w:ascii="Courier New" w:cs="Courier New" w:eastAsia="Courier New" w:hAnsi="Courier New"/>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12" w:lineRule="exact"/>
        <w:rPr>
          <w:sz w:val="20"/>
          <w:szCs w:val="20"/>
          <w:color w:val="auto"/>
        </w:rPr>
      </w:pPr>
    </w:p>
    <w:p>
      <w:pPr>
        <w:jc w:val="both"/>
        <w:ind w:left="320" w:right="3259" w:hanging="104"/>
        <w:spacing w:after="0" w:line="236" w:lineRule="auto"/>
        <w:rPr>
          <w:sz w:val="20"/>
          <w:szCs w:val="20"/>
          <w:color w:val="auto"/>
        </w:rPr>
      </w:pPr>
      <w:r>
        <w:rPr>
          <w:rFonts w:ascii="Courier New" w:cs="Courier New" w:eastAsia="Courier New" w:hAnsi="Courier New"/>
          <w:sz w:val="18"/>
          <w:szCs w:val="18"/>
          <w:color w:val="auto"/>
        </w:rPr>
        <w:t>Various persons have the right to receive or the power to direct the receipt of dividends from, or the proceeds from the sale of the common stock of</w:t>
      </w:r>
    </w:p>
    <w:p>
      <w:pPr>
        <w:spacing w:after="0" w:line="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ITRON INC.</w:t>
      </w:r>
    </w:p>
    <w:p>
      <w:pPr>
        <w:ind w:left="320"/>
        <w:spacing w:after="0" w:line="238" w:lineRule="auto"/>
        <w:rPr>
          <w:sz w:val="20"/>
          <w:szCs w:val="20"/>
          <w:color w:val="auto"/>
        </w:rPr>
      </w:pPr>
      <w:r>
        <w:rPr>
          <w:rFonts w:ascii="Courier New" w:cs="Courier New" w:eastAsia="Courier New" w:hAnsi="Courier New"/>
          <w:sz w:val="18"/>
          <w:szCs w:val="18"/>
          <w:color w:val="auto"/>
        </w:rPr>
        <w:t>No one person's interest in the common stock of</w:t>
      </w:r>
    </w:p>
    <w:p>
      <w:pPr>
        <w:sectPr>
          <w:pgSz w:w="11900" w:h="16838" w:orient="portrait"/>
          <w:cols w:equalWidth="0" w:num="1">
            <w:col w:w="10219"/>
          </w:cols>
          <w:pgMar w:left="240" w:top="142" w:right="1440" w:bottom="0" w:gutter="0" w:footer="0" w:header="0"/>
        </w:sectPr>
      </w:pPr>
    </w:p>
    <w:bookmarkStart w:id="3" w:name="page4"/>
    <w:bookmarkEnd w:id="3"/>
    <w:p>
      <w:pPr>
        <w:ind w:left="320"/>
        <w:spacing w:after="0"/>
        <w:rPr>
          <w:sz w:val="20"/>
          <w:szCs w:val="20"/>
          <w:color w:val="auto"/>
        </w:rPr>
      </w:pPr>
      <w:r>
        <w:rPr>
          <w:rFonts w:ascii="Courier New" w:cs="Courier New" w:eastAsia="Courier New" w:hAnsi="Courier New"/>
          <w:sz w:val="18"/>
          <w:szCs w:val="18"/>
          <w:color w:val="auto"/>
        </w:rPr>
        <w:t>ITRON INC</w:t>
      </w:r>
    </w:p>
    <w:p>
      <w:pPr>
        <w:ind w:left="320"/>
        <w:spacing w:after="0" w:line="238" w:lineRule="auto"/>
        <w:rPr>
          <w:sz w:val="20"/>
          <w:szCs w:val="20"/>
          <w:color w:val="auto"/>
        </w:rPr>
      </w:pPr>
      <w:r>
        <w:rPr>
          <w:rFonts w:ascii="Courier New" w:cs="Courier New" w:eastAsia="Courier New" w:hAnsi="Courier New"/>
          <w:sz w:val="18"/>
          <w:szCs w:val="18"/>
          <w:color w:val="auto"/>
        </w:rPr>
        <w:t>is more than five percent of the total outstanding common shares.</w:t>
      </w:r>
    </w:p>
    <w:p>
      <w:pPr>
        <w:spacing w:after="0" w:line="207" w:lineRule="exact"/>
        <w:rPr>
          <w:sz w:val="20"/>
          <w:szCs w:val="20"/>
          <w:color w:val="auto"/>
        </w:rPr>
      </w:pPr>
    </w:p>
    <w:p>
      <w:pPr>
        <w:ind w:right="3359"/>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060" w:type="dxa"/>
            <w:vAlign w:val="bottom"/>
            <w:gridSpan w:val="2"/>
          </w:tcPr>
          <w:p>
            <w:pPr>
              <w:spacing w:after="0"/>
              <w:rPr>
                <w:sz w:val="20"/>
                <w:szCs w:val="20"/>
                <w:color w:val="auto"/>
              </w:rPr>
            </w:pPr>
            <w:r>
              <w:rPr>
                <w:rFonts w:ascii="Courier New" w:cs="Courier New" w:eastAsia="Courier New" w:hAnsi="Courier New"/>
                <w:sz w:val="18"/>
                <w:szCs w:val="18"/>
                <w:color w:val="auto"/>
                <w:w w:val="96"/>
              </w:rPr>
              <w:t>If a group</w:t>
            </w:r>
          </w:p>
        </w:tc>
        <w:tc>
          <w:tcPr>
            <w:tcW w:w="480" w:type="dxa"/>
            <w:vAlign w:val="bottom"/>
          </w:tcPr>
          <w:p>
            <w:pPr>
              <w:jc w:val="right"/>
              <w:spacing w:after="0"/>
              <w:rPr>
                <w:sz w:val="20"/>
                <w:szCs w:val="20"/>
                <w:color w:val="auto"/>
              </w:rPr>
            </w:pPr>
            <w:r>
              <w:rPr>
                <w:rFonts w:ascii="Courier New" w:cs="Courier New" w:eastAsia="Courier New" w:hAnsi="Courier New"/>
                <w:sz w:val="18"/>
                <w:szCs w:val="18"/>
                <w:color w:val="auto"/>
              </w:rPr>
              <w:t>has</w:t>
            </w:r>
          </w:p>
        </w:tc>
        <w:tc>
          <w:tcPr>
            <w:tcW w:w="116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9"/>
              </w:rPr>
              <w:t>filed this</w:t>
            </w:r>
          </w:p>
        </w:tc>
        <w:tc>
          <w:tcPr>
            <w:tcW w:w="1900" w:type="dxa"/>
            <w:vAlign w:val="bottom"/>
            <w:gridSpan w:val="3"/>
          </w:tcPr>
          <w:p>
            <w:pPr>
              <w:ind w:left="40"/>
              <w:spacing w:after="0"/>
              <w:rPr>
                <w:sz w:val="20"/>
                <w:szCs w:val="20"/>
                <w:color w:val="auto"/>
              </w:rPr>
            </w:pPr>
            <w:r>
              <w:rPr>
                <w:rFonts w:ascii="Courier New" w:cs="Courier New" w:eastAsia="Courier New" w:hAnsi="Courier New"/>
                <w:sz w:val="18"/>
                <w:szCs w:val="18"/>
                <w:color w:val="auto"/>
              </w:rPr>
              <w:t>schedule pursuant</w:t>
            </w:r>
          </w:p>
        </w:tc>
        <w:tc>
          <w:tcPr>
            <w:tcW w:w="278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to Rule 13d-1(b)(ii)(J),</w:t>
            </w:r>
          </w:p>
        </w:tc>
      </w:tr>
      <w:tr>
        <w:trPr>
          <w:trHeight w:val="203"/>
        </w:trPr>
        <w:tc>
          <w:tcPr>
            <w:tcW w:w="186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rPr>
              <w:t>so indicate under</w:t>
            </w:r>
          </w:p>
        </w:tc>
        <w:tc>
          <w:tcPr>
            <w:tcW w:w="220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9"/>
              </w:rPr>
              <w:t>Item 3(j) and attach</w:t>
            </w:r>
          </w:p>
        </w:tc>
        <w:tc>
          <w:tcPr>
            <w:tcW w:w="200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9"/>
              </w:rPr>
              <w:t>an exhibit stating</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the identity</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and</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5"/>
              </w:rPr>
              <w:t>Item 3</w:t>
            </w:r>
          </w:p>
        </w:tc>
        <w:tc>
          <w:tcPr>
            <w:tcW w:w="164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classification</w:t>
            </w:r>
          </w:p>
        </w:tc>
        <w:tc>
          <w:tcPr>
            <w:tcW w:w="158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of each member</w:t>
            </w:r>
          </w:p>
        </w:tc>
        <w:tc>
          <w:tcPr>
            <w:tcW w:w="3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w:t>
            </w:r>
          </w:p>
        </w:tc>
        <w:tc>
          <w:tcPr>
            <w:tcW w:w="1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the group. If</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 group</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has</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filed</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this</w:t>
            </w:r>
          </w:p>
        </w:tc>
        <w:tc>
          <w:tcPr>
            <w:tcW w:w="2740" w:type="dxa"/>
            <w:vAlign w:val="bottom"/>
            <w:gridSpan w:val="4"/>
          </w:tcPr>
          <w:p>
            <w:pPr>
              <w:ind w:left="40"/>
              <w:spacing w:after="0" w:line="203" w:lineRule="exact"/>
              <w:rPr>
                <w:sz w:val="20"/>
                <w:szCs w:val="20"/>
                <w:color w:val="auto"/>
              </w:rPr>
            </w:pPr>
            <w:r>
              <w:rPr>
                <w:rFonts w:ascii="Courier New" w:cs="Courier New" w:eastAsia="Courier New" w:hAnsi="Courier New"/>
                <w:sz w:val="18"/>
                <w:szCs w:val="18"/>
                <w:color w:val="auto"/>
                <w:w w:val="99"/>
              </w:rPr>
              <w:t>schedule pursuant to Rule</w:t>
            </w:r>
          </w:p>
        </w:tc>
        <w:tc>
          <w:tcPr>
            <w:tcW w:w="17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13d-1(c) or Rule</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13d-1(d),</w:t>
            </w:r>
          </w:p>
        </w:tc>
      </w:tr>
      <w:tr>
        <w:trPr>
          <w:trHeight w:val="203"/>
        </w:trPr>
        <w:tc>
          <w:tcPr>
            <w:tcW w:w="10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attach an</w:t>
            </w:r>
          </w:p>
        </w:tc>
        <w:tc>
          <w:tcPr>
            <w:tcW w:w="8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stating</w:t>
            </w:r>
          </w:p>
        </w:tc>
        <w:tc>
          <w:tcPr>
            <w:tcW w:w="13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the identity</w:t>
            </w:r>
          </w:p>
        </w:tc>
        <w:tc>
          <w:tcPr>
            <w:tcW w:w="3320" w:type="dxa"/>
            <w:vAlign w:val="bottom"/>
            <w:gridSpan w:val="4"/>
          </w:tcPr>
          <w:p>
            <w:pPr>
              <w:ind w:left="60"/>
              <w:spacing w:after="0" w:line="203" w:lineRule="exact"/>
              <w:rPr>
                <w:sz w:val="20"/>
                <w:szCs w:val="20"/>
                <w:color w:val="auto"/>
              </w:rPr>
            </w:pPr>
            <w:r>
              <w:rPr>
                <w:rFonts w:ascii="Courier New" w:cs="Courier New" w:eastAsia="Courier New" w:hAnsi="Courier New"/>
                <w:sz w:val="18"/>
                <w:szCs w:val="18"/>
                <w:color w:val="auto"/>
              </w:rPr>
              <w:t>of each member of the group.</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7" w:lineRule="exact"/>
        <w:rPr>
          <w:sz w:val="20"/>
          <w:szCs w:val="20"/>
          <w:color w:val="auto"/>
        </w:rPr>
      </w:pPr>
    </w:p>
    <w:p>
      <w:pPr>
        <w:ind w:right="2939"/>
        <w:spacing w:after="0" w:line="275"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4" w:lineRule="exact"/>
        <w:rPr>
          <w:sz w:val="20"/>
          <w:szCs w:val="20"/>
          <w:color w:val="auto"/>
        </w:rPr>
      </w:pPr>
    </w:p>
    <w:p>
      <w:pPr>
        <w:ind w:right="347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w:t>
      </w:r>
    </w:p>
    <w:p>
      <w:pPr>
        <w:spacing w:after="0" w:line="1" w:lineRule="exact"/>
        <w:rPr>
          <w:sz w:val="20"/>
          <w:szCs w:val="20"/>
          <w:color w:val="auto"/>
        </w:rPr>
      </w:pPr>
    </w:p>
    <w:p>
      <w:pPr>
        <w:ind w:right="3039"/>
        <w:spacing w:after="0" w:line="237" w:lineRule="auto"/>
        <w:rPr>
          <w:sz w:val="20"/>
          <w:szCs w:val="20"/>
          <w:color w:val="auto"/>
        </w:rPr>
      </w:pPr>
      <w:r>
        <w:rPr>
          <w:rFonts w:ascii="Courier New" w:cs="Courier New" w:eastAsia="Courier New" w:hAnsi="Courier New"/>
          <w:sz w:val="18"/>
          <w:szCs w:val="18"/>
          <w:color w:val="auto"/>
        </w:rPr>
        <w:t>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325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January 17, 2018</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Spencer Fleming</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Name/Title Attorney-In-Fact</w:t>
      </w:r>
    </w:p>
    <w:p>
      <w:pPr>
        <w:spacing w:after="0" w:line="200" w:lineRule="exact"/>
        <w:rPr>
          <w:sz w:val="20"/>
          <w:szCs w:val="20"/>
          <w:color w:val="auto"/>
        </w:rPr>
      </w:pPr>
    </w:p>
    <w:p>
      <w:pPr>
        <w:spacing w:after="0" w:line="209" w:lineRule="exact"/>
        <w:rPr>
          <w:sz w:val="20"/>
          <w:szCs w:val="20"/>
          <w:color w:val="auto"/>
        </w:rPr>
      </w:pPr>
    </w:p>
    <w:p>
      <w:pPr>
        <w:ind w:right="3159"/>
        <w:spacing w:after="0" w:line="271"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authorized representative. 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signs the statement shall be typed or printed beneath his signature.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3039"/>
        <w:spacing w:after="0" w:line="235"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ectPr>
          <w:pgSz w:w="11900" w:h="16838" w:orient="portrait"/>
          <w:cols w:equalWidth="0" w:num="1">
            <w:col w:w="10219"/>
          </w:cols>
          <w:pgMar w:left="240" w:top="136"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Subsidiary</w:t>
      </w:r>
    </w:p>
    <w:p>
      <w:pPr>
        <w:sectPr>
          <w:pgSz w:w="11900" w:h="16838" w:orient="portrait"/>
          <w:cols w:equalWidth="0" w:num="1">
            <w:col w:w="10219"/>
          </w:cols>
          <w:pgMar w:left="240" w:top="136" w:right="1440" w:bottom="0" w:gutter="0" w:footer="0" w:header="0"/>
          <w:type w:val="continuous"/>
        </w:sectPr>
      </w:pPr>
    </w:p>
    <w:bookmarkStart w:id="4" w:name="page5"/>
    <w:bookmarkEnd w:id="4"/>
    <w:p>
      <w:pPr>
        <w:ind w:left="120"/>
        <w:spacing w:after="0"/>
        <w:rPr>
          <w:sz w:val="20"/>
          <w:szCs w:val="20"/>
          <w:color w:val="auto"/>
        </w:rPr>
      </w:pPr>
      <w:r>
        <w:rPr>
          <w:rFonts w:ascii="Courier New" w:cs="Courier New" w:eastAsia="Courier New" w:hAnsi="Courier New"/>
          <w:sz w:val="18"/>
          <w:szCs w:val="18"/>
          <w:color w:val="auto"/>
        </w:rPr>
        <w:t>BlackRock Advisors, LLC</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(UK) Limited</w:t>
      </w:r>
    </w:p>
    <w:p>
      <w:pPr>
        <w:ind w:left="120"/>
        <w:spacing w:after="0"/>
        <w:rPr>
          <w:sz w:val="20"/>
          <w:szCs w:val="20"/>
          <w:color w:val="auto"/>
        </w:rPr>
      </w:pPr>
      <w:r>
        <w:rPr>
          <w:rFonts w:ascii="Courier New" w:cs="Courier New" w:eastAsia="Courier New" w:hAnsi="Courier New"/>
          <w:sz w:val="18"/>
          <w:szCs w:val="18"/>
          <w:color w:val="auto"/>
        </w:rPr>
        <w:t>BlackRock Asset Management Canada Limited</w:t>
      </w:r>
    </w:p>
    <w:p>
      <w:pPr>
        <w:ind w:left="120"/>
        <w:spacing w:after="0" w:line="237" w:lineRule="auto"/>
        <w:rPr>
          <w:sz w:val="20"/>
          <w:szCs w:val="20"/>
          <w:color w:val="auto"/>
        </w:rPr>
      </w:pPr>
      <w:r>
        <w:rPr>
          <w:rFonts w:ascii="Courier New" w:cs="Courier New" w:eastAsia="Courier New" w:hAnsi="Courier New"/>
          <w:sz w:val="18"/>
          <w:szCs w:val="18"/>
          <w:color w:val="auto"/>
        </w:rPr>
        <w:t>BlackRock (Luxembourg) S.A.</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(Australia) Limited</w:t>
      </w:r>
    </w:p>
    <w:p>
      <w:pPr>
        <w:ind w:left="120"/>
        <w:spacing w:after="0"/>
        <w:rPr>
          <w:sz w:val="20"/>
          <w:szCs w:val="20"/>
          <w:color w:val="auto"/>
        </w:rPr>
      </w:pPr>
      <w:r>
        <w:rPr>
          <w:rFonts w:ascii="Courier New" w:cs="Courier New" w:eastAsia="Courier New" w:hAnsi="Courier New"/>
          <w:sz w:val="18"/>
          <w:szCs w:val="18"/>
          <w:color w:val="auto"/>
        </w:rPr>
        <w:t>BlackRock (Netherlands) B.V.</w:t>
      </w:r>
    </w:p>
    <w:p>
      <w:pPr>
        <w:ind w:left="120"/>
        <w:spacing w:after="0" w:line="237" w:lineRule="auto"/>
        <w:rPr>
          <w:sz w:val="20"/>
          <w:szCs w:val="20"/>
          <w:color w:val="auto"/>
        </w:rPr>
      </w:pPr>
      <w:r>
        <w:rPr>
          <w:rFonts w:ascii="Courier New" w:cs="Courier New" w:eastAsia="Courier New" w:hAnsi="Courier New"/>
          <w:sz w:val="18"/>
          <w:szCs w:val="18"/>
          <w:color w:val="auto"/>
        </w:rPr>
        <w:t>BlackRock Fund Advisors*</w:t>
      </w:r>
    </w:p>
    <w:p>
      <w:pPr>
        <w:ind w:left="120"/>
        <w:spacing w:after="0"/>
        <w:rPr>
          <w:sz w:val="20"/>
          <w:szCs w:val="20"/>
          <w:color w:val="auto"/>
        </w:rPr>
      </w:pPr>
      <w:r>
        <w:rPr>
          <w:rFonts w:ascii="Courier New" w:cs="Courier New" w:eastAsia="Courier New" w:hAnsi="Courier New"/>
          <w:sz w:val="18"/>
          <w:szCs w:val="18"/>
          <w:color w:val="auto"/>
        </w:rPr>
        <w:t>BlackRock Asset Management Ireland Limited</w:t>
      </w:r>
    </w:p>
    <w:p>
      <w:pPr>
        <w:ind w:left="120"/>
        <w:spacing w:after="0" w:line="237" w:lineRule="auto"/>
        <w:rPr>
          <w:sz w:val="20"/>
          <w:szCs w:val="20"/>
          <w:color w:val="auto"/>
        </w:rPr>
      </w:pPr>
      <w:r>
        <w:rPr>
          <w:rFonts w:ascii="Courier New" w:cs="Courier New" w:eastAsia="Courier New" w:hAnsi="Courier New"/>
          <w:sz w:val="18"/>
          <w:szCs w:val="18"/>
          <w:color w:val="auto"/>
        </w:rPr>
        <w:t>BlackRock Institutional Trust Company, National Association</w:t>
      </w:r>
    </w:p>
    <w:p>
      <w:pPr>
        <w:ind w:left="120"/>
        <w:spacing w:after="0"/>
        <w:rPr>
          <w:sz w:val="20"/>
          <w:szCs w:val="20"/>
          <w:color w:val="auto"/>
        </w:rPr>
      </w:pPr>
      <w:r>
        <w:rPr>
          <w:rFonts w:ascii="Courier New" w:cs="Courier New" w:eastAsia="Courier New" w:hAnsi="Courier New"/>
          <w:sz w:val="18"/>
          <w:szCs w:val="18"/>
          <w:color w:val="auto"/>
        </w:rPr>
        <w:t>BlackRock Financial Management, Inc.</w:t>
      </w:r>
    </w:p>
    <w:p>
      <w:pPr>
        <w:ind w:left="120"/>
        <w:spacing w:after="0" w:line="237" w:lineRule="auto"/>
        <w:rPr>
          <w:sz w:val="20"/>
          <w:szCs w:val="20"/>
          <w:color w:val="auto"/>
        </w:rPr>
      </w:pPr>
      <w:r>
        <w:rPr>
          <w:rFonts w:ascii="Courier New" w:cs="Courier New" w:eastAsia="Courier New" w:hAnsi="Courier New"/>
          <w:sz w:val="18"/>
          <w:szCs w:val="18"/>
          <w:color w:val="auto"/>
        </w:rPr>
        <w:t>BlackRock Asset Management Schweiz AG</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LLC</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*Entity beneficially owns 5% or greater of the outstanding</w:t>
      </w:r>
    </w:p>
    <w:p>
      <w:pPr>
        <w:spacing w:after="0" w:line="238" w:lineRule="auto"/>
        <w:rPr>
          <w:sz w:val="20"/>
          <w:szCs w:val="20"/>
          <w:color w:val="auto"/>
        </w:rPr>
      </w:pPr>
      <w:r>
        <w:rPr>
          <w:rFonts w:ascii="Courier New" w:cs="Courier New" w:eastAsia="Courier New" w:hAnsi="Courier New"/>
          <w:sz w:val="18"/>
          <w:szCs w:val="18"/>
          <w:color w:val="auto"/>
        </w:rPr>
        <w:t>shares of the security class being reported on this</w:t>
      </w:r>
    </w:p>
    <w:p>
      <w:pPr>
        <w:spacing w:after="0"/>
        <w:rPr>
          <w:sz w:val="20"/>
          <w:szCs w:val="20"/>
          <w:color w:val="auto"/>
        </w:rPr>
      </w:pPr>
      <w:r>
        <w:rPr>
          <w:rFonts w:ascii="Courier New" w:cs="Courier New" w:eastAsia="Courier New" w:hAnsi="Courier New"/>
          <w:sz w:val="18"/>
          <w:szCs w:val="18"/>
          <w:color w:val="auto"/>
        </w:rPr>
        <w:t>Schedule 13G.</w:t>
      </w:r>
    </w:p>
    <w:p>
      <w:pPr>
        <w:spacing w:after="0" w:line="237" w:lineRule="auto"/>
        <w:rPr>
          <w:sz w:val="20"/>
          <w:szCs w:val="20"/>
          <w:color w:val="auto"/>
        </w:rPr>
      </w:pPr>
      <w:r>
        <w:rPr>
          <w:rFonts w:ascii="Courier New" w:cs="Courier New" w:eastAsia="Courier New" w:hAnsi="Courier New"/>
          <w:sz w:val="18"/>
          <w:szCs w:val="18"/>
          <w:color w:val="auto"/>
        </w:rPr>
        <w:t>Exhibit B</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3679"/>
        <w:spacing w:after="0" w:line="268" w:lineRule="auto"/>
        <w:rPr>
          <w:sz w:val="20"/>
          <w:szCs w:val="20"/>
          <w:color w:val="auto"/>
        </w:rPr>
      </w:pPr>
      <w:r>
        <w:rPr>
          <w:rFonts w:ascii="Courier New" w:cs="Courier New" w:eastAsia="Courier New" w:hAnsi="Courier New"/>
          <w:sz w:val="16"/>
          <w:szCs w:val="16"/>
          <w:color w:val="auto"/>
        </w:rPr>
        <w:t>The undersigned, BLACKROCK, INC., a corporation duly organized under the laws of the State of Delaware, United States (the "Company"), does hereby make, constitute and appoint each of Matthew Mallow, Chris Meade, Howard Surloff, Dan Waltcher, Georgina Fogo, Charles Park, Enda McMahon, Carsten Otto,</w:t>
      </w:r>
    </w:p>
    <w:p>
      <w:pPr>
        <w:spacing w:after="0" w:line="1" w:lineRule="exact"/>
        <w:rPr>
          <w:sz w:val="20"/>
          <w:szCs w:val="20"/>
          <w:color w:val="auto"/>
        </w:rPr>
      </w:pPr>
    </w:p>
    <w:p>
      <w:pPr>
        <w:ind w:right="3899"/>
        <w:spacing w:after="0" w:line="268" w:lineRule="auto"/>
        <w:rPr>
          <w:sz w:val="20"/>
          <w:szCs w:val="20"/>
          <w:color w:val="auto"/>
        </w:rPr>
      </w:pPr>
      <w:r>
        <w:rPr>
          <w:rFonts w:ascii="Courier New" w:cs="Courier New" w:eastAsia="Courier New" w:hAnsi="Courier New"/>
          <w:sz w:val="16"/>
          <w:szCs w:val="16"/>
          <w:color w:val="auto"/>
        </w:rPr>
        <w:t>Con Tzatzakis, Karen Clark, Andrew Crain, Herm Howerton, David Maryles, Daniel Ronnen, John Stelley, John Ardley, Maureen Gleeson and Spencer Fleming acting severally, as its</w:t>
      </w:r>
    </w:p>
    <w:p>
      <w:pPr>
        <w:spacing w:after="0" w:line="233" w:lineRule="auto"/>
        <w:rPr>
          <w:sz w:val="20"/>
          <w:szCs w:val="20"/>
          <w:color w:val="auto"/>
        </w:rPr>
      </w:pPr>
      <w:r>
        <w:rPr>
          <w:rFonts w:ascii="Courier New" w:cs="Courier New" w:eastAsia="Courier New" w:hAnsi="Courier New"/>
          <w:sz w:val="18"/>
          <w:szCs w:val="18"/>
          <w:color w:val="auto"/>
        </w:rPr>
        <w:t>true and lawful attorneys-in-fact, for the purpose of, from time to</w:t>
      </w:r>
    </w:p>
    <w:p>
      <w:pPr>
        <w:spacing w:after="0"/>
        <w:rPr>
          <w:sz w:val="20"/>
          <w:szCs w:val="20"/>
          <w:color w:val="auto"/>
        </w:rPr>
      </w:pPr>
      <w:r>
        <w:rPr>
          <w:rFonts w:ascii="Courier New" w:cs="Courier New" w:eastAsia="Courier New" w:hAnsi="Courier New"/>
          <w:sz w:val="18"/>
          <w:szCs w:val="18"/>
          <w:color w:val="auto"/>
        </w:rPr>
        <w:t>time, executing in its name and on its behalf, whether the</w:t>
      </w:r>
    </w:p>
    <w:p>
      <w:pPr>
        <w:spacing w:after="0" w:line="237" w:lineRule="auto"/>
        <w:rPr>
          <w:sz w:val="20"/>
          <w:szCs w:val="20"/>
          <w:color w:val="auto"/>
        </w:rPr>
      </w:pPr>
      <w:r>
        <w:rPr>
          <w:rFonts w:ascii="Courier New" w:cs="Courier New" w:eastAsia="Courier New" w:hAnsi="Courier New"/>
          <w:sz w:val="18"/>
          <w:szCs w:val="18"/>
          <w:color w:val="auto"/>
        </w:rPr>
        <w:t>Company is acting individually or as representative of others,</w:t>
      </w:r>
    </w:p>
    <w:p>
      <w:pPr>
        <w:spacing w:after="0"/>
        <w:rPr>
          <w:sz w:val="20"/>
          <w:szCs w:val="20"/>
          <w:color w:val="auto"/>
        </w:rPr>
      </w:pPr>
      <w:r>
        <w:rPr>
          <w:rFonts w:ascii="Courier New" w:cs="Courier New" w:eastAsia="Courier New" w:hAnsi="Courier New"/>
          <w:sz w:val="18"/>
          <w:szCs w:val="18"/>
          <w:color w:val="auto"/>
        </w:rPr>
        <w:t>any and all documents, certificates, instruments, statements, other</w:t>
      </w:r>
    </w:p>
    <w:p>
      <w:pPr>
        <w:spacing w:after="0" w:line="237" w:lineRule="auto"/>
        <w:rPr>
          <w:sz w:val="20"/>
          <w:szCs w:val="20"/>
          <w:color w:val="auto"/>
        </w:rPr>
      </w:pPr>
      <w:r>
        <w:rPr>
          <w:rFonts w:ascii="Courier New" w:cs="Courier New" w:eastAsia="Courier New" w:hAnsi="Courier New"/>
          <w:sz w:val="18"/>
          <w:szCs w:val="18"/>
          <w:color w:val="auto"/>
        </w:rPr>
        <w:t>filings and amendments to the foregoing (collectively, "documents")</w:t>
      </w:r>
    </w:p>
    <w:p>
      <w:pPr>
        <w:spacing w:after="0"/>
        <w:rPr>
          <w:sz w:val="20"/>
          <w:szCs w:val="20"/>
          <w:color w:val="auto"/>
        </w:rPr>
      </w:pPr>
      <w:r>
        <w:rPr>
          <w:rFonts w:ascii="Courier New" w:cs="Courier New" w:eastAsia="Courier New" w:hAnsi="Courier New"/>
          <w:sz w:val="18"/>
          <w:szCs w:val="18"/>
          <w:color w:val="auto"/>
        </w:rPr>
        <w:t>determined by such person to be necessary or appropriate to</w:t>
      </w:r>
    </w:p>
    <w:p>
      <w:pPr>
        <w:spacing w:after="0" w:line="237" w:lineRule="auto"/>
        <w:rPr>
          <w:sz w:val="20"/>
          <w:szCs w:val="20"/>
          <w:color w:val="auto"/>
        </w:rPr>
      </w:pPr>
      <w:r>
        <w:rPr>
          <w:rFonts w:ascii="Courier New" w:cs="Courier New" w:eastAsia="Courier New" w:hAnsi="Courier New"/>
          <w:sz w:val="18"/>
          <w:szCs w:val="18"/>
          <w:color w:val="auto"/>
        </w:rPr>
        <w:t>comply with ownership or control-person reporting requirements</w:t>
      </w:r>
    </w:p>
    <w:p>
      <w:pPr>
        <w:spacing w:after="0"/>
        <w:rPr>
          <w:sz w:val="20"/>
          <w:szCs w:val="20"/>
          <w:color w:val="auto"/>
        </w:rPr>
      </w:pPr>
      <w:r>
        <w:rPr>
          <w:rFonts w:ascii="Courier New" w:cs="Courier New" w:eastAsia="Courier New" w:hAnsi="Courier New"/>
          <w:sz w:val="18"/>
          <w:szCs w:val="18"/>
          <w:color w:val="auto"/>
        </w:rPr>
        <w:t>imposed by any United States or non-United States governmental</w:t>
      </w:r>
    </w:p>
    <w:p>
      <w:pPr>
        <w:spacing w:after="0" w:line="3" w:lineRule="exact"/>
        <w:rPr>
          <w:sz w:val="20"/>
          <w:szCs w:val="20"/>
          <w:color w:val="auto"/>
        </w:rPr>
      </w:pPr>
    </w:p>
    <w:p>
      <w:pPr>
        <w:ind w:right="3039"/>
        <w:spacing w:after="0" w:line="235" w:lineRule="auto"/>
        <w:rPr>
          <w:sz w:val="20"/>
          <w:szCs w:val="20"/>
          <w:color w:val="auto"/>
        </w:rPr>
      </w:pPr>
      <w:r>
        <w:rPr>
          <w:rFonts w:ascii="Courier New" w:cs="Courier New" w:eastAsia="Courier New" w:hAnsi="Courier New"/>
          <w:sz w:val="18"/>
          <w:szCs w:val="18"/>
          <w:color w:val="auto"/>
        </w:rPr>
        <w:t>or regulatory authority, Including without limitation Forms 3, 4, 5, 13D, 13F, 13G and 13H and any amendments to any of the</w:t>
      </w:r>
    </w:p>
    <w:p>
      <w:pPr>
        <w:spacing w:after="0" w:line="6" w:lineRule="exact"/>
        <w:rPr>
          <w:sz w:val="20"/>
          <w:szCs w:val="20"/>
          <w:color w:val="auto"/>
        </w:rPr>
      </w:pPr>
    </w:p>
    <w:p>
      <w:pPr>
        <w:ind w:right="3039"/>
        <w:spacing w:after="0" w:line="237" w:lineRule="auto"/>
        <w:rPr>
          <w:sz w:val="20"/>
          <w:szCs w:val="20"/>
          <w:color w:val="auto"/>
        </w:rPr>
      </w:pPr>
      <w:r>
        <w:rPr>
          <w:rFonts w:ascii="Courier New" w:cs="Courier New" w:eastAsia="Courier New" w:hAnsi="Courier New"/>
          <w:sz w:val="18"/>
          <w:szCs w:val="18"/>
          <w:color w:val="auto"/>
        </w:rPr>
        <w:t>Foregoing as may be required to be filed with the Securities and Exchange Commission, and delivering, furnishing or filing any such documents with the appropriate governmental, regulatory authority or other person, and giving and granting to each such attorney-in-fact power and authority to act in the premises as fully and to all intents and purposes as the Company might or could</w:t>
      </w:r>
    </w:p>
    <w:p>
      <w:pPr>
        <w:spacing w:after="0" w:line="7" w:lineRule="exact"/>
        <w:rPr>
          <w:sz w:val="20"/>
          <w:szCs w:val="20"/>
          <w:color w:val="auto"/>
        </w:rPr>
      </w:pPr>
    </w:p>
    <w:p>
      <w:pPr>
        <w:ind w:right="3039"/>
        <w:spacing w:after="0" w:line="237" w:lineRule="auto"/>
        <w:rPr>
          <w:sz w:val="20"/>
          <w:szCs w:val="20"/>
          <w:color w:val="auto"/>
        </w:rPr>
      </w:pPr>
      <w:r>
        <w:rPr>
          <w:rFonts w:ascii="Courier New" w:cs="Courier New" w:eastAsia="Courier New" w:hAnsi="Courier New"/>
          <w:sz w:val="18"/>
          <w:szCs w:val="18"/>
          <w:color w:val="auto"/>
        </w:rPr>
        <w:t>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210" w:lineRule="exact"/>
        <w:rPr>
          <w:sz w:val="20"/>
          <w:szCs w:val="20"/>
          <w:color w:val="auto"/>
        </w:rPr>
      </w:pPr>
    </w:p>
    <w:p>
      <w:pPr>
        <w:ind w:right="2619"/>
        <w:spacing w:after="0" w:line="237" w:lineRule="auto"/>
        <w:rPr>
          <w:sz w:val="20"/>
          <w:szCs w:val="20"/>
          <w:color w:val="auto"/>
        </w:rPr>
      </w:pPr>
      <w:r>
        <w:rPr>
          <w:rFonts w:ascii="Courier New" w:cs="Courier New" w:eastAsia="Courier New" w:hAnsi="Courier New"/>
          <w:sz w:val="18"/>
          <w:szCs w:val="18"/>
          <w:color w:val="auto"/>
        </w:rPr>
        <w:t>This power of attorney shall expressly revoke the power of attorney dated 1st day of October, 2015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210" w:lineRule="exact"/>
        <w:rPr>
          <w:sz w:val="20"/>
          <w:szCs w:val="20"/>
          <w:color w:val="auto"/>
        </w:rPr>
      </w:pPr>
    </w:p>
    <w:p>
      <w:pPr>
        <w:ind w:right="3779"/>
        <w:spacing w:after="0" w:line="290" w:lineRule="auto"/>
        <w:rPr>
          <w:sz w:val="20"/>
          <w:szCs w:val="20"/>
          <w:color w:val="auto"/>
        </w:rPr>
      </w:pPr>
      <w:r>
        <w:rPr>
          <w:rFonts w:ascii="Courier New" w:cs="Courier New" w:eastAsia="Courier New" w:hAnsi="Courier New"/>
          <w:sz w:val="16"/>
          <w:szCs w:val="16"/>
          <w:color w:val="auto"/>
        </w:rPr>
        <w:t>IN WITNESS WHEREOF, the undersigned has caused this power of attorney to be executed as of this 8th day of December, 2015.</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By:_ /s/ Chris Jones</w:t>
      </w:r>
    </w:p>
    <w:p>
      <w:pPr>
        <w:spacing w:after="0" w:line="238" w:lineRule="auto"/>
        <w:rPr>
          <w:sz w:val="20"/>
          <w:szCs w:val="20"/>
          <w:color w:val="auto"/>
        </w:rPr>
      </w:pPr>
      <w:r>
        <w:rPr>
          <w:rFonts w:ascii="Courier New" w:cs="Courier New" w:eastAsia="Courier New" w:hAnsi="Courier New"/>
          <w:sz w:val="18"/>
          <w:szCs w:val="18"/>
          <w:color w:val="auto"/>
        </w:rPr>
        <w:t>Name: Chris Jones</w:t>
      </w:r>
    </w:p>
    <w:p>
      <w:pPr>
        <w:spacing w:after="0"/>
        <w:rPr>
          <w:sz w:val="20"/>
          <w:szCs w:val="20"/>
          <w:color w:val="auto"/>
        </w:rPr>
      </w:pPr>
      <w:r>
        <w:rPr>
          <w:rFonts w:ascii="Courier New" w:cs="Courier New" w:eastAsia="Courier New" w:hAnsi="Courier New"/>
          <w:sz w:val="18"/>
          <w:szCs w:val="18"/>
          <w:color w:val="auto"/>
        </w:rPr>
        <w:t>Title: Chief Investment Officer</w:t>
      </w:r>
    </w:p>
    <w:sectPr>
      <w:pgSz w:w="11900" w:h="16838" w:orient="portrait"/>
      <w:cols w:equalWidth="0" w:num="1">
        <w:col w:w="10219"/>
      </w:cols>
      <w:pgMar w:left="240" w:top="54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07ED7AB"/>
    <w:multiLevelType w:val="hybridMultilevel"/>
    <w:lvl w:ilvl="0">
      <w:lvlJc w:val="left"/>
      <w:lvlText w:val="[%1]"/>
      <w:numFmt w:val="upperLetter"/>
      <w:start w:val="24"/>
    </w:lvl>
  </w:abstractNum>
  <w:abstractNum w:abstractNumId="1">
    <w:nsid w:val="2EB141F2"/>
    <w:multiLevelType w:val="hybridMultilevel"/>
    <w:lvl w:ilvl="0">
      <w:lvlJc w:val="left"/>
      <w:lvlText w:val="(%1)"/>
      <w:numFmt w:val="decimal"/>
      <w:start w:val="2"/>
    </w:lvl>
  </w:abstractNum>
  <w:abstractNum w:abstractNumId="2">
    <w:nsid w:val="41B71EFB"/>
    <w:multiLevelType w:val="hybridMultilevel"/>
    <w:lvl w:ilvl="0">
      <w:lvlJc w:val="left"/>
      <w:lvlText w:val="(%1)"/>
      <w:numFmt w:val="decimal"/>
      <w:start w:val="5"/>
    </w:lvl>
  </w:abstractNum>
  <w:abstractNum w:abstractNumId="3">
    <w:nsid w:val="79E2A9E3"/>
    <w:multiLevelType w:val="hybridMultilevel"/>
    <w:lvl w:ilvl="0">
      <w:lvlJc w:val="left"/>
      <w:lvlText w:val="(%1)"/>
      <w:numFmt w:val="decimal"/>
      <w:start w:val="8"/>
    </w:lvl>
  </w:abstractNum>
  <w:abstractNum w:abstractNumId="4">
    <w:nsid w:val="7545E146"/>
    <w:multiLevelType w:val="hybridMultilevel"/>
    <w:lvl w:ilvl="0">
      <w:lvlJc w:val="left"/>
      <w:lvlText w:val="(%1)"/>
      <w:numFmt w:val="decimal"/>
      <w:start w:val="12"/>
    </w:lvl>
  </w:abstractNum>
  <w:abstractNum w:abstractNumId="5">
    <w:nsid w:val="515F007C"/>
    <w:multiLevelType w:val="hybridMultilevel"/>
    <w:lvl w:ilvl="0">
      <w:lvlJc w:val="left"/>
      <w:lvlText w:val="["/>
      <w:numFmt w:val="bullet"/>
      <w:start w:val="1"/>
    </w:lvl>
  </w:abstractNum>
  <w:abstractNum w:abstractNumId="6">
    <w:nsid w:val="5BD062C2"/>
    <w:multiLevelType w:val="hybridMultilevel"/>
    <w:lvl w:ilvl="0">
      <w:lvlJc w:val="left"/>
      <w:lvlText w:val="["/>
      <w:numFmt w:val="bullet"/>
      <w:start w:val="1"/>
    </w:lvl>
  </w:abstractNum>
  <w:abstractNum w:abstractNumId="7">
    <w:nsid w:val="12200854"/>
    <w:multiLevelType w:val="hybridMultilevel"/>
    <w:lvl w:ilvl="0">
      <w:lvlJc w:val="left"/>
      <w:lvlText w:val="[%1]"/>
      <w:numFmt w:val="upperLetter"/>
      <w:start w:val="24"/>
    </w:lvl>
  </w:abstractNum>
  <w:abstractNum w:abstractNumId="8">
    <w:nsid w:val="4DB127F8"/>
    <w:multiLevelType w:val="hybridMultilevel"/>
    <w:lvl w:ilvl="0">
      <w:lvlJc w:val="left"/>
      <w:lvlText w:val="["/>
      <w:numFmt w:val="bullet"/>
      <w:start w:val="1"/>
    </w:lvl>
  </w:abstractNum>
  <w:abstractNum w:abstractNumId="9">
    <w:nsid w:val="216231B"/>
    <w:multiLevelType w:val="hybridMultilevel"/>
    <w:lvl w:ilvl="0">
      <w:lvlJc w:val="left"/>
      <w:lvlText w:val="["/>
      <w:numFmt w:val="bullet"/>
      <w:start w:val="1"/>
    </w:lvl>
  </w:abstractNum>
  <w:abstractNum w:abstractNumId="10">
    <w:nsid w:val="1F16E9E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2019-12-15T20:54:55Z</dcterms:created>
  <dcterms:modified xsi:type="dcterms:W3CDTF">2019-12-15T20:54:55Z</dcterms:modified>
</cp:coreProperties>
</file>