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8"/>
        <w:spacing w:after="0"/>
        <w:rPr>
          <w:sz w:val="20"/>
          <w:szCs w:val="20"/>
          <w:color w:val="auto"/>
        </w:rPr>
      </w:pPr>
      <w:r>
        <w:rPr>
          <w:rFonts w:ascii="Arial" w:cs="Arial" w:eastAsia="Arial" w:hAnsi="Arial"/>
          <w:sz w:val="18"/>
          <w:szCs w:val="18"/>
          <w:b w:val="1"/>
          <w:bCs w:val="1"/>
          <w:color w:val="auto"/>
        </w:rPr>
        <w:t>UNITED STATES</w:t>
      </w:r>
    </w:p>
    <w:p>
      <w:pPr>
        <w:spacing w:after="0" w:line="17" w:lineRule="exact"/>
        <w:rPr>
          <w:sz w:val="24"/>
          <w:szCs w:val="24"/>
          <w:color w:val="auto"/>
        </w:rPr>
      </w:pPr>
    </w:p>
    <w:p>
      <w:pPr>
        <w:jc w:val="center"/>
        <w:ind w:right="-68"/>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68"/>
        <w:spacing w:after="0"/>
        <w:rPr>
          <w:sz w:val="20"/>
          <w:szCs w:val="20"/>
          <w:color w:val="auto"/>
        </w:rPr>
      </w:pPr>
      <w:r>
        <w:rPr>
          <w:rFonts w:ascii="Arial" w:cs="Arial" w:eastAsia="Arial" w:hAnsi="Arial"/>
          <w:sz w:val="15"/>
          <w:szCs w:val="15"/>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68"/>
        <w:spacing w:after="0"/>
        <w:rPr>
          <w:sz w:val="20"/>
          <w:szCs w:val="20"/>
          <w:color w:val="auto"/>
        </w:rPr>
      </w:pPr>
      <w:r>
        <w:rPr>
          <w:rFonts w:ascii="Arial" w:cs="Arial" w:eastAsia="Arial" w:hAnsi="Arial"/>
          <w:sz w:val="27"/>
          <w:szCs w:val="27"/>
          <w:b w:val="1"/>
          <w:bCs w:val="1"/>
          <w:color w:val="auto"/>
        </w:rPr>
        <w:t>FORM 10-Q</w:t>
      </w:r>
    </w:p>
    <w:p>
      <w:pPr>
        <w:spacing w:after="0" w:line="220" w:lineRule="exact"/>
        <w:rPr>
          <w:sz w:val="24"/>
          <w:szCs w:val="24"/>
          <w:color w:val="auto"/>
        </w:rPr>
      </w:pPr>
    </w:p>
    <w:p>
      <w:pPr>
        <w:ind w:left="549" w:right="3140" w:hanging="549"/>
        <w:spacing w:after="0" w:line="261" w:lineRule="auto"/>
        <w:tabs>
          <w:tab w:leader="none" w:pos="54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REPORT PURSUANT TO SECTION 13 OR 15(d) OF THE SECURITIES EXCHANGE ACT OF 1934 For the quarterly period ended June 30, 2008</w:t>
      </w:r>
    </w:p>
    <w:p>
      <w:pPr>
        <w:spacing w:after="0" w:line="1" w:lineRule="exact"/>
        <w:rPr>
          <w:sz w:val="24"/>
          <w:szCs w:val="24"/>
          <w:color w:val="auto"/>
        </w:rPr>
      </w:pPr>
    </w:p>
    <w:p>
      <w:pPr>
        <w:jc w:val="center"/>
        <w:ind w:right="-68"/>
        <w:spacing w:after="0"/>
        <w:rPr>
          <w:sz w:val="20"/>
          <w:szCs w:val="20"/>
          <w:color w:val="auto"/>
        </w:rPr>
      </w:pPr>
      <w:r>
        <w:rPr>
          <w:rFonts w:ascii="Arial" w:cs="Arial" w:eastAsia="Arial" w:hAnsi="Arial"/>
          <w:sz w:val="15"/>
          <w:szCs w:val="15"/>
          <w:b w:val="1"/>
          <w:bCs w:val="1"/>
          <w:color w:val="auto"/>
        </w:rPr>
        <w:t>OR</w:t>
      </w:r>
    </w:p>
    <w:p>
      <w:pPr>
        <w:spacing w:after="0" w:line="6" w:lineRule="exact"/>
        <w:rPr>
          <w:sz w:val="24"/>
          <w:szCs w:val="24"/>
          <w:color w:val="auto"/>
        </w:rPr>
      </w:pPr>
    </w:p>
    <w:p>
      <w:pPr>
        <w:ind w:left="549" w:hanging="549"/>
        <w:spacing w:after="0"/>
        <w:tabs>
          <w:tab w:leader="none" w:pos="549"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15" w:lineRule="exact"/>
        <w:rPr>
          <w:sz w:val="24"/>
          <w:szCs w:val="24"/>
          <w:color w:val="auto"/>
        </w:rPr>
      </w:pPr>
    </w:p>
    <w:p>
      <w:pPr>
        <w:ind w:left="549"/>
        <w:spacing w:after="0"/>
        <w:tabs>
          <w:tab w:leader="none" w:pos="3169"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98" w:lineRule="exact"/>
        <w:rPr>
          <w:sz w:val="24"/>
          <w:szCs w:val="24"/>
          <w:color w:val="auto"/>
        </w:rPr>
      </w:pPr>
    </w:p>
    <w:p>
      <w:pPr>
        <w:jc w:val="center"/>
        <w:ind w:right="-68"/>
        <w:spacing w:after="0"/>
        <w:rPr>
          <w:sz w:val="20"/>
          <w:szCs w:val="20"/>
          <w:color w:val="auto"/>
        </w:rPr>
      </w:pPr>
      <w:r>
        <w:rPr>
          <w:rFonts w:ascii="Arial" w:cs="Arial" w:eastAsia="Arial" w:hAnsi="Arial"/>
          <w:sz w:val="15"/>
          <w:szCs w:val="15"/>
          <w:b w:val="1"/>
          <w:bCs w:val="1"/>
          <w:color w:val="auto"/>
        </w:rPr>
        <w:t>Commission file number 000-22418</w:t>
      </w:r>
    </w:p>
    <w:p>
      <w:pPr>
        <w:spacing w:after="0" w:line="22" w:lineRule="exact"/>
        <w:rPr>
          <w:sz w:val="24"/>
          <w:szCs w:val="24"/>
          <w:color w:val="auto"/>
        </w:rPr>
      </w:pPr>
    </w:p>
    <w:p>
      <w:pPr>
        <w:jc w:val="center"/>
        <w:ind w:right="-68"/>
        <w:spacing w:after="0"/>
        <w:rPr>
          <w:sz w:val="20"/>
          <w:szCs w:val="20"/>
          <w:color w:val="auto"/>
        </w:rPr>
      </w:pPr>
      <w:r>
        <w:rPr>
          <w:rFonts w:ascii="Arial" w:cs="Arial" w:eastAsia="Arial" w:hAnsi="Arial"/>
          <w:sz w:val="36"/>
          <w:szCs w:val="36"/>
          <w:b w:val="1"/>
          <w:bCs w:val="1"/>
          <w:color w:val="auto"/>
        </w:rPr>
        <w:t>ITRON, INC.</w:t>
      </w:r>
    </w:p>
    <w:p>
      <w:pPr>
        <w:spacing w:after="0" w:line="9" w:lineRule="exact"/>
        <w:rPr>
          <w:sz w:val="24"/>
          <w:szCs w:val="24"/>
          <w:color w:val="auto"/>
        </w:rPr>
      </w:pPr>
    </w:p>
    <w:p>
      <w:pPr>
        <w:jc w:val="center"/>
        <w:ind w:right="-68"/>
        <w:spacing w:after="0"/>
        <w:rPr>
          <w:sz w:val="20"/>
          <w:szCs w:val="20"/>
          <w:color w:val="auto"/>
        </w:rPr>
      </w:pPr>
      <w:r>
        <w:rPr>
          <w:rFonts w:ascii="Arial" w:cs="Arial" w:eastAsia="Arial" w:hAnsi="Arial"/>
          <w:sz w:val="15"/>
          <w:szCs w:val="15"/>
          <w:b w:val="1"/>
          <w:bCs w:val="1"/>
          <w:color w:val="auto"/>
        </w:rPr>
        <w:t>(Exact name of registrant as specified in its charter)</w:t>
      </w:r>
    </w:p>
    <w:p>
      <w:pPr>
        <w:sectPr>
          <w:pgSz w:w="11900" w:h="16838" w:orient="portrait"/>
          <w:cols w:equalWidth="0" w:num="1">
            <w:col w:w="11369"/>
          </w:cols>
          <w:pgMar w:left="231" w:top="821" w:right="299" w:bottom="1440" w:gutter="0" w:footer="0" w:header="0"/>
        </w:sectPr>
      </w:pPr>
    </w:p>
    <w:p>
      <w:pPr>
        <w:spacing w:after="0" w:line="379" w:lineRule="exact"/>
        <w:rPr>
          <w:sz w:val="24"/>
          <w:szCs w:val="24"/>
          <w:color w:val="auto"/>
        </w:rPr>
      </w:pPr>
    </w:p>
    <w:p>
      <w:pPr>
        <w:jc w:val="center"/>
        <w:ind w:right="831"/>
        <w:spacing w:after="0"/>
        <w:rPr>
          <w:sz w:val="20"/>
          <w:szCs w:val="20"/>
          <w:color w:val="auto"/>
        </w:rPr>
      </w:pPr>
      <w:r>
        <w:rPr>
          <w:rFonts w:ascii="Arial" w:cs="Arial" w:eastAsia="Arial" w:hAnsi="Arial"/>
          <w:sz w:val="15"/>
          <w:szCs w:val="15"/>
          <w:b w:val="1"/>
          <w:bCs w:val="1"/>
          <w:color w:val="auto"/>
        </w:rPr>
        <w:t>Washington</w:t>
      </w:r>
    </w:p>
    <w:p>
      <w:pPr>
        <w:spacing w:after="0" w:line="22" w:lineRule="exact"/>
        <w:rPr>
          <w:sz w:val="24"/>
          <w:szCs w:val="24"/>
          <w:color w:val="auto"/>
        </w:rPr>
      </w:pPr>
    </w:p>
    <w:p>
      <w:pPr>
        <w:jc w:val="center"/>
        <w:ind w:right="831"/>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1460"/>
        <w:spacing w:after="0"/>
        <w:rPr>
          <w:sz w:val="20"/>
          <w:szCs w:val="20"/>
          <w:color w:val="auto"/>
        </w:rPr>
      </w:pPr>
      <w:r>
        <w:rPr>
          <w:rFonts w:ascii="Arial" w:cs="Arial" w:eastAsia="Arial" w:hAnsi="Arial"/>
          <w:sz w:val="15"/>
          <w:szCs w:val="15"/>
          <w:b w:val="1"/>
          <w:bCs w:val="1"/>
          <w:color w:val="auto"/>
        </w:rPr>
        <w:t>91-1011792</w:t>
      </w:r>
    </w:p>
    <w:p>
      <w:pPr>
        <w:spacing w:after="0" w:line="22" w:lineRule="exact"/>
        <w:rPr>
          <w:sz w:val="24"/>
          <w:szCs w:val="24"/>
          <w:color w:val="auto"/>
        </w:rPr>
      </w:pPr>
    </w:p>
    <w:p>
      <w:pPr>
        <w:jc w:val="center"/>
        <w:ind w:right="1460"/>
        <w:spacing w:after="0"/>
        <w:rPr>
          <w:sz w:val="20"/>
          <w:szCs w:val="20"/>
          <w:color w:val="auto"/>
        </w:rPr>
      </w:pPr>
      <w:r>
        <w:rPr>
          <w:rFonts w:ascii="Arial" w:cs="Arial" w:eastAsia="Arial" w:hAnsi="Arial"/>
          <w:sz w:val="14"/>
          <w:szCs w:val="14"/>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49" w:space="720"/>
            <w:col w:w="4100"/>
          </w:cols>
          <w:pgMar w:left="231" w:top="821" w:right="299" w:bottom="1440" w:gutter="0" w:footer="0" w:header="0"/>
          <w:type w:val="continuous"/>
        </w:sectPr>
      </w:pPr>
    </w:p>
    <w:p>
      <w:pPr>
        <w:spacing w:after="0" w:line="12" w:lineRule="exact"/>
        <w:rPr>
          <w:sz w:val="24"/>
          <w:szCs w:val="24"/>
          <w:color w:val="auto"/>
        </w:rPr>
      </w:pPr>
    </w:p>
    <w:p>
      <w:pPr>
        <w:jc w:val="center"/>
        <w:ind w:right="-68"/>
        <w:spacing w:after="0"/>
        <w:rPr>
          <w:sz w:val="20"/>
          <w:szCs w:val="20"/>
          <w:color w:val="auto"/>
        </w:rPr>
      </w:pPr>
      <w:r>
        <w:rPr>
          <w:rFonts w:ascii="Arial" w:cs="Arial" w:eastAsia="Arial" w:hAnsi="Arial"/>
          <w:sz w:val="15"/>
          <w:szCs w:val="15"/>
          <w:b w:val="1"/>
          <w:bCs w:val="1"/>
          <w:color w:val="auto"/>
        </w:rPr>
        <w:t>2111 N Molter Road, Liberty Lake, Washington 99019</w:t>
      </w:r>
    </w:p>
    <w:p>
      <w:pPr>
        <w:spacing w:after="0" w:line="22" w:lineRule="exact"/>
        <w:rPr>
          <w:sz w:val="24"/>
          <w:szCs w:val="24"/>
          <w:color w:val="auto"/>
        </w:rPr>
      </w:pPr>
    </w:p>
    <w:p>
      <w:pPr>
        <w:jc w:val="center"/>
        <w:ind w:right="-68"/>
        <w:spacing w:after="0"/>
        <w:rPr>
          <w:sz w:val="20"/>
          <w:szCs w:val="20"/>
          <w:color w:val="auto"/>
        </w:rPr>
      </w:pPr>
      <w:r>
        <w:rPr>
          <w:rFonts w:ascii="Arial" w:cs="Arial" w:eastAsia="Arial" w:hAnsi="Arial"/>
          <w:sz w:val="15"/>
          <w:szCs w:val="15"/>
          <w:b w:val="1"/>
          <w:bCs w:val="1"/>
          <w:color w:val="auto"/>
        </w:rPr>
        <w:t>(509) 924-9900</w:t>
      </w:r>
    </w:p>
    <w:p>
      <w:pPr>
        <w:spacing w:after="0" w:line="9" w:lineRule="exact"/>
        <w:rPr>
          <w:sz w:val="24"/>
          <w:szCs w:val="24"/>
          <w:color w:val="auto"/>
        </w:rPr>
      </w:pPr>
    </w:p>
    <w:p>
      <w:pPr>
        <w:jc w:val="center"/>
        <w:ind w:right="-68"/>
        <w:spacing w:after="0"/>
        <w:rPr>
          <w:sz w:val="20"/>
          <w:szCs w:val="20"/>
          <w:color w:val="auto"/>
        </w:rPr>
      </w:pPr>
      <w:r>
        <w:rPr>
          <w:rFonts w:ascii="Arial" w:cs="Arial" w:eastAsia="Arial" w:hAnsi="Arial"/>
          <w:sz w:val="15"/>
          <w:szCs w:val="15"/>
          <w:b w:val="1"/>
          <w:bCs w:val="1"/>
          <w:color w:val="auto"/>
        </w:rPr>
        <w:t>(Address and telephone number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9"/>
        <w:spacing w:after="0" w:line="19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77" w:lineRule="exact"/>
        <w:rPr>
          <w:sz w:val="24"/>
          <w:szCs w:val="24"/>
          <w:color w:val="auto"/>
        </w:rPr>
      </w:pPr>
    </w:p>
    <w:p>
      <w:pPr>
        <w:ind w:left="9" w:right="640"/>
        <w:spacing w:after="0" w:line="278"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9"/>
          </w:cols>
          <w:pgMar w:left="231" w:top="821" w:right="299" w:bottom="1440" w:gutter="0" w:footer="0" w:header="0"/>
          <w:type w:val="continuous"/>
        </w:sectPr>
      </w:pPr>
    </w:p>
    <w:p>
      <w:pPr>
        <w:spacing w:after="0" w:line="168" w:lineRule="exact"/>
        <w:rPr>
          <w:sz w:val="24"/>
          <w:szCs w:val="24"/>
          <w:color w:val="auto"/>
        </w:rPr>
      </w:pPr>
    </w:p>
    <w:p>
      <w:pPr>
        <w:ind w:left="9"/>
        <w:spacing w:after="0" w:line="195" w:lineRule="exact"/>
        <w:rPr>
          <w:sz w:val="20"/>
          <w:szCs w:val="20"/>
          <w:color w:val="auto"/>
        </w:rPr>
      </w:pPr>
      <w:r>
        <w:rPr>
          <w:rFonts w:ascii="Arial" w:cs="Arial" w:eastAsia="Arial" w:hAnsi="Arial"/>
          <w:sz w:val="13"/>
          <w:szCs w:val="13"/>
          <w:color w:val="auto"/>
        </w:rPr>
        <w:t xml:space="preserve">Large accelerated filer x 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ind w:left="14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5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94" w:lineRule="exact"/>
        <w:rPr>
          <w:sz w:val="24"/>
          <w:szCs w:val="24"/>
          <w:color w:val="auto"/>
        </w:rPr>
      </w:pPr>
    </w:p>
    <w:p>
      <w:pPr>
        <w:sectPr>
          <w:pgSz w:w="11900" w:h="16838" w:orient="portrait"/>
          <w:cols w:equalWidth="0" w:num="3">
            <w:col w:w="1469" w:space="20"/>
            <w:col w:w="3540" w:space="720"/>
            <w:col w:w="5620"/>
          </w:cols>
          <w:pgMar w:left="231" w:top="821" w:right="299" w:bottom="1440" w:gutter="0" w:footer="0" w:header="0"/>
          <w:type w:val="continuous"/>
        </w:sectPr>
      </w:pPr>
    </w:p>
    <w:p>
      <w:pPr>
        <w:spacing w:after="0" w:line="30" w:lineRule="exact"/>
        <w:rPr>
          <w:sz w:val="24"/>
          <w:szCs w:val="24"/>
          <w:color w:val="auto"/>
        </w:rPr>
      </w:pPr>
    </w:p>
    <w:p>
      <w:pPr>
        <w:ind w:left="9"/>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 x</w:t>
      </w:r>
    </w:p>
    <w:p>
      <w:pPr>
        <w:spacing w:after="0" w:line="200" w:lineRule="exact"/>
        <w:rPr>
          <w:sz w:val="24"/>
          <w:szCs w:val="24"/>
          <w:color w:val="auto"/>
        </w:rPr>
      </w:pPr>
    </w:p>
    <w:p>
      <w:pPr>
        <w:sectPr>
          <w:pgSz w:w="11900" w:h="16838" w:orient="portrait"/>
          <w:cols w:equalWidth="0" w:num="3">
            <w:col w:w="6529" w:space="80"/>
            <w:col w:w="140" w:space="140"/>
            <w:col w:w="4480"/>
          </w:cols>
          <w:pgMar w:left="231" w:top="821" w:right="299" w:bottom="1440" w:gutter="0" w:footer="0" w:header="0"/>
          <w:type w:val="continuous"/>
        </w:sectPr>
      </w:pPr>
    </w:p>
    <w:p>
      <w:pPr>
        <w:spacing w:after="0" w:line="14" w:lineRule="exact"/>
        <w:rPr>
          <w:sz w:val="24"/>
          <w:szCs w:val="24"/>
          <w:color w:val="auto"/>
        </w:rPr>
      </w:pPr>
    </w:p>
    <w:p>
      <w:pPr>
        <w:ind w:left="9"/>
        <w:spacing w:after="0"/>
        <w:rPr>
          <w:sz w:val="20"/>
          <w:szCs w:val="20"/>
          <w:color w:val="auto"/>
        </w:rPr>
      </w:pPr>
      <w:r>
        <w:rPr>
          <w:rFonts w:ascii="Arial" w:cs="Arial" w:eastAsia="Arial" w:hAnsi="Arial"/>
          <w:sz w:val="13"/>
          <w:szCs w:val="13"/>
          <w:color w:val="auto"/>
        </w:rPr>
        <w:t>As of July 31, 2008, there were outstanding 34,306,600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1019810</wp:posOffset>
            </wp:positionV>
            <wp:extent cx="727392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369"/>
          </w:cols>
          <w:pgMar w:left="231" w:top="821"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980" w:type="dxa"/>
            <w:vAlign w:val="bottom"/>
            <w:gridSpan w:val="2"/>
          </w:tcPr>
          <w:p>
            <w:pPr>
              <w:jc w:val="center"/>
              <w:ind w:right="3760"/>
              <w:spacing w:after="0"/>
              <w:rPr>
                <w:sz w:val="20"/>
                <w:szCs w:val="20"/>
                <w:color w:val="auto"/>
              </w:rPr>
            </w:pPr>
            <w:r>
              <w:rPr>
                <w:rFonts w:ascii="Arial" w:cs="Arial" w:eastAsia="Arial" w:hAnsi="Arial"/>
                <w:sz w:val="15"/>
                <w:szCs w:val="15"/>
                <w:b w:val="1"/>
                <w:bCs w:val="1"/>
                <w:color w:val="auto"/>
                <w:w w:val="97"/>
              </w:rPr>
              <w:t>Itron, Inc.</w:t>
            </w:r>
          </w:p>
        </w:tc>
        <w:tc>
          <w:tcPr>
            <w:tcW w:w="860" w:type="dxa"/>
            <w:vAlign w:val="bottom"/>
          </w:tcPr>
          <w:p>
            <w:pPr>
              <w:spacing w:after="0"/>
              <w:rPr>
                <w:sz w:val="16"/>
                <w:szCs w:val="16"/>
                <w:color w:val="auto"/>
              </w:rPr>
            </w:pPr>
          </w:p>
        </w:tc>
      </w:tr>
      <w:tr>
        <w:trPr>
          <w:trHeight w:val="386"/>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980" w:type="dxa"/>
            <w:vAlign w:val="bottom"/>
            <w:gridSpan w:val="2"/>
          </w:tcPr>
          <w:p>
            <w:pPr>
              <w:jc w:val="center"/>
              <w:ind w:right="3760"/>
              <w:spacing w:after="0"/>
              <w:rPr>
                <w:sz w:val="20"/>
                <w:szCs w:val="20"/>
                <w:color w:val="auto"/>
              </w:rPr>
            </w:pPr>
            <w:r>
              <w:rPr>
                <w:rFonts w:ascii="Arial" w:cs="Arial" w:eastAsia="Arial" w:hAnsi="Arial"/>
                <w:sz w:val="15"/>
                <w:szCs w:val="15"/>
                <w:b w:val="1"/>
                <w:bCs w:val="1"/>
                <w:color w:val="auto"/>
                <w:w w:val="89"/>
              </w:rPr>
              <w:t>Table of Contents</w:t>
            </w:r>
          </w:p>
        </w:tc>
        <w:tc>
          <w:tcPr>
            <w:tcW w:w="860" w:type="dxa"/>
            <w:vAlign w:val="bottom"/>
          </w:tcPr>
          <w:p>
            <w:pPr>
              <w:spacing w:after="0"/>
              <w:rPr>
                <w:sz w:val="24"/>
                <w:szCs w:val="24"/>
                <w:color w:val="auto"/>
              </w:rPr>
            </w:pPr>
          </w:p>
        </w:tc>
      </w:tr>
      <w:tr>
        <w:trPr>
          <w:trHeight w:val="595"/>
        </w:trPr>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Page</w:t>
            </w:r>
          </w:p>
        </w:tc>
      </w:tr>
      <w:tr>
        <w:trPr>
          <w:trHeight w:val="171"/>
        </w:trPr>
        <w:tc>
          <w:tcPr>
            <w:tcW w:w="10580" w:type="dxa"/>
            <w:vAlign w:val="bottom"/>
            <w:gridSpan w:val="16"/>
          </w:tcPr>
          <w:p>
            <w:pPr>
              <w:spacing w:after="0" w:line="172" w:lineRule="exact"/>
              <w:rPr>
                <w:sz w:val="20"/>
                <w:szCs w:val="20"/>
                <w:color w:val="auto"/>
              </w:rPr>
            </w:pPr>
            <w:r>
              <w:rPr>
                <w:rFonts w:ascii="Arial" w:cs="Arial" w:eastAsia="Arial" w:hAnsi="Arial"/>
                <w:sz w:val="15"/>
                <w:szCs w:val="15"/>
                <w:b w:val="1"/>
                <w:bCs w:val="1"/>
                <w:color w:val="auto"/>
              </w:rPr>
              <w:t>PART I: FINANCIAL INFORMATION</w:t>
            </w:r>
          </w:p>
        </w:tc>
        <w:tc>
          <w:tcPr>
            <w:tcW w:w="860" w:type="dxa"/>
            <w:vAlign w:val="bottom"/>
          </w:tcPr>
          <w:p>
            <w:pPr>
              <w:spacing w:after="0"/>
              <w:rPr>
                <w:sz w:val="14"/>
                <w:szCs w:val="14"/>
                <w:color w:val="auto"/>
              </w:rPr>
            </w:pPr>
          </w:p>
        </w:tc>
      </w:tr>
      <w:tr>
        <w:trPr>
          <w:trHeight w:val="158"/>
        </w:trPr>
        <w:tc>
          <w:tcPr>
            <w:tcW w:w="420" w:type="dxa"/>
            <w:vAlign w:val="bottom"/>
          </w:tcPr>
          <w:p>
            <w:pPr>
              <w:spacing w:after="0"/>
              <w:rPr>
                <w:sz w:val="13"/>
                <w:szCs w:val="13"/>
                <w:color w:val="auto"/>
              </w:rPr>
            </w:pPr>
          </w:p>
        </w:tc>
        <w:tc>
          <w:tcPr>
            <w:tcW w:w="2500" w:type="dxa"/>
            <w:vAlign w:val="bottom"/>
            <w:tcBorders>
              <w:bottom w:val="single" w:sz="8" w:color="0000EE"/>
            </w:tcBorders>
            <w:gridSpan w:val="8"/>
          </w:tcPr>
          <w:p>
            <w:pPr>
              <w:spacing w:after="0" w:line="159" w:lineRule="exact"/>
              <w:rPr>
                <w:rFonts w:ascii="Arial" w:cs="Arial" w:eastAsia="Arial" w:hAnsi="Arial"/>
                <w:sz w:val="15"/>
                <w:szCs w:val="15"/>
                <w:color w:val="0000EE"/>
                <w:w w:val="90"/>
              </w:rPr>
            </w:pPr>
            <w:hyperlink w:anchor="page3">
              <w:r>
                <w:rPr>
                  <w:rFonts w:ascii="Arial" w:cs="Arial" w:eastAsia="Arial" w:hAnsi="Arial"/>
                  <w:sz w:val="15"/>
                  <w:szCs w:val="15"/>
                  <w:color w:val="0000EE"/>
                  <w:w w:val="90"/>
                </w:rPr>
                <w:t>Item 1: Financial Statements (Unaudited)</w:t>
              </w:r>
            </w:hyperlink>
          </w:p>
        </w:tc>
        <w:tc>
          <w:tcPr>
            <w:tcW w:w="7660" w:type="dxa"/>
            <w:vAlign w:val="bottom"/>
            <w:gridSpan w:val="7"/>
          </w:tcPr>
          <w:p>
            <w:pPr>
              <w:spacing w:after="0"/>
              <w:rPr>
                <w:sz w:val="13"/>
                <w:szCs w:val="13"/>
                <w:color w:val="auto"/>
              </w:rPr>
            </w:pPr>
          </w:p>
        </w:tc>
        <w:tc>
          <w:tcPr>
            <w:tcW w:w="860" w:type="dxa"/>
            <w:vAlign w:val="bottom"/>
          </w:tcPr>
          <w:p>
            <w:pPr>
              <w:spacing w:after="0"/>
              <w:rPr>
                <w:sz w:val="13"/>
                <w:szCs w:val="13"/>
                <w:color w:val="auto"/>
              </w:rPr>
            </w:pPr>
          </w:p>
        </w:tc>
      </w:tr>
      <w:tr>
        <w:trPr>
          <w:trHeight w:val="162"/>
        </w:trPr>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20" w:type="dxa"/>
            <w:vAlign w:val="bottom"/>
            <w:gridSpan w:val="13"/>
          </w:tcPr>
          <w:p>
            <w:pPr>
              <w:spacing w:after="0" w:line="161"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Statements of Operations</w:t>
              </w:r>
            </w:hyperlink>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1</w:t>
            </w:r>
          </w:p>
        </w:tc>
      </w:tr>
      <w:tr>
        <w:trPr>
          <w:trHeight w:val="162"/>
        </w:trPr>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tcBorders>
              <w:top w:val="single" w:sz="8" w:color="0000EE"/>
              <w:bottom w:val="single" w:sz="8" w:color="0000EE"/>
            </w:tcBorders>
            <w:gridSpan w:val="8"/>
          </w:tcPr>
          <w:p>
            <w:pPr>
              <w:spacing w:after="0" w:line="161" w:lineRule="exact"/>
              <w:rPr>
                <w:rFonts w:ascii="Arial" w:cs="Arial" w:eastAsia="Arial" w:hAnsi="Arial"/>
                <w:sz w:val="15"/>
                <w:szCs w:val="15"/>
                <w:color w:val="0000EE"/>
                <w:w w:val="87"/>
              </w:rPr>
            </w:pPr>
            <w:hyperlink w:anchor="page4">
              <w:r>
                <w:rPr>
                  <w:rFonts w:ascii="Arial" w:cs="Arial" w:eastAsia="Arial" w:hAnsi="Arial"/>
                  <w:sz w:val="15"/>
                  <w:szCs w:val="15"/>
                  <w:color w:val="0000EE"/>
                  <w:w w:val="87"/>
                </w:rPr>
                <w:t>Condensed Consolidated Balance Sheets</w:t>
              </w:r>
            </w:hyperlink>
          </w:p>
        </w:tc>
        <w:tc>
          <w:tcPr>
            <w:tcW w:w="600" w:type="dxa"/>
            <w:vAlign w:val="bottom"/>
            <w:tcBorders>
              <w:top w:val="single" w:sz="8" w:color="0000EE"/>
            </w:tcBorders>
            <w:gridSpan w:val="2"/>
          </w:tcPr>
          <w:p>
            <w:pPr>
              <w:spacing w:after="0"/>
              <w:rPr>
                <w:sz w:val="14"/>
                <w:szCs w:val="14"/>
                <w:color w:val="auto"/>
              </w:rPr>
            </w:pPr>
          </w:p>
        </w:tc>
        <w:tc>
          <w:tcPr>
            <w:tcW w:w="6260" w:type="dxa"/>
            <w:vAlign w:val="bottom"/>
            <w:gridSpan w:val="3"/>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2</w:t>
            </w:r>
          </w:p>
        </w:tc>
      </w:tr>
      <w:tr>
        <w:trPr>
          <w:trHeight w:val="162"/>
        </w:trPr>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20" w:type="dxa"/>
            <w:vAlign w:val="bottom"/>
            <w:gridSpan w:val="13"/>
          </w:tcPr>
          <w:p>
            <w:pPr>
              <w:spacing w:after="0" w:line="161" w:lineRule="exact"/>
              <w:rPr>
                <w:rFonts w:ascii="Arial" w:cs="Arial" w:eastAsia="Arial" w:hAnsi="Arial"/>
                <w:sz w:val="15"/>
                <w:szCs w:val="15"/>
                <w:color w:val="0000EE"/>
              </w:rPr>
            </w:pPr>
            <w:hyperlink w:anchor="page5">
              <w:r>
                <w:rPr>
                  <w:rFonts w:ascii="Arial" w:cs="Arial" w:eastAsia="Arial" w:hAnsi="Arial"/>
                  <w:sz w:val="15"/>
                  <w:szCs w:val="15"/>
                  <w:color w:val="0000EE"/>
                </w:rPr>
                <w:t>Consolidated Statements of Cash Flows</w:t>
              </w:r>
            </w:hyperlink>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3</w:t>
            </w:r>
          </w:p>
        </w:tc>
      </w:tr>
      <w:tr>
        <w:trPr>
          <w:trHeight w:val="20"/>
        </w:trPr>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2"/>
        </w:trPr>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320" w:type="dxa"/>
            <w:vAlign w:val="bottom"/>
            <w:gridSpan w:val="13"/>
          </w:tcPr>
          <w:p>
            <w:pPr>
              <w:spacing w:after="0" w:line="161" w:lineRule="exact"/>
              <w:rPr>
                <w:rFonts w:ascii="Arial" w:cs="Arial" w:eastAsia="Arial" w:hAnsi="Arial"/>
                <w:sz w:val="15"/>
                <w:szCs w:val="15"/>
                <w:color w:val="0000EE"/>
              </w:rPr>
            </w:pPr>
            <w:hyperlink w:anchor="page6">
              <w:r>
                <w:rPr>
                  <w:rFonts w:ascii="Arial" w:cs="Arial" w:eastAsia="Arial" w:hAnsi="Arial"/>
                  <w:sz w:val="15"/>
                  <w:szCs w:val="15"/>
                  <w:color w:val="0000EE"/>
                </w:rPr>
                <w:t>Notes to Condensed Consolidated Financial Statements</w:t>
              </w:r>
            </w:hyperlink>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4</w:t>
            </w:r>
          </w:p>
        </w:tc>
      </w:tr>
      <w:tr>
        <w:trPr>
          <w:trHeight w:val="20"/>
        </w:trPr>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2"/>
        </w:trPr>
        <w:tc>
          <w:tcPr>
            <w:tcW w:w="420" w:type="dxa"/>
            <w:vAlign w:val="bottom"/>
          </w:tcPr>
          <w:p>
            <w:pPr>
              <w:spacing w:after="0"/>
              <w:rPr>
                <w:sz w:val="14"/>
                <w:szCs w:val="14"/>
                <w:color w:val="auto"/>
              </w:rPr>
            </w:pPr>
          </w:p>
        </w:tc>
        <w:tc>
          <w:tcPr>
            <w:tcW w:w="5880" w:type="dxa"/>
            <w:vAlign w:val="bottom"/>
            <w:tcBorders>
              <w:bottom w:val="single" w:sz="8" w:color="0000EE"/>
            </w:tcBorders>
            <w:gridSpan w:val="14"/>
          </w:tcPr>
          <w:p>
            <w:pPr>
              <w:spacing w:after="0" w:line="161" w:lineRule="exact"/>
              <w:rPr>
                <w:rFonts w:ascii="Arial" w:cs="Arial" w:eastAsia="Arial" w:hAnsi="Arial"/>
                <w:sz w:val="15"/>
                <w:szCs w:val="15"/>
                <w:color w:val="0000EE"/>
                <w:w w:val="91"/>
              </w:rPr>
            </w:pPr>
            <w:hyperlink w:anchor="page36">
              <w:r>
                <w:rPr>
                  <w:rFonts w:ascii="Arial" w:cs="Arial" w:eastAsia="Arial" w:hAnsi="Arial"/>
                  <w:sz w:val="15"/>
                  <w:szCs w:val="15"/>
                  <w:color w:val="0000EE"/>
                  <w:w w:val="91"/>
                </w:rPr>
                <w:t>Item 2: Management's Discussion and Analysis of Financial Condition and Results of Operations</w:t>
              </w:r>
            </w:hyperlink>
          </w:p>
        </w:tc>
        <w:tc>
          <w:tcPr>
            <w:tcW w:w="4280" w:type="dxa"/>
            <w:vAlign w:val="bottom"/>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34</w:t>
            </w:r>
          </w:p>
        </w:tc>
      </w:tr>
      <w:tr>
        <w:trPr>
          <w:trHeight w:val="162"/>
        </w:trPr>
        <w:tc>
          <w:tcPr>
            <w:tcW w:w="420" w:type="dxa"/>
            <w:vAlign w:val="bottom"/>
          </w:tcPr>
          <w:p>
            <w:pPr>
              <w:spacing w:after="0"/>
              <w:rPr>
                <w:sz w:val="14"/>
                <w:szCs w:val="14"/>
                <w:color w:val="auto"/>
              </w:rPr>
            </w:pPr>
          </w:p>
        </w:tc>
        <w:tc>
          <w:tcPr>
            <w:tcW w:w="10160" w:type="dxa"/>
            <w:vAlign w:val="bottom"/>
            <w:gridSpan w:val="15"/>
          </w:tcPr>
          <w:p>
            <w:pPr>
              <w:spacing w:after="0" w:line="161" w:lineRule="exact"/>
              <w:rPr>
                <w:rFonts w:ascii="Arial" w:cs="Arial" w:eastAsia="Arial" w:hAnsi="Arial"/>
                <w:sz w:val="15"/>
                <w:szCs w:val="15"/>
                <w:color w:val="0000EE"/>
              </w:rPr>
            </w:pPr>
            <w:hyperlink w:anchor="page51">
              <w:r>
                <w:rPr>
                  <w:rFonts w:ascii="Arial" w:cs="Arial" w:eastAsia="Arial" w:hAnsi="Arial"/>
                  <w:sz w:val="15"/>
                  <w:szCs w:val="15"/>
                  <w:color w:val="0000EE"/>
                </w:rPr>
                <w:t>Item 3: Quantitative and Qualitative Disclosures About Market Risk</w:t>
              </w:r>
            </w:hyperlink>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49</w:t>
            </w:r>
          </w:p>
        </w:tc>
      </w:tr>
      <w:tr>
        <w:trPr>
          <w:trHeight w:val="162"/>
        </w:trPr>
        <w:tc>
          <w:tcPr>
            <w:tcW w:w="420" w:type="dxa"/>
            <w:vAlign w:val="bottom"/>
          </w:tcPr>
          <w:p>
            <w:pPr>
              <w:spacing w:after="0"/>
              <w:rPr>
                <w:sz w:val="14"/>
                <w:szCs w:val="14"/>
                <w:color w:val="auto"/>
              </w:rPr>
            </w:pPr>
          </w:p>
        </w:tc>
        <w:tc>
          <w:tcPr>
            <w:tcW w:w="4180" w:type="dxa"/>
            <w:vAlign w:val="bottom"/>
            <w:tcBorders>
              <w:top w:val="single" w:sz="8" w:color="0000EE"/>
            </w:tcBorders>
            <w:gridSpan w:val="13"/>
          </w:tcPr>
          <w:p>
            <w:pPr>
              <w:spacing w:after="0" w:line="161" w:lineRule="exact"/>
              <w:rPr>
                <w:rFonts w:ascii="Arial" w:cs="Arial" w:eastAsia="Arial" w:hAnsi="Arial"/>
                <w:sz w:val="15"/>
                <w:szCs w:val="15"/>
                <w:color w:val="0000EE"/>
              </w:rPr>
            </w:pPr>
            <w:hyperlink w:anchor="page53">
              <w:r>
                <w:rPr>
                  <w:rFonts w:ascii="Arial" w:cs="Arial" w:eastAsia="Arial" w:hAnsi="Arial"/>
                  <w:sz w:val="15"/>
                  <w:szCs w:val="15"/>
                  <w:color w:val="0000EE"/>
                </w:rPr>
                <w:t>Item 4: Controls and Procedures</w:t>
              </w:r>
            </w:hyperlink>
          </w:p>
        </w:tc>
        <w:tc>
          <w:tcPr>
            <w:tcW w:w="5980" w:type="dxa"/>
            <w:vAlign w:val="bottom"/>
            <w:gridSpan w:val="2"/>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67"/>
        </w:trPr>
        <w:tc>
          <w:tcPr>
            <w:tcW w:w="10580" w:type="dxa"/>
            <w:vAlign w:val="bottom"/>
            <w:gridSpan w:val="16"/>
          </w:tcPr>
          <w:p>
            <w:pPr>
              <w:spacing w:after="0"/>
              <w:rPr>
                <w:sz w:val="20"/>
                <w:szCs w:val="20"/>
                <w:color w:val="auto"/>
              </w:rPr>
            </w:pPr>
            <w:r>
              <w:rPr>
                <w:rFonts w:ascii="Arial" w:cs="Arial" w:eastAsia="Arial" w:hAnsi="Arial"/>
                <w:sz w:val="15"/>
                <w:szCs w:val="15"/>
                <w:b w:val="1"/>
                <w:bCs w:val="1"/>
                <w:color w:val="auto"/>
              </w:rPr>
              <w:t>PART II: OTHER INFORMATION</w:t>
            </w:r>
          </w:p>
        </w:tc>
        <w:tc>
          <w:tcPr>
            <w:tcW w:w="860" w:type="dxa"/>
            <w:vAlign w:val="bottom"/>
          </w:tcPr>
          <w:p>
            <w:pPr>
              <w:spacing w:after="0"/>
              <w:rPr>
                <w:sz w:val="24"/>
                <w:szCs w:val="24"/>
                <w:color w:val="auto"/>
              </w:rPr>
            </w:pPr>
          </w:p>
        </w:tc>
      </w:tr>
      <w:tr>
        <w:trPr>
          <w:trHeight w:val="158"/>
        </w:trPr>
        <w:tc>
          <w:tcPr>
            <w:tcW w:w="420" w:type="dxa"/>
            <w:vAlign w:val="bottom"/>
          </w:tcPr>
          <w:p>
            <w:pPr>
              <w:spacing w:after="0"/>
              <w:rPr>
                <w:sz w:val="13"/>
                <w:szCs w:val="13"/>
                <w:color w:val="auto"/>
              </w:rPr>
            </w:pPr>
          </w:p>
        </w:tc>
        <w:tc>
          <w:tcPr>
            <w:tcW w:w="10160" w:type="dxa"/>
            <w:vAlign w:val="bottom"/>
            <w:gridSpan w:val="15"/>
          </w:tcPr>
          <w:p>
            <w:pPr>
              <w:spacing w:after="0" w:line="159" w:lineRule="exact"/>
              <w:rPr>
                <w:rFonts w:ascii="Arial" w:cs="Arial" w:eastAsia="Arial" w:hAnsi="Arial"/>
                <w:sz w:val="15"/>
                <w:szCs w:val="15"/>
                <w:color w:val="0000EE"/>
              </w:rPr>
            </w:pPr>
            <w:hyperlink w:anchor="page54">
              <w:r>
                <w:rPr>
                  <w:rFonts w:ascii="Arial" w:cs="Arial" w:eastAsia="Arial" w:hAnsi="Arial"/>
                  <w:sz w:val="15"/>
                  <w:szCs w:val="15"/>
                  <w:color w:val="0000EE"/>
                </w:rPr>
                <w:t>Item 1: Legal Proceedings</w:t>
              </w:r>
            </w:hyperlink>
          </w:p>
        </w:tc>
        <w:tc>
          <w:tcPr>
            <w:tcW w:w="860" w:type="dxa"/>
            <w:vAlign w:val="bottom"/>
          </w:tcPr>
          <w:p>
            <w:pPr>
              <w:jc w:val="right"/>
              <w:spacing w:after="0" w:line="159" w:lineRule="exact"/>
              <w:rPr>
                <w:sz w:val="20"/>
                <w:szCs w:val="20"/>
                <w:color w:val="auto"/>
              </w:rPr>
            </w:pPr>
            <w:r>
              <w:rPr>
                <w:rFonts w:ascii="Arial" w:cs="Arial" w:eastAsia="Arial" w:hAnsi="Arial"/>
                <w:sz w:val="15"/>
                <w:szCs w:val="15"/>
                <w:color w:val="auto"/>
              </w:rPr>
              <w:t>52</w:t>
            </w:r>
          </w:p>
        </w:tc>
      </w:tr>
      <w:tr>
        <w:trPr>
          <w:trHeight w:val="162"/>
        </w:trPr>
        <w:tc>
          <w:tcPr>
            <w:tcW w:w="420" w:type="dxa"/>
            <w:vAlign w:val="bottom"/>
          </w:tcPr>
          <w:p>
            <w:pPr>
              <w:spacing w:after="0"/>
              <w:rPr>
                <w:sz w:val="14"/>
                <w:szCs w:val="14"/>
                <w:color w:val="auto"/>
              </w:rPr>
            </w:pPr>
          </w:p>
        </w:tc>
        <w:tc>
          <w:tcPr>
            <w:tcW w:w="1340" w:type="dxa"/>
            <w:vAlign w:val="bottom"/>
            <w:tcBorders>
              <w:top w:val="single" w:sz="8" w:color="0000EE"/>
              <w:bottom w:val="single" w:sz="8" w:color="0000EE"/>
            </w:tcBorders>
            <w:gridSpan w:val="4"/>
          </w:tcPr>
          <w:p>
            <w:pPr>
              <w:spacing w:after="0" w:line="161" w:lineRule="exact"/>
              <w:rPr>
                <w:rFonts w:ascii="Arial" w:cs="Arial" w:eastAsia="Arial" w:hAnsi="Arial"/>
                <w:sz w:val="15"/>
                <w:szCs w:val="15"/>
                <w:color w:val="0000EE"/>
                <w:w w:val="92"/>
              </w:rPr>
            </w:pPr>
            <w:hyperlink w:anchor="page54">
              <w:r>
                <w:rPr>
                  <w:rFonts w:ascii="Arial" w:cs="Arial" w:eastAsia="Arial" w:hAnsi="Arial"/>
                  <w:sz w:val="15"/>
                  <w:szCs w:val="15"/>
                  <w:color w:val="0000EE"/>
                  <w:w w:val="92"/>
                </w:rPr>
                <w:t>Item 1A: Risk Factors</w:t>
              </w:r>
            </w:hyperlink>
          </w:p>
        </w:tc>
        <w:tc>
          <w:tcPr>
            <w:tcW w:w="240" w:type="dxa"/>
            <w:vAlign w:val="bottom"/>
            <w:tcBorders>
              <w:top w:val="single" w:sz="8" w:color="0000EE"/>
            </w:tcBorders>
            <w:gridSpan w:val="2"/>
          </w:tcPr>
          <w:p>
            <w:pPr>
              <w:spacing w:after="0"/>
              <w:rPr>
                <w:sz w:val="14"/>
                <w:szCs w:val="14"/>
                <w:color w:val="auto"/>
              </w:rPr>
            </w:pPr>
          </w:p>
        </w:tc>
        <w:tc>
          <w:tcPr>
            <w:tcW w:w="8580" w:type="dxa"/>
            <w:vAlign w:val="bottom"/>
            <w:gridSpan w:val="9"/>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52</w:t>
            </w:r>
          </w:p>
        </w:tc>
      </w:tr>
      <w:tr>
        <w:trPr>
          <w:trHeight w:val="162"/>
        </w:trPr>
        <w:tc>
          <w:tcPr>
            <w:tcW w:w="420" w:type="dxa"/>
            <w:vAlign w:val="bottom"/>
          </w:tcPr>
          <w:p>
            <w:pPr>
              <w:spacing w:after="0"/>
              <w:rPr>
                <w:sz w:val="14"/>
                <w:szCs w:val="14"/>
                <w:color w:val="auto"/>
              </w:rPr>
            </w:pPr>
          </w:p>
        </w:tc>
        <w:tc>
          <w:tcPr>
            <w:tcW w:w="10160" w:type="dxa"/>
            <w:vAlign w:val="bottom"/>
            <w:gridSpan w:val="15"/>
          </w:tcPr>
          <w:p>
            <w:pPr>
              <w:spacing w:after="0" w:line="161" w:lineRule="exact"/>
              <w:rPr>
                <w:rFonts w:ascii="Arial" w:cs="Arial" w:eastAsia="Arial" w:hAnsi="Arial"/>
                <w:sz w:val="15"/>
                <w:szCs w:val="15"/>
                <w:color w:val="0000EE"/>
              </w:rPr>
            </w:pPr>
            <w:hyperlink w:anchor="page54">
              <w:r>
                <w:rPr>
                  <w:rFonts w:ascii="Arial" w:cs="Arial" w:eastAsia="Arial" w:hAnsi="Arial"/>
                  <w:sz w:val="15"/>
                  <w:szCs w:val="15"/>
                  <w:color w:val="0000EE"/>
                </w:rPr>
                <w:t>Item 4: Submission of Matters to a Vote of Security Holders</w:t>
              </w:r>
            </w:hyperlink>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52</w:t>
            </w:r>
          </w:p>
        </w:tc>
      </w:tr>
      <w:tr>
        <w:trPr>
          <w:trHeight w:val="162"/>
        </w:trPr>
        <w:tc>
          <w:tcPr>
            <w:tcW w:w="420" w:type="dxa"/>
            <w:vAlign w:val="bottom"/>
          </w:tcPr>
          <w:p>
            <w:pPr>
              <w:spacing w:after="0"/>
              <w:rPr>
                <w:sz w:val="14"/>
                <w:szCs w:val="14"/>
                <w:color w:val="auto"/>
              </w:rPr>
            </w:pPr>
          </w:p>
        </w:tc>
        <w:tc>
          <w:tcPr>
            <w:tcW w:w="3620" w:type="dxa"/>
            <w:vAlign w:val="bottom"/>
            <w:tcBorders>
              <w:top w:val="single" w:sz="8" w:color="0000EE"/>
            </w:tcBorders>
            <w:gridSpan w:val="11"/>
          </w:tcPr>
          <w:p>
            <w:pPr>
              <w:spacing w:after="0" w:line="161" w:lineRule="exact"/>
              <w:rPr>
                <w:rFonts w:ascii="Arial" w:cs="Arial" w:eastAsia="Arial" w:hAnsi="Arial"/>
                <w:sz w:val="15"/>
                <w:szCs w:val="15"/>
                <w:color w:val="0000EE"/>
              </w:rPr>
            </w:pPr>
            <w:hyperlink w:anchor="page55">
              <w:r>
                <w:rPr>
                  <w:rFonts w:ascii="Arial" w:cs="Arial" w:eastAsia="Arial" w:hAnsi="Arial"/>
                  <w:sz w:val="15"/>
                  <w:szCs w:val="15"/>
                  <w:color w:val="0000EE"/>
                </w:rPr>
                <w:t>Item 5: Other Information</w:t>
              </w:r>
            </w:hyperlink>
          </w:p>
        </w:tc>
        <w:tc>
          <w:tcPr>
            <w:tcW w:w="6540" w:type="dxa"/>
            <w:vAlign w:val="bottom"/>
            <w:gridSpan w:val="4"/>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53</w:t>
            </w:r>
          </w:p>
        </w:tc>
      </w:tr>
      <w:tr>
        <w:trPr>
          <w:trHeight w:val="162"/>
        </w:trPr>
        <w:tc>
          <w:tcPr>
            <w:tcW w:w="420" w:type="dxa"/>
            <w:vAlign w:val="bottom"/>
          </w:tcPr>
          <w:p>
            <w:pPr>
              <w:spacing w:after="0"/>
              <w:rPr>
                <w:sz w:val="14"/>
                <w:szCs w:val="14"/>
                <w:color w:val="auto"/>
              </w:rPr>
            </w:pPr>
          </w:p>
        </w:tc>
        <w:tc>
          <w:tcPr>
            <w:tcW w:w="1560" w:type="dxa"/>
            <w:vAlign w:val="bottom"/>
            <w:tcBorders>
              <w:top w:val="single" w:sz="8" w:color="0000EE"/>
            </w:tcBorders>
            <w:gridSpan w:val="5"/>
          </w:tcPr>
          <w:p>
            <w:pPr>
              <w:spacing w:after="0" w:line="161" w:lineRule="exact"/>
              <w:rPr>
                <w:rFonts w:ascii="Arial" w:cs="Arial" w:eastAsia="Arial" w:hAnsi="Arial"/>
                <w:sz w:val="15"/>
                <w:szCs w:val="15"/>
                <w:color w:val="0000EE"/>
              </w:rPr>
            </w:pPr>
            <w:hyperlink w:anchor="page55">
              <w:r>
                <w:rPr>
                  <w:rFonts w:ascii="Arial" w:cs="Arial" w:eastAsia="Arial" w:hAnsi="Arial"/>
                  <w:sz w:val="15"/>
                  <w:szCs w:val="15"/>
                  <w:color w:val="0000EE"/>
                </w:rPr>
                <w:t>Item 6: Exhibits</w:t>
              </w:r>
            </w:hyperlink>
          </w:p>
        </w:tc>
        <w:tc>
          <w:tcPr>
            <w:tcW w:w="8600" w:type="dxa"/>
            <w:vAlign w:val="bottom"/>
            <w:gridSpan w:val="10"/>
          </w:tcPr>
          <w:p>
            <w:pPr>
              <w:spacing w:after="0"/>
              <w:rPr>
                <w:sz w:val="14"/>
                <w:szCs w:val="14"/>
                <w:color w:val="auto"/>
              </w:rPr>
            </w:pPr>
          </w:p>
        </w:tc>
        <w:tc>
          <w:tcPr>
            <w:tcW w:w="860" w:type="dxa"/>
            <w:vAlign w:val="bottom"/>
          </w:tcPr>
          <w:p>
            <w:pPr>
              <w:jc w:val="right"/>
              <w:spacing w:after="0" w:line="161" w:lineRule="exact"/>
              <w:rPr>
                <w:sz w:val="20"/>
                <w:szCs w:val="20"/>
                <w:color w:val="auto"/>
              </w:rPr>
            </w:pPr>
            <w:r>
              <w:rPr>
                <w:rFonts w:ascii="Arial" w:cs="Arial" w:eastAsia="Arial" w:hAnsi="Arial"/>
                <w:sz w:val="15"/>
                <w:szCs w:val="15"/>
                <w:color w:val="auto"/>
              </w:rPr>
              <w:t>53</w:t>
            </w:r>
          </w:p>
        </w:tc>
      </w:tr>
      <w:tr>
        <w:trPr>
          <w:trHeight w:val="20"/>
        </w:trPr>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200" w:type="dxa"/>
            <w:vAlign w:val="bottom"/>
            <w:gridSpan w:val="1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3"/>
        </w:trPr>
        <w:tc>
          <w:tcPr>
            <w:tcW w:w="10580" w:type="dxa"/>
            <w:vAlign w:val="bottom"/>
            <w:gridSpan w:val="16"/>
          </w:tcPr>
          <w:p>
            <w:pPr>
              <w:spacing w:after="0"/>
              <w:rPr>
                <w:rFonts w:ascii="Arial" w:cs="Arial" w:eastAsia="Arial" w:hAnsi="Arial"/>
                <w:sz w:val="15"/>
                <w:szCs w:val="15"/>
                <w:b w:val="1"/>
                <w:bCs w:val="1"/>
                <w:color w:val="0000EE"/>
              </w:rPr>
            </w:pPr>
            <w:hyperlink w:anchor="page56">
              <w:r>
                <w:rPr>
                  <w:rFonts w:ascii="Arial" w:cs="Arial" w:eastAsia="Arial" w:hAnsi="Arial"/>
                  <w:sz w:val="15"/>
                  <w:szCs w:val="15"/>
                  <w:b w:val="1"/>
                  <w:bCs w:val="1"/>
                  <w:color w:val="0000EE"/>
                </w:rPr>
                <w:t>SIGNATURES</w:t>
              </w:r>
            </w:hyperlink>
          </w:p>
        </w:tc>
        <w:tc>
          <w:tcPr>
            <w:tcW w:w="86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646"/>
        </w:trPr>
        <w:tc>
          <w:tcPr>
            <w:tcW w:w="420" w:type="dxa"/>
            <w:vAlign w:val="bottom"/>
            <w:tcBorders>
              <w:top w:val="single" w:sz="8" w:color="0000EE"/>
              <w:bottom w:val="single" w:sz="8" w:color="808080"/>
            </w:tcBorders>
          </w:tcPr>
          <w:p>
            <w:pPr>
              <w:spacing w:after="0"/>
              <w:rPr>
                <w:sz w:val="24"/>
                <w:szCs w:val="24"/>
                <w:color w:val="auto"/>
              </w:rPr>
            </w:pPr>
          </w:p>
        </w:tc>
        <w:tc>
          <w:tcPr>
            <w:tcW w:w="540" w:type="dxa"/>
            <w:vAlign w:val="bottom"/>
            <w:tcBorders>
              <w:top w:val="single" w:sz="8" w:color="0000EE"/>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54" w:right="21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 FINANCIAL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 (Unaudited)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ITRON,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tcPr>
          <w:p>
            <w:pPr>
              <w:jc w:val="right"/>
              <w:ind w:right="500"/>
              <w:spacing w:after="0"/>
              <w:rPr>
                <w:sz w:val="20"/>
                <w:szCs w:val="20"/>
                <w:color w:val="auto"/>
              </w:rPr>
            </w:pPr>
            <w:r>
              <w:rPr>
                <w:rFonts w:ascii="Arial" w:cs="Arial" w:eastAsia="Arial" w:hAnsi="Arial"/>
                <w:sz w:val="15"/>
                <w:szCs w:val="15"/>
                <w:b w:val="1"/>
                <w:bCs w:val="1"/>
                <w:color w:val="auto"/>
                <w:w w:val="95"/>
              </w:rPr>
              <w:t>Three Months Ended June 30,</w:t>
            </w:r>
          </w:p>
        </w:tc>
        <w:tc>
          <w:tcPr>
            <w:tcW w:w="220" w:type="dxa"/>
            <w:vAlign w:val="bottom"/>
          </w:tcPr>
          <w:p>
            <w:pPr>
              <w:spacing w:after="0"/>
              <w:rPr>
                <w:sz w:val="17"/>
                <w:szCs w:val="17"/>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7"/>
              </w:rPr>
              <w:t>Six Months Ended June 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2008</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6"/>
          </w:tcPr>
          <w:p>
            <w:pPr>
              <w:jc w:val="right"/>
              <w:ind w:right="220"/>
              <w:spacing w:after="0"/>
              <w:rPr>
                <w:sz w:val="20"/>
                <w:szCs w:val="20"/>
                <w:color w:val="auto"/>
              </w:rPr>
            </w:pPr>
            <w:r>
              <w:rPr>
                <w:rFonts w:ascii="Arial" w:cs="Arial" w:eastAsia="Arial" w:hAnsi="Arial"/>
                <w:sz w:val="15"/>
                <w:szCs w:val="15"/>
                <w:b w:val="1"/>
                <w:bCs w:val="1"/>
                <w:color w:val="auto"/>
                <w:w w:val="90"/>
              </w:rPr>
              <w:t>(in thousands, except per share data)</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513,931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401,559</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992,407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549,470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Cost of revenues</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337,721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276,845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653,638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363,431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176,210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124,714</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338,769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186,039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44,205</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34,393</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86,171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49,313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Product development</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31,471</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25,521</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60,502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41,342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5"/>
                <w:szCs w:val="15"/>
                <w:color w:val="auto"/>
              </w:rPr>
              <w:t>General and administrative</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32,889</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27,387</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65,912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41,631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intangible assets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31,467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25,223</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62,719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32,263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5"/>
                <w:szCs w:val="15"/>
                <w:color w:val="auto"/>
              </w:rPr>
              <w:t>In-process research and development</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35,551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35,551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780"/>
              <w:spacing w:after="0"/>
              <w:rPr>
                <w:sz w:val="20"/>
                <w:szCs w:val="20"/>
                <w:color w:val="auto"/>
              </w:rPr>
            </w:pPr>
            <w:r>
              <w:rPr>
                <w:rFonts w:ascii="Arial" w:cs="Arial" w:eastAsia="Arial" w:hAnsi="Arial"/>
                <w:sz w:val="15"/>
                <w:szCs w:val="15"/>
                <w:color w:val="auto"/>
              </w:rPr>
              <w:t>Total operating expenses</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140,032</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148,075</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275,304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36,178</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(23,361)</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63,465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(14,061)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Other income (expense)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2,216</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(22,457)</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(22,927)</w:t>
            </w:r>
          </w:p>
        </w:tc>
        <w:tc>
          <w:tcPr>
            <w:tcW w:w="22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(47,723)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(28,424)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income (expense), net</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(1,845)</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5,433</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(1,657)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tcPr>
          <w:p>
            <w:pPr>
              <w:ind w:left="780"/>
              <w:spacing w:after="0"/>
              <w:rPr>
                <w:sz w:val="20"/>
                <w:szCs w:val="20"/>
                <w:color w:val="auto"/>
              </w:rPr>
            </w:pPr>
            <w:r>
              <w:rPr>
                <w:rFonts w:ascii="Arial" w:cs="Arial" w:eastAsia="Arial" w:hAnsi="Arial"/>
                <w:sz w:val="15"/>
                <w:szCs w:val="15"/>
                <w:color w:val="auto"/>
              </w:rPr>
              <w:t>Total other income (expense)</w:t>
            </w: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(22,842)</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(15,278)</w:t>
            </w:r>
          </w:p>
        </w:tc>
        <w:tc>
          <w:tcPr>
            <w:tcW w:w="22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(46,496)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(13,178)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Income (loss) before income taxes</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13,336</w:t>
            </w:r>
          </w:p>
        </w:tc>
        <w:tc>
          <w:tcPr>
            <w:tcW w:w="24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(38,639)</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16,969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(27,239)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Income tax (provision) benefit</w:t>
            </w:r>
          </w:p>
        </w:tc>
        <w:tc>
          <w:tcPr>
            <w:tcW w:w="1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(211)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14,759</w:t>
            </w:r>
          </w:p>
        </w:tc>
        <w:tc>
          <w:tcPr>
            <w:tcW w:w="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10,539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13,125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(23,880)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16,078</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(16,700)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Earnings (loss) per share</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5"/>
                <w:szCs w:val="15"/>
                <w:color w:val="auto"/>
              </w:rPr>
              <w:t>Basic</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0.40</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(0.79)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0.51</w:t>
            </w:r>
          </w:p>
        </w:tc>
        <w:tc>
          <w:tcPr>
            <w:tcW w:w="4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(0.79)</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0.47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320"/>
              <w:spacing w:after="0"/>
              <w:rPr>
                <w:sz w:val="20"/>
                <w:szCs w:val="20"/>
                <w:color w:val="auto"/>
              </w:rPr>
            </w:pPr>
            <w:r>
              <w:rPr>
                <w:rFonts w:ascii="Arial" w:cs="Arial" w:eastAsia="Arial" w:hAnsi="Arial"/>
                <w:sz w:val="15"/>
                <w:szCs w:val="15"/>
                <w:color w:val="auto"/>
              </w:rPr>
              <w:t>Basic</w:t>
            </w:r>
          </w:p>
        </w:tc>
        <w:tc>
          <w:tcPr>
            <w:tcW w:w="18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32,796</w:t>
            </w:r>
          </w:p>
        </w:tc>
        <w:tc>
          <w:tcPr>
            <w:tcW w:w="24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30,068</w:t>
            </w:r>
          </w:p>
        </w:tc>
        <w:tc>
          <w:tcPr>
            <w:tcW w:w="22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5"/>
                <w:szCs w:val="15"/>
                <w:color w:val="auto"/>
              </w:rPr>
              <w:t>31,746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28,641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Diluted</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35,325</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30,068</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34,041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28,641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88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1704"/>
              <w:spacing w:after="0"/>
              <w:rPr>
                <w:sz w:val="20"/>
                <w:szCs w:val="20"/>
                <w:color w:val="auto"/>
              </w:rPr>
            </w:pPr>
            <w:r>
              <w:rPr>
                <w:rFonts w:ascii="Arial" w:cs="Arial" w:eastAsia="Arial" w:hAnsi="Arial"/>
                <w:sz w:val="15"/>
                <w:szCs w:val="15"/>
                <w:b w:val="1"/>
                <w:bCs w:val="1"/>
                <w:color w:val="auto"/>
              </w:rPr>
              <w:t>ITRON, INC.</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980" w:type="dxa"/>
            <w:vAlign w:val="bottom"/>
          </w:tcPr>
          <w:p>
            <w:pPr>
              <w:jc w:val="center"/>
              <w:ind w:left="1684"/>
              <w:spacing w:after="0"/>
              <w:rPr>
                <w:sz w:val="20"/>
                <w:szCs w:val="20"/>
                <w:color w:val="auto"/>
              </w:rPr>
            </w:pPr>
            <w:r>
              <w:rPr>
                <w:rFonts w:ascii="Arial" w:cs="Arial" w:eastAsia="Arial" w:hAnsi="Arial"/>
                <w:sz w:val="15"/>
                <w:szCs w:val="15"/>
                <w:b w:val="1"/>
                <w:bCs w:val="1"/>
                <w:color w:val="auto"/>
              </w:rPr>
              <w:t>CONDENSED CONSOLIDATED BALANCE SHEETS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980" w:type="dxa"/>
            <w:vAlign w:val="bottom"/>
          </w:tcPr>
          <w:p>
            <w:pPr>
              <w:jc w:val="center"/>
              <w:ind w:left="1704"/>
              <w:spacing w:after="0"/>
              <w:rPr>
                <w:sz w:val="20"/>
                <w:szCs w:val="20"/>
                <w:color w:val="auto"/>
              </w:rPr>
            </w:pPr>
            <w:r>
              <w:rPr>
                <w:rFonts w:ascii="Arial" w:cs="Arial" w:eastAsia="Arial" w:hAnsi="Arial"/>
                <w:sz w:val="15"/>
                <w:szCs w:val="15"/>
                <w:b w:val="1"/>
                <w:bCs w:val="1"/>
                <w:color w:val="auto"/>
                <w:w w:val="88"/>
              </w:rPr>
              <w:t>(in thousands)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June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92"/>
              </w:rPr>
              <w:t>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89"/>
              </w:rPr>
              <w:t>2008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980" w:type="dxa"/>
            <w:vAlign w:val="bottom"/>
            <w:vMerge w:val="restart"/>
          </w:tcPr>
          <w:p>
            <w:pPr>
              <w:jc w:val="center"/>
              <w:ind w:right="904"/>
              <w:spacing w:after="0"/>
              <w:rPr>
                <w:sz w:val="20"/>
                <w:szCs w:val="20"/>
                <w:color w:val="auto"/>
              </w:rPr>
            </w:pPr>
            <w:r>
              <w:rPr>
                <w:rFonts w:ascii="Arial" w:cs="Arial" w:eastAsia="Arial" w:hAnsi="Arial"/>
                <w:sz w:val="15"/>
                <w:szCs w:val="15"/>
                <w:b w:val="1"/>
                <w:bCs w:val="1"/>
                <w:color w:val="auto"/>
                <w:w w:val="93"/>
              </w:rPr>
              <w:t>ASSETS</w:t>
            </w:r>
          </w:p>
        </w:tc>
        <w:tc>
          <w:tcPr>
            <w:tcW w:w="140" w:type="dxa"/>
            <w:vAlign w:val="bottom"/>
          </w:tcPr>
          <w:p>
            <w:pPr>
              <w:spacing w:after="0"/>
              <w:rPr>
                <w:sz w:val="16"/>
                <w:szCs w:val="16"/>
                <w:color w:val="auto"/>
              </w:rPr>
            </w:pPr>
          </w:p>
        </w:tc>
        <w:tc>
          <w:tcPr>
            <w:tcW w:w="1000" w:type="dxa"/>
            <w:vAlign w:val="bottom"/>
          </w:tcPr>
          <w:p>
            <w:pPr>
              <w:jc w:val="center"/>
              <w:ind w:right="44"/>
              <w:spacing w:after="0"/>
              <w:rPr>
                <w:sz w:val="20"/>
                <w:szCs w:val="20"/>
                <w:color w:val="auto"/>
              </w:rPr>
            </w:pPr>
            <w:r>
              <w:rPr>
                <w:rFonts w:ascii="Arial" w:cs="Arial" w:eastAsia="Arial" w:hAnsi="Arial"/>
                <w:sz w:val="15"/>
                <w:szCs w:val="15"/>
                <w:b w:val="1"/>
                <w:bCs w:val="1"/>
                <w:color w:val="auto"/>
                <w:w w:val="93"/>
              </w:rPr>
              <w:t>(unaudited)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820" w:type="dxa"/>
            <w:vAlign w:val="bottom"/>
            <w:gridSpan w:val="3"/>
          </w:tcPr>
          <w:p>
            <w:pPr>
              <w:spacing w:after="0"/>
              <w:rPr>
                <w:sz w:val="20"/>
                <w:szCs w:val="20"/>
                <w:color w:val="auto"/>
              </w:rPr>
            </w:pPr>
            <w:r>
              <w:rPr>
                <w:rFonts w:ascii="Arial" w:cs="Arial" w:eastAsia="Arial" w:hAnsi="Arial"/>
                <w:sz w:val="15"/>
                <w:szCs w:val="15"/>
                <w:color w:val="auto"/>
              </w:rPr>
              <w:t>Current assets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152,179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91,988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Accounts receivable, net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356,328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339,018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Inventories</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201,282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169,238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Deferred income taxes, net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5,642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10,733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51,482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42,459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766,913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653,436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Property, plant and equipment, net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335,322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323,003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Prepaid debt fees</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15,868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21,616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Deferred income taxes, net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133,614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75,243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20,053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15,235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Intangible assets, net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595,147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695,900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Goodwill</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1,416,305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3,283,222</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3,050,566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98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980" w:type="dxa"/>
            <w:vAlign w:val="bottom"/>
          </w:tcPr>
          <w:p>
            <w:pPr>
              <w:jc w:val="center"/>
              <w:ind w:right="904"/>
              <w:spacing w:after="0"/>
              <w:rPr>
                <w:sz w:val="20"/>
                <w:szCs w:val="20"/>
                <w:color w:val="auto"/>
              </w:rPr>
            </w:pPr>
            <w:r>
              <w:rPr>
                <w:rFonts w:ascii="Arial" w:cs="Arial" w:eastAsia="Arial" w:hAnsi="Arial"/>
                <w:sz w:val="15"/>
                <w:szCs w:val="15"/>
                <w:b w:val="1"/>
                <w:bCs w:val="1"/>
                <w:color w:val="auto"/>
              </w:rPr>
              <w:t>LIABILITIES AND SHAREHOLDERS' EQUITY</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Trade payables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243,612</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198,997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Accrued expenses</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65,620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57,275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Wages and benefits payable</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83,109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70,486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Taxes payable</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18,251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Current portion of long-term debt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356,341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11,980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Current portion of warranty</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23,693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21,277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Deferred income taxes, net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1,716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5,437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Unearned revenue</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30,374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20,912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Total current liabilities</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822,716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403,857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Long-term debt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915,180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1,578,561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Warranty</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18,491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Pension plan benefits</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66,325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60,623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Deferred income taxes, net</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185,689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173,500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Other obligations</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49,417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63,659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liabilities</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2,057,818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2,291,764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Preferred stock</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Common stock</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935,464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609,902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Accumulated other comprehensive income, net</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251,630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126,668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Retained earnings</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38,310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22,232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Total shareholders' equity</w:t>
            </w:r>
          </w:p>
        </w:tc>
        <w:tc>
          <w:tcPr>
            <w:tcW w:w="14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1,225,404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758,802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3,283,222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3,050,566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8"/>
        </w:trPr>
        <w:tc>
          <w:tcPr>
            <w:tcW w:w="88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1704"/>
              <w:spacing w:after="0"/>
              <w:rPr>
                <w:sz w:val="20"/>
                <w:szCs w:val="20"/>
                <w:color w:val="auto"/>
              </w:rPr>
            </w:pPr>
            <w:r>
              <w:rPr>
                <w:rFonts w:ascii="Arial" w:cs="Arial" w:eastAsia="Arial" w:hAnsi="Arial"/>
                <w:sz w:val="15"/>
                <w:szCs w:val="15"/>
                <w:b w:val="1"/>
                <w:bCs w:val="1"/>
                <w:color w:val="auto"/>
              </w:rPr>
              <w:t>ITRON, INC.</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980" w:type="dxa"/>
            <w:vAlign w:val="bottom"/>
          </w:tcPr>
          <w:p>
            <w:pPr>
              <w:jc w:val="center"/>
              <w:ind w:left="1684"/>
              <w:spacing w:after="0"/>
              <w:rPr>
                <w:sz w:val="20"/>
                <w:szCs w:val="20"/>
                <w:color w:val="auto"/>
              </w:rPr>
            </w:pPr>
            <w:r>
              <w:rPr>
                <w:rFonts w:ascii="Arial" w:cs="Arial" w:eastAsia="Arial" w:hAnsi="Arial"/>
                <w:sz w:val="15"/>
                <w:szCs w:val="15"/>
                <w:b w:val="1"/>
                <w:bCs w:val="1"/>
                <w:color w:val="auto"/>
                <w:w w:val="99"/>
              </w:rPr>
              <w:t>CONDENSED CONSOLIDATED STATEMENTS OF CASH FLOWS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980" w:type="dxa"/>
            <w:vAlign w:val="bottom"/>
          </w:tcPr>
          <w:p>
            <w:pPr>
              <w:jc w:val="center"/>
              <w:ind w:left="1684"/>
              <w:spacing w:after="0"/>
              <w:rPr>
                <w:sz w:val="20"/>
                <w:szCs w:val="20"/>
                <w:color w:val="auto"/>
              </w:rPr>
            </w:pPr>
            <w:r>
              <w:rPr>
                <w:rFonts w:ascii="Arial" w:cs="Arial" w:eastAsia="Arial" w:hAnsi="Arial"/>
                <w:sz w:val="15"/>
                <w:szCs w:val="15"/>
                <w:b w:val="1"/>
                <w:bCs w:val="1"/>
                <w:color w:val="auto"/>
              </w:rPr>
              <w:t>(UNAUDITED)</w:t>
            </w:r>
          </w:p>
        </w:tc>
        <w:tc>
          <w:tcPr>
            <w:tcW w:w="220" w:type="dxa"/>
            <w:vAlign w:val="bottom"/>
          </w:tcPr>
          <w:p>
            <w:pPr>
              <w:spacing w:after="0"/>
              <w:rPr>
                <w:sz w:val="16"/>
                <w:szCs w:val="16"/>
                <w:color w:val="auto"/>
              </w:rPr>
            </w:pPr>
          </w:p>
        </w:tc>
        <w:tc>
          <w:tcPr>
            <w:tcW w:w="2400" w:type="dxa"/>
            <w:vAlign w:val="bottom"/>
            <w:gridSpan w:val="6"/>
            <w:vMerge w:val="restart"/>
          </w:tcPr>
          <w:p>
            <w:pPr>
              <w:jc w:val="right"/>
              <w:ind w:right="480"/>
              <w:spacing w:after="0"/>
              <w:rPr>
                <w:sz w:val="20"/>
                <w:szCs w:val="20"/>
                <w:color w:val="auto"/>
              </w:rPr>
            </w:pPr>
            <w:r>
              <w:rPr>
                <w:rFonts w:ascii="Arial" w:cs="Arial" w:eastAsia="Arial" w:hAnsi="Arial"/>
                <w:sz w:val="15"/>
                <w:szCs w:val="15"/>
                <w:b w:val="1"/>
                <w:bCs w:val="1"/>
                <w:color w:val="auto"/>
                <w:w w:val="97"/>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98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95"/>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820" w:type="dxa"/>
            <w:vAlign w:val="bottom"/>
            <w:gridSpan w:val="3"/>
            <w:vMerge w:val="restart"/>
          </w:tcPr>
          <w:p>
            <w:pPr>
              <w:spacing w:after="0"/>
              <w:rPr>
                <w:sz w:val="20"/>
                <w:szCs w:val="20"/>
                <w:color w:val="auto"/>
              </w:rPr>
            </w:pPr>
            <w:r>
              <w:rPr>
                <w:rFonts w:ascii="Arial" w:cs="Arial" w:eastAsia="Arial" w:hAnsi="Arial"/>
                <w:sz w:val="15"/>
                <w:szCs w:val="15"/>
                <w:color w:val="auto"/>
              </w:rPr>
              <w:t>Operating activities</w:t>
            </w:r>
          </w:p>
        </w:tc>
        <w:tc>
          <w:tcPr>
            <w:tcW w:w="220" w:type="dxa"/>
            <w:vAlign w:val="bottom"/>
          </w:tcPr>
          <w:p>
            <w:pPr>
              <w:spacing w:after="0"/>
              <w:rPr>
                <w:sz w:val="16"/>
                <w:szCs w:val="16"/>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b w:val="1"/>
                <w:bCs w:val="1"/>
                <w:color w:val="auto"/>
              </w:rPr>
              <w:t>(in</w:t>
            </w:r>
          </w:p>
        </w:tc>
        <w:tc>
          <w:tcPr>
            <w:tcW w:w="6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4"/>
              </w:rPr>
              <w:t>thousands)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16,078</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(16,700)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Depreciation and amortization</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89,466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47,156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In-process research and development</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35,551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Employee stock plans income tax benefit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Excess tax benefits from stock-based compensation</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(5,029)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Stock-based compensation</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8,026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Amortization of prepaid debt fees</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5,885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Deferred income taxes, net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(14,421)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(30,133)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Other, net</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432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Changes in operating assets and liabilities, net of acquisitions: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5"/>
                <w:szCs w:val="15"/>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5"/>
                <w:szCs w:val="15"/>
                <w:color w:val="auto"/>
              </w:rPr>
              <w:t>(15,186)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(12,604)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Inventories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(32,158)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17,983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Trade payables, accrued expenses and taxes payable</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39,562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25,811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Wages and benefits payable</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12,481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Unearned revenue</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9,975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(4,348)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Warranty</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3,035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Effect of foreign exchange rate changes</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2,986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 net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(5,712)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(2,689)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Net cash provided by operating activities</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120,449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62,919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Investing activities</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Proceeds from the maturities of investments, held to maturity</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Acquisitions of property, plant and equipment</w:t>
            </w:r>
          </w:p>
        </w:tc>
        <w:tc>
          <w:tcPr>
            <w:tcW w:w="220" w:type="dxa"/>
            <w:vAlign w:val="bottom"/>
          </w:tcPr>
          <w:p>
            <w:pPr>
              <w:spacing w:after="0"/>
              <w:rPr>
                <w:sz w:val="15"/>
                <w:szCs w:val="15"/>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5"/>
                <w:szCs w:val="15"/>
                <w:color w:val="auto"/>
              </w:rPr>
              <w:t>(28,966)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(18,306)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Business acquisitions, net of cash and cash equivalents acquired</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(95)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(1,715,626)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Other, net</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1,379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Net cash used in investing activities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(27,682)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(1,693,035)</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Proceeds from borrowings</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1,159,027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Payments on debt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rPr>
              <w:t>(350,749)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Issuance of common stock</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317,536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236,220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Excess tax benefits from stock-based compensation</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Prepaid debt fees</w:t>
            </w:r>
          </w:p>
        </w:tc>
        <w:tc>
          <w:tcPr>
            <w:tcW w:w="220" w:type="dxa"/>
            <w:vAlign w:val="bottom"/>
          </w:tcPr>
          <w:p>
            <w:pPr>
              <w:spacing w:after="0"/>
              <w:rPr>
                <w:sz w:val="15"/>
                <w:szCs w:val="15"/>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5"/>
                <w:szCs w:val="15"/>
                <w:color w:val="auto"/>
              </w:rPr>
              <w:t>(207)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5"/>
                <w:szCs w:val="15"/>
                <w:color w:val="auto"/>
              </w:rPr>
              <w:t>(23,058)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Other, net</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140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Net cash (used in) provided by financing activities</w:t>
            </w:r>
          </w:p>
        </w:tc>
        <w:tc>
          <w:tcPr>
            <w:tcW w:w="220" w:type="dxa"/>
            <w:vAlign w:val="bottom"/>
          </w:tcPr>
          <w:p>
            <w:pPr>
              <w:spacing w:after="0"/>
              <w:rPr>
                <w:sz w:val="15"/>
                <w:szCs w:val="15"/>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5"/>
                <w:szCs w:val="15"/>
                <w:color w:val="auto"/>
              </w:rPr>
              <w:t>(33,280)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1,374,328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Effect of foreign exchange rate changes on cash and cash equivalents</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704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Increase (decrease) in cash and cash equivalents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60,191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(255,532)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period</w:t>
            </w:r>
          </w:p>
        </w:tc>
        <w:tc>
          <w:tcPr>
            <w:tcW w:w="220" w:type="dxa"/>
            <w:vAlign w:val="bottom"/>
          </w:tcPr>
          <w:p>
            <w:pPr>
              <w:spacing w:after="0"/>
              <w:rPr>
                <w:sz w:val="15"/>
                <w:szCs w:val="15"/>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91,988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361,405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152,179</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79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Non-cash transactions:</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Fixed assets purchased but not yet paid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4,390</w:t>
            </w:r>
          </w:p>
        </w:tc>
        <w:tc>
          <w:tcPr>
            <w:tcW w:w="46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3,506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Pre-acquisition costs incurred but not yet paid</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Supplemental disclosure of cash flow information: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tcPr>
          <w:p>
            <w:pPr>
              <w:ind w:left="200"/>
              <w:spacing w:after="0"/>
              <w:rPr>
                <w:sz w:val="20"/>
                <w:szCs w:val="20"/>
                <w:color w:val="auto"/>
              </w:rPr>
            </w:pPr>
            <w:r>
              <w:rPr>
                <w:rFonts w:ascii="Arial" w:cs="Arial" w:eastAsia="Arial" w:hAnsi="Arial"/>
                <w:sz w:val="15"/>
                <w:szCs w:val="15"/>
                <w:color w:val="auto"/>
              </w:rPr>
              <w:t>Cash paid during the period for:</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Income taxes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rPr>
              <w:t>13,556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00" w:type="dxa"/>
            <w:vAlign w:val="bottom"/>
            <w:gridSpan w:val="2"/>
          </w:tcPr>
          <w:p>
            <w:pPr>
              <w:ind w:left="420"/>
              <w:spacing w:after="0"/>
              <w:rPr>
                <w:sz w:val="20"/>
                <w:szCs w:val="20"/>
                <w:color w:val="auto"/>
              </w:rPr>
            </w:pPr>
            <w:r>
              <w:rPr>
                <w:rFonts w:ascii="Arial" w:cs="Arial" w:eastAsia="Arial" w:hAnsi="Arial"/>
                <w:sz w:val="15"/>
                <w:szCs w:val="15"/>
                <w:color w:val="auto"/>
              </w:rPr>
              <w:t>Interest, net of amounts capitalized</w:t>
            </w:r>
          </w:p>
        </w:tc>
        <w:tc>
          <w:tcPr>
            <w:tcW w:w="220" w:type="dxa"/>
            <w:vAlign w:val="bottom"/>
          </w:tcPr>
          <w:p>
            <w:pPr>
              <w:spacing w:after="0"/>
              <w:rPr>
                <w:sz w:val="16"/>
                <w:szCs w:val="16"/>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5"/>
                <w:szCs w:val="15"/>
                <w:color w:val="auto"/>
              </w:rPr>
              <w:t>42,247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31,272</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ITRON,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June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In this Quarterly Report on Form 10-Q, the terms “we,” “us,” “our,” “Itron” and the “Company” refer to Itron, Inc.</w:t>
      </w:r>
    </w:p>
    <w:p>
      <w:pPr>
        <w:spacing w:after="0" w:line="21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1:</w:t>
      </w:r>
      <w:r>
        <w:rPr>
          <w:sz w:val="20"/>
          <w:szCs w:val="20"/>
          <w:color w:val="auto"/>
        </w:rPr>
        <w:tab/>
      </w:r>
      <w:r>
        <w:rPr>
          <w:rFonts w:ascii="Arial" w:cs="Arial" w:eastAsia="Arial" w:hAnsi="Arial"/>
          <w:sz w:val="13"/>
          <w:szCs w:val="13"/>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We were incorporated in the state of Washington in 1977. We provide a portfolio of products and services to utilities for the energy and water markets throughout the world.</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Financial Statement Preparation</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condensed consolidated financial statements presented in this Quarterly Report on Form 10-Q are unaudited and reflect entries necessary for the fair presentation of the Condensed Consolidated Statements of Operations for the three and six months ended June 30, 2008 and 2007, Condensed Consolidated Balance Sheets as of June 30, 2008 and December 31, 2007 and Condensed Consolidated Statements of Cash Flows for the six months ended June 30, 2008 and 2007 of Itron, Inc. and its subsidiaries. All entries required for the fair presentation of the financial statements are of a normal recurring nature. Intercompany transactions and balances are eliminated upon consolidation.</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3"/>
          <w:szCs w:val="13"/>
          <w:color w:val="auto"/>
        </w:rPr>
        <w:t>Certain information and note disclosures normally included in financial statements prepared in accordance with accounting principles generally accepted in the United States of America (GAAP) have been condensed or omitted pursuant to the rules and regulations of the Securities and Exchange Commission (SEC) regarding interim results. These condensed consolidated financial statements should be read in conjunction with the 2007 audited financial statements and notes included in our Annual Report on Form 10-K, as filed with the SEC on February 26, 2008. The results of operations for the three and six months ended June 30, 2008 are not necessarily indicative of the results expected for the full fiscal year or for any other fiscal period.</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Basis of Consolidation</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June 30, 2008, we had no investments in variable interest entities.</w:t>
      </w:r>
    </w:p>
    <w:p>
      <w:pPr>
        <w:spacing w:after="0" w:line="183"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On April 18, 2007, we completed the acquisition of Actaris Metering Systems SA (Actaris), which is reported as our Actaris operating segment. The operating results of this acquisition are included in our condensed consolidated financial statements commencing on the date of the acquisition.</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Cash and Cash Equivalents</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consider all highly liquid instruments with remaining maturities of three months or less at the date of acquisition to be cash equivalents. Cash equivalents are recorded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Derivative Instruments</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We account for derivative instruments and hedging activities in accordance with Statement of Financial Accounting Standards (SFAS) 133, </w:t>
      </w:r>
      <w:r>
        <w:rPr>
          <w:rFonts w:ascii="Arial" w:cs="Arial" w:eastAsia="Arial" w:hAnsi="Arial"/>
          <w:sz w:val="14"/>
          <w:szCs w:val="14"/>
          <w:i w:val="1"/>
          <w:iCs w:val="1"/>
          <w:color w:val="auto"/>
        </w:rPr>
        <w:t>Accounting for Derivative Instruments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Hedging Activities</w:t>
      </w:r>
      <w:r>
        <w:rPr>
          <w:rFonts w:ascii="Arial" w:cs="Arial" w:eastAsia="Arial" w:hAnsi="Arial"/>
          <w:sz w:val="14"/>
          <w:szCs w:val="14"/>
          <w:color w:val="auto"/>
        </w:rPr>
        <w:t>, as amended. All derivative instruments, whether designated in hedging relationships or not, are recorded on the Condensed Consolidated Balance Sheets at fair value 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either assets or liabilities. The components and fair values of our derivative instruments are determined using the fair value measurements of significant other observable inputs (Level 2), as defined by SFAS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derivative instruments that do not qualify for hedging activities are recognized in other income (expense) in the Condensed Consolidated Statement of Operations. We classify cash flows from our derivative programs as cash flows from operating activities in the Condensed Consolidated Statements of Cash Flows. Derivatives are not used for trading or speculative purposes. Counterparties to our currency exchange and interest rate derivatives consist of major international financial institutions. We monitor our positions and the credit ratings of our counterparties when valuing our derivatives.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Accounts Receivable and Allowance for Doubtful Accounts</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Inventories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Inventories are stated at the lower of cost or market using the first-in, first-out method. Cost includes raw materials and labor, plus applied direct and indirect costs.</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Property, Plant and Equipment</w:t>
      </w:r>
    </w:p>
    <w:p>
      <w:pPr>
        <w:spacing w:after="0" w:line="1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and amortized over the term of the applicable lease, including renewable periods if reasonably assured, or over the useful lives, whichever is shorter. Costs related to internally developed software and software purchased for internal uses are capitalized in accordance with Statement of Position 98-1, </w:t>
      </w:r>
      <w:r>
        <w:rPr>
          <w:rFonts w:ascii="Arial" w:cs="Arial" w:eastAsia="Arial" w:hAnsi="Arial"/>
          <w:sz w:val="14"/>
          <w:szCs w:val="14"/>
          <w:i w:val="1"/>
          <w:iCs w:val="1"/>
          <w:color w:val="auto"/>
        </w:rPr>
        <w:t>Accounting for Costs of Computer Software Developed or Obtained for Internal Use,</w:t>
      </w:r>
      <w:r>
        <w:rPr>
          <w:rFonts w:ascii="Arial" w:cs="Arial" w:eastAsia="Arial" w:hAnsi="Arial"/>
          <w:sz w:val="14"/>
          <w:szCs w:val="14"/>
          <w:color w:val="auto"/>
        </w:rPr>
        <w:t xml:space="preserve"> and are amortized over the estimated useful lives of the assets. Repair and maintenance costs are expensed as incurred. We have no major planned maintenance activities.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review long-lived assets for impairment whenever events or circumstances indicate the carrying amount of an asset may not be recoverable. If there was an indication of impairment, management would prepare an estimate of future undiscounted cash flows expected to result from the use of the asset over its remaining economic life and its eventual disposition. If these cash flows were less than the carrying amount of the asset, an impairment loss would be recognized to write down the asset to its estimated fair value. There were no significant impairments of long-lived assets in the three and six months ended June 30, 2008 and 2007. Assets held for sale are classified within other current assets in the Condensed Consolidated Balance Sheets and are reported at the lower of the carrying amount or fair value less costs to sell, and are no longer depreciated.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Prepaid Debt Fees</w:t>
      </w:r>
    </w:p>
    <w:p>
      <w:pPr>
        <w:spacing w:after="0" w:line="18"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or first becomes convertible as in the case of our convertible senior subordinated notes (convertible notes), the related portion of unamortized prepaid debt fees is written-off and included in interest expense in the Condensed Consolidated Statements of Operations.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Business Combinations</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In accordance with SFAS 141, </w:t>
      </w:r>
      <w:r>
        <w:rPr>
          <w:rFonts w:ascii="Arial" w:cs="Arial" w:eastAsia="Arial" w:hAnsi="Arial"/>
          <w:sz w:val="15"/>
          <w:szCs w:val="15"/>
          <w:i w:val="1"/>
          <w:iCs w:val="1"/>
          <w:color w:val="auto"/>
        </w:rPr>
        <w:t>Business Combinations</w:t>
      </w:r>
      <w:r>
        <w:rPr>
          <w:rFonts w:ascii="Arial" w:cs="Arial" w:eastAsia="Arial" w:hAnsi="Arial"/>
          <w:sz w:val="15"/>
          <w:szCs w:val="15"/>
          <w:color w:val="auto"/>
        </w:rPr>
        <w:t>, we include in our results of operations the results of an acquired business from the date of acquisition. Net assets of the company acquired and intangible assets that arise from contractual/legal rights, or are capable of being separated, are recorded at their fair values as of the date of acquisition. The residual balance of the purchase price, after fair value allocations to all identified assets and liabilities, represents goodwill. Amounts allocated to in-process research and development (IPR&amp;D) are expensed in the period of acquisition. Costs to complete the IPR&amp;D are expensed in the subsequent periods as incurred.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Goodwill and Intangible Assets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Goodwill and intangible assets result from our acquisitions. Goodwill is tested for impairment as of October 1 of each year, or more frequently, if a significant impairment indicator occurs under the guidance of SFAS 142, </w:t>
      </w:r>
      <w:r>
        <w:rPr>
          <w:rFonts w:ascii="Arial" w:cs="Arial" w:eastAsia="Arial" w:hAnsi="Arial"/>
          <w:sz w:val="14"/>
          <w:szCs w:val="14"/>
          <w:i w:val="1"/>
          <w:iCs w:val="1"/>
          <w:color w:val="auto"/>
        </w:rPr>
        <w:t>Goodwill and Other Intangible Assets</w:t>
      </w:r>
      <w:r>
        <w:rPr>
          <w:rFonts w:ascii="Arial" w:cs="Arial" w:eastAsia="Arial" w:hAnsi="Arial"/>
          <w:sz w:val="14"/>
          <w:szCs w:val="14"/>
          <w:color w:val="auto"/>
        </w:rPr>
        <w:t>. Goodwill is assigned to our reporting units based on the expected benefit from the synergies arising from each business combination, determined by using certain financial metrics, including the incremental discounted cash flows associated with each reporting unit. Intangible assets with a finite life are amortized based on estimated discounted cash flows. Intangible assets are tested for impairment when events or changes in circumstances indicate the carrying value may not be recoverable. We use estimates in determining and assigning the fair value of goodwill and intangible assets, including estimates of useful lives of intangible assets, discounted future cash flows and fair values of the related operations. In testing goodwill for impairment, we forecast discounted future cash flows at the reporting unit level based on estimated future revenues and operating costs, which take into consideration factors such as existing backlog, expected future orders, supplier contracts and general market conditions.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Warranty</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offer standard warranties on our hardware products and large application software products. Standard warranty accruals represent the estimated cost of projected warranty claims and are based on 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 The long-term warranty balance includes estimated warranty claims beyond one year.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80" w:type="dxa"/>
            <w:vAlign w:val="bottom"/>
            <w:gridSpan w:val="2"/>
          </w:tcPr>
          <w:p>
            <w:pPr>
              <w:spacing w:after="0"/>
              <w:rPr>
                <w:sz w:val="20"/>
                <w:szCs w:val="20"/>
                <w:color w:val="auto"/>
              </w:rPr>
            </w:pPr>
            <w:r>
              <w:rPr>
                <w:rFonts w:ascii="Arial" w:cs="Arial" w:eastAsia="Arial" w:hAnsi="Arial"/>
                <w:sz w:val="15"/>
                <w:szCs w:val="15"/>
                <w:color w:val="auto"/>
              </w:rPr>
              <w:t>A summary of the warranty accrual account activity is as follows:</w:t>
            </w:r>
          </w:p>
        </w:tc>
        <w:tc>
          <w:tcPr>
            <w:tcW w:w="2740" w:type="dxa"/>
            <w:vAlign w:val="bottom"/>
            <w:gridSpan w:val="6"/>
            <w:vMerge w:val="restart"/>
          </w:tcPr>
          <w:p>
            <w:pPr>
              <w:jc w:val="right"/>
              <w:ind w:right="430"/>
              <w:spacing w:after="0"/>
              <w:rPr>
                <w:sz w:val="20"/>
                <w:szCs w:val="20"/>
                <w:color w:val="auto"/>
              </w:rPr>
            </w:pPr>
            <w:r>
              <w:rPr>
                <w:rFonts w:ascii="Arial" w:cs="Arial" w:eastAsia="Arial" w:hAnsi="Arial"/>
                <w:sz w:val="15"/>
                <w:szCs w:val="15"/>
                <w:b w:val="1"/>
                <w:bCs w:val="1"/>
                <w:color w:val="auto"/>
              </w:rPr>
              <w:t>Three Months Ended June 30,</w:t>
            </w:r>
          </w:p>
        </w:tc>
        <w:tc>
          <w:tcPr>
            <w:tcW w:w="360" w:type="dxa"/>
            <w:vAlign w:val="bottom"/>
          </w:tcPr>
          <w:p>
            <w:pPr>
              <w:spacing w:after="0"/>
              <w:rPr>
                <w:sz w:val="16"/>
                <w:szCs w:val="16"/>
                <w:color w:val="auto"/>
              </w:rPr>
            </w:pPr>
          </w:p>
        </w:tc>
        <w:tc>
          <w:tcPr>
            <w:tcW w:w="2260" w:type="dxa"/>
            <w:vAlign w:val="bottom"/>
            <w:gridSpan w:val="6"/>
            <w:vMerge w:val="restart"/>
          </w:tcPr>
          <w:p>
            <w:pPr>
              <w:jc w:val="right"/>
              <w:ind w:right="480"/>
              <w:spacing w:after="0"/>
              <w:rPr>
                <w:sz w:val="20"/>
                <w:szCs w:val="20"/>
                <w:color w:val="auto"/>
              </w:rPr>
            </w:pPr>
            <w:r>
              <w:rPr>
                <w:rFonts w:ascii="Arial" w:cs="Arial" w:eastAsia="Arial" w:hAnsi="Arial"/>
                <w:sz w:val="15"/>
                <w:szCs w:val="15"/>
                <w:b w:val="1"/>
                <w:bCs w:val="1"/>
                <w:color w:val="auto"/>
                <w:w w:val="90"/>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740" w:type="dxa"/>
            <w:vAlign w:val="bottom"/>
            <w:gridSpan w:val="6"/>
            <w:vMerge w:val="continue"/>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4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41,803</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19,840</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32,841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18,148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Actaris acquisition opening balance/adjustments</w:t>
            </w:r>
          </w:p>
        </w:tc>
        <w:tc>
          <w:tcPr>
            <w:tcW w:w="74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635</w:t>
            </w:r>
          </w:p>
        </w:tc>
        <w:tc>
          <w:tcPr>
            <w:tcW w:w="240" w:type="dxa"/>
            <w:vAlign w:val="bottom"/>
          </w:tcPr>
          <w:p>
            <w:pPr>
              <w:spacing w:after="0"/>
              <w:rPr>
                <w:sz w:val="15"/>
                <w:szCs w:val="15"/>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5"/>
                <w:szCs w:val="15"/>
                <w:color w:val="auto"/>
              </w:rPr>
              <w:t>17,769</w:t>
            </w: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6,942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17,769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New product warranties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1,013</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3,934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Other changes/adjustments to warranties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2,388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5"/>
                <w:szCs w:val="15"/>
                <w:color w:val="auto"/>
              </w:rPr>
              <w:t>338</w:t>
            </w: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4,089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3,274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Claims activity</w:t>
            </w:r>
          </w:p>
        </w:tc>
        <w:tc>
          <w:tcPr>
            <w:tcW w:w="7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(3,936)</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(2,655)</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(7,516)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Effect of change in exchange rates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5"/>
                <w:szCs w:val="15"/>
                <w:color w:val="auto"/>
              </w:rPr>
              <w:t>(115)</w:t>
            </w: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1,894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Ending balance</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42,184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36,190</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42,184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36,190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Less: current portion of warranty</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23,693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18,861</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23,693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18,861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Long-term warranty</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18,491</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17,329</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18,491</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17,329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Total warranty expense, which consists of new product warranties issued and other changes and adjustments to warranties, totaled approximately $3.7 and $1.4 million for the three months ended June 30, 2008 and 2007, and approximately $8.0 million and $5.0 million for the six months ended June 30, 2008 and 2007,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Health Benefits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are self insured for a substantial portion of the cost of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$4.3 million and $4.1 million for the three months ended June 30, 2008 and 2007, and $9.4 million and $7.9 million for the six months ended June 30, 2008 and 2007, respectively. The IBNR accrual, which is included in wages and benefits payable, was $2.7 million and $2.1 million at June 30, 2008 and December 31, 2007, respectively. Our IBNR accrual and expenses can fluctuate due to the number of plan participants, claims activity and deductible limits. Our U.S. employees from the Actaris acquisition were transferred from a fully insured plan and added to our self-insured group health insurance at the beginning of 2008, resulting in higher 2008 self-insurance expenses compared with 2007. For our employees located outside of the United States, health benefits are provided primarily through governmental social plans, which are funded through employee and employer tax withholdings.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Contingencies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An estimated loss for a contingency is recorded if it is probable that an asset has been impaired or a liability has been incurred and the amount of the loss can be reasonably estimated. We evaluate, among other factors, the degree of probability of an unfavorable outcome and the ability to make a reasonable estimate of the amount of the ultimate loss. Changes in these factors and related estimates could materially affect our financial position and results of operations.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Bonus and Profit Sharing</w:t>
      </w:r>
    </w:p>
    <w:p>
      <w:pPr>
        <w:spacing w:after="0" w:line="1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have employee bonus and profit sharing plans in which many of our employees participate, which provide award amounts for the achievement of annual 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An accrual is recorded if management determines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estimates made in earlier quarters.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Defined Benefit Pension Plans</w:t>
      </w:r>
    </w:p>
    <w:p>
      <w:pPr>
        <w:spacing w:after="0" w:line="1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We sponsor both funded and unfunded non-U.S. defined benefit pension plans. SFAS 87, </w:t>
      </w:r>
      <w:r>
        <w:rPr>
          <w:rFonts w:ascii="Arial" w:cs="Arial" w:eastAsia="Arial" w:hAnsi="Arial"/>
          <w:sz w:val="14"/>
          <w:szCs w:val="14"/>
          <w:i w:val="1"/>
          <w:iCs w:val="1"/>
          <w:color w:val="auto"/>
        </w:rPr>
        <w:t>Employers' Accounting for Pensions</w:t>
      </w:r>
      <w:r>
        <w:rPr>
          <w:rFonts w:ascii="Arial" w:cs="Arial" w:eastAsia="Arial" w:hAnsi="Arial"/>
          <w:sz w:val="14"/>
          <w:szCs w:val="14"/>
          <w:color w:val="auto"/>
        </w:rPr>
        <w:t xml:space="preserve">, as amended by SFAS 158, </w:t>
      </w:r>
      <w:r>
        <w:rPr>
          <w:rFonts w:ascii="Arial" w:cs="Arial" w:eastAsia="Arial" w:hAnsi="Arial"/>
          <w:sz w:val="14"/>
          <w:szCs w:val="14"/>
          <w:i w:val="1"/>
          <w:iCs w:val="1"/>
          <w:color w:val="auto"/>
        </w:rPr>
        <w:t>Employers' 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Defined Benefit Pension and Other Postretirement Plans</w:t>
      </w:r>
      <w:r>
        <w:rPr>
          <w:rFonts w:ascii="Arial" w:cs="Arial" w:eastAsia="Arial" w:hAnsi="Arial"/>
          <w:sz w:val="14"/>
          <w:szCs w:val="14"/>
          <w:color w:val="auto"/>
        </w:rPr>
        <w:t>, requires the assets acquired and liabilities assumed in a business combination to include a liability for the projected benefit</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 in excess of plan assets or an asset for plan assets in excess of the projected benefit obligation. SFAS 158 also requires employers to recognize the funded status of their defined benefit pension plans on their consolidated balance sheet and recognize as a component of other comprehensive income, net of tax, the actuarial gains or losses, prior service costs or credits and transition assets or obligations, if any, that arise during the period but are not recognized as components of net periodic benefit cost.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Income Taxes</w:t>
      </w:r>
    </w:p>
    <w:p>
      <w:pPr>
        <w:spacing w:after="0" w:line="1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account for income taxes using the asset and liability method. Under this method, deferred income taxes are recorded for the temporary differences between the financial reporting basis and tax basis of our assets and liabilities in each of the tax jurisdictions in which we operate. These deferred taxes are measured using the tax rates expected to be in effect when the temporary differences reverse. We establish a valuation allowance for a portion of the deferred tax asset when we believe it is more likely than not that a portion of the deferred tax asset will not be utilized. Deferred tax liabilities have not been recorded on undistributed earnings of international subsidiaries that are permanently reinvested.</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 xml:space="preserve">We evaluate whether our tax benefits claimed or expected to be claimed on a tax return should be recorded in the financial statements in accordance with Financial Accounting Standards Board (FASB) Interpretation 48, </w:t>
      </w:r>
      <w:r>
        <w:rPr>
          <w:rFonts w:ascii="Arial" w:cs="Arial" w:eastAsia="Arial" w:hAnsi="Arial"/>
          <w:sz w:val="13"/>
          <w:szCs w:val="13"/>
          <w:i w:val="1"/>
          <w:iCs w:val="1"/>
          <w:color w:val="auto"/>
        </w:rPr>
        <w:t>Accounting for Uncertainty in Income Taxes – an Interpretation of FASB 109</w:t>
      </w:r>
      <w:r>
        <w:rPr>
          <w:rFonts w:ascii="Arial" w:cs="Arial" w:eastAsia="Arial" w:hAnsi="Arial"/>
          <w:sz w:val="13"/>
          <w:szCs w:val="13"/>
          <w:color w:val="auto"/>
        </w:rPr>
        <w:t xml:space="preserve"> (FIN 48). Under FIN 48, we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We classify interest expense and penalties related to unrecognized tax benefits and interest income on tax overpayments as components of income tax expense.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 w:name="page10"/>
    <w:bookmarkEnd w:id="9"/>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9"/>
        <w:spacing w:after="0"/>
        <w:rPr>
          <w:sz w:val="20"/>
          <w:szCs w:val="20"/>
          <w:color w:val="auto"/>
        </w:rPr>
      </w:pPr>
      <w:r>
        <w:rPr>
          <w:rFonts w:ascii="Arial" w:cs="Arial" w:eastAsia="Arial" w:hAnsi="Arial"/>
          <w:sz w:val="15"/>
          <w:szCs w:val="15"/>
          <w:i w:val="1"/>
          <w:iCs w:val="1"/>
          <w:color w:val="auto"/>
        </w:rPr>
        <w:t>Foreign Exchange</w:t>
      </w:r>
    </w:p>
    <w:p>
      <w:pPr>
        <w:spacing w:after="0" w:line="18" w:lineRule="exact"/>
        <w:rPr>
          <w:sz w:val="20"/>
          <w:szCs w:val="20"/>
          <w:color w:val="auto"/>
        </w:rPr>
      </w:pPr>
    </w:p>
    <w:p>
      <w:pPr>
        <w:jc w:val="both"/>
        <w:ind w:left="9"/>
        <w:spacing w:after="0" w:line="277" w:lineRule="auto"/>
        <w:rPr>
          <w:sz w:val="20"/>
          <w:szCs w:val="20"/>
          <w:color w:val="auto"/>
        </w:rPr>
      </w:pPr>
      <w:r>
        <w:rPr>
          <w:rFonts w:ascii="Arial" w:cs="Arial" w:eastAsia="Arial" w:hAnsi="Arial"/>
          <w:sz w:val="14"/>
          <w:szCs w:val="14"/>
          <w:color w:val="auto"/>
        </w:rPr>
        <w:t>Our condensed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the functional currency are included in the Condensed Consolidated Statements of Operations. Currency gains and losses of intercompany balances deemed to be long-term in nature or considered to be hedges of the net investment in international subsidiaries are included, net of tax, in accumulated other comprehensive income in shareholders’ equity.</w:t>
      </w:r>
    </w:p>
    <w:p>
      <w:pPr>
        <w:spacing w:after="0" w:line="170" w:lineRule="exact"/>
        <w:rPr>
          <w:sz w:val="20"/>
          <w:szCs w:val="20"/>
          <w:color w:val="auto"/>
        </w:rPr>
      </w:pPr>
    </w:p>
    <w:p>
      <w:pPr>
        <w:ind w:left="269"/>
        <w:spacing w:after="0"/>
        <w:rPr>
          <w:sz w:val="20"/>
          <w:szCs w:val="20"/>
          <w:color w:val="auto"/>
        </w:rPr>
      </w:pPr>
      <w:r>
        <w:rPr>
          <w:rFonts w:ascii="Arial" w:cs="Arial" w:eastAsia="Arial" w:hAnsi="Arial"/>
          <w:sz w:val="15"/>
          <w:szCs w:val="15"/>
          <w:i w:val="1"/>
          <w:iCs w:val="1"/>
          <w:color w:val="auto"/>
        </w:rPr>
        <w:t>Revenue Recognition</w:t>
      </w:r>
    </w:p>
    <w:p>
      <w:pPr>
        <w:spacing w:after="0" w:line="18" w:lineRule="exact"/>
        <w:rPr>
          <w:sz w:val="20"/>
          <w:szCs w:val="20"/>
          <w:color w:val="auto"/>
        </w:rPr>
      </w:pPr>
    </w:p>
    <w:p>
      <w:pPr>
        <w:jc w:val="both"/>
        <w:ind w:left="9"/>
        <w:spacing w:after="0" w:line="278" w:lineRule="auto"/>
        <w:rPr>
          <w:sz w:val="20"/>
          <w:szCs w:val="20"/>
          <w:color w:val="auto"/>
        </w:rPr>
      </w:pPr>
      <w:r>
        <w:rPr>
          <w:rFonts w:ascii="Arial" w:cs="Arial" w:eastAsia="Arial" w:hAnsi="Arial"/>
          <w:sz w:val="14"/>
          <w:szCs w:val="14"/>
          <w:color w:val="auto"/>
        </w:rPr>
        <w:t xml:space="preserve">Revenues consist primarily of hardware sales, software license fees, software implementation, project management services, installation, consulting and post-sale maintenance support. In determining appropriate revenue recognition, we primarily consider the provisions of the following accounting pronouncements: Staff Accounting Bulletin 104, </w:t>
      </w:r>
      <w:r>
        <w:rPr>
          <w:rFonts w:ascii="Arial" w:cs="Arial" w:eastAsia="Arial" w:hAnsi="Arial"/>
          <w:sz w:val="14"/>
          <w:szCs w:val="14"/>
          <w:i w:val="1"/>
          <w:iCs w:val="1"/>
          <w:color w:val="auto"/>
        </w:rPr>
        <w:t>Revenue Recognition in</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Statements</w:t>
      </w:r>
      <w:r>
        <w:rPr>
          <w:rFonts w:ascii="Arial" w:cs="Arial" w:eastAsia="Arial" w:hAnsi="Arial"/>
          <w:sz w:val="14"/>
          <w:szCs w:val="14"/>
          <w:color w:val="auto"/>
        </w:rPr>
        <w:t>, FASB’s Emerging Issues Task Force (EITF) 00-21,</w:t>
      </w:r>
      <w:r>
        <w:rPr>
          <w:rFonts w:ascii="Arial" w:cs="Arial" w:eastAsia="Arial" w:hAnsi="Arial"/>
          <w:sz w:val="14"/>
          <w:szCs w:val="14"/>
          <w:i w:val="1"/>
          <w:iCs w:val="1"/>
          <w:color w:val="auto"/>
        </w:rPr>
        <w:t xml:space="preserve"> Revenue Arrangements with Multiple Deliverables</w:t>
      </w:r>
      <w:r>
        <w:rPr>
          <w:rFonts w:ascii="Arial" w:cs="Arial" w:eastAsia="Arial" w:hAnsi="Arial"/>
          <w:sz w:val="14"/>
          <w:szCs w:val="14"/>
          <w:color w:val="auto"/>
        </w:rPr>
        <w:t>, Statement of Position (SOP) 97-2,</w:t>
      </w:r>
      <w:r>
        <w:rPr>
          <w:rFonts w:ascii="Arial" w:cs="Arial" w:eastAsia="Arial" w:hAnsi="Arial"/>
          <w:sz w:val="14"/>
          <w:szCs w:val="14"/>
          <w:i w:val="1"/>
          <w:iCs w:val="1"/>
          <w:color w:val="auto"/>
        </w:rPr>
        <w:t xml:space="preserve"> Software Revenue Recognition, </w:t>
      </w:r>
      <w:r>
        <w:rPr>
          <w:rFonts w:ascii="Arial" w:cs="Arial" w:eastAsia="Arial" w:hAnsi="Arial"/>
          <w:sz w:val="14"/>
          <w:szCs w:val="14"/>
          <w:color w:val="auto"/>
        </w:rPr>
        <w:t>SOP 81-1,</w:t>
      </w:r>
      <w:r>
        <w:rPr>
          <w:rFonts w:ascii="Arial" w:cs="Arial" w:eastAsia="Arial" w:hAnsi="Arial"/>
          <w:sz w:val="14"/>
          <w:szCs w:val="14"/>
          <w:i w:val="1"/>
          <w:iCs w:val="1"/>
          <w:color w:val="auto"/>
        </w:rPr>
        <w:t xml:space="preserve"> Accounting for Performance of Construction-Type and Certain Production-Type Contracts </w:t>
      </w:r>
      <w:r>
        <w:rPr>
          <w:rFonts w:ascii="Arial" w:cs="Arial" w:eastAsia="Arial" w:hAnsi="Arial"/>
          <w:sz w:val="14"/>
          <w:szCs w:val="14"/>
          <w:color w:val="auto"/>
        </w:rPr>
        <w:t>and EITF 03-5,</w:t>
      </w:r>
      <w:r>
        <w:rPr>
          <w:rFonts w:ascii="Arial" w:cs="Arial" w:eastAsia="Arial" w:hAnsi="Arial"/>
          <w:sz w:val="14"/>
          <w:szCs w:val="14"/>
          <w:i w:val="1"/>
          <w:iCs w:val="1"/>
          <w:color w:val="auto"/>
        </w:rPr>
        <w:t xml:space="preserve"> Applicability of AICPA Statement of Position 97-2 to Non-Software Deliverables in an Arrangement Containing More-Than-Incidental Software </w:t>
      </w:r>
      <w:r>
        <w:rPr>
          <w:rFonts w:ascii="Arial" w:cs="Arial" w:eastAsia="Arial" w:hAnsi="Arial"/>
          <w:sz w:val="14"/>
          <w:szCs w:val="14"/>
          <w:color w:val="auto"/>
        </w:rPr>
        <w:t>in determining the appropriate revenue recognition policy.</w:t>
      </w:r>
    </w:p>
    <w:p>
      <w:pPr>
        <w:spacing w:after="0" w:line="171" w:lineRule="exact"/>
        <w:rPr>
          <w:sz w:val="20"/>
          <w:szCs w:val="20"/>
          <w:color w:val="auto"/>
        </w:rPr>
      </w:pPr>
    </w:p>
    <w:p>
      <w:pPr>
        <w:jc w:val="both"/>
        <w:ind w:left="9"/>
        <w:spacing w:after="0" w:line="257" w:lineRule="auto"/>
        <w:rPr>
          <w:sz w:val="20"/>
          <w:szCs w:val="20"/>
          <w:color w:val="auto"/>
        </w:rPr>
      </w:pPr>
      <w:r>
        <w:rPr>
          <w:rFonts w:ascii="Arial" w:cs="Arial" w:eastAsia="Arial" w:hAnsi="Arial"/>
          <w:sz w:val="15"/>
          <w:szCs w:val="15"/>
          <w:color w:val="auto"/>
        </w:rPr>
        <w:t>Revenue arrangements with multiple deliverables are divided into separate units of accounting if the delivered item(s) have value to the customer on a standalone basis, there is objective and reliable evidence of fair value of both the delivered and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without being contingent upon the delivery/performance of additional items.</w:t>
      </w:r>
    </w:p>
    <w:p>
      <w:pPr>
        <w:spacing w:after="0" w:line="186" w:lineRule="exact"/>
        <w:rPr>
          <w:sz w:val="20"/>
          <w:szCs w:val="20"/>
          <w:color w:val="auto"/>
        </w:rPr>
      </w:pPr>
    </w:p>
    <w:p>
      <w:pPr>
        <w:ind w:left="9"/>
        <w:spacing w:after="0"/>
        <w:rPr>
          <w:sz w:val="20"/>
          <w:szCs w:val="20"/>
          <w:color w:val="auto"/>
        </w:rPr>
      </w:pPr>
      <w:r>
        <w:rPr>
          <w:rFonts w:ascii="Arial" w:cs="Arial" w:eastAsia="Arial" w:hAnsi="Arial"/>
          <w:sz w:val="13"/>
          <w:szCs w:val="13"/>
          <w:color w:val="auto"/>
        </w:rPr>
        <w:t>Revenues are recognized when (1) persuasive evidence of an arrangement exists, (2) delivery has occurred or services have been rendered, (3) the sales price is fixed or determinable and</w:t>
      </w:r>
    </w:p>
    <w:p>
      <w:pPr>
        <w:spacing w:after="0" w:line="41" w:lineRule="exact"/>
        <w:rPr>
          <w:sz w:val="20"/>
          <w:szCs w:val="20"/>
          <w:color w:val="auto"/>
        </w:rPr>
      </w:pPr>
    </w:p>
    <w:p>
      <w:pPr>
        <w:jc w:val="both"/>
        <w:ind w:left="9" w:hanging="9"/>
        <w:spacing w:after="0" w:line="255" w:lineRule="auto"/>
        <w:tabs>
          <w:tab w:leader="none" w:pos="227" w:val="left"/>
        </w:tabs>
        <w:numPr>
          <w:ilvl w:val="0"/>
          <w:numId w:val="3"/>
        </w:numPr>
        <w:rPr>
          <w:rFonts w:ascii="Arial" w:cs="Arial" w:eastAsia="Arial" w:hAnsi="Arial"/>
          <w:sz w:val="15"/>
          <w:szCs w:val="15"/>
          <w:color w:val="auto"/>
        </w:rPr>
      </w:pPr>
      <w:r>
        <w:rPr>
          <w:rFonts w:ascii="Arial" w:cs="Arial" w:eastAsia="Arial" w:hAnsi="Arial"/>
          <w:sz w:val="15"/>
          <w:szCs w:val="15"/>
          <w:color w:val="auto"/>
        </w:rPr>
        <w:t>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vendor-specific objective evidence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cannot be reliably estimated. Hardware and software post-sale maintenance support fees are recognized ratably over the life of the related service contract.</w:t>
      </w:r>
    </w:p>
    <w:p>
      <w:pPr>
        <w:spacing w:after="0" w:line="186" w:lineRule="exact"/>
        <w:rPr>
          <w:sz w:val="20"/>
          <w:szCs w:val="20"/>
          <w:color w:val="auto"/>
        </w:rPr>
      </w:pPr>
    </w:p>
    <w:p>
      <w:pPr>
        <w:jc w:val="both"/>
        <w:ind w:left="9"/>
        <w:spacing w:after="0" w:line="324" w:lineRule="auto"/>
        <w:rPr>
          <w:sz w:val="20"/>
          <w:szCs w:val="20"/>
          <w:color w:val="auto"/>
        </w:rPr>
      </w:pPr>
      <w:r>
        <w:rPr>
          <w:rFonts w:ascii="Arial" w:cs="Arial" w:eastAsia="Arial" w:hAnsi="Arial"/>
          <w:sz w:val="13"/>
          <w:szCs w:val="13"/>
          <w:color w:val="auto"/>
        </w:rPr>
        <w:t>Unearned revenue is recorded for products or services for which cash has been received from a customer, but for which the criteria for revenue recognition have not been met as of the balance sheet date. Shipping and handling costs and incidental expenses, which are commonly referred to as "out-of-pocket" expenses, billed to customers are recorded as revenue, with the associated cost charged to cost of revenues. We record sales, use and value added taxes billed to our customers on a net basis in our Condensed Consolidated Statements of Operations.</w:t>
      </w:r>
    </w:p>
    <w:p>
      <w:pPr>
        <w:spacing w:after="0" w:line="144" w:lineRule="exact"/>
        <w:rPr>
          <w:sz w:val="20"/>
          <w:szCs w:val="20"/>
          <w:color w:val="auto"/>
        </w:rPr>
      </w:pPr>
    </w:p>
    <w:p>
      <w:pPr>
        <w:ind w:left="269"/>
        <w:spacing w:after="0"/>
        <w:rPr>
          <w:sz w:val="20"/>
          <w:szCs w:val="20"/>
          <w:color w:val="auto"/>
        </w:rPr>
      </w:pPr>
      <w:r>
        <w:rPr>
          <w:rFonts w:ascii="Arial" w:cs="Arial" w:eastAsia="Arial" w:hAnsi="Arial"/>
          <w:sz w:val="15"/>
          <w:szCs w:val="15"/>
          <w:i w:val="1"/>
          <w:iCs w:val="1"/>
          <w:color w:val="auto"/>
        </w:rPr>
        <w:t>Product and Software Development Costs</w:t>
      </w:r>
    </w:p>
    <w:p>
      <w:pPr>
        <w:spacing w:after="0" w:line="18" w:lineRule="exact"/>
        <w:rPr>
          <w:sz w:val="20"/>
          <w:szCs w:val="20"/>
          <w:color w:val="auto"/>
        </w:rPr>
      </w:pPr>
    </w:p>
    <w:p>
      <w:pPr>
        <w:jc w:val="both"/>
        <w:ind w:left="9"/>
        <w:spacing w:after="0" w:line="257" w:lineRule="auto"/>
        <w:rPr>
          <w:sz w:val="20"/>
          <w:szCs w:val="20"/>
          <w:color w:val="auto"/>
        </w:rPr>
      </w:pPr>
      <w:r>
        <w:rPr>
          <w:rFonts w:ascii="Arial" w:cs="Arial" w:eastAsia="Arial" w:hAnsi="Arial"/>
          <w:sz w:val="15"/>
          <w:szCs w:val="15"/>
          <w:color w:val="auto"/>
        </w:rPr>
        <w:t xml:space="preserve">Product and software development costs primarily include payroll and third party contracting fees. For software we develop to be marketed or sold, SFAS 86, </w:t>
      </w:r>
      <w:r>
        <w:rPr>
          <w:rFonts w:ascii="Arial" w:cs="Arial" w:eastAsia="Arial" w:hAnsi="Arial"/>
          <w:sz w:val="15"/>
          <w:szCs w:val="15"/>
          <w:i w:val="1"/>
          <w:iCs w:val="1"/>
          <w:color w:val="auto"/>
        </w:rPr>
        <w:t>Accounting for the Costs of</w:t>
      </w:r>
      <w:r>
        <w:rPr>
          <w:rFonts w:ascii="Arial" w:cs="Arial" w:eastAsia="Arial" w:hAnsi="Arial"/>
          <w:sz w:val="15"/>
          <w:szCs w:val="15"/>
          <w:color w:val="auto"/>
        </w:rPr>
        <w:t xml:space="preserve"> </w:t>
      </w:r>
      <w:r>
        <w:rPr>
          <w:rFonts w:ascii="Arial" w:cs="Arial" w:eastAsia="Arial" w:hAnsi="Arial"/>
          <w:sz w:val="15"/>
          <w:szCs w:val="15"/>
          <w:i w:val="1"/>
          <w:iCs w:val="1"/>
          <w:color w:val="auto"/>
        </w:rPr>
        <w:t>Computer Software to be Sold, Leased or Otherwise Marketed (as amended)</w:t>
      </w:r>
      <w:r>
        <w:rPr>
          <w:rFonts w:ascii="Arial" w:cs="Arial" w:eastAsia="Arial" w:hAnsi="Arial"/>
          <w:sz w:val="15"/>
          <w:szCs w:val="15"/>
          <w:color w:val="auto"/>
        </w:rPr>
        <w:t>, requires the capitalization of development costs after technological feasibility is established. Due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relatively short period of time between technological feasibility and the completion of product and software development, and the immaterial nature of these costs, we generally do not capitalize product and software development expenses.</w:t>
      </w:r>
    </w:p>
    <w:p>
      <w:pPr>
        <w:spacing w:after="0" w:line="200" w:lineRule="exact"/>
        <w:rPr>
          <w:sz w:val="20"/>
          <w:szCs w:val="20"/>
          <w:color w:val="auto"/>
        </w:rPr>
      </w:pPr>
    </w:p>
    <w:p>
      <w:pPr>
        <w:spacing w:after="0" w:line="39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Earnings Per Share</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Basic earnings per share (EPS) is calculated using net income divided by the weighted average common shares outstanding during the period. We compute dilutive EPS by adjusting the weighted average number of common shares outstanding to consider the effect of potentially dilutive securities, including stock-based awards and our convertible notes. Shares calculated to be contingently issuable are included in the dilutive EPS calculation as of the beginning of the period when all necessary conditions have been satisfied. For periods in which we report a net loss, diluted net loss per share is the same as basic net loss per share.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Stock-Based Compensation</w:t>
      </w:r>
    </w:p>
    <w:p>
      <w:pPr>
        <w:spacing w:after="0" w:line="18"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 xml:space="preserve">SFAS 123(R), </w:t>
      </w:r>
      <w:r>
        <w:rPr>
          <w:rFonts w:ascii="Arial" w:cs="Arial" w:eastAsia="Arial" w:hAnsi="Arial"/>
          <w:sz w:val="15"/>
          <w:szCs w:val="15"/>
          <w:i w:val="1"/>
          <w:iCs w:val="1"/>
          <w:color w:val="auto"/>
        </w:rPr>
        <w:t>Share-Based Payment</w:t>
      </w:r>
      <w:r>
        <w:rPr>
          <w:rFonts w:ascii="Arial" w:cs="Arial" w:eastAsia="Arial" w:hAnsi="Arial"/>
          <w:sz w:val="15"/>
          <w:szCs w:val="15"/>
          <w:color w:val="auto"/>
        </w:rPr>
        <w:t>, requires the measurement and recognition of compensation expense for all stock-based awards made to employees and directors, based on estimated fair values. We record stock-based compensation expenses under SFAS 123(R) for awards of stock options, our Employee Stock Purchase Plan (ESPP) and issuance of restricted and unrestricted stock awards and units. The fair value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using the straight-line method over the requisite service period. A substantial portion of our stock-based compensation cannot be expensed for tax purposes. If we were to have tax deductions in excess of the compensation cost, they would be classified as financing cash inflows in the Condensed Consolidated Statements of Cash Flows.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Fair Value Measurements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SFAS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became effective on January 1, 2008 and establishes a framework for measuring fair value, expands disclosures about fair value measurements of our financial assets and liabilities and specifies a hierarchy of valuation techniques based on whether the inputs used are observable or unobservable. The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The disclosure requirements include the fair value measurement at the reporting date and the level within the fair value hierarchy in which the fair value measurements fall. For fair value measurements using Level 3 inputs, a reconciliation of the beginning and ending balances is disclosed.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Use of Estimates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Reclassifications</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 a result of our Actaris acquisition, certain prior year balances have been reclassified to conform to the current year presentation. Such reclassifications did not affect total revenues, operating income, net income, total current or long-term assets or liabilities or net cash provided by operating activities.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New Accounting Pronouncements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In December 2007, the FASB issued SFAS 141(R), </w:t>
      </w:r>
      <w:r>
        <w:rPr>
          <w:rFonts w:ascii="Arial" w:cs="Arial" w:eastAsia="Arial" w:hAnsi="Arial"/>
          <w:sz w:val="14"/>
          <w:szCs w:val="14"/>
          <w:i w:val="1"/>
          <w:iCs w:val="1"/>
          <w:color w:val="auto"/>
        </w:rPr>
        <w:t>Business Combinations</w:t>
      </w:r>
      <w:r>
        <w:rPr>
          <w:rFonts w:ascii="Arial" w:cs="Arial" w:eastAsia="Arial" w:hAnsi="Arial"/>
          <w:sz w:val="14"/>
          <w:szCs w:val="14"/>
          <w:color w:val="auto"/>
        </w:rPr>
        <w:t>, which replaces SFAS 141. SFAS 141(R) retains the fundamental purchase method of accounting for acquisitions, but requires a number of changes, including the way assets and liabilities are recognized in purchase accounting. SFAS 141(R) requires the recognition of assets acquired and liabilities assumed arising from contingencies to be recorded at fair value on the acquisition date; that in-process research and development be capitalized as an intangible asset and amortized over its estimated useful life; and that acquisition-related costs are expensed as incurred. SFAS 141(R) also requires that restructuring costs generally be expensed in periods subsequent to the acquisition date and that changes in accounting for deferred tax asset valuation allowances and acquired income tax uncertainties after the measurement period be recognized as a component of provision for taxes. SFAS 141(R) is effective for business combinations for which the acquisition date is on or after the beginning of the first annual reporting period beginning on or after December 15, 2008. We will apply SFAS 141(R) to any acquisition after the date of adoption.</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In February 2008, the FASB issued FASB Staff Position (FSP) 157-2, </w:t>
      </w:r>
      <w:r>
        <w:rPr>
          <w:rFonts w:ascii="Arial" w:cs="Arial" w:eastAsia="Arial" w:hAnsi="Arial"/>
          <w:sz w:val="15"/>
          <w:szCs w:val="15"/>
          <w:i w:val="1"/>
          <w:iCs w:val="1"/>
          <w:color w:val="auto"/>
        </w:rPr>
        <w:t>Effective Date of FASB Statement No. 157</w:t>
      </w:r>
      <w:r>
        <w:rPr>
          <w:rFonts w:ascii="Arial" w:cs="Arial" w:eastAsia="Arial" w:hAnsi="Arial"/>
          <w:sz w:val="15"/>
          <w:szCs w:val="15"/>
          <w:color w:val="auto"/>
        </w:rPr>
        <w:t xml:space="preserve">, which delays the effective date of SFAS 157 for nonfinancial assets and nonfinancial liabilities, except those that are recognized or disclosed at fair value in the financial statements on a recurring basis (at least annually) to fiscal years beginning after November 15, 2008 and interim periods within those fiscal years (see Note 1, </w:t>
      </w:r>
      <w:r>
        <w:rPr>
          <w:rFonts w:ascii="Arial" w:cs="Arial" w:eastAsia="Arial" w:hAnsi="Arial"/>
          <w:sz w:val="15"/>
          <w:szCs w:val="15"/>
          <w:i w:val="1"/>
          <w:iCs w:val="1"/>
          <w:color w:val="auto"/>
        </w:rPr>
        <w:t>Fair Value Measurements</w:t>
      </w:r>
      <w:r>
        <w:rPr>
          <w:rFonts w:ascii="Arial" w:cs="Arial" w:eastAsia="Arial" w:hAnsi="Arial"/>
          <w:sz w:val="15"/>
          <w:szCs w:val="15"/>
          <w:color w:val="auto"/>
        </w:rPr>
        <w:t>). We are currently assessing the impact of SFAS 157 for nonfinancial assets and nonfinancial liabilities on our condensed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 xml:space="preserve">In December 2007, the FASB issued SFAS 160, </w:t>
      </w:r>
      <w:r>
        <w:rPr>
          <w:rFonts w:ascii="Arial" w:cs="Arial" w:eastAsia="Arial" w:hAnsi="Arial"/>
          <w:sz w:val="14"/>
          <w:szCs w:val="14"/>
          <w:i w:val="1"/>
          <w:iCs w:val="1"/>
          <w:color w:val="auto"/>
        </w:rPr>
        <w:t>Noncontrolling Interests in Consolidated Financial Statements - an amendment of ARB No. 51</w:t>
      </w:r>
      <w:r>
        <w:rPr>
          <w:rFonts w:ascii="Arial" w:cs="Arial" w:eastAsia="Arial" w:hAnsi="Arial"/>
          <w:sz w:val="14"/>
          <w:szCs w:val="14"/>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2009. SFAS 160 is currently not expected to have a material effect on our condensed consolidated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In March 2008, the FASB issued SFAS 161, </w:t>
      </w:r>
      <w:r>
        <w:rPr>
          <w:rFonts w:ascii="Arial" w:cs="Arial" w:eastAsia="Arial" w:hAnsi="Arial"/>
          <w:sz w:val="15"/>
          <w:szCs w:val="15"/>
          <w:i w:val="1"/>
          <w:iCs w:val="1"/>
          <w:color w:val="auto"/>
        </w:rPr>
        <w:t>Disclosures about Derivative Instruments and Hedging Activities – an amendment of FASB Statement 133</w:t>
      </w:r>
      <w:r>
        <w:rPr>
          <w:rFonts w:ascii="Arial" w:cs="Arial" w:eastAsia="Arial" w:hAnsi="Arial"/>
          <w:sz w:val="15"/>
          <w:szCs w:val="15"/>
          <w:color w:val="auto"/>
        </w:rPr>
        <w:t>, which requires enhanced disclosures about how and why derivative instruments are used, how derivative instruments and related hedged items are accounted for under SFAS 133 and its related interpretations and how derivative instruments and related hedged items affect an entity’s financial position, financial performance and cash flows. SFAS 161 also requires the fair values of derivative instruments and their gains and losses to be disclosed in a tabular format. SFAS 161 does not change how we record and account for derivative instruments. SFAS 161 is effective for fiscal years and interim periods beginning after November 15, 2008 and will be adopted by us in the first quarter of 2009.</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In May 2008, the FASB issued FSP APB 14-1, </w:t>
      </w:r>
      <w:r>
        <w:rPr>
          <w:rFonts w:ascii="Arial" w:cs="Arial" w:eastAsia="Arial" w:hAnsi="Arial"/>
          <w:sz w:val="14"/>
          <w:szCs w:val="14"/>
          <w:i w:val="1"/>
          <w:iCs w:val="1"/>
          <w:color w:val="auto"/>
        </w:rPr>
        <w:t>Accounting for Convertible Debt Instruments That May Be Settled in Cash upon Conversion</w:t>
      </w:r>
      <w:r>
        <w:rPr>
          <w:rFonts w:ascii="Arial" w:cs="Arial" w:eastAsia="Arial" w:hAnsi="Arial"/>
          <w:sz w:val="14"/>
          <w:szCs w:val="14"/>
          <w:color w:val="auto"/>
        </w:rPr>
        <w:t>, addressing convertible instruments that may be settled in cash upon conversion. This FSP requires, among other things, the issuer to separately account for the liability and equity components of the convertible instrument in a manner that reflects the issuer’s non-convertible debt borrowing rate. This FSP is effective for financial statements issued for fiscal years and interim periods beginning after December 15, 2008 and must be applied retrospectively to all periods presented at the time of adoption. We will adopt the FSP on January 1, 2009. We expect the impact of the FSP to be significant to our condensed consolidated financial statements and are currently evaluating the impact on specific accounts and disclosures.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8"/>
        </w:trPr>
        <w:tc>
          <w:tcPr>
            <w:tcW w:w="608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080" w:type="dxa"/>
            <w:vAlign w:val="bottom"/>
            <w:gridSpan w:val="3"/>
          </w:tcPr>
          <w:p>
            <w:pPr>
              <w:spacing w:after="0"/>
              <w:rPr>
                <w:sz w:val="20"/>
                <w:szCs w:val="20"/>
                <w:color w:val="auto"/>
              </w:rPr>
            </w:pPr>
            <w:r>
              <w:rPr>
                <w:rFonts w:ascii="Arial" w:cs="Arial" w:eastAsia="Arial" w:hAnsi="Arial"/>
                <w:sz w:val="15"/>
                <w:szCs w:val="15"/>
                <w:b w:val="1"/>
                <w:bCs w:val="1"/>
                <w:color w:val="auto"/>
              </w:rPr>
              <w:t>Note 2:  Earnings Per Share and Capital Structure</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6080" w:type="dxa"/>
            <w:vAlign w:val="bottom"/>
            <w:gridSpan w:val="3"/>
          </w:tcPr>
          <w:p>
            <w:pPr>
              <w:spacing w:after="0"/>
              <w:rPr>
                <w:sz w:val="20"/>
                <w:szCs w:val="20"/>
                <w:color w:val="auto"/>
              </w:rPr>
            </w:pPr>
            <w:r>
              <w:rPr>
                <w:rFonts w:ascii="Arial" w:cs="Arial" w:eastAsia="Arial" w:hAnsi="Arial"/>
                <w:sz w:val="15"/>
                <w:szCs w:val="15"/>
                <w:color w:val="auto"/>
              </w:rPr>
              <w:t>The following table sets forth the computation of basic and diluted EPS.</w:t>
            </w: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740" w:type="dxa"/>
            <w:vAlign w:val="bottom"/>
            <w:gridSpan w:val="6"/>
          </w:tcPr>
          <w:p>
            <w:pPr>
              <w:jc w:val="right"/>
              <w:ind w:right="500"/>
              <w:spacing w:after="0"/>
              <w:rPr>
                <w:sz w:val="20"/>
                <w:szCs w:val="20"/>
                <w:color w:val="auto"/>
              </w:rPr>
            </w:pPr>
            <w:r>
              <w:rPr>
                <w:rFonts w:ascii="Arial" w:cs="Arial" w:eastAsia="Arial" w:hAnsi="Arial"/>
                <w:sz w:val="15"/>
                <w:szCs w:val="15"/>
                <w:b w:val="1"/>
                <w:bCs w:val="1"/>
                <w:color w:val="auto"/>
              </w:rPr>
              <w:t>Three Months Ended June 30,</w:t>
            </w:r>
          </w:p>
        </w:tc>
        <w:tc>
          <w:tcPr>
            <w:tcW w:w="220" w:type="dxa"/>
            <w:vAlign w:val="bottom"/>
          </w:tcPr>
          <w:p>
            <w:pPr>
              <w:spacing w:after="0"/>
              <w:rPr>
                <w:sz w:val="24"/>
                <w:szCs w:val="24"/>
                <w:color w:val="auto"/>
              </w:rPr>
            </w:pPr>
          </w:p>
        </w:tc>
        <w:tc>
          <w:tcPr>
            <w:tcW w:w="240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7"/>
              </w:rPr>
              <w:t>Six Months Ended June 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4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6"/>
          </w:tcPr>
          <w:p>
            <w:pPr>
              <w:jc w:val="right"/>
              <w:ind w:right="200"/>
              <w:spacing w:after="0"/>
              <w:rPr>
                <w:sz w:val="20"/>
                <w:szCs w:val="20"/>
                <w:color w:val="auto"/>
              </w:rPr>
            </w:pPr>
            <w:r>
              <w:rPr>
                <w:rFonts w:ascii="Arial" w:cs="Arial" w:eastAsia="Arial" w:hAnsi="Arial"/>
                <w:sz w:val="15"/>
                <w:szCs w:val="15"/>
                <w:b w:val="1"/>
                <w:bCs w:val="1"/>
                <w:color w:val="auto"/>
                <w:w w:val="90"/>
              </w:rPr>
              <w:t>(in thousands, except per share data)</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 available to common shareholders</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13,125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(23,880)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16,078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(16,700)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 - Basic</w:t>
            </w:r>
          </w:p>
        </w:tc>
        <w:tc>
          <w:tcPr>
            <w:tcW w:w="74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87"/>
              </w:rPr>
              <w:t>32,796</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30,068</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31,746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28,641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Dilutive effect of stock-based awards and convertible notes</w:t>
            </w:r>
          </w:p>
        </w:tc>
        <w:tc>
          <w:tcPr>
            <w:tcW w:w="7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2,529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2,295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Weighted average number of shares outstanding - Diluted</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35,325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30,068</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34,041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28,641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Basic earnings (loss) per common share</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0.40</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(0.79)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0.51</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Diluted earnings (loss) per common share</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0.37</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(0.79)</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0.47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(0.58)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dilutive effect of stock-based awards is calculated using the treasury stock method. Under this method, EPS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Weighted average common shares outstanding, assuming dilution, include the incremental shares that would be issued upon the assumed exercise of stock-based awards. At June 30, 2008 and 2007, we had stock-based awards outstanding of approximately 1.6 million and 1.9 million at weighted average option exercise prices of $48.59 and $34.83, respectively. Approximately 188,000 and 816,000 stock-based awards were excluded from the calculation of diluted EPS for the three months ended June 30, 2008 and 2007, and approximately 113,000 and 798,000 stock-based awards were excluded from the calculation of diluted EPS for the six months ended June 30, 2008 and 2007 because they were anti-dilutive. These stock-based awards could be dilutive in future periods.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In August 2006, we issued $345 million of convertible notes that, when convertible, have a potentially dilutive effect on our EPS. We are required, pursuant to the indenture for the convertible notes, to settle the principal amount of the convertible notes in cash and may elect to settle the remaining conversion obligation (stock price in excess of conversion price) in cash, shares or a combination. The effect on diluted EPS is calculated under the net share settlement method in accordance with EITF 04-8, </w:t>
      </w:r>
      <w:r>
        <w:rPr>
          <w:rFonts w:ascii="Arial" w:cs="Arial" w:eastAsia="Arial" w:hAnsi="Arial"/>
          <w:sz w:val="14"/>
          <w:szCs w:val="14"/>
          <w:i w:val="1"/>
          <w:iCs w:val="1"/>
          <w:color w:val="auto"/>
        </w:rPr>
        <w:t>The Effect of Contingently Convertible</w:t>
      </w:r>
      <w:r>
        <w:rPr>
          <w:rFonts w:ascii="Arial" w:cs="Arial" w:eastAsia="Arial" w:hAnsi="Arial"/>
          <w:sz w:val="14"/>
          <w:szCs w:val="14"/>
          <w:color w:val="auto"/>
        </w:rPr>
        <w:t xml:space="preserve"> </w:t>
      </w:r>
      <w:r>
        <w:rPr>
          <w:rFonts w:ascii="Arial" w:cs="Arial" w:eastAsia="Arial" w:hAnsi="Arial"/>
          <w:sz w:val="14"/>
          <w:szCs w:val="14"/>
          <w:i w:val="1"/>
          <w:iCs w:val="1"/>
          <w:color w:val="auto"/>
        </w:rPr>
        <w:t>Instruments on Diluted Earnings per Share</w:t>
      </w:r>
      <w:r>
        <w:rPr>
          <w:rFonts w:ascii="Arial" w:cs="Arial" w:eastAsia="Arial" w:hAnsi="Arial"/>
          <w:sz w:val="14"/>
          <w:szCs w:val="14"/>
          <w:color w:val="auto"/>
        </w:rPr>
        <w:t>. Under the net share settlement method, we include the amount of shares it would take to satisfy the conversion obligation, assuming that all of</w:t>
      </w:r>
      <w:r>
        <w:rPr>
          <w:rFonts w:ascii="Arial" w:cs="Arial" w:eastAsia="Arial" w:hAnsi="Arial"/>
          <w:sz w:val="14"/>
          <w:szCs w:val="14"/>
          <w:i w:val="1"/>
          <w:iCs w:val="1"/>
          <w:color w:val="auto"/>
        </w:rPr>
        <w:t xml:space="preserve"> </w:t>
      </w:r>
      <w:r>
        <w:rPr>
          <w:rFonts w:ascii="Arial" w:cs="Arial" w:eastAsia="Arial" w:hAnsi="Arial"/>
          <w:sz w:val="14"/>
          <w:szCs w:val="14"/>
          <w:color w:val="auto"/>
        </w:rPr>
        <w:t>the convertible notes are converted. The average closing price of our common stock for each of the periods presented is used as the basis for determining the dilutive effect on EPS. The average price of our common stock for the three and six months ended June 30, 2008 exceeded the conversion price of $65.16 and therefore, approximately 1.7 million shares and 1.5 million shares, respectively, have been included as dilutive shares in the calculation of diluted EPS for the three and six months ended June 30, 2008. For the three and six months ended June 30, 2007, if we had net income and included the dilutive shares in the calculation of diluted earnings per share for those periods, approximately 364,000 and 182,000 shares would have been dilutive because the average price of our common stock exceeded the conversion price of $65.16.</w:t>
      </w:r>
    </w:p>
    <w:p>
      <w:pPr>
        <w:spacing w:after="0" w:line="173"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On May 6, 2008, we issued 3.4 million shares of common stock, no par value, at a public offering price of $91.52 per share, resulting in net proceeds of $310.9 million. The proceeds were primarily used to repay a portion of our non-convertible debt (see Note 6).</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have authorized 10 million shares of preferred stock with no par value. In the event of a liquidation, dissolution or winding up of the affairs of the corporation, whether voluntary or involuntary, the holders of any outstanding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set by the Board of Directors. There was no preferred stock issued or outstanding at June 30, 2008 and 2007.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38"/>
        </w:trPr>
        <w:tc>
          <w:tcPr>
            <w:tcW w:w="608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080" w:type="dxa"/>
            <w:vAlign w:val="bottom"/>
            <w:gridSpan w:val="3"/>
          </w:tcPr>
          <w:p>
            <w:pPr>
              <w:spacing w:after="0"/>
              <w:rPr>
                <w:sz w:val="20"/>
                <w:szCs w:val="20"/>
                <w:color w:val="auto"/>
              </w:rPr>
            </w:pPr>
            <w:r>
              <w:rPr>
                <w:rFonts w:ascii="Arial" w:cs="Arial" w:eastAsia="Arial" w:hAnsi="Arial"/>
                <w:sz w:val="15"/>
                <w:szCs w:val="15"/>
                <w:b w:val="1"/>
                <w:bCs w:val="1"/>
                <w:color w:val="auto"/>
              </w:rPr>
              <w:t>Note 3:  Certain Balance Sheet Components</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6060" w:type="dxa"/>
            <w:vAlign w:val="bottom"/>
            <w:gridSpan w:val="2"/>
          </w:tcPr>
          <w:p>
            <w:pPr>
              <w:jc w:val="right"/>
              <w:ind w:right="4424"/>
              <w:spacing w:after="0"/>
              <w:rPr>
                <w:sz w:val="20"/>
                <w:szCs w:val="20"/>
                <w:color w:val="auto"/>
              </w:rPr>
            </w:pPr>
            <w:r>
              <w:rPr>
                <w:rFonts w:ascii="Arial" w:cs="Arial" w:eastAsia="Arial" w:hAnsi="Arial"/>
                <w:sz w:val="15"/>
                <w:szCs w:val="15"/>
                <w:i w:val="1"/>
                <w:iCs w:val="1"/>
                <w:color w:val="auto"/>
                <w:w w:val="94"/>
              </w:rPr>
              <w:t>Accounts receivable, net</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center"/>
              <w:ind w:left="184"/>
              <w:spacing w:after="0"/>
              <w:rPr>
                <w:sz w:val="20"/>
                <w:szCs w:val="20"/>
                <w:color w:val="auto"/>
              </w:rPr>
            </w:pPr>
            <w:r>
              <w:rPr>
                <w:rFonts w:ascii="Arial" w:cs="Arial" w:eastAsia="Arial" w:hAnsi="Arial"/>
                <w:sz w:val="15"/>
                <w:szCs w:val="15"/>
                <w:b w:val="1"/>
                <w:bCs w:val="1"/>
                <w:color w:val="auto"/>
                <w:w w:val="92"/>
              </w:rPr>
              <w:t>At June 30,</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6"/>
          </w:tcPr>
          <w:p>
            <w:pPr>
              <w:jc w:val="center"/>
              <w:ind w:right="140"/>
              <w:spacing w:after="0"/>
              <w:rPr>
                <w:sz w:val="20"/>
                <w:szCs w:val="20"/>
                <w:color w:val="auto"/>
              </w:rPr>
            </w:pPr>
            <w:r>
              <w:rPr>
                <w:rFonts w:ascii="Arial" w:cs="Arial" w:eastAsia="Arial" w:hAnsi="Arial"/>
                <w:sz w:val="15"/>
                <w:szCs w:val="15"/>
                <w:b w:val="1"/>
                <w:bCs w:val="1"/>
                <w:color w:val="auto"/>
                <w:w w:val="91"/>
              </w:rPr>
              <w:t>At December 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5"/>
                <w:szCs w:val="15"/>
                <w:b w:val="1"/>
                <w:bCs w:val="1"/>
                <w:color w:val="auto"/>
                <w:w w:val="89"/>
              </w:rPr>
              <w:t>2008</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5"/>
                <w:szCs w:val="15"/>
                <w:b w:val="1"/>
                <w:bCs w:val="1"/>
                <w:color w:val="auto"/>
                <w:w w:val="89"/>
              </w:rPr>
              <w:t>2007</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84"/>
              <w:spacing w:after="0"/>
              <w:rPr>
                <w:sz w:val="20"/>
                <w:szCs w:val="20"/>
                <w:color w:val="auto"/>
              </w:rPr>
            </w:pPr>
            <w:r>
              <w:rPr>
                <w:rFonts w:ascii="Arial" w:cs="Arial" w:eastAsia="Arial" w:hAnsi="Arial"/>
                <w:sz w:val="15"/>
                <w:szCs w:val="15"/>
                <w:b w:val="1"/>
                <w:bCs w:val="1"/>
                <w:color w:val="auto"/>
              </w:rPr>
              <w:t>(in</w:t>
            </w:r>
          </w:p>
        </w:tc>
        <w:tc>
          <w:tcPr>
            <w:tcW w:w="84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71"/>
              </w:rPr>
              <w:t>thousands)</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Trade receivables (net of allowance of $6,408 and $6,391)</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2"/>
              </w:rPr>
              <w:t>340,456</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center"/>
              <w:ind w:right="304"/>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324,425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Unbilled revenue</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15,872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14,593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240" w:type="dxa"/>
            <w:vAlign w:val="bottom"/>
            <w:tcBorders>
              <w:bottom w:val="single" w:sz="8" w:color="CCEEFF"/>
            </w:tcBorders>
            <w:shd w:val="clear" w:color="auto" w:fill="CCEEFF"/>
          </w:tcPr>
          <w:p>
            <w:pPr>
              <w:jc w:val="right"/>
              <w:ind w:right="2844"/>
              <w:spacing w:after="0"/>
              <w:rPr>
                <w:sz w:val="20"/>
                <w:szCs w:val="20"/>
                <w:color w:val="auto"/>
              </w:rPr>
            </w:pPr>
            <w:r>
              <w:rPr>
                <w:rFonts w:ascii="Arial" w:cs="Arial" w:eastAsia="Arial" w:hAnsi="Arial"/>
                <w:sz w:val="15"/>
                <w:szCs w:val="15"/>
                <w:color w:val="auto"/>
              </w:rPr>
              <w:t>Total accounts receivable, net</w:t>
            </w:r>
          </w:p>
        </w:tc>
        <w:tc>
          <w:tcPr>
            <w:tcW w:w="7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2"/>
              </w:rPr>
              <w:t>356,328</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center"/>
              <w:ind w:right="304"/>
              <w:spacing w:after="0"/>
              <w:rPr>
                <w:sz w:val="20"/>
                <w:szCs w:val="20"/>
                <w:color w:val="auto"/>
              </w:rPr>
            </w:pPr>
            <w:r>
              <w:rPr>
                <w:rFonts w:ascii="Arial" w:cs="Arial" w:eastAsia="Arial" w:hAnsi="Arial"/>
                <w:sz w:val="15"/>
                <w:szCs w:val="15"/>
                <w:color w:val="auto"/>
                <w:w w:val="95"/>
              </w:rPr>
              <w:t>$</w:t>
            </w: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339,018</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9"/>
        </w:trPr>
        <w:tc>
          <w:tcPr>
            <w:tcW w:w="6080" w:type="dxa"/>
            <w:vAlign w:val="bottom"/>
            <w:gridSpan w:val="3"/>
          </w:tcPr>
          <w:p>
            <w:pPr>
              <w:spacing w:after="0"/>
              <w:rPr>
                <w:sz w:val="20"/>
                <w:szCs w:val="20"/>
                <w:color w:val="auto"/>
              </w:rPr>
            </w:pPr>
            <w:r>
              <w:rPr>
                <w:rFonts w:ascii="Arial" w:cs="Arial" w:eastAsia="Arial" w:hAnsi="Arial"/>
                <w:sz w:val="15"/>
                <w:szCs w:val="15"/>
                <w:color w:val="auto"/>
              </w:rPr>
              <w:t>A summary of the allowance for doubtful accounts activity is as follows:</w:t>
            </w:r>
          </w:p>
        </w:tc>
        <w:tc>
          <w:tcPr>
            <w:tcW w:w="2660" w:type="dxa"/>
            <w:vAlign w:val="bottom"/>
            <w:gridSpan w:val="6"/>
            <w:vMerge w:val="restart"/>
          </w:tcPr>
          <w:p>
            <w:pPr>
              <w:jc w:val="right"/>
              <w:ind w:right="344"/>
              <w:spacing w:after="0"/>
              <w:rPr>
                <w:sz w:val="20"/>
                <w:szCs w:val="20"/>
                <w:color w:val="auto"/>
              </w:rPr>
            </w:pPr>
            <w:r>
              <w:rPr>
                <w:rFonts w:ascii="Arial" w:cs="Arial" w:eastAsia="Arial" w:hAnsi="Arial"/>
                <w:sz w:val="15"/>
                <w:szCs w:val="15"/>
                <w:b w:val="1"/>
                <w:bCs w:val="1"/>
                <w:color w:val="auto"/>
              </w:rPr>
              <w:t>Three Months Ended June 30,</w:t>
            </w:r>
          </w:p>
        </w:tc>
        <w:tc>
          <w:tcPr>
            <w:tcW w:w="80" w:type="dxa"/>
            <w:vAlign w:val="bottom"/>
          </w:tcPr>
          <w:p>
            <w:pPr>
              <w:spacing w:after="0"/>
              <w:rPr>
                <w:sz w:val="24"/>
                <w:szCs w:val="24"/>
                <w:color w:val="auto"/>
              </w:rPr>
            </w:pPr>
          </w:p>
        </w:tc>
        <w:tc>
          <w:tcPr>
            <w:tcW w:w="2620" w:type="dxa"/>
            <w:vAlign w:val="bottom"/>
            <w:gridSpan w:val="8"/>
            <w:vMerge w:val="restart"/>
          </w:tcPr>
          <w:p>
            <w:pPr>
              <w:jc w:val="right"/>
              <w:ind w:right="48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660" w:type="dxa"/>
            <w:vAlign w:val="bottom"/>
            <w:gridSpan w:val="6"/>
            <w:vMerge w:val="continue"/>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3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bottom w:val="single" w:sz="8" w:color="auto"/>
            </w:tcBorders>
            <w:gridSpan w:val="3"/>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w w:val="89"/>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900" w:type="dxa"/>
            <w:vAlign w:val="bottom"/>
            <w:gridSpan w:val="4"/>
          </w:tcPr>
          <w:p>
            <w:pPr>
              <w:spacing w:after="0"/>
              <w:rPr>
                <w:sz w:val="20"/>
                <w:szCs w:val="20"/>
                <w:color w:val="auto"/>
              </w:rPr>
            </w:pPr>
            <w:r>
              <w:rPr>
                <w:rFonts w:ascii="Arial" w:cs="Arial" w:eastAsia="Arial" w:hAnsi="Arial"/>
                <w:sz w:val="15"/>
                <w:szCs w:val="15"/>
                <w:b w:val="1"/>
                <w:bCs w:val="1"/>
                <w:color w:val="auto"/>
              </w:rPr>
              <w:t>thousands)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Beginning balance</w:t>
            </w: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6,236</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615</w:t>
            </w:r>
          </w:p>
        </w:tc>
        <w:tc>
          <w:tcPr>
            <w:tcW w:w="520" w:type="dxa"/>
            <w:vAlign w:val="bottom"/>
            <w:gridSpan w:val="2"/>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6,391</w:t>
            </w:r>
          </w:p>
        </w:tc>
        <w:tc>
          <w:tcPr>
            <w:tcW w:w="4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Actaris acquisition opening balance/adjustments</w:t>
            </w:r>
          </w:p>
        </w:tc>
        <w:tc>
          <w:tcPr>
            <w:tcW w:w="7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(471)</w:t>
            </w:r>
          </w:p>
        </w:tc>
        <w:tc>
          <w:tcPr>
            <w:tcW w:w="240" w:type="dxa"/>
            <w:vAlign w:val="bottom"/>
          </w:tcPr>
          <w:p>
            <w:pPr>
              <w:spacing w:after="0"/>
              <w:rPr>
                <w:sz w:val="15"/>
                <w:szCs w:val="15"/>
                <w:color w:val="auto"/>
              </w:rPr>
            </w:pPr>
          </w:p>
        </w:tc>
        <w:tc>
          <w:tcPr>
            <w:tcW w:w="1040" w:type="dxa"/>
            <w:vAlign w:val="bottom"/>
            <w:gridSpan w:val="2"/>
          </w:tcPr>
          <w:p>
            <w:pPr>
              <w:jc w:val="right"/>
              <w:ind w:right="64"/>
              <w:spacing w:after="0"/>
              <w:rPr>
                <w:sz w:val="20"/>
                <w:szCs w:val="20"/>
                <w:color w:val="auto"/>
              </w:rPr>
            </w:pPr>
            <w:r>
              <w:rPr>
                <w:rFonts w:ascii="Arial" w:cs="Arial" w:eastAsia="Arial" w:hAnsi="Arial"/>
                <w:sz w:val="15"/>
                <w:szCs w:val="15"/>
                <w:color w:val="auto"/>
              </w:rPr>
              <w:t>4,891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(471)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Provision for doubtful accounts</w:t>
            </w:r>
          </w:p>
        </w:tc>
        <w:tc>
          <w:tcPr>
            <w:tcW w:w="78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576</w:t>
            </w: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Accounts charged off</w:t>
            </w:r>
          </w:p>
        </w:tc>
        <w:tc>
          <w:tcPr>
            <w:tcW w:w="78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5"/>
                <w:szCs w:val="15"/>
                <w:color w:val="auto"/>
              </w:rPr>
              <w:t>(74)</w:t>
            </w:r>
          </w:p>
        </w:tc>
        <w:tc>
          <w:tcPr>
            <w:tcW w:w="240" w:type="dxa"/>
            <w:vAlign w:val="bottom"/>
          </w:tcPr>
          <w:p>
            <w:pPr>
              <w:spacing w:after="0"/>
              <w:rPr>
                <w:sz w:val="15"/>
                <w:szCs w:val="15"/>
                <w:color w:val="auto"/>
              </w:rPr>
            </w:pPr>
          </w:p>
        </w:tc>
        <w:tc>
          <w:tcPr>
            <w:tcW w:w="1040" w:type="dxa"/>
            <w:vAlign w:val="bottom"/>
            <w:gridSpan w:val="2"/>
          </w:tcPr>
          <w:p>
            <w:pPr>
              <w:jc w:val="right"/>
              <w:ind w:right="24"/>
              <w:spacing w:after="0"/>
              <w:rPr>
                <w:sz w:val="20"/>
                <w:szCs w:val="20"/>
                <w:color w:val="auto"/>
              </w:rPr>
            </w:pPr>
            <w:r>
              <w:rPr>
                <w:rFonts w:ascii="Arial" w:cs="Arial" w:eastAsia="Arial" w:hAnsi="Arial"/>
                <w:sz w:val="15"/>
                <w:szCs w:val="15"/>
                <w:color w:val="auto"/>
              </w:rPr>
              <w:t>(127)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(556)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(187)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Effect of change in exchange rates</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301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Ending balance, June 30</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6,408</w:t>
            </w:r>
          </w:p>
        </w:tc>
        <w:tc>
          <w:tcPr>
            <w:tcW w:w="220" w:type="dxa"/>
            <w:vAlign w:val="bottom"/>
          </w:tcPr>
          <w:p>
            <w:pPr>
              <w:spacing w:after="0"/>
              <w:rPr>
                <w:sz w:val="16"/>
                <w:szCs w:val="16"/>
                <w:color w:val="auto"/>
              </w:rPr>
            </w:pPr>
          </w:p>
        </w:tc>
        <w:tc>
          <w:tcPr>
            <w:tcW w:w="24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5,679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6,408</w:t>
            </w:r>
          </w:p>
        </w:tc>
        <w:tc>
          <w:tcPr>
            <w:tcW w:w="4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5,679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0"/>
        </w:trPr>
        <w:tc>
          <w:tcPr>
            <w:tcW w:w="20" w:type="dxa"/>
            <w:vAlign w:val="bottom"/>
          </w:tcPr>
          <w:p>
            <w:pPr>
              <w:spacing w:after="0"/>
              <w:rPr>
                <w:sz w:val="24"/>
                <w:szCs w:val="24"/>
                <w:color w:val="auto"/>
              </w:rPr>
            </w:pPr>
          </w:p>
        </w:tc>
        <w:tc>
          <w:tcPr>
            <w:tcW w:w="6060" w:type="dxa"/>
            <w:vAlign w:val="bottom"/>
            <w:gridSpan w:val="2"/>
          </w:tcPr>
          <w:p>
            <w:pPr>
              <w:jc w:val="right"/>
              <w:ind w:right="5064"/>
              <w:spacing w:after="0"/>
              <w:rPr>
                <w:sz w:val="20"/>
                <w:szCs w:val="20"/>
                <w:color w:val="auto"/>
              </w:rPr>
            </w:pPr>
            <w:r>
              <w:rPr>
                <w:rFonts w:ascii="Arial" w:cs="Arial" w:eastAsia="Arial" w:hAnsi="Arial"/>
                <w:sz w:val="15"/>
                <w:szCs w:val="15"/>
                <w:i w:val="1"/>
                <w:iCs w:val="1"/>
                <w:color w:val="auto"/>
              </w:rPr>
              <w:t>Inventories</w:t>
            </w: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080" w:type="dxa"/>
            <w:vAlign w:val="bottom"/>
            <w:gridSpan w:val="3"/>
          </w:tcPr>
          <w:p>
            <w:pPr>
              <w:spacing w:after="0"/>
              <w:rPr>
                <w:sz w:val="20"/>
                <w:szCs w:val="20"/>
                <w:color w:val="auto"/>
              </w:rPr>
            </w:pPr>
            <w:r>
              <w:rPr>
                <w:rFonts w:ascii="Arial" w:cs="Arial" w:eastAsia="Arial" w:hAnsi="Arial"/>
                <w:sz w:val="15"/>
                <w:szCs w:val="15"/>
                <w:color w:val="auto"/>
              </w:rPr>
              <w:t>A summary of the inventory balances is as follows:</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restart"/>
          </w:tcPr>
          <w:p>
            <w:pPr>
              <w:jc w:val="center"/>
              <w:ind w:left="184"/>
              <w:spacing w:after="0"/>
              <w:rPr>
                <w:sz w:val="20"/>
                <w:szCs w:val="20"/>
                <w:color w:val="auto"/>
              </w:rPr>
            </w:pPr>
            <w:r>
              <w:rPr>
                <w:rFonts w:ascii="Arial" w:cs="Arial" w:eastAsia="Arial" w:hAnsi="Arial"/>
                <w:sz w:val="15"/>
                <w:szCs w:val="15"/>
                <w:b w:val="1"/>
                <w:bCs w:val="1"/>
                <w:color w:val="auto"/>
                <w:w w:val="92"/>
              </w:rPr>
              <w:t>At June 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gridSpan w:val="6"/>
            <w:vMerge w:val="restart"/>
          </w:tcPr>
          <w:p>
            <w:pPr>
              <w:jc w:val="center"/>
              <w:ind w:right="140"/>
              <w:spacing w:after="0"/>
              <w:rPr>
                <w:sz w:val="20"/>
                <w:szCs w:val="20"/>
                <w:color w:val="auto"/>
              </w:rPr>
            </w:pPr>
            <w:r>
              <w:rPr>
                <w:rFonts w:ascii="Arial" w:cs="Arial" w:eastAsia="Arial" w:hAnsi="Arial"/>
                <w:sz w:val="15"/>
                <w:szCs w:val="15"/>
                <w:b w:val="1"/>
                <w:bCs w:val="1"/>
                <w:color w:val="auto"/>
                <w:w w:val="91"/>
              </w:rPr>
              <w:t>At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24"/>
              <w:spacing w:after="0"/>
              <w:rPr>
                <w:sz w:val="20"/>
                <w:szCs w:val="20"/>
                <w:color w:val="auto"/>
              </w:rPr>
            </w:pPr>
            <w:r>
              <w:rPr>
                <w:rFonts w:ascii="Arial" w:cs="Arial" w:eastAsia="Arial" w:hAnsi="Arial"/>
                <w:sz w:val="15"/>
                <w:szCs w:val="15"/>
                <w:b w:val="1"/>
                <w:bCs w:val="1"/>
                <w:color w:val="auto"/>
                <w:w w:val="89"/>
              </w:rPr>
              <w:t>2008</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2"/>
          </w:tcPr>
          <w:p>
            <w:pPr>
              <w:jc w:val="center"/>
              <w:ind w:left="64"/>
              <w:spacing w:after="0"/>
              <w:rPr>
                <w:sz w:val="20"/>
                <w:szCs w:val="20"/>
                <w:color w:val="auto"/>
              </w:rPr>
            </w:pPr>
            <w:r>
              <w:rPr>
                <w:rFonts w:ascii="Arial" w:cs="Arial" w:eastAsia="Arial" w:hAnsi="Arial"/>
                <w:sz w:val="15"/>
                <w:szCs w:val="15"/>
                <w:b w:val="1"/>
                <w:bCs w:val="1"/>
                <w:color w:val="auto"/>
                <w:w w:val="89"/>
              </w:rPr>
              <w:t>2007</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84"/>
              <w:spacing w:after="0"/>
              <w:rPr>
                <w:sz w:val="20"/>
                <w:szCs w:val="20"/>
                <w:color w:val="auto"/>
              </w:rPr>
            </w:pPr>
            <w:r>
              <w:rPr>
                <w:rFonts w:ascii="Arial" w:cs="Arial" w:eastAsia="Arial" w:hAnsi="Arial"/>
                <w:sz w:val="15"/>
                <w:szCs w:val="15"/>
                <w:b w:val="1"/>
                <w:bCs w:val="1"/>
                <w:color w:val="auto"/>
              </w:rPr>
              <w:t>(in</w:t>
            </w:r>
          </w:p>
        </w:tc>
        <w:tc>
          <w:tcPr>
            <w:tcW w:w="84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71"/>
              </w:rPr>
              <w:t>thousands)</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Materials</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jc w:val="right"/>
              <w:ind w:right="12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94,213</w:t>
            </w: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jc w:val="center"/>
              <w:ind w:right="304"/>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81,636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spacing w:after="0"/>
              <w:rPr>
                <w:sz w:val="20"/>
                <w:szCs w:val="20"/>
                <w:color w:val="auto"/>
              </w:rPr>
            </w:pPr>
            <w:r>
              <w:rPr>
                <w:rFonts w:ascii="Arial" w:cs="Arial" w:eastAsia="Arial" w:hAnsi="Arial"/>
                <w:sz w:val="15"/>
                <w:szCs w:val="15"/>
                <w:color w:val="auto"/>
              </w:rPr>
              <w:t>Work in process</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5"/>
                <w:szCs w:val="15"/>
                <w:color w:val="auto"/>
              </w:rPr>
              <w:t>17,863</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16,859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89,206</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70,743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tcBorders>
              <w:top w:val="single" w:sz="8" w:color="CCEEFF"/>
            </w:tcBorders>
            <w:gridSpan w:val="2"/>
          </w:tcPr>
          <w:p>
            <w:pPr>
              <w:jc w:val="right"/>
              <w:ind w:right="4424"/>
              <w:spacing w:after="0"/>
              <w:rPr>
                <w:sz w:val="20"/>
                <w:szCs w:val="20"/>
                <w:color w:val="auto"/>
              </w:rPr>
            </w:pPr>
            <w:r>
              <w:rPr>
                <w:rFonts w:ascii="Arial" w:cs="Arial" w:eastAsia="Arial" w:hAnsi="Arial"/>
                <w:sz w:val="15"/>
                <w:szCs w:val="15"/>
                <w:color w:val="auto"/>
              </w:rPr>
              <w:t>Total inventories</w:t>
            </w:r>
          </w:p>
        </w:tc>
        <w:tc>
          <w:tcPr>
            <w:tcW w:w="78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92"/>
              </w:rPr>
              <w:t>201,282</w:t>
            </w:r>
          </w:p>
        </w:tc>
        <w:tc>
          <w:tcPr>
            <w:tcW w:w="240" w:type="dxa"/>
            <w:vAlign w:val="bottom"/>
            <w:tcBorders>
              <w:top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jc w:val="center"/>
              <w:ind w:right="304"/>
              <w:spacing w:after="0"/>
              <w:rPr>
                <w:sz w:val="20"/>
                <w:szCs w:val="20"/>
                <w:color w:val="auto"/>
              </w:rPr>
            </w:pPr>
            <w:r>
              <w:rPr>
                <w:rFonts w:ascii="Arial" w:cs="Arial" w:eastAsia="Arial" w:hAnsi="Arial"/>
                <w:sz w:val="15"/>
                <w:szCs w:val="15"/>
                <w:color w:val="auto"/>
                <w:w w:val="95"/>
              </w:rPr>
              <w:t>$</w:t>
            </w:r>
          </w:p>
        </w:tc>
        <w:tc>
          <w:tcPr>
            <w:tcW w:w="1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169,238</w:t>
            </w: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Our inventory levels may vary period to period as a result of our factory scheduling and timing of contract fulfillments.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00" w:type="dxa"/>
            <w:vAlign w:val="bottom"/>
          </w:tcPr>
          <w:p>
            <w:pPr>
              <w:ind w:left="140"/>
              <w:spacing w:after="0"/>
              <w:rPr>
                <w:sz w:val="20"/>
                <w:szCs w:val="20"/>
                <w:color w:val="auto"/>
              </w:rPr>
            </w:pPr>
            <w:r>
              <w:rPr>
                <w:rFonts w:ascii="Arial" w:cs="Arial" w:eastAsia="Arial" w:hAnsi="Arial"/>
                <w:sz w:val="15"/>
                <w:szCs w:val="15"/>
                <w:i w:val="1"/>
                <w:iCs w:val="1"/>
                <w:color w:val="auto"/>
              </w:rPr>
              <w:t>Property, plant and equipment, net</w:t>
            </w:r>
          </w:p>
        </w:tc>
        <w:tc>
          <w:tcPr>
            <w:tcW w:w="25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b w:val="1"/>
                <w:bCs w:val="1"/>
                <w:color w:val="auto"/>
              </w:rPr>
              <w:t>At June 30,</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w w:val="90"/>
              </w:rPr>
              <w:t>At December 31,</w:t>
            </w:r>
          </w:p>
        </w:tc>
      </w:tr>
      <w:tr>
        <w:trPr>
          <w:trHeight w:val="199"/>
        </w:trPr>
        <w:tc>
          <w:tcPr>
            <w:tcW w:w="49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2008</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7"/>
                <w:szCs w:val="17"/>
                <w:color w:val="auto"/>
              </w:rPr>
            </w:pPr>
          </w:p>
        </w:tc>
      </w:tr>
      <w:tr>
        <w:trPr>
          <w:trHeight w:val="182"/>
        </w:trPr>
        <w:tc>
          <w:tcPr>
            <w:tcW w:w="49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Arial" w:cs="Arial" w:eastAsia="Arial" w:hAnsi="Arial"/>
                <w:sz w:val="15"/>
                <w:szCs w:val="15"/>
                <w:b w:val="1"/>
                <w:bCs w:val="1"/>
                <w:color w:val="auto"/>
              </w:rPr>
              <w:t>(in</w:t>
            </w:r>
          </w:p>
        </w:tc>
        <w:tc>
          <w:tcPr>
            <w:tcW w:w="600" w:type="dxa"/>
            <w:vAlign w:val="bottom"/>
            <w:gridSpan w:val="2"/>
          </w:tcPr>
          <w:p>
            <w:pPr>
              <w:jc w:val="center"/>
              <w:spacing w:after="0"/>
              <w:rPr>
                <w:sz w:val="20"/>
                <w:szCs w:val="20"/>
                <w:color w:val="auto"/>
              </w:rPr>
            </w:pPr>
            <w:r>
              <w:rPr>
                <w:rFonts w:ascii="Arial" w:cs="Arial" w:eastAsia="Arial" w:hAnsi="Arial"/>
                <w:sz w:val="15"/>
                <w:szCs w:val="15"/>
                <w:b w:val="1"/>
                <w:bCs w:val="1"/>
                <w:color w:val="auto"/>
                <w:w w:val="71"/>
              </w:rPr>
              <w:t>thousands)</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Machinery and equipment</w:t>
            </w:r>
          </w:p>
        </w:tc>
        <w:tc>
          <w:tcPr>
            <w:tcW w:w="3820" w:type="dxa"/>
            <w:vAlign w:val="bottom"/>
            <w:gridSpan w:val="2"/>
            <w:shd w:val="clear" w:color="auto" w:fill="CCEEFF"/>
          </w:tcPr>
          <w:p>
            <w:pPr>
              <w:jc w:val="right"/>
              <w:ind w:right="1124"/>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w w:val="95"/>
              </w:rPr>
              <w:t>216,683</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192,562</w:t>
            </w:r>
          </w:p>
        </w:tc>
        <w:tc>
          <w:tcPr>
            <w:tcW w:w="120" w:type="dxa"/>
            <w:vAlign w:val="bottom"/>
            <w:shd w:val="clear" w:color="auto" w:fill="CCEEFF"/>
          </w:tcPr>
          <w:p>
            <w:pPr>
              <w:spacing w:after="0"/>
              <w:rPr>
                <w:sz w:val="15"/>
                <w:szCs w:val="15"/>
                <w:color w:val="auto"/>
              </w:rPr>
            </w:pPr>
          </w:p>
        </w:tc>
      </w:tr>
      <w:tr>
        <w:trPr>
          <w:trHeight w:val="182"/>
        </w:trPr>
        <w:tc>
          <w:tcPr>
            <w:tcW w:w="4900" w:type="dxa"/>
            <w:vAlign w:val="bottom"/>
          </w:tcPr>
          <w:p>
            <w:pPr>
              <w:spacing w:after="0"/>
              <w:rPr>
                <w:sz w:val="20"/>
                <w:szCs w:val="20"/>
                <w:color w:val="auto"/>
              </w:rPr>
            </w:pPr>
            <w:r>
              <w:rPr>
                <w:rFonts w:ascii="Arial" w:cs="Arial" w:eastAsia="Arial" w:hAnsi="Arial"/>
                <w:sz w:val="15"/>
                <w:szCs w:val="15"/>
                <w:color w:val="auto"/>
              </w:rPr>
              <w:t>Computers and purchased software</w:t>
            </w:r>
          </w:p>
        </w:tc>
        <w:tc>
          <w:tcPr>
            <w:tcW w:w="2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Arial" w:cs="Arial" w:eastAsia="Arial" w:hAnsi="Arial"/>
                <w:sz w:val="15"/>
                <w:szCs w:val="15"/>
                <w:color w:val="auto"/>
              </w:rPr>
              <w:t>68,018</w:t>
            </w:r>
          </w:p>
        </w:tc>
        <w:tc>
          <w:tcPr>
            <w:tcW w:w="36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66,412</w:t>
            </w:r>
          </w:p>
        </w:tc>
      </w:tr>
      <w:tr>
        <w:trPr>
          <w:trHeight w:val="182"/>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Buildings, furniture and improvements</w:t>
            </w:r>
          </w:p>
        </w:tc>
        <w:tc>
          <w:tcPr>
            <w:tcW w:w="25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w w:val="95"/>
              </w:rPr>
              <w:t>148,425</w:t>
            </w: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140,386</w:t>
            </w:r>
          </w:p>
        </w:tc>
        <w:tc>
          <w:tcPr>
            <w:tcW w:w="120" w:type="dxa"/>
            <w:vAlign w:val="bottom"/>
            <w:shd w:val="clear" w:color="auto" w:fill="CCEEFF"/>
          </w:tcPr>
          <w:p>
            <w:pPr>
              <w:spacing w:after="0"/>
              <w:rPr>
                <w:sz w:val="15"/>
                <w:szCs w:val="15"/>
                <w:color w:val="auto"/>
              </w:rPr>
            </w:pPr>
          </w:p>
        </w:tc>
      </w:tr>
      <w:tr>
        <w:trPr>
          <w:trHeight w:val="182"/>
        </w:trPr>
        <w:tc>
          <w:tcPr>
            <w:tcW w:w="4900" w:type="dxa"/>
            <w:vAlign w:val="bottom"/>
          </w:tcPr>
          <w:p>
            <w:pPr>
              <w:spacing w:after="0"/>
              <w:rPr>
                <w:sz w:val="20"/>
                <w:szCs w:val="20"/>
                <w:color w:val="auto"/>
              </w:rPr>
            </w:pPr>
            <w:r>
              <w:rPr>
                <w:rFonts w:ascii="Arial" w:cs="Arial" w:eastAsia="Arial" w:hAnsi="Arial"/>
                <w:sz w:val="15"/>
                <w:szCs w:val="15"/>
                <w:color w:val="auto"/>
              </w:rPr>
              <w:t>Land</w:t>
            </w:r>
          </w:p>
        </w:tc>
        <w:tc>
          <w:tcPr>
            <w:tcW w:w="2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gridSpan w:val="2"/>
          </w:tcPr>
          <w:p>
            <w:pPr>
              <w:jc w:val="right"/>
              <w:ind w:right="164"/>
              <w:spacing w:after="0"/>
              <w:rPr>
                <w:sz w:val="20"/>
                <w:szCs w:val="20"/>
                <w:color w:val="auto"/>
              </w:rPr>
            </w:pPr>
            <w:r>
              <w:rPr>
                <w:rFonts w:ascii="Arial" w:cs="Arial" w:eastAsia="Arial" w:hAnsi="Arial"/>
                <w:sz w:val="15"/>
                <w:szCs w:val="15"/>
                <w:color w:val="auto"/>
              </w:rPr>
              <w:t>43,042</w:t>
            </w:r>
          </w:p>
        </w:tc>
        <w:tc>
          <w:tcPr>
            <w:tcW w:w="36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5"/>
                <w:szCs w:val="15"/>
                <w:color w:val="auto"/>
              </w:rPr>
              <w:t>41,750</w:t>
            </w:r>
          </w:p>
        </w:tc>
      </w:tr>
      <w:tr>
        <w:trPr>
          <w:trHeight w:val="23"/>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9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Total cost</w:t>
            </w:r>
          </w:p>
        </w:tc>
        <w:tc>
          <w:tcPr>
            <w:tcW w:w="25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w w:val="95"/>
              </w:rPr>
              <w:t>476,168</w:t>
            </w:r>
          </w:p>
        </w:tc>
        <w:tc>
          <w:tcPr>
            <w:tcW w:w="3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441,110</w:t>
            </w:r>
          </w:p>
        </w:tc>
      </w:tr>
      <w:tr>
        <w:trPr>
          <w:trHeight w:val="182"/>
        </w:trPr>
        <w:tc>
          <w:tcPr>
            <w:tcW w:w="4900" w:type="dxa"/>
            <w:vAlign w:val="bottom"/>
          </w:tcPr>
          <w:p>
            <w:pPr>
              <w:ind w:left="100"/>
              <w:spacing w:after="0"/>
              <w:rPr>
                <w:sz w:val="20"/>
                <w:szCs w:val="20"/>
                <w:color w:val="auto"/>
              </w:rPr>
            </w:pPr>
            <w:r>
              <w:rPr>
                <w:rFonts w:ascii="Arial" w:cs="Arial" w:eastAsia="Arial" w:hAnsi="Arial"/>
                <w:sz w:val="15"/>
                <w:szCs w:val="15"/>
                <w:color w:val="auto"/>
              </w:rPr>
              <w:t>Accumulated depreciation</w:t>
            </w:r>
          </w:p>
        </w:tc>
        <w:tc>
          <w:tcPr>
            <w:tcW w:w="2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gridSpan w:val="2"/>
          </w:tcPr>
          <w:p>
            <w:pPr>
              <w:jc w:val="right"/>
              <w:ind w:right="104"/>
              <w:spacing w:after="0"/>
              <w:rPr>
                <w:sz w:val="20"/>
                <w:szCs w:val="20"/>
                <w:color w:val="auto"/>
              </w:rPr>
            </w:pPr>
            <w:r>
              <w:rPr>
                <w:rFonts w:ascii="Arial" w:cs="Arial" w:eastAsia="Arial" w:hAnsi="Arial"/>
                <w:sz w:val="15"/>
                <w:szCs w:val="15"/>
                <w:color w:val="auto"/>
                <w:w w:val="90"/>
              </w:rPr>
              <w:t>(140,846)</w:t>
            </w:r>
          </w:p>
        </w:tc>
        <w:tc>
          <w:tcPr>
            <w:tcW w:w="360" w:type="dxa"/>
            <w:vAlign w:val="bottom"/>
          </w:tcPr>
          <w:p>
            <w:pPr>
              <w:spacing w:after="0"/>
              <w:rPr>
                <w:sz w:val="15"/>
                <w:szCs w:val="15"/>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5"/>
                <w:szCs w:val="15"/>
                <w:color w:val="auto"/>
              </w:rPr>
              <w:t>(118,107)</w:t>
            </w:r>
          </w:p>
        </w:tc>
      </w:tr>
      <w:tr>
        <w:trPr>
          <w:trHeight w:val="23"/>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49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Property, plant and equipment, net</w:t>
            </w:r>
          </w:p>
        </w:tc>
        <w:tc>
          <w:tcPr>
            <w:tcW w:w="25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w w:val="95"/>
              </w:rPr>
              <w:t>335,322</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323,003</w:t>
            </w:r>
          </w:p>
        </w:tc>
        <w:tc>
          <w:tcPr>
            <w:tcW w:w="120" w:type="dxa"/>
            <w:vAlign w:val="bottom"/>
            <w:shd w:val="clear" w:color="auto" w:fill="CCEEFF"/>
          </w:tcPr>
          <w:p>
            <w:pPr>
              <w:spacing w:after="0"/>
              <w:rPr>
                <w:sz w:val="15"/>
                <w:szCs w:val="15"/>
                <w:color w:val="auto"/>
              </w:rPr>
            </w:pPr>
          </w:p>
        </w:tc>
      </w:tr>
      <w:tr>
        <w:trPr>
          <w:trHeight w:val="23"/>
        </w:trPr>
        <w:tc>
          <w:tcPr>
            <w:tcW w:w="490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Depreciation expense was $13.6 million and $10.5 million for the three months ended June 30, 2008 and 2007, and $26.7 million and $14.9 million for the six months ended June 30, 2008 and 2007, respectively.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4:</w:t>
      </w:r>
      <w:r>
        <w:rPr>
          <w:sz w:val="20"/>
          <w:szCs w:val="20"/>
          <w:color w:val="auto"/>
        </w:rPr>
        <w:tab/>
      </w:r>
      <w:r>
        <w:rPr>
          <w:rFonts w:ascii="Arial" w:cs="Arial" w:eastAsia="Arial" w:hAnsi="Arial"/>
          <w:sz w:val="13"/>
          <w:szCs w:val="13"/>
          <w:b w:val="1"/>
          <w:bCs w:val="1"/>
          <w:color w:val="auto"/>
        </w:rPr>
        <w:t>Intangible Assets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gross carrying amount and accumulated amortization of our intangible assets, other than goodwill,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5"/>
                <w:szCs w:val="15"/>
                <w:b w:val="1"/>
                <w:bCs w:val="1"/>
                <w:color w:val="auto"/>
              </w:rPr>
              <w:t>At June 30, 2008</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1"/>
              </w:rPr>
              <w:t>At December 31, 2007</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60"/>
              <w:spacing w:after="0" w:line="167" w:lineRule="exact"/>
              <w:rPr>
                <w:sz w:val="20"/>
                <w:szCs w:val="20"/>
                <w:color w:val="auto"/>
              </w:rPr>
            </w:pPr>
            <w:r>
              <w:rPr>
                <w:rFonts w:ascii="Arial" w:cs="Arial" w:eastAsia="Arial" w:hAnsi="Arial"/>
                <w:sz w:val="15"/>
                <w:szCs w:val="15"/>
                <w:b w:val="1"/>
                <w:bCs w:val="1"/>
                <w:color w:val="auto"/>
                <w:w w:val="93"/>
              </w:rPr>
              <w:t>Accumulated</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line="167" w:lineRule="exact"/>
              <w:rPr>
                <w:sz w:val="20"/>
                <w:szCs w:val="20"/>
                <w:color w:val="auto"/>
              </w:rPr>
            </w:pPr>
            <w:r>
              <w:rPr>
                <w:rFonts w:ascii="Arial" w:cs="Arial" w:eastAsia="Arial" w:hAnsi="Arial"/>
                <w:sz w:val="15"/>
                <w:szCs w:val="15"/>
                <w:b w:val="1"/>
                <w:bCs w:val="1"/>
                <w:color w:val="auto"/>
                <w:w w:val="91"/>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86"/>
              </w:rPr>
              <w:t>Gross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Amortization</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Net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86"/>
              </w:rPr>
              <w:t>Gross Assets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3"/>
              </w:rPr>
              <w:t>Amortization</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Net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124"/>
              <w:spacing w:after="0"/>
              <w:rPr>
                <w:sz w:val="20"/>
                <w:szCs w:val="20"/>
                <w:color w:val="auto"/>
              </w:rPr>
            </w:pPr>
            <w:r>
              <w:rPr>
                <w:rFonts w:ascii="Arial" w:cs="Arial" w:eastAsia="Arial" w:hAnsi="Arial"/>
                <w:sz w:val="15"/>
                <w:szCs w:val="15"/>
                <w:b w:val="1"/>
                <w:bCs w:val="1"/>
                <w:color w:val="auto"/>
              </w:rPr>
              <w:t>(in</w:t>
            </w:r>
          </w:p>
        </w:tc>
        <w:tc>
          <w:tcPr>
            <w:tcW w:w="1360" w:type="dxa"/>
            <w:vAlign w:val="bottom"/>
            <w:gridSpan w:val="3"/>
          </w:tcPr>
          <w:p>
            <w:pPr>
              <w:jc w:val="center"/>
              <w:ind w:right="744"/>
              <w:spacing w:after="0"/>
              <w:rPr>
                <w:sz w:val="20"/>
                <w:szCs w:val="20"/>
                <w:color w:val="auto"/>
              </w:rPr>
            </w:pPr>
            <w:r>
              <w:rPr>
                <w:rFonts w:ascii="Arial" w:cs="Arial" w:eastAsia="Arial" w:hAnsi="Arial"/>
                <w:sz w:val="14"/>
                <w:szCs w:val="14"/>
                <w:b w:val="1"/>
                <w:bCs w:val="1"/>
                <w:color w:val="auto"/>
                <w:w w:val="71"/>
              </w:rPr>
              <w:t>thousands)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Core-developed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421,279</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(162,825)</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258,454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403,665</w:t>
            </w:r>
          </w:p>
        </w:tc>
        <w:tc>
          <w:tcPr>
            <w:tcW w:w="340" w:type="dxa"/>
            <w:vAlign w:val="bottom"/>
            <w:tcBorders>
              <w:left w:val="single" w:sz="8" w:color="CCEEFF"/>
            </w:tcBorders>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5"/>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(126,488)</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277,177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Customer contracts and relationships</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335,033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(44,643)</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290,390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312,709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(25,151)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287,558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Trademarks and trade names</w:t>
            </w:r>
          </w:p>
        </w:tc>
        <w:tc>
          <w:tcPr>
            <w:tcW w:w="1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82,492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(38,599)</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43,893</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154,760</w:t>
            </w: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(26,877)</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127,883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25,245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(22,835)</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2,410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24,845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5"/>
                <w:szCs w:val="15"/>
                <w:color w:val="auto"/>
              </w:rPr>
              <w:t>(21,563)</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3,282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Total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864,049</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(268,902)</w:t>
            </w: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595,147</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895,979</w:t>
            </w:r>
          </w:p>
        </w:tc>
        <w:tc>
          <w:tcPr>
            <w:tcW w:w="340" w:type="dxa"/>
            <w:vAlign w:val="bottom"/>
            <w:tcBorders>
              <w:left w:val="single" w:sz="8" w:color="CCEEFF"/>
            </w:tcBorders>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5"/>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(200,079)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695,900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20" w:type="dxa"/>
            <w:vAlign w:val="bottom"/>
            <w:gridSpan w:val="5"/>
          </w:tcPr>
          <w:p>
            <w:pPr>
              <w:spacing w:after="0"/>
              <w:rPr>
                <w:sz w:val="20"/>
                <w:szCs w:val="20"/>
                <w:color w:val="auto"/>
              </w:rPr>
            </w:pPr>
            <w:r>
              <w:rPr>
                <w:rFonts w:ascii="Arial" w:cs="Arial" w:eastAsia="Arial" w:hAnsi="Arial"/>
                <w:sz w:val="15"/>
                <w:szCs w:val="15"/>
                <w:color w:val="auto"/>
              </w:rPr>
              <w:t>A summary of the intangible asset account activity is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4"/>
            <w:vMerge w:val="restart"/>
          </w:tcPr>
          <w:p>
            <w:pPr>
              <w:jc w:val="right"/>
              <w:ind w:right="204"/>
              <w:spacing w:after="0"/>
              <w:rPr>
                <w:sz w:val="20"/>
                <w:szCs w:val="20"/>
                <w:color w:val="auto"/>
              </w:rPr>
            </w:pPr>
            <w:r>
              <w:rPr>
                <w:rFonts w:ascii="Arial" w:cs="Arial" w:eastAsia="Arial" w:hAnsi="Arial"/>
                <w:sz w:val="15"/>
                <w:szCs w:val="15"/>
                <w:b w:val="1"/>
                <w:bCs w:val="1"/>
                <w:color w:val="auto"/>
                <w:w w:val="95"/>
              </w:rPr>
              <w:t>Three Months Ended June 30,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5"/>
            <w:vMerge w:val="restart"/>
          </w:tcPr>
          <w:p>
            <w:pPr>
              <w:jc w:val="right"/>
              <w:ind w:right="480"/>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2008</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2008</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1360" w:type="dxa"/>
            <w:vAlign w:val="bottom"/>
            <w:gridSpan w:val="3"/>
          </w:tcPr>
          <w:p>
            <w:pPr>
              <w:jc w:val="center"/>
              <w:ind w:right="724"/>
              <w:spacing w:after="0"/>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Beginning balance, intangible assets, gross</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863,290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231,061</w:t>
            </w:r>
          </w:p>
        </w:tc>
        <w:tc>
          <w:tcPr>
            <w:tcW w:w="340" w:type="dxa"/>
            <w:vAlign w:val="bottom"/>
            <w:tcBorders>
              <w:left w:val="single" w:sz="8" w:color="CCEEFF"/>
            </w:tcBorders>
            <w:gridSpan w:val="2"/>
            <w:shd w:val="clear" w:color="auto" w:fill="CCEEFF"/>
          </w:tcPr>
          <w:p>
            <w:pPr>
              <w:jc w:val="center"/>
              <w:ind w:left="105"/>
              <w:spacing w:after="0"/>
              <w:rPr>
                <w:sz w:val="20"/>
                <w:szCs w:val="20"/>
                <w:color w:val="auto"/>
              </w:rPr>
            </w:pPr>
            <w:r>
              <w:rPr>
                <w:rFonts w:ascii="Arial" w:cs="Arial" w:eastAsia="Arial" w:hAnsi="Arial"/>
                <w:sz w:val="15"/>
                <w:szCs w:val="15"/>
                <w:color w:val="auto"/>
                <w:w w:val="95"/>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895,979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231,868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ind w:left="420"/>
              <w:spacing w:after="0"/>
              <w:rPr>
                <w:sz w:val="20"/>
                <w:szCs w:val="20"/>
                <w:color w:val="auto"/>
              </w:rPr>
            </w:pPr>
            <w:r>
              <w:rPr>
                <w:rFonts w:ascii="Arial" w:cs="Arial" w:eastAsia="Arial" w:hAnsi="Arial"/>
                <w:sz w:val="15"/>
                <w:szCs w:val="15"/>
                <w:color w:val="auto"/>
              </w:rPr>
              <w:t>Intangible assets acquired</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547,107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547,107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Adjustment of previous acquisitions</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(70,048)</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00" w:type="dxa"/>
            <w:vAlign w:val="bottom"/>
          </w:tcPr>
          <w:p>
            <w:pPr>
              <w:ind w:left="420"/>
              <w:spacing w:after="0"/>
              <w:rPr>
                <w:sz w:val="20"/>
                <w:szCs w:val="20"/>
                <w:color w:val="auto"/>
              </w:rPr>
            </w:pPr>
            <w:r>
              <w:rPr>
                <w:rFonts w:ascii="Arial" w:cs="Arial" w:eastAsia="Arial" w:hAnsi="Arial"/>
                <w:sz w:val="15"/>
                <w:szCs w:val="15"/>
                <w:color w:val="auto"/>
              </w:rPr>
              <w:t>Effect of change in exchange rates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38,118</w:t>
            </w: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(2,682)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5"/>
                <w:szCs w:val="15"/>
                <w:color w:val="auto"/>
              </w:rPr>
              <w:t>Ending balance, intangible assets, gross</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864,049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775,073</w:t>
            </w:r>
          </w:p>
        </w:tc>
        <w:tc>
          <w:tcPr>
            <w:tcW w:w="2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w:t>
            </w: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864,049</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775,073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intangible assets acquired in 2007 relate to the Actaris acquisition. During the first quarter of 2008, intangible assets were adjusted by $70.0 million for trademarks and trade names based on our completion of our fair value assessment associated with the Actaris acquisition. Intangible assets decreased in the first half of 2007 due to a $1.2 million adjustment to intangible assets for the Flow Metrix acquisition based on the final determination of fair values of intangible assets acquired.</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Intangible assets are recorded in the functional currency of our international subsidiaries; therefore, the carrying amount of intangible assets increase or decrease, with a corresponding change in accumulated other comprehensive income, due to changes in foreign currency exchange rates for those intangible assets owned by our international subsidiaries. Intangible asset amortization expense was $31.5 million and $25.2 million for the three months ended June 30, 2008 and 2007, and $62.7 million and $32.3 million for the six months ended June 30, 2008 and 2007,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20" w:type="dxa"/>
            <w:vAlign w:val="bottom"/>
          </w:tcPr>
          <w:p>
            <w:pPr>
              <w:spacing w:after="0"/>
              <w:rPr>
                <w:sz w:val="20"/>
                <w:szCs w:val="20"/>
                <w:color w:val="auto"/>
              </w:rPr>
            </w:pPr>
            <w:r>
              <w:rPr>
                <w:rFonts w:ascii="Arial" w:cs="Arial" w:eastAsia="Arial" w:hAnsi="Arial"/>
                <w:sz w:val="15"/>
                <w:szCs w:val="15"/>
                <w:color w:val="auto"/>
              </w:rPr>
              <w:t>Estimated future annual amortization expense is as follows:</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1"/>
              </w:rPr>
              <w:t>Estimated Annual</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620" w:type="dxa"/>
            <w:vAlign w:val="bottom"/>
          </w:tcPr>
          <w:p>
            <w:pPr>
              <w:spacing w:after="0"/>
              <w:rPr>
                <w:sz w:val="20"/>
                <w:szCs w:val="20"/>
                <w:color w:val="auto"/>
              </w:rPr>
            </w:pPr>
            <w:r>
              <w:rPr>
                <w:rFonts w:ascii="Arial" w:cs="Arial" w:eastAsia="Arial" w:hAnsi="Arial"/>
                <w:sz w:val="15"/>
                <w:szCs w:val="15"/>
                <w:b w:val="1"/>
                <w:bCs w:val="1"/>
                <w:color w:val="auto"/>
              </w:rPr>
              <w:t>Years ending December 31,</w:t>
            </w: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Amortization</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62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(in thousands)</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2008 (amount remaining at June 30, 2008)</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63,154</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Arial" w:cs="Arial" w:eastAsia="Arial" w:hAnsi="Arial"/>
                <w:sz w:val="15"/>
                <w:szCs w:val="15"/>
                <w:color w:val="auto"/>
              </w:rPr>
              <w:t>2009</w:t>
            </w: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109,283</w:t>
            </w:r>
          </w:p>
        </w:tc>
        <w:tc>
          <w:tcPr>
            <w:tcW w:w="10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2010</w:t>
            </w: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79,303</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tcPr>
          <w:p>
            <w:pPr>
              <w:spacing w:after="0"/>
              <w:rPr>
                <w:sz w:val="20"/>
                <w:szCs w:val="20"/>
                <w:color w:val="auto"/>
              </w:rPr>
            </w:pPr>
            <w:r>
              <w:rPr>
                <w:rFonts w:ascii="Arial" w:cs="Arial" w:eastAsia="Arial" w:hAnsi="Arial"/>
                <w:sz w:val="15"/>
                <w:szCs w:val="15"/>
                <w:color w:val="auto"/>
              </w:rPr>
              <w:t>2011</w:t>
            </w: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5"/>
                <w:szCs w:val="15"/>
                <w:color w:val="auto"/>
              </w:rPr>
              <w:t>67,871</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2012</w:t>
            </w:r>
          </w:p>
        </w:tc>
        <w:tc>
          <w:tcPr>
            <w:tcW w:w="1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52,815</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20"/>
                <w:szCs w:val="20"/>
                <w:color w:val="auto"/>
              </w:rPr>
            </w:pPr>
            <w:r>
              <w:rPr>
                <w:rFonts w:ascii="Arial" w:cs="Arial" w:eastAsia="Arial" w:hAnsi="Arial"/>
                <w:sz w:val="15"/>
                <w:szCs w:val="15"/>
                <w:color w:val="auto"/>
              </w:rPr>
              <w:t>Beyond 2012</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222,721</w:t>
            </w:r>
          </w:p>
        </w:tc>
        <w:tc>
          <w:tcPr>
            <w:tcW w:w="1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Total intangible assets, net</w:t>
            </w:r>
          </w:p>
        </w:tc>
        <w:tc>
          <w:tcPr>
            <w:tcW w:w="212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595,147</w:t>
            </w:r>
          </w:p>
        </w:tc>
        <w:tc>
          <w:tcPr>
            <w:tcW w:w="100" w:type="dxa"/>
            <w:vAlign w:val="bottom"/>
            <w:shd w:val="clear" w:color="auto" w:fill="CCEEFF"/>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3"/>
        </w:trPr>
        <w:tc>
          <w:tcPr>
            <w:tcW w:w="462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jc w:val="right"/>
              <w:ind w:right="684"/>
              <w:spacing w:after="0"/>
              <w:rPr>
                <w:sz w:val="20"/>
                <w:szCs w:val="20"/>
                <w:color w:val="auto"/>
              </w:rPr>
            </w:pPr>
            <w:r>
              <w:rPr>
                <w:rFonts w:ascii="Arial" w:cs="Arial" w:eastAsia="Arial" w:hAnsi="Arial"/>
                <w:sz w:val="15"/>
                <w:szCs w:val="15"/>
                <w:color w:val="auto"/>
              </w:rPr>
              <w:t>13</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62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5:</w:t>
      </w:r>
      <w:r>
        <w:rPr>
          <w:sz w:val="20"/>
          <w:szCs w:val="20"/>
          <w:color w:val="auto"/>
        </w:rPr>
        <w:tab/>
      </w:r>
      <w:r>
        <w:rPr>
          <w:rFonts w:ascii="Arial" w:cs="Arial" w:eastAsia="Arial" w:hAnsi="Arial"/>
          <w:sz w:val="14"/>
          <w:szCs w:val="14"/>
          <w:b w:val="1"/>
          <w:bCs w:val="1"/>
          <w:color w:val="auto"/>
        </w:rPr>
        <w:t>Goodwill</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reflects goodwill allocated to each reporting segment during the six months ended June 30, 2008 and 2007,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Itron North</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America</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Actaris</w:t>
            </w:r>
          </w:p>
        </w:tc>
        <w:tc>
          <w:tcPr>
            <w:tcW w:w="80" w:type="dxa"/>
            <w:vAlign w:val="bottom"/>
          </w:tcPr>
          <w:p>
            <w:pPr>
              <w:spacing w:after="0"/>
              <w:rPr>
                <w:sz w:val="17"/>
                <w:szCs w:val="17"/>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5"/>
                <w:szCs w:val="15"/>
                <w:b w:val="1"/>
                <w:bCs w:val="1"/>
                <w:color w:val="auto"/>
                <w:w w:val="97"/>
              </w:rPr>
              <w:t>Total Company</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(in thousands)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Goodwill balance at January 1,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125,855</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411</w:t>
            </w:r>
          </w:p>
        </w:tc>
        <w:tc>
          <w:tcPr>
            <w:tcW w:w="4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126,266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tcPr>
          <w:p>
            <w:pPr>
              <w:ind w:left="420"/>
              <w:spacing w:after="0"/>
              <w:rPr>
                <w:sz w:val="20"/>
                <w:szCs w:val="20"/>
                <w:color w:val="auto"/>
              </w:rPr>
            </w:pPr>
            <w:r>
              <w:rPr>
                <w:rFonts w:ascii="Arial" w:cs="Arial" w:eastAsia="Arial" w:hAnsi="Arial"/>
                <w:sz w:val="15"/>
                <w:szCs w:val="15"/>
                <w:color w:val="auto"/>
              </w:rPr>
              <w:t>Goodwill acquired</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1,129,253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1,129,253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Adjustment of previous acquisitions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tcPr>
          <w:p>
            <w:pPr>
              <w:ind w:left="420"/>
              <w:spacing w:after="0"/>
              <w:rPr>
                <w:sz w:val="20"/>
                <w:szCs w:val="20"/>
                <w:color w:val="auto"/>
              </w:rPr>
            </w:pPr>
            <w:r>
              <w:rPr>
                <w:rFonts w:ascii="Arial" w:cs="Arial" w:eastAsia="Arial" w:hAnsi="Arial"/>
                <w:sz w:val="15"/>
                <w:szCs w:val="15"/>
                <w:color w:val="auto"/>
              </w:rPr>
              <w:t>Effect of change in exchange rates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1,050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(8,762)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(7,712)</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Goodwill balance at June 30, 2007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127,892</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1,120,902</w:t>
            </w:r>
          </w:p>
        </w:tc>
        <w:tc>
          <w:tcPr>
            <w:tcW w:w="4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1,248,794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74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5"/>
                <w:szCs w:val="15"/>
                <w:color w:val="auto"/>
              </w:rPr>
              <w:t>Goodwill balance at January 1, 2008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128,329</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1,137,804</w:t>
            </w:r>
          </w:p>
        </w:tc>
        <w:tc>
          <w:tcPr>
            <w:tcW w:w="400" w:type="dxa"/>
            <w:vAlign w:val="bottom"/>
            <w:gridSpan w:val="2"/>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tcPr>
          <w:p>
            <w:pPr>
              <w:ind w:left="420"/>
              <w:spacing w:after="0"/>
              <w:rPr>
                <w:sz w:val="20"/>
                <w:szCs w:val="20"/>
                <w:color w:val="auto"/>
              </w:rPr>
            </w:pPr>
            <w:r>
              <w:rPr>
                <w:rFonts w:ascii="Arial" w:cs="Arial" w:eastAsia="Arial" w:hAnsi="Arial"/>
                <w:sz w:val="15"/>
                <w:szCs w:val="15"/>
                <w:color w:val="auto"/>
              </w:rPr>
              <w:t>Adjustment of previous acquisitions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57,803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57,803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5"/>
                <w:szCs w:val="15"/>
                <w:color w:val="auto"/>
              </w:rPr>
              <w:t>Effect of change in exchange rates</w:t>
            </w: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92,683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92,369</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Goodwill balance at June 30, 2008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128,015</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1,288,290</w:t>
            </w:r>
          </w:p>
        </w:tc>
        <w:tc>
          <w:tcPr>
            <w:tcW w:w="40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1,416,305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increase in goodwill between 2008 and 2007 was due to the goodwill acquired in the Actaris acquisition on April 18, 2007. Goodwill was adjusted in 2008 and 2007 based on our final determination of certain fair values of assets acquired and the payment of additional consideration for our 2007 and 2006 acquisitions. Goodwill is recorded in the functional currency of our international subsidiaries; therefore, goodwill balances may increase or decrease, with a corresponding change in accumulated other comprehensive income, due to changes in foreign currency exchange rates.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On January 1, 2008, we consolidated certain operations between our two operating segments as a result of our continued integration of the Actaris acquisition. The allocation of goodwill to our reporting units is based on the new segment reporting structure and in accordance with SFAS 142, goodwill of $411,000 at January 1, 2007 has been reallocated between the segments to conform to the new segment reporting structure.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0" w:type="dxa"/>
            <w:vAlign w:val="bottom"/>
            <w:gridSpan w:val="2"/>
          </w:tcPr>
          <w:p>
            <w:pPr>
              <w:spacing w:after="0"/>
              <w:rPr>
                <w:sz w:val="20"/>
                <w:szCs w:val="20"/>
                <w:color w:val="auto"/>
              </w:rPr>
            </w:pPr>
            <w:r>
              <w:rPr>
                <w:rFonts w:ascii="Arial" w:cs="Arial" w:eastAsia="Arial" w:hAnsi="Arial"/>
                <w:sz w:val="15"/>
                <w:szCs w:val="15"/>
                <w:b w:val="1"/>
                <w:bCs w:val="1"/>
                <w:color w:val="auto"/>
              </w:rPr>
              <w:t>Note 6:  Debt</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5800" w:type="dxa"/>
            <w:vAlign w:val="bottom"/>
            <w:gridSpan w:val="2"/>
          </w:tcPr>
          <w:p>
            <w:pPr>
              <w:spacing w:after="0"/>
              <w:rPr>
                <w:sz w:val="20"/>
                <w:szCs w:val="20"/>
                <w:color w:val="auto"/>
              </w:rPr>
            </w:pPr>
            <w:r>
              <w:rPr>
                <w:rFonts w:ascii="Arial" w:cs="Arial" w:eastAsia="Arial" w:hAnsi="Arial"/>
                <w:sz w:val="15"/>
                <w:szCs w:val="15"/>
                <w:color w:val="auto"/>
              </w:rPr>
              <w:t>The components of our borrowings are as follows:</w:t>
            </w:r>
          </w:p>
        </w:tc>
        <w:tc>
          <w:tcPr>
            <w:tcW w:w="240" w:type="dxa"/>
            <w:vAlign w:val="bottom"/>
          </w:tcPr>
          <w:p>
            <w:pPr>
              <w:spacing w:after="0"/>
              <w:rPr>
                <w:sz w:val="24"/>
                <w:szCs w:val="24"/>
                <w:color w:val="auto"/>
              </w:rPr>
            </w:pPr>
          </w:p>
        </w:tc>
        <w:tc>
          <w:tcPr>
            <w:tcW w:w="1460" w:type="dxa"/>
            <w:vAlign w:val="bottom"/>
            <w:gridSpan w:val="2"/>
            <w:vMerge w:val="restart"/>
          </w:tcPr>
          <w:p>
            <w:pPr>
              <w:jc w:val="right"/>
              <w:ind w:right="484"/>
              <w:spacing w:after="0"/>
              <w:rPr>
                <w:sz w:val="20"/>
                <w:szCs w:val="20"/>
                <w:color w:val="auto"/>
              </w:rPr>
            </w:pPr>
            <w:r>
              <w:rPr>
                <w:rFonts w:ascii="Arial" w:cs="Arial" w:eastAsia="Arial" w:hAnsi="Arial"/>
                <w:sz w:val="15"/>
                <w:szCs w:val="15"/>
                <w:b w:val="1"/>
                <w:bCs w:val="1"/>
                <w:color w:val="auto"/>
              </w:rPr>
              <w:t>At June 30,</w:t>
            </w:r>
          </w:p>
        </w:tc>
        <w:tc>
          <w:tcPr>
            <w:tcW w:w="160" w:type="dxa"/>
            <w:vAlign w:val="bottom"/>
          </w:tcPr>
          <w:p>
            <w:pPr>
              <w:spacing w:after="0"/>
              <w:rPr>
                <w:sz w:val="24"/>
                <w:szCs w:val="24"/>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1"/>
              </w:rPr>
              <w:t>At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2008</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800" w:type="dxa"/>
            <w:vAlign w:val="bottom"/>
            <w:gridSpan w:val="2"/>
            <w:vMerge w:val="restart"/>
          </w:tcPr>
          <w:p>
            <w:pPr>
              <w:spacing w:after="0"/>
              <w:rPr>
                <w:sz w:val="20"/>
                <w:szCs w:val="20"/>
                <w:color w:val="auto"/>
              </w:rPr>
            </w:pPr>
            <w:r>
              <w:rPr>
                <w:rFonts w:ascii="Arial" w:cs="Arial" w:eastAsia="Arial" w:hAnsi="Arial"/>
                <w:sz w:val="15"/>
                <w:szCs w:val="15"/>
                <w:color w:val="auto"/>
              </w:rPr>
              <w:t>Credit facility</w:t>
            </w:r>
          </w:p>
        </w:tc>
        <w:tc>
          <w:tcPr>
            <w:tcW w:w="240" w:type="dxa"/>
            <w:vAlign w:val="bottom"/>
          </w:tcPr>
          <w:p>
            <w:pPr>
              <w:spacing w:after="0"/>
              <w:rPr>
                <w:sz w:val="16"/>
                <w:szCs w:val="16"/>
                <w:color w:val="auto"/>
              </w:rPr>
            </w:pPr>
          </w:p>
        </w:tc>
        <w:tc>
          <w:tcPr>
            <w:tcW w:w="128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1720" w:type="dxa"/>
            <w:vAlign w:val="bottom"/>
            <w:gridSpan w:val="3"/>
          </w:tcPr>
          <w:p>
            <w:pPr>
              <w:spacing w:after="0"/>
              <w:rPr>
                <w:sz w:val="20"/>
                <w:szCs w:val="20"/>
                <w:color w:val="auto"/>
              </w:rPr>
            </w:pPr>
            <w:r>
              <w:rPr>
                <w:rFonts w:ascii="Arial" w:cs="Arial" w:eastAsia="Arial" w:hAnsi="Arial"/>
                <w:sz w:val="15"/>
                <w:szCs w:val="15"/>
                <w:b w:val="1"/>
                <w:bCs w:val="1"/>
                <w:color w:val="auto"/>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USD denominated term loan</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378,769</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596,793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ind w:left="340"/>
              <w:spacing w:after="0"/>
              <w:rPr>
                <w:sz w:val="20"/>
                <w:szCs w:val="20"/>
                <w:color w:val="auto"/>
              </w:rPr>
            </w:pPr>
            <w:r>
              <w:rPr>
                <w:rFonts w:ascii="Arial" w:cs="Arial" w:eastAsia="Arial" w:hAnsi="Arial"/>
                <w:sz w:val="15"/>
                <w:szCs w:val="15"/>
                <w:color w:val="auto"/>
              </w:rPr>
              <w:t>EUR denominated term loan</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427,621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445,228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GBP denominated term loan</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79,091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Convertible senior subordinated notes</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345,000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345,000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Senior subordinated notes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120,131</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124,429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1,271,521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1,590,541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5"/>
                <w:szCs w:val="15"/>
                <w:color w:val="auto"/>
              </w:rPr>
              <w:t>Current portion of debt</w:t>
            </w:r>
          </w:p>
        </w:tc>
        <w:tc>
          <w:tcPr>
            <w:tcW w:w="2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(356,341)</w:t>
            </w: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(11,980)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5"/>
                <w:szCs w:val="15"/>
                <w:color w:val="auto"/>
              </w:rPr>
              <w:t>Total long-term debt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915,180</w:t>
            </w:r>
          </w:p>
        </w:tc>
        <w:tc>
          <w:tcPr>
            <w:tcW w:w="18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1,578,561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Credit Facility</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Actaris acquisition in 2007 was financed in part by a $1.2 billion credit facility. The credit facility, dated April 18, 2007,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Interest rates on the credit facility are based on the respective borrowing’s denominated LIBOR rate (U.S. dollar, euro or pound sterling) or the Wells Fargo Bank, National Association’s prime rate, plus an additional margin subject to factors including our consolidated leverage ratio. If our consolidated leverage ratio decreases below 4.5 to 1.0, as specified in our Credit Agreement, the applicable margin on our interest rate payable will decrease from 2.0% to 1.75%. At June 30, 2008, our leverage ratio was below 4.5 to 1.0; accordingly, our margin will decrease upon completion of our second quarter compliance certification.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Prepaid debt fees are amortized using the effective interest method through the term loans’ earliest maturity date, as defined by the credit agreement. The credit facility is secured by substantially all of the assets of Itron, Inc., our operating subsidiaries, except our international subsidiaries, and contains covenants, which contain certain financial ratios and place restrictions on the incurrence of debt, the payment of dividends, certain investments, incurrence of capital expenditures above a set limit and mergers. We were in compliance with these debt covenants at June 30, 2008. At June 30, 2008, there were no borrowings outstanding under the revolver and $51.4 million was utilized by outstanding standby letters of credit resulting in $63.6 million being available for additional borrowings.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repaid $304.0 million in borrowings during the three months ended June 30, 2008 and $350.7 million in borrowings during the six months ended June 30, 2008. These repayments were made with cash flows from operations and $311 million in net proceeds from the completed sale of 3.4 million shares of our common stock. Our repayments consisted of the remaining $78.3 million balance on our £50 million pound sterling term loan, $218.0 million on our USD term loan, $50.0 million on our €335 million euro term loan and the repurchase of $4.4 million on our senior subordinated notes (subordinated notes).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Senior Subordinated Notes</w:t>
      </w:r>
    </w:p>
    <w:p>
      <w:pPr>
        <w:spacing w:after="0" w:line="1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Our subordinated notes consist of $120.6 million aggregate principal amount of 7.75% notes, issued in May 2004 and due in 2012. The subordinated notes were discounted to a price of 99.265 to yield 7.875%. The discount on the subordinated notes is accreted resulting in a balance of $120.1 million at June 30, 2008. Prepaid debt fees are amortized over the life of the subordinated notes. The subordinated notes are registered with the SEC and are generally transferable. Fixed interest payments are required every six months, in May and November. The notes are subordinated to our credit facility (senior secured borrowings) and are guaranteed by all of our operating subsidiaries, except for our international subsidiaries. The subordinated notes contain covenants, which place restrictions on the incurrence of debt, the payment of dividends, certain investments and mergers. We were in compliance with these debt covenants at June 30, 2008. Some or all of the subordinated notes may be redeemed at our option at any time on or after May 15, 2008, at their principal amount plus a specified premium price of 103.875%, decreasing each year thereafter. From time to time, we may reacquire the subordinated notes on the open market, resulting in the early extinguishment of debt.</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Convertible Senior Subordinated Notes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EITF 05-2, </w:t>
      </w:r>
      <w:r>
        <w:rPr>
          <w:rFonts w:ascii="Arial" w:cs="Arial" w:eastAsia="Arial" w:hAnsi="Arial"/>
          <w:sz w:val="14"/>
          <w:szCs w:val="14"/>
          <w:i w:val="1"/>
          <w:iCs w:val="1"/>
          <w:color w:val="auto"/>
        </w:rPr>
        <w:t>The Meaning of “Conventional Convertible Debt Instruments” in Issue 00-19</w:t>
      </w:r>
      <w:r>
        <w:rPr>
          <w:rFonts w:ascii="Arial" w:cs="Arial" w:eastAsia="Arial" w:hAnsi="Arial"/>
          <w:sz w:val="14"/>
          <w:szCs w:val="14"/>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SFAS 133, as the conversion feature is indexed to the Company’s own stock and would be classified within stockholders’ equity if it were a freestanding instrument as provided by EITF 00-19, </w:t>
      </w:r>
      <w:r>
        <w:rPr>
          <w:rFonts w:ascii="Arial" w:cs="Arial" w:eastAsia="Arial" w:hAnsi="Arial"/>
          <w:sz w:val="14"/>
          <w:szCs w:val="14"/>
          <w:i w:val="1"/>
          <w:iCs w:val="1"/>
          <w:color w:val="auto"/>
        </w:rPr>
        <w:t>Accounting for Derivative Financial Instruments Indexed to, and Potentially Settled in, a Company’s Own Stock</w:t>
      </w:r>
      <w:r>
        <w:rPr>
          <w:rFonts w:ascii="Arial" w:cs="Arial" w:eastAsia="Arial" w:hAnsi="Arial"/>
          <w:sz w:val="14"/>
          <w:szCs w:val="14"/>
          <w:color w:val="auto"/>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convertible notes may be converted at the option of the holder at an initial conversion rate of 15.3478 shares of our common stock for each $1,000 principal amount of the convertible notes (conversion price of $65.16 per share), under the following circumstances, as defined in the indenture:</w:t>
      </w:r>
    </w:p>
    <w:p>
      <w:pPr>
        <w:spacing w:after="0" w:line="168" w:lineRule="exact"/>
        <w:rPr>
          <w:sz w:val="20"/>
          <w:szCs w:val="20"/>
          <w:color w:val="auto"/>
        </w:rPr>
      </w:pPr>
    </w:p>
    <w:p>
      <w:pPr>
        <w:ind w:left="800" w:right="20" w:hanging="143"/>
        <w:spacing w:after="0" w:line="259" w:lineRule="auto"/>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ind w:left="800" w:hanging="143"/>
        <w:spacing w:after="0"/>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between July 1, 2011 and August 1, 2011, and any time after August 1, 2024;</w:t>
      </w:r>
    </w:p>
    <w:p>
      <w:pPr>
        <w:spacing w:after="0" w:line="9" w:lineRule="exact"/>
        <w:rPr>
          <w:rFonts w:ascii="Arial" w:cs="Arial" w:eastAsia="Arial" w:hAnsi="Arial"/>
          <w:sz w:val="15"/>
          <w:szCs w:val="15"/>
          <w:color w:val="auto"/>
        </w:rPr>
      </w:pPr>
    </w:p>
    <w:p>
      <w:pPr>
        <w:ind w:left="800" w:hanging="143"/>
        <w:spacing w:after="0" w:line="252" w:lineRule="auto"/>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the five business days after any five consecutive trading day period in which the trading price of the convertible notes for each day was less than 98% of the conversion value of the convertible notes;</w:t>
      </w:r>
    </w:p>
    <w:p>
      <w:pPr>
        <w:spacing w:after="0" w:line="1" w:lineRule="exact"/>
        <w:rPr>
          <w:rFonts w:ascii="Arial" w:cs="Arial" w:eastAsia="Arial" w:hAnsi="Arial"/>
          <w:sz w:val="15"/>
          <w:szCs w:val="15"/>
          <w:color w:val="auto"/>
        </w:rPr>
      </w:pPr>
    </w:p>
    <w:p>
      <w:pPr>
        <w:ind w:left="800" w:hanging="143"/>
        <w:spacing w:after="0"/>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the convertible notes are called for redemption;</w:t>
      </w:r>
    </w:p>
    <w:p>
      <w:pPr>
        <w:spacing w:after="0" w:line="9" w:lineRule="exact"/>
        <w:rPr>
          <w:rFonts w:ascii="Arial" w:cs="Arial" w:eastAsia="Arial" w:hAnsi="Arial"/>
          <w:sz w:val="15"/>
          <w:szCs w:val="15"/>
          <w:color w:val="auto"/>
        </w:rPr>
      </w:pPr>
    </w:p>
    <w:p>
      <w:pPr>
        <w:ind w:left="800" w:hanging="143"/>
        <w:spacing w:after="0"/>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if a fundamental change occurs; or</w:t>
      </w:r>
    </w:p>
    <w:p>
      <w:pPr>
        <w:spacing w:after="0" w:line="9" w:lineRule="exact"/>
        <w:rPr>
          <w:rFonts w:ascii="Arial" w:cs="Arial" w:eastAsia="Arial" w:hAnsi="Arial"/>
          <w:sz w:val="15"/>
          <w:szCs w:val="15"/>
          <w:color w:val="auto"/>
        </w:rPr>
      </w:pPr>
    </w:p>
    <w:p>
      <w:pPr>
        <w:ind w:left="800" w:hanging="143"/>
        <w:spacing w:after="0"/>
        <w:tabs>
          <w:tab w:leader="none" w:pos="800" w:val="left"/>
        </w:tabs>
        <w:numPr>
          <w:ilvl w:val="0"/>
          <w:numId w:val="4"/>
        </w:numPr>
        <w:rPr>
          <w:rFonts w:ascii="Arial" w:cs="Arial" w:eastAsia="Arial" w:hAnsi="Arial"/>
          <w:sz w:val="15"/>
          <w:szCs w:val="15"/>
          <w:color w:val="auto"/>
        </w:rPr>
      </w:pPr>
      <w:r>
        <w:rPr>
          <w:rFonts w:ascii="Arial" w:cs="Arial" w:eastAsia="Arial" w:hAnsi="Arial"/>
          <w:sz w:val="15"/>
          <w:szCs w:val="15"/>
          <w:color w:val="auto"/>
        </w:rPr>
        <w:t>upon the occurrence of defined corporate events.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convertible notes also contain purchase options, at the option of the holders, which may require us to repurchase all or a portion of the convertible notes on August 1, 2011, August 1, 2016 and August 1, 2021 at the principal amount, plus accrued and unpaid interest.</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convertible notes are unsecured and subordinate to all of our existing and future senior secured borrowings. The convertible notes are unconditionally guaranteed, joint and severally, by all of our operating subsidiaries, except for our international subsidiaries, all of which are wholly owned. The convertible notes contain covenants, which place restrictions on the incurrence of debt and certain mergers. We were in compliance with these debt covenants at June 30, 2008.</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At June 30, 2008, the contingent conversion threshold was exceeded as the closing sale price per share of our common stock exceeded $78.19, which is 120% of the conversion price of $65.16, for at least 20 trading days in the 30 consecutive trading day period ending June 30, 2008. As a result, the notes are convertible at the option of the holder as of June 30, 2008 and through the third quarter of 2008, and accordingly, the aggregate principal amount of the convertible notes at June 30, 2008 is included in the current portion of long-term debt. At December 31, 2007, the contingent conversion threshold was not exceeded and, therefore, the aggregate principal amount of the convertible notes is included in long-term debt. As our stock price is subject to fluctuation, the contingent conversion threshold may be exceeded during any quarter prior to July 2011, and the notes subject to conversion.</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 xml:space="preserve">In May 2008, the FASB issued FSP APB 14-1, </w:t>
      </w:r>
      <w:r>
        <w:rPr>
          <w:rFonts w:ascii="Arial" w:cs="Arial" w:eastAsia="Arial" w:hAnsi="Arial"/>
          <w:sz w:val="15"/>
          <w:szCs w:val="15"/>
          <w:i w:val="1"/>
          <w:iCs w:val="1"/>
          <w:color w:val="auto"/>
        </w:rPr>
        <w:t>Accounting for Convertible Debt Instruments That May Be Settled in Cash upon Conversion</w:t>
      </w:r>
      <w:r>
        <w:rPr>
          <w:rFonts w:ascii="Arial" w:cs="Arial" w:eastAsia="Arial" w:hAnsi="Arial"/>
          <w:sz w:val="15"/>
          <w:szCs w:val="15"/>
          <w:color w:val="auto"/>
        </w:rPr>
        <w:t>, addressing convertible instruments that may be settled in cash upon conversion (see Note 1).</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Prepaid Debt Fees &amp; Interest Expense</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Prepaid debt fees for our outstanding borrowings are amortized over the respective terms using the effective interest method. Total unamortized prepaid debt fees were approximately $15.9 million and $21.6 million at June 30, 2008 and December 31, 2007, respectively. Accrued interest expense was $4.5 million and $5.0 million at June 30, 2008 and December 31, 2007, respectively.</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7:</w:t>
      </w:r>
      <w:r>
        <w:rPr>
          <w:sz w:val="20"/>
          <w:szCs w:val="20"/>
          <w:color w:val="auto"/>
        </w:rPr>
        <w:tab/>
      </w:r>
      <w:r>
        <w:rPr>
          <w:rFonts w:ascii="Arial" w:cs="Arial" w:eastAsia="Arial" w:hAnsi="Arial"/>
          <w:sz w:val="13"/>
          <w:szCs w:val="13"/>
          <w:b w:val="1"/>
          <w:bCs w:val="1"/>
          <w:color w:val="auto"/>
        </w:rPr>
        <w:t>Derivative Financial Instruments and Hedging Activities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As part of our risk management strategy, we use derivative instruments to hedge certain foreign currency and interest rate exposures. Our objective is to offset gains and losses resulting from these exposures with losses and gains on the derivative contracts used to hedge them, thereby reducing the impact of volatility on earnings or protecting fair values of assets and liabilities.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On June 30, 2008, we entered into a one-year interest rate swap to convert $200 million of our $379 million USD term loan from a floating 1-month LIBOR interest rate to a fixed 3.01% interest rate. Our interest rate will continue to contain an additional margin per the credit facility agreement.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was $200 million and the fair value, recorded as a short-term liability, was $220,000 at June 30, 2008. The amount of net gains expected to be reclassified into earnings in the next twelve months is approximately $188,000.</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the third quarter of 2007, we entered into an interest rate swap to convert our €335 million euro denominated variable rate term loan to a fixed-rate debt obligation at a rate of 6.59% for the term of the debt, including expected prepayments.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was $428 million (€271 million) and the fair value, recorded as a long-term asset, was $4.8 million at June 30, 2008. The amount of net gains expected to be reclassified into earnings in the next twelve months is approximately $2.7 million.</w:t>
      </w:r>
    </w:p>
    <w:p>
      <w:pPr>
        <w:spacing w:after="0" w:line="186"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In the second quarter of 2008, we began entering into certain foreign exchange forward contracts with the intent to reduce volatility of certain intercompany financing transactions. These contracts are not designated as accounting hedges and are de minimis in fair value and notional amounts.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the second quarter of 2007, we designated certain portions of our foreign currency denominated term loans as hedges of our net investment in international operations. There was no change in the currency exchange rates between the euro and U.S. dollar for the three months ended June 30, 2008. Net losses of $32.4 million ($20.0 million after-tax) were reported as a net unrealized loss on derivative instruments, a component of accumulated other comprehensive income, which represented effective hedges of net investments, for the six months ended June 30, 2008. We had no hedge ineffectiveness.</w:t>
      </w:r>
    </w:p>
    <w:p>
      <w:pPr>
        <w:spacing w:after="0" w:line="181"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In May 2008, we repaid the £50 million pound sterling denominated term loan. We realized a $208,000 loss in other income (expense) from the termination of the cross currency interest rate swap, which we entered into in the third quarter of 2007. The purpose of the cross currency interest rate swap was to convert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had terms similar to the pound sterling denominated term loan, including expected prepayments. This instrument was intended to reduce the impact of volatility between the pound sterling and the U.S. dollar. Therefore, gains and losses were recorded in other income (expense) as an offset to the gains (losses) on the underlying term loan revaluation to the U.S. dollar. The amounts paid or received on the interest rate swap were recognized as adjustments to interest expense.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In April 2007, we completed the acquisition of Actaris and realized a $2.8 million gain in other income (expense) from the termination of the foreign currency range forward contracts. In the first quarter of 2007, we signed a stock purchase agreement to acquire Actaris and entered into foreign currency range forward contracts (transactions where put options were sold and call options were purchased) to reduce our exposure to declines in the value of the U.S. dollar and pound sterling relative to the euro denominated purchase price. Under SFAS 133, the Actaris stock purchase agreement was considered an unrecognized firm commitment for a business acquisition; therefore, these foreign currency range forward contracts could not be designated as fair value hedges.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components and fair values of our derivative instruments are determined using the fair value measurements of significant other observable inputs (Level 2), as defined by SFAS 157. We use observable market inputs based on the type of derivative and the nature of the underlying instrument. The key inputs include interest rate yield curves, foreign exchange rates, the spot price of the underlying instrument and volatility, which are all Level 2 inputs. We utilize the mid-market pricing convention for these inputs, which represents the mid-point of the observable rates at the reporting date. Counterparties to our currency exchange and interest rate derivatives consist of major international financial institutions. We monitor our positions and the credit ratings of our counterparties when valuing our derivative instruments. While we may be exposed to potential losses due to the credit risk of non-performance by these counterparties, losses are not anticipated.</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fair values of our derivative instruments determined using the fair value measurement of significant other observable inputs (Level 2)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w w:val="91"/>
              </w:rPr>
              <w:t>At June 30, 2008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6"/>
              </w:rPr>
              <w:t>(in thousands)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Short-term asset: Foreign exchange forward contracts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0" w:type="dxa"/>
            <w:vAlign w:val="bottom"/>
          </w:tcPr>
          <w:p>
            <w:pPr>
              <w:spacing w:after="0"/>
              <w:rPr>
                <w:sz w:val="20"/>
                <w:szCs w:val="20"/>
                <w:color w:val="auto"/>
              </w:rPr>
            </w:pPr>
            <w:r>
              <w:rPr>
                <w:rFonts w:ascii="Arial" w:cs="Arial" w:eastAsia="Arial" w:hAnsi="Arial"/>
                <w:sz w:val="15"/>
                <w:szCs w:val="15"/>
                <w:color w:val="auto"/>
              </w:rPr>
              <w:t>Long-term asset: $428 million EUR term loan interest rate swap</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4,824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Short-term liability: $200 million USD term loan interest rate swap</w:t>
            </w:r>
          </w:p>
        </w:tc>
        <w:tc>
          <w:tcPr>
            <w:tcW w:w="8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6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Net fair value of derivative instruments valued using Level 2 inputs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4,611</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8:</w:t>
      </w:r>
      <w:r>
        <w:rPr>
          <w:sz w:val="20"/>
          <w:szCs w:val="20"/>
          <w:color w:val="auto"/>
        </w:rPr>
        <w:tab/>
      </w:r>
      <w:r>
        <w:rPr>
          <w:rFonts w:ascii="Arial" w:cs="Arial" w:eastAsia="Arial" w:hAnsi="Arial"/>
          <w:sz w:val="13"/>
          <w:szCs w:val="13"/>
          <w:b w:val="1"/>
          <w:bCs w:val="1"/>
          <w:color w:val="auto"/>
        </w:rPr>
        <w:t>Pension Plan Benefits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on April 18, 2007. Our general funding policy for these qualified pension plans is to contribute amounts at least sufficient to satisfy regulatory funding standards of the respective countries for each plan. At June 30, 2008 we expect to contribute a total of $500,000 to our defined benefit pension plans during 2008, which is consistent with our estimate at December 31, 2007. Our expected contribution assumes that actual plan asset returns are consistent with our expected rate of return and that interest rates remain constant. For the three and six months ended June 30, 2008, we contributed approximately $30,000 and $90,000, respectively, to the defined benefit pension plans.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20" w:type="dxa"/>
            <w:vAlign w:val="bottom"/>
            <w:gridSpan w:val="2"/>
          </w:tcPr>
          <w:p>
            <w:pPr>
              <w:spacing w:after="0"/>
              <w:rPr>
                <w:sz w:val="20"/>
                <w:szCs w:val="20"/>
                <w:color w:val="auto"/>
              </w:rPr>
            </w:pPr>
            <w:r>
              <w:rPr>
                <w:rFonts w:ascii="Arial" w:cs="Arial" w:eastAsia="Arial" w:hAnsi="Arial"/>
                <w:sz w:val="15"/>
                <w:szCs w:val="15"/>
                <w:color w:val="auto"/>
                <w:w w:val="97"/>
              </w:rPr>
              <w:t>Net periodic pension benefit costs for our plans include the following components:</w:t>
            </w: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3"/>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5"/>
              </w:rPr>
              <w:t>April 18, 2007</w:t>
            </w:r>
          </w:p>
        </w:tc>
      </w:tr>
      <w:tr>
        <w:trPr>
          <w:trHeight w:val="182"/>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w w:val="95"/>
              </w:rPr>
              <w:t>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Six Months Ended</w:t>
            </w:r>
          </w:p>
        </w:tc>
        <w:tc>
          <w:tcPr>
            <w:tcW w:w="18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5"/>
              </w:rPr>
              <w:t>Through</w:t>
            </w:r>
          </w:p>
        </w:tc>
      </w:tr>
      <w:tr>
        <w:trPr>
          <w:trHeight w:val="199"/>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w w:val="98"/>
              </w:rPr>
              <w:t>June 30, 2008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June 30, 2008</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June 30, 2007</w:t>
            </w:r>
          </w:p>
        </w:tc>
      </w:tr>
      <w:tr>
        <w:trPr>
          <w:trHeight w:val="182"/>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13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1,178</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408</w:t>
            </w:r>
          </w:p>
        </w:tc>
        <w:tc>
          <w:tcPr>
            <w:tcW w:w="12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Interest cost</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941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1,870</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644</w:t>
            </w:r>
          </w:p>
        </w:tc>
        <w:tc>
          <w:tcPr>
            <w:tcW w:w="1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 assets</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(152)</w:t>
            </w:r>
          </w:p>
        </w:tc>
        <w:tc>
          <w:tcPr>
            <w:tcW w:w="1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w:t>
            </w:r>
          </w:p>
        </w:tc>
      </w:tr>
      <w:tr>
        <w:trPr>
          <w:trHeight w:val="182"/>
        </w:trPr>
        <w:tc>
          <w:tcPr>
            <w:tcW w:w="20" w:type="dxa"/>
            <w:vAlign w:val="bottom"/>
          </w:tcPr>
          <w:p>
            <w:pPr>
              <w:spacing w:after="0"/>
              <w:rPr>
                <w:sz w:val="15"/>
                <w:szCs w:val="15"/>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Settlements and curtailments</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5"/>
                <w:szCs w:val="15"/>
                <w:color w:val="auto"/>
              </w:rPr>
              <w:t>(93)</w:t>
            </w:r>
          </w:p>
        </w:tc>
      </w:tr>
      <w:tr>
        <w:trPr>
          <w:trHeight w:val="182"/>
        </w:trPr>
        <w:tc>
          <w:tcPr>
            <w:tcW w:w="20" w:type="dxa"/>
            <w:vAlign w:val="bottom"/>
          </w:tcPr>
          <w:p>
            <w:pPr>
              <w:spacing w:after="0"/>
              <w:rPr>
                <w:sz w:val="15"/>
                <w:szCs w:val="15"/>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actuarial net gain</w:t>
            </w: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(75)</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Arial" w:cs="Arial" w:eastAsia="Arial" w:hAnsi="Arial"/>
                <w:sz w:val="15"/>
                <w:szCs w:val="15"/>
                <w:color w:val="auto"/>
              </w:rPr>
              <w:t>Amortization of unrecognized prior service costs</w:t>
            </w:r>
          </w:p>
        </w:tc>
        <w:tc>
          <w:tcPr>
            <w:tcW w:w="1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5"/>
                <w:szCs w:val="15"/>
                <w:color w:val="auto"/>
              </w:rPr>
              <w:t>Net periodic benefit cost</w:t>
            </w:r>
          </w:p>
        </w:tc>
        <w:tc>
          <w:tcPr>
            <w:tcW w:w="1300" w:type="dxa"/>
            <w:vAlign w:val="bottom"/>
            <w:gridSpan w:val="2"/>
            <w:shd w:val="clear" w:color="auto" w:fill="CCEEFF"/>
          </w:tcPr>
          <w:p>
            <w:pPr>
              <w:jc w:val="right"/>
              <w:ind w:right="44"/>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1,462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2,852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w:t>
            </w:r>
          </w:p>
        </w:tc>
        <w:tc>
          <w:tcPr>
            <w:tcW w:w="120" w:type="dxa"/>
            <w:vAlign w:val="bottom"/>
            <w:shd w:val="clear" w:color="auto" w:fill="CCEEFF"/>
          </w:tcPr>
          <w:p>
            <w:pPr>
              <w:spacing w:after="0"/>
              <w:rPr>
                <w:sz w:val="16"/>
                <w:szCs w:val="16"/>
                <w:color w:val="auto"/>
              </w:rPr>
            </w:pPr>
          </w:p>
        </w:tc>
      </w:tr>
      <w:tr>
        <w:trPr>
          <w:trHeight w:val="793"/>
        </w:trPr>
        <w:tc>
          <w:tcPr>
            <w:tcW w:w="20" w:type="dxa"/>
            <w:vAlign w:val="bottom"/>
          </w:tcPr>
          <w:p>
            <w:pPr>
              <w:spacing w:after="0"/>
              <w:rPr>
                <w:sz w:val="24"/>
                <w:szCs w:val="24"/>
                <w:color w:val="auto"/>
              </w:rPr>
            </w:pPr>
          </w:p>
        </w:tc>
        <w:tc>
          <w:tcPr>
            <w:tcW w:w="53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jc w:val="right"/>
              <w:ind w:right="564"/>
              <w:spacing w:after="0"/>
              <w:rPr>
                <w:sz w:val="20"/>
                <w:szCs w:val="20"/>
                <w:color w:val="auto"/>
              </w:rPr>
            </w:pPr>
            <w:r>
              <w:rPr>
                <w:rFonts w:ascii="Arial" w:cs="Arial" w:eastAsia="Arial" w:hAnsi="Arial"/>
                <w:sz w:val="15"/>
                <w:szCs w:val="15"/>
                <w:color w:val="auto"/>
              </w:rPr>
              <w:t>18</w:t>
            </w: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99"/>
        </w:trPr>
        <w:tc>
          <w:tcPr>
            <w:tcW w:w="20" w:type="dxa"/>
            <w:vAlign w:val="bottom"/>
          </w:tcPr>
          <w:p>
            <w:pPr>
              <w:spacing w:after="0"/>
              <w:rPr>
                <w:sz w:val="8"/>
                <w:szCs w:val="8"/>
                <w:color w:val="auto"/>
              </w:rPr>
            </w:pPr>
          </w:p>
        </w:tc>
        <w:tc>
          <w:tcPr>
            <w:tcW w:w="53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Note 9:</w:t>
      </w:r>
      <w:r>
        <w:rPr>
          <w:sz w:val="20"/>
          <w:szCs w:val="20"/>
          <w:color w:val="auto"/>
        </w:rPr>
        <w:tab/>
      </w:r>
      <w:r>
        <w:rPr>
          <w:rFonts w:ascii="Arial" w:cs="Arial" w:eastAsia="Arial" w:hAnsi="Arial"/>
          <w:sz w:val="13"/>
          <w:szCs w:val="13"/>
          <w:b w:val="1"/>
          <w:bCs w:val="1"/>
          <w:color w:val="auto"/>
        </w:rPr>
        <w:t>Stock-Based Compensation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record stock-based compensation expense under SFAS 123(R) for awards of stock options, our ESPP and issuance of restricted and unrestricted stock awards and units. We expense stock-based compensation using the straight-line method over the requisite service period. For the three months ended June 30, 2008 and 2007, stock-based compensation expense was $4.1 million and $3.0 million and the related tax benefit was $914,000 and $714,000, respectively. For the six months ended June 30, 2008 and 2007, stock-based compensation expense was $8.0 million and $5.9 million and the related tax benefit was $1.8 million and $1.4 million, respectively. There was no stock-based compensation expense capitalized at June 30, 2008 and 2007. We issue new shares of common stock upon the exercise of stock options or when vesting conditions on restricted awards are fully satisfied. Cash received from the exercise of stock options and similar awards was $4.0 million and $6.6 million for the three months ended June 30, 2008 and 2007, and $6.6 million and $11.0 million for the six months ended June 30, 2008 and 2007, respectively.</w:t>
      </w:r>
    </w:p>
    <w:p>
      <w:pPr>
        <w:spacing w:after="0" w:line="183"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The fair value of stock options and ESPP awards issued during the three and six months ended June 30, 2008 and 2007 were estimated at the date of grant using the Black-Scholes option-pricing model with the following weighted average assumptions: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5"/>
                <w:szCs w:val="15"/>
                <w:b w:val="1"/>
                <w:bCs w:val="1"/>
                <w:color w:val="auto"/>
              </w:rPr>
              <w:t>Employee Stock Options</w:t>
            </w: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5"/>
                <w:szCs w:val="15"/>
                <w:b w:val="1"/>
                <w:bCs w:val="1"/>
                <w:color w:val="auto"/>
              </w:rPr>
              <w:t>Three Months Ended June 30,</w:t>
            </w:r>
          </w:p>
        </w:tc>
        <w:tc>
          <w:tcPr>
            <w:tcW w:w="2520" w:type="dxa"/>
            <w:vAlign w:val="bottom"/>
            <w:gridSpan w:val="3"/>
          </w:tcPr>
          <w:p>
            <w:pPr>
              <w:jc w:val="right"/>
              <w:ind w:right="304"/>
              <w:spacing w:after="0"/>
              <w:rPr>
                <w:sz w:val="20"/>
                <w:szCs w:val="20"/>
                <w:color w:val="auto"/>
              </w:rPr>
            </w:pPr>
            <w:r>
              <w:rPr>
                <w:rFonts w:ascii="Arial" w:cs="Arial" w:eastAsia="Arial" w:hAnsi="Arial"/>
                <w:sz w:val="15"/>
                <w:szCs w:val="15"/>
                <w:b w:val="1"/>
                <w:bCs w:val="1"/>
                <w:color w:val="auto"/>
              </w:rPr>
              <w:t>Six Months Ended June 30,</w:t>
            </w:r>
          </w:p>
        </w:tc>
        <w:tc>
          <w:tcPr>
            <w:tcW w:w="140" w:type="dxa"/>
            <w:vAlign w:val="bottom"/>
          </w:tcPr>
          <w:p>
            <w:pPr>
              <w:spacing w:after="0"/>
              <w:rPr>
                <w:sz w:val="16"/>
                <w:szCs w:val="16"/>
                <w:color w:val="auto"/>
              </w:rPr>
            </w:pPr>
          </w:p>
        </w:tc>
      </w:tr>
      <w:tr>
        <w:trPr>
          <w:trHeight w:val="184"/>
        </w:trPr>
        <w:tc>
          <w:tcPr>
            <w:tcW w:w="6000" w:type="dxa"/>
            <w:vAlign w:val="bottom"/>
            <w:gridSpan w:val="2"/>
          </w:tcPr>
          <w:p>
            <w:pPr>
              <w:spacing w:after="0"/>
              <w:rPr>
                <w:sz w:val="16"/>
                <w:szCs w:val="16"/>
                <w:color w:val="auto"/>
              </w:rPr>
            </w:pP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2008</w:t>
            </w:r>
          </w:p>
        </w:tc>
        <w:tc>
          <w:tcPr>
            <w:tcW w:w="3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6780" w:type="dxa"/>
            <w:vAlign w:val="bottom"/>
            <w:gridSpan w:val="2"/>
          </w:tcPr>
          <w:p>
            <w:pPr>
              <w:spacing w:after="0"/>
              <w:rPr>
                <w:sz w:val="20"/>
                <w:szCs w:val="20"/>
                <w:color w:val="auto"/>
              </w:rPr>
            </w:pPr>
            <w:r>
              <w:rPr>
                <w:rFonts w:ascii="Arial" w:cs="Arial" w:eastAsia="Arial" w:hAnsi="Arial"/>
                <w:sz w:val="15"/>
                <w:szCs w:val="15"/>
                <w:color w:val="auto"/>
              </w:rPr>
              <w:t>Expected volatility</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45.0%</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38.1%</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44.8%</w:t>
            </w:r>
          </w:p>
        </w:tc>
        <w:tc>
          <w:tcPr>
            <w:tcW w:w="1280" w:type="dxa"/>
            <w:vAlign w:val="bottom"/>
            <w:gridSpan w:val="2"/>
          </w:tcPr>
          <w:p>
            <w:pPr>
              <w:jc w:val="right"/>
              <w:ind w:right="20"/>
              <w:spacing w:after="0"/>
              <w:rPr>
                <w:sz w:val="20"/>
                <w:szCs w:val="20"/>
                <w:color w:val="auto"/>
              </w:rPr>
            </w:pPr>
            <w:r>
              <w:rPr>
                <w:rFonts w:ascii="Arial" w:cs="Arial" w:eastAsia="Arial" w:hAnsi="Arial"/>
                <w:sz w:val="15"/>
                <w:szCs w:val="15"/>
                <w:color w:val="auto"/>
              </w:rPr>
              <w:t>38.4%</w:t>
            </w:r>
          </w:p>
        </w:tc>
      </w:tr>
      <w:tr>
        <w:trPr>
          <w:trHeight w:val="182"/>
        </w:trPr>
        <w:tc>
          <w:tcPr>
            <w:tcW w:w="20" w:type="dxa"/>
            <w:vAlign w:val="bottom"/>
          </w:tcPr>
          <w:p>
            <w:pPr>
              <w:spacing w:after="0"/>
              <w:rPr>
                <w:sz w:val="15"/>
                <w:szCs w:val="15"/>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4.6%</w:t>
            </w:r>
          </w:p>
        </w:tc>
      </w:tr>
      <w:tr>
        <w:trPr>
          <w:trHeight w:val="191"/>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Arial" w:cs="Arial" w:eastAsia="Arial" w:hAnsi="Arial"/>
                <w:sz w:val="15"/>
                <w:szCs w:val="15"/>
                <w:color w:val="auto"/>
              </w:rPr>
              <w:t>Expected life (years)</w:t>
            </w:r>
          </w:p>
        </w:tc>
        <w:tc>
          <w:tcPr>
            <w:tcW w:w="600" w:type="dxa"/>
            <w:vAlign w:val="bottom"/>
            <w:gridSpan w:val="2"/>
          </w:tcPr>
          <w:p>
            <w:pPr>
              <w:jc w:val="right"/>
              <w:ind w:right="260"/>
              <w:spacing w:after="0"/>
              <w:rPr>
                <w:sz w:val="20"/>
                <w:szCs w:val="20"/>
                <w:color w:val="auto"/>
              </w:rPr>
            </w:pPr>
            <w:r>
              <w:rPr>
                <w:rFonts w:ascii="Arial" w:cs="Arial" w:eastAsia="Arial" w:hAnsi="Arial"/>
                <w:sz w:val="15"/>
                <w:szCs w:val="15"/>
                <w:color w:val="auto"/>
              </w:rPr>
              <w:t>4.50</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4.94</w:t>
            </w:r>
          </w:p>
        </w:tc>
        <w:tc>
          <w:tcPr>
            <w:tcW w:w="1380" w:type="dxa"/>
            <w:vAlign w:val="bottom"/>
            <w:gridSpan w:val="2"/>
          </w:tcPr>
          <w:p>
            <w:pPr>
              <w:jc w:val="right"/>
              <w:ind w:right="240"/>
              <w:spacing w:after="0"/>
              <w:rPr>
                <w:sz w:val="20"/>
                <w:szCs w:val="20"/>
                <w:color w:val="auto"/>
              </w:rPr>
            </w:pPr>
            <w:r>
              <w:rPr>
                <w:rFonts w:ascii="Arial" w:cs="Arial" w:eastAsia="Arial" w:hAnsi="Arial"/>
                <w:sz w:val="15"/>
                <w:szCs w:val="15"/>
                <w:color w:val="auto"/>
              </w:rPr>
              <w:t>4.49</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4.94</w:t>
            </w:r>
          </w:p>
        </w:tc>
      </w:tr>
    </w:tbl>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ESPP</w:t>
            </w: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5"/>
                <w:szCs w:val="15"/>
                <w:b w:val="1"/>
                <w:bCs w:val="1"/>
                <w:color w:val="auto"/>
                <w:w w:val="97"/>
              </w:rPr>
              <w:t>Six Months Ended June 30,</w:t>
            </w:r>
          </w:p>
        </w:tc>
        <w:tc>
          <w:tcPr>
            <w:tcW w:w="140" w:type="dxa"/>
            <w:vAlign w:val="bottom"/>
          </w:tcPr>
          <w:p>
            <w:pPr>
              <w:spacing w:after="0"/>
              <w:rPr>
                <w:sz w:val="16"/>
                <w:szCs w:val="16"/>
                <w:color w:val="auto"/>
              </w:rPr>
            </w:pPr>
          </w:p>
        </w:tc>
      </w:tr>
      <w:tr>
        <w:trPr>
          <w:trHeight w:val="184"/>
        </w:trPr>
        <w:tc>
          <w:tcPr>
            <w:tcW w:w="6000" w:type="dxa"/>
            <w:vAlign w:val="bottom"/>
            <w:gridSpan w:val="2"/>
          </w:tcPr>
          <w:p>
            <w:pPr>
              <w:spacing w:after="0"/>
              <w:rPr>
                <w:sz w:val="16"/>
                <w:szCs w:val="16"/>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2008</w:t>
            </w:r>
          </w:p>
        </w:tc>
        <w:tc>
          <w:tcPr>
            <w:tcW w:w="3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2007</w:t>
            </w:r>
          </w:p>
        </w:tc>
        <w:tc>
          <w:tcPr>
            <w:tcW w:w="2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240" w:type="dxa"/>
            <w:vAlign w:val="bottom"/>
          </w:tcPr>
          <w:p>
            <w:pPr>
              <w:spacing w:after="0"/>
              <w:rPr>
                <w:sz w:val="16"/>
                <w:szCs w:val="16"/>
                <w:color w:val="auto"/>
              </w:rPr>
            </w:pPr>
          </w:p>
        </w:tc>
        <w:tc>
          <w:tcPr>
            <w:tcW w:w="11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4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Dividend yield</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6780" w:type="dxa"/>
            <w:vAlign w:val="bottom"/>
            <w:gridSpan w:val="2"/>
          </w:tcPr>
          <w:p>
            <w:pPr>
              <w:spacing w:after="0"/>
              <w:rPr>
                <w:sz w:val="20"/>
                <w:szCs w:val="20"/>
                <w:color w:val="auto"/>
              </w:rPr>
            </w:pPr>
            <w:r>
              <w:rPr>
                <w:rFonts w:ascii="Arial" w:cs="Arial" w:eastAsia="Arial" w:hAnsi="Arial"/>
                <w:sz w:val="15"/>
                <w:szCs w:val="15"/>
                <w:color w:val="auto"/>
              </w:rPr>
              <w:t>Expected volatility</w:t>
            </w:r>
          </w:p>
        </w:tc>
        <w:tc>
          <w:tcPr>
            <w:tcW w:w="600" w:type="dxa"/>
            <w:vAlign w:val="bottom"/>
            <w:gridSpan w:val="2"/>
          </w:tcPr>
          <w:p>
            <w:pPr>
              <w:jc w:val="right"/>
              <w:ind w:right="120"/>
              <w:spacing w:after="0"/>
              <w:rPr>
                <w:sz w:val="20"/>
                <w:szCs w:val="20"/>
                <w:color w:val="auto"/>
              </w:rPr>
            </w:pPr>
            <w:r>
              <w:rPr>
                <w:rFonts w:ascii="Arial" w:cs="Arial" w:eastAsia="Arial" w:hAnsi="Arial"/>
                <w:sz w:val="15"/>
                <w:szCs w:val="15"/>
                <w:color w:val="auto"/>
              </w:rPr>
              <w:t>56.2%</w:t>
            </w:r>
          </w:p>
        </w:tc>
        <w:tc>
          <w:tcPr>
            <w:tcW w:w="860" w:type="dxa"/>
            <w:vAlign w:val="bottom"/>
          </w:tcPr>
          <w:p>
            <w:pPr>
              <w:spacing w:after="0"/>
              <w:rPr>
                <w:sz w:val="15"/>
                <w:szCs w:val="15"/>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24.3%</w:t>
            </w:r>
          </w:p>
        </w:tc>
        <w:tc>
          <w:tcPr>
            <w:tcW w:w="2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60.5%</w:t>
            </w:r>
          </w:p>
        </w:tc>
        <w:tc>
          <w:tcPr>
            <w:tcW w:w="1280" w:type="dxa"/>
            <w:vAlign w:val="bottom"/>
            <w:gridSpan w:val="2"/>
          </w:tcPr>
          <w:p>
            <w:pPr>
              <w:jc w:val="right"/>
              <w:ind w:right="20"/>
              <w:spacing w:after="0"/>
              <w:rPr>
                <w:sz w:val="20"/>
                <w:szCs w:val="20"/>
                <w:color w:val="auto"/>
              </w:rPr>
            </w:pPr>
            <w:r>
              <w:rPr>
                <w:rFonts w:ascii="Arial" w:cs="Arial" w:eastAsia="Arial" w:hAnsi="Arial"/>
                <w:sz w:val="15"/>
                <w:szCs w:val="15"/>
                <w:color w:val="auto"/>
              </w:rPr>
              <w:t>24.3%</w:t>
            </w:r>
          </w:p>
        </w:tc>
      </w:tr>
      <w:tr>
        <w:trPr>
          <w:trHeight w:val="182"/>
        </w:trPr>
        <w:tc>
          <w:tcPr>
            <w:tcW w:w="20" w:type="dxa"/>
            <w:vAlign w:val="bottom"/>
          </w:tcPr>
          <w:p>
            <w:pPr>
              <w:spacing w:after="0"/>
              <w:rPr>
                <w:sz w:val="15"/>
                <w:szCs w:val="15"/>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w:t>
            </w:r>
          </w:p>
        </w:tc>
        <w:tc>
          <w:tcPr>
            <w:tcW w:w="8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5.0%</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5.1%</w:t>
            </w:r>
          </w:p>
        </w:tc>
      </w:tr>
      <w:tr>
        <w:trPr>
          <w:trHeight w:val="191"/>
        </w:trPr>
        <w:tc>
          <w:tcPr>
            <w:tcW w:w="20" w:type="dxa"/>
            <w:vAlign w:val="bottom"/>
          </w:tcPr>
          <w:p>
            <w:pPr>
              <w:spacing w:after="0"/>
              <w:rPr>
                <w:sz w:val="16"/>
                <w:szCs w:val="16"/>
                <w:color w:val="auto"/>
              </w:rPr>
            </w:pPr>
          </w:p>
        </w:tc>
        <w:tc>
          <w:tcPr>
            <w:tcW w:w="6780" w:type="dxa"/>
            <w:vAlign w:val="bottom"/>
            <w:gridSpan w:val="2"/>
          </w:tcPr>
          <w:p>
            <w:pPr>
              <w:spacing w:after="0"/>
              <w:rPr>
                <w:sz w:val="20"/>
                <w:szCs w:val="20"/>
                <w:color w:val="auto"/>
              </w:rPr>
            </w:pPr>
            <w:r>
              <w:rPr>
                <w:rFonts w:ascii="Arial" w:cs="Arial" w:eastAsia="Arial" w:hAnsi="Arial"/>
                <w:sz w:val="15"/>
                <w:szCs w:val="15"/>
                <w:color w:val="auto"/>
              </w:rPr>
              <w:t>Expected life (years)</w:t>
            </w:r>
          </w:p>
        </w:tc>
        <w:tc>
          <w:tcPr>
            <w:tcW w:w="600" w:type="dxa"/>
            <w:vAlign w:val="bottom"/>
            <w:gridSpan w:val="2"/>
          </w:tcPr>
          <w:p>
            <w:pPr>
              <w:jc w:val="right"/>
              <w:ind w:right="260"/>
              <w:spacing w:after="0"/>
              <w:rPr>
                <w:sz w:val="20"/>
                <w:szCs w:val="20"/>
                <w:color w:val="auto"/>
              </w:rPr>
            </w:pPr>
            <w:r>
              <w:rPr>
                <w:rFonts w:ascii="Arial" w:cs="Arial" w:eastAsia="Arial" w:hAnsi="Arial"/>
                <w:sz w:val="15"/>
                <w:szCs w:val="15"/>
                <w:color w:val="auto"/>
              </w:rPr>
              <w:t>0.25</w:t>
            </w:r>
          </w:p>
        </w:tc>
        <w:tc>
          <w:tcPr>
            <w:tcW w:w="86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5"/>
                <w:szCs w:val="15"/>
                <w:color w:val="auto"/>
                <w:w w:val="88"/>
              </w:rPr>
              <w:t>0.25</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0.25</w:t>
            </w: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0.25</w:t>
            </w:r>
          </w:p>
        </w:tc>
      </w:tr>
    </w:tbl>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For 2008 and 2007, expected price volatility is based on a combination of historical volatility of our common stock and the implied volatility of our traded options for the related vesting period. We believe this combined approach is reflective of current and historical market conditions and an appropriate indicator of expected volatility. The risk-free interest rate is the rate available as of the award date on zero-coupon U.S. government issues with a remaining term equal to the expected life of the award. The expected life is the weighted average expected life for the entire award based on the fixed period of time between the date the award is granted and the date the award is fully exercised. Factors to be considered in estimating the expected life include historical experience of similar awards, with consideration to the contractual terms, vesting schedules and expectations of future employee behavior. We have not paid dividends in the past and do not plan to pay any dividends in the foreseeable future.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Subject to stock splits, dividends and other similar events, 5,875,000 shares of common stock are reserved and authorized for issuance under our Amended and Restated 2000 Stock Incentive Plan, of which 536,840 shares remain available for issuance at June 30, 2008. In addition, of the authorized shares under the plan, no more than 1.0 million shares can be issued as non-stock options (awards). Awards consist of restricted stock units, restricted stock awards and unrestricted stock awards. Shares remaining for issuance as awards were 619,163 at June 30, 2008.</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Stock Options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Stock options to purchase the Company’s common stock are granted to employees and the Board of Directors with an exercise price equal to the fair market value of the stock on the date of grant upon approval by our Board of Directors. Options generally become exercisable in three or four equal installments beginning one year from the date of grant and generally expire 10 years from the date of grant.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fair value of each stock option granted is estimated on the date of grant using the Black-Scholes option-pricing model. The weighted average grant date fair values of the stock options granted during the three months ended June 30, 2008 and 2007 were $39.21 and $27.26 per share, respectively. The weighted average grant date fair values of the stock options granted during the six months ended June 30, 2008 and 2007 were $39.07 and $27.21 per share, respectively. Compensation expense related to stock options recognized under SFAS 123(R) for the three months ended June 30, 2008 and 2007 was $2.3 million and $2.4 million, respectively, and $4.6 million and $4.8 million for the six months ended June 30, 2008 and 2007, respectively. Compensation expense is recognized only for those options expected to vest, with forfeitures estimated at the date of grant based on our historical experience and future expectations.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 summary of our stock option activity for the six months ended June 30, 2008 and 2007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Weighted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Weighted</w:t>
            </w: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Average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Arial" w:cs="Arial" w:eastAsia="Arial" w:hAnsi="Arial"/>
                <w:sz w:val="15"/>
                <w:szCs w:val="15"/>
                <w:b w:val="1"/>
                <w:bCs w:val="1"/>
                <w:color w:val="auto"/>
              </w:rPr>
              <w:t>Average Exercise</w:t>
            </w:r>
          </w:p>
        </w:tc>
        <w:tc>
          <w:tcPr>
            <w:tcW w:w="12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Remaining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Shares</w:t>
            </w:r>
          </w:p>
        </w:tc>
        <w:tc>
          <w:tcPr>
            <w:tcW w:w="1360" w:type="dxa"/>
            <w:vAlign w:val="bottom"/>
            <w:gridSpan w:val="3"/>
          </w:tcPr>
          <w:p>
            <w:pPr>
              <w:jc w:val="center"/>
              <w:ind w:right="220"/>
              <w:spacing w:after="0"/>
              <w:rPr>
                <w:sz w:val="20"/>
                <w:szCs w:val="20"/>
                <w:color w:val="auto"/>
              </w:rPr>
            </w:pPr>
            <w:r>
              <w:rPr>
                <w:rFonts w:ascii="Arial" w:cs="Arial" w:eastAsia="Arial" w:hAnsi="Arial"/>
                <w:sz w:val="15"/>
                <w:szCs w:val="15"/>
                <w:b w:val="1"/>
                <w:bCs w:val="1"/>
                <w:color w:val="auto"/>
                <w:w w:val="92"/>
              </w:rPr>
              <w:t>Price per Share</w:t>
            </w:r>
          </w:p>
        </w:tc>
        <w:tc>
          <w:tcPr>
            <w:tcW w:w="126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4"/>
              </w:rPr>
              <w:t>Contractual Life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Intrinsic Value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18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8"/>
              </w:rPr>
              <w:t>(in thousands)</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(years)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4"/>
              <w:spacing w:after="0"/>
              <w:rPr>
                <w:sz w:val="20"/>
                <w:szCs w:val="20"/>
                <w:color w:val="auto"/>
              </w:rPr>
            </w:pPr>
            <w:r>
              <w:rPr>
                <w:rFonts w:ascii="Arial" w:cs="Arial" w:eastAsia="Arial" w:hAnsi="Arial"/>
                <w:sz w:val="15"/>
                <w:szCs w:val="15"/>
                <w:b w:val="1"/>
                <w:bCs w:val="1"/>
                <w:color w:val="auto"/>
                <w:w w:val="88"/>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Outstanding, January 1, 2007</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2,225</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29.78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49,469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spacing w:after="0"/>
              <w:rPr>
                <w:sz w:val="20"/>
                <w:szCs w:val="20"/>
                <w:color w:val="auto"/>
              </w:rPr>
            </w:pPr>
            <w:r>
              <w:rPr>
                <w:rFonts w:ascii="Arial" w:cs="Arial" w:eastAsia="Arial" w:hAnsi="Arial"/>
                <w:sz w:val="15"/>
                <w:szCs w:val="15"/>
                <w:color w:val="auto"/>
              </w:rPr>
              <w:t>200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66.94</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(441)</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22.87</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(45)</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43.96</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Expired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42.62</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Outstanding, June 30, 2007</w:t>
            </w:r>
          </w:p>
        </w:tc>
        <w:tc>
          <w:tcPr>
            <w:tcW w:w="1180" w:type="dxa"/>
            <w:vAlign w:val="bottom"/>
          </w:tcPr>
          <w:p>
            <w:pPr>
              <w:jc w:val="right"/>
              <w:spacing w:after="0"/>
              <w:rPr>
                <w:sz w:val="20"/>
                <w:szCs w:val="20"/>
                <w:color w:val="auto"/>
              </w:rPr>
            </w:pPr>
            <w:r>
              <w:rPr>
                <w:rFonts w:ascii="Arial" w:cs="Arial" w:eastAsia="Arial" w:hAnsi="Arial"/>
                <w:sz w:val="15"/>
                <w:szCs w:val="15"/>
                <w:color w:val="auto"/>
              </w:rPr>
              <w:t>1,932</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34.83</w:t>
            </w:r>
          </w:p>
        </w:tc>
        <w:tc>
          <w:tcPr>
            <w:tcW w:w="2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7.38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83,264</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Exercisable and expected to vest, June 30, 2007</w:t>
            </w:r>
          </w:p>
        </w:tc>
        <w:tc>
          <w:tcPr>
            <w:tcW w:w="1180" w:type="dxa"/>
            <w:vAlign w:val="bottom"/>
          </w:tcPr>
          <w:p>
            <w:pPr>
              <w:jc w:val="right"/>
              <w:spacing w:after="0"/>
              <w:rPr>
                <w:sz w:val="20"/>
                <w:szCs w:val="20"/>
                <w:color w:val="auto"/>
              </w:rPr>
            </w:pPr>
            <w:r>
              <w:rPr>
                <w:rFonts w:ascii="Arial" w:cs="Arial" w:eastAsia="Arial" w:hAnsi="Arial"/>
                <w:sz w:val="15"/>
                <w:szCs w:val="15"/>
                <w:color w:val="auto"/>
              </w:rPr>
              <w:t>1,724</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33.23</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7.20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77,069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Exercisable, June 30, 2007</w:t>
            </w:r>
          </w:p>
        </w:tc>
        <w:tc>
          <w:tcPr>
            <w:tcW w:w="1180" w:type="dxa"/>
            <w:vAlign w:val="bottom"/>
          </w:tcPr>
          <w:p>
            <w:pPr>
              <w:jc w:val="right"/>
              <w:spacing w:after="0"/>
              <w:rPr>
                <w:sz w:val="20"/>
                <w:szCs w:val="20"/>
                <w:color w:val="auto"/>
              </w:rPr>
            </w:pPr>
            <w:r>
              <w:rPr>
                <w:rFonts w:ascii="Arial" w:cs="Arial" w:eastAsia="Arial" w:hAnsi="Arial"/>
                <w:sz w:val="15"/>
                <w:szCs w:val="15"/>
                <w:color w:val="auto"/>
              </w:rPr>
              <w:t>903</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19.92</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5.72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52,421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Outstanding, January 1, 2008</w:t>
            </w:r>
          </w:p>
        </w:tc>
        <w:tc>
          <w:tcPr>
            <w:tcW w:w="1180" w:type="dxa"/>
            <w:vAlign w:val="bottom"/>
          </w:tcPr>
          <w:p>
            <w:pPr>
              <w:jc w:val="right"/>
              <w:spacing w:after="0"/>
              <w:rPr>
                <w:sz w:val="20"/>
                <w:szCs w:val="20"/>
                <w:color w:val="auto"/>
              </w:rPr>
            </w:pPr>
            <w:r>
              <w:rPr>
                <w:rFonts w:ascii="Arial" w:cs="Arial" w:eastAsia="Arial" w:hAnsi="Arial"/>
                <w:sz w:val="15"/>
                <w:szCs w:val="15"/>
                <w:color w:val="auto"/>
              </w:rPr>
              <w:t>1,561</w:t>
            </w:r>
          </w:p>
        </w:tc>
        <w:tc>
          <w:tcPr>
            <w:tcW w:w="2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37.81</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6.98</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90,769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Granted</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95.79</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5"/>
                <w:szCs w:val="15"/>
                <w:color w:val="auto"/>
              </w:rPr>
              <w:t>(218)</w:t>
            </w:r>
          </w:p>
        </w:tc>
        <w:tc>
          <w:tcPr>
            <w:tcW w:w="18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24.87</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5"/>
                <w:szCs w:val="15"/>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(17)</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47.62</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Outstanding, June 30, 2008</w:t>
            </w:r>
          </w:p>
        </w:tc>
        <w:tc>
          <w:tcPr>
            <w:tcW w:w="1180" w:type="dxa"/>
            <w:vAlign w:val="bottom"/>
          </w:tcPr>
          <w:p>
            <w:pPr>
              <w:jc w:val="right"/>
              <w:spacing w:after="0"/>
              <w:rPr>
                <w:sz w:val="20"/>
                <w:szCs w:val="20"/>
                <w:color w:val="auto"/>
              </w:rPr>
            </w:pPr>
            <w:r>
              <w:rPr>
                <w:rFonts w:ascii="Arial" w:cs="Arial" w:eastAsia="Arial" w:hAnsi="Arial"/>
                <w:sz w:val="15"/>
                <w:szCs w:val="15"/>
                <w:color w:val="auto"/>
              </w:rPr>
              <w:t>1,572</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48.59</w:t>
            </w:r>
          </w:p>
        </w:tc>
        <w:tc>
          <w:tcPr>
            <w:tcW w:w="22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7.24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78,221</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Exercisable and expected to vest, June 30, 2008</w:t>
            </w:r>
          </w:p>
        </w:tc>
        <w:tc>
          <w:tcPr>
            <w:tcW w:w="1180" w:type="dxa"/>
            <w:vAlign w:val="bottom"/>
          </w:tcPr>
          <w:p>
            <w:pPr>
              <w:jc w:val="right"/>
              <w:spacing w:after="0"/>
              <w:rPr>
                <w:sz w:val="20"/>
                <w:szCs w:val="20"/>
                <w:color w:val="auto"/>
              </w:rPr>
            </w:pPr>
            <w:r>
              <w:rPr>
                <w:rFonts w:ascii="Arial" w:cs="Arial" w:eastAsia="Arial" w:hAnsi="Arial"/>
                <w:sz w:val="15"/>
                <w:szCs w:val="15"/>
                <w:color w:val="auto"/>
              </w:rPr>
              <w:t>1,492</w:t>
            </w:r>
          </w:p>
        </w:tc>
        <w:tc>
          <w:tcPr>
            <w:tcW w:w="2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5"/>
                <w:szCs w:val="15"/>
                <w:color w:val="auto"/>
              </w:rPr>
              <w:t>47.05</w:t>
            </w: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7.14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76,518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060" w:type="dxa"/>
            <w:vAlign w:val="bottom"/>
            <w:shd w:val="clear" w:color="auto" w:fill="CCEEFF"/>
          </w:tcPr>
          <w:p>
            <w:pPr>
              <w:spacing w:after="0"/>
              <w:rPr>
                <w:sz w:val="15"/>
                <w:szCs w:val="15"/>
                <w:color w:val="auto"/>
              </w:rPr>
            </w:pPr>
          </w:p>
        </w:tc>
        <w:tc>
          <w:tcPr>
            <w:tcW w:w="118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Exercisable, June 30, 2008</w:t>
            </w:r>
          </w:p>
        </w:tc>
        <w:tc>
          <w:tcPr>
            <w:tcW w:w="1180" w:type="dxa"/>
            <w:vAlign w:val="bottom"/>
          </w:tcPr>
          <w:p>
            <w:pPr>
              <w:jc w:val="right"/>
              <w:spacing w:after="0"/>
              <w:rPr>
                <w:sz w:val="20"/>
                <w:szCs w:val="20"/>
                <w:color w:val="auto"/>
              </w:rPr>
            </w:pPr>
            <w:r>
              <w:rPr>
                <w:rFonts w:ascii="Arial" w:cs="Arial" w:eastAsia="Arial" w:hAnsi="Arial"/>
                <w:sz w:val="15"/>
                <w:szCs w:val="15"/>
                <w:color w:val="auto"/>
              </w:rPr>
              <w:t>823</w:t>
            </w:r>
          </w:p>
        </w:tc>
        <w:tc>
          <w:tcPr>
            <w:tcW w:w="20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30.72</w:t>
            </w:r>
          </w:p>
        </w:tc>
        <w:tc>
          <w:tcPr>
            <w:tcW w:w="2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5"/>
                <w:szCs w:val="15"/>
                <w:color w:val="auto"/>
              </w:rPr>
              <w:t>5.79</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55,673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The aggregate intrinsic value in the table above is the amount by which the market value of the underlying stock exceeded the exercise price of the outstanding options before applicable income taxes, based on our closing stock price as of the last business day of the period, which represents amounts that would have been received by the optionees had all options been exercised on that date. As of June 30, 2008, total unrecognized stock-based compensation expense related to nonvested stock options, net of estimated forfeitures, was approximately $13.9 million, which is expected to be recognized over a weighted average period of approximately 22 months. During the three months ended June 30, 2008 and 2007, the total intrinsic value of stock options exercised was $8.6 million and $11.9 million, respectively. During the six months ended June 30, 2008 and 2007, total intrinsic value of stock options exercised was $15.3 million and $19.4 million, respectively.</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Restricted Stock Units</w:t>
      </w:r>
    </w:p>
    <w:p>
      <w:pPr>
        <w:spacing w:after="0" w:line="18"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During the three and six months ended June 30, 2008, we granted 62,000 and 182,000 restricted stock units (RSUs), respectively. During the three and six months ended June 30, 2007, we granted 60,667 RSUs as the first grant date was May 14, 2007. Generally, the RSU’s have a cliff vesting period in which employees become 100% vested three years from the anniversary of the grant date. Upon vesting, the RSUs are converted into shares of the Company’s common stock on a one-for-one basis and issued to employees, subject to any deferral elections made by a recipient or required by the plan. The fair value of RSUs is the market close price of our common stock on the date of grant. Compensation expense is recognized over the vesting period from the date of grant. The Company is entitled to an income tax deduction in an amount equal to the taxable income reported by the holder upon vesting of the RSUs.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38"/>
        </w:trPr>
        <w:tc>
          <w:tcPr>
            <w:tcW w:w="756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560" w:type="dxa"/>
            <w:vAlign w:val="bottom"/>
            <w:gridSpan w:val="3"/>
          </w:tcPr>
          <w:p>
            <w:pPr>
              <w:spacing w:after="0"/>
              <w:rPr>
                <w:sz w:val="20"/>
                <w:szCs w:val="20"/>
                <w:color w:val="auto"/>
              </w:rPr>
            </w:pPr>
            <w:r>
              <w:rPr>
                <w:rFonts w:ascii="Arial" w:cs="Arial" w:eastAsia="Arial" w:hAnsi="Arial"/>
                <w:sz w:val="15"/>
                <w:szCs w:val="15"/>
                <w:color w:val="auto"/>
              </w:rPr>
              <w:t>A summary of the award activity for the six months ended June 30, 2008 and 2007 is as follows:</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rPr>
              <w:t>Number of Awards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48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Nonvested, January 1, 2007</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540" w:type="dxa"/>
            <w:vAlign w:val="bottom"/>
            <w:gridSpan w:val="2"/>
          </w:tcPr>
          <w:p>
            <w:pPr>
              <w:spacing w:after="0"/>
              <w:rPr>
                <w:sz w:val="20"/>
                <w:szCs w:val="20"/>
                <w:color w:val="auto"/>
              </w:rPr>
            </w:pPr>
            <w:r>
              <w:rPr>
                <w:rFonts w:ascii="Arial" w:cs="Arial" w:eastAsia="Arial" w:hAnsi="Arial"/>
                <w:sz w:val="15"/>
                <w:szCs w:val="15"/>
                <w:color w:val="auto"/>
              </w:rPr>
              <w:t>Issued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Nonvested, June 30, 2007</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Nonvested, January 1, 2008</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40" w:type="dxa"/>
            <w:vAlign w:val="bottom"/>
            <w:gridSpan w:val="2"/>
          </w:tcPr>
          <w:p>
            <w:pPr>
              <w:spacing w:after="0"/>
              <w:rPr>
                <w:sz w:val="20"/>
                <w:szCs w:val="20"/>
                <w:color w:val="auto"/>
              </w:rPr>
            </w:pPr>
            <w:r>
              <w:rPr>
                <w:rFonts w:ascii="Arial" w:cs="Arial" w:eastAsia="Arial" w:hAnsi="Arial"/>
                <w:sz w:val="15"/>
                <w:szCs w:val="15"/>
                <w:color w:val="auto"/>
              </w:rPr>
              <w:t>Issued</w:t>
            </w:r>
          </w:p>
        </w:tc>
        <w:tc>
          <w:tcPr>
            <w:tcW w:w="1500" w:type="dxa"/>
            <w:vAlign w:val="bottom"/>
            <w:gridSpan w:val="2"/>
          </w:tcPr>
          <w:p>
            <w:pPr>
              <w:jc w:val="right"/>
              <w:ind w:right="20"/>
              <w:spacing w:after="0"/>
              <w:rPr>
                <w:sz w:val="20"/>
                <w:szCs w:val="20"/>
                <w:color w:val="auto"/>
              </w:rPr>
            </w:pPr>
            <w:r>
              <w:rPr>
                <w:rFonts w:ascii="Arial" w:cs="Arial" w:eastAsia="Arial" w:hAnsi="Arial"/>
                <w:sz w:val="15"/>
                <w:szCs w:val="15"/>
                <w:color w:val="auto"/>
              </w:rPr>
              <w:t>182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Forfeited</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540" w:type="dxa"/>
            <w:vAlign w:val="bottom"/>
            <w:tcBorders>
              <w:top w:val="single" w:sz="8" w:color="CCEEFF"/>
            </w:tcBorders>
            <w:gridSpan w:val="2"/>
          </w:tcPr>
          <w:p>
            <w:pPr>
              <w:spacing w:after="0"/>
              <w:rPr>
                <w:sz w:val="20"/>
                <w:szCs w:val="20"/>
                <w:color w:val="auto"/>
              </w:rPr>
            </w:pPr>
            <w:r>
              <w:rPr>
                <w:rFonts w:ascii="Arial" w:cs="Arial" w:eastAsia="Arial" w:hAnsi="Arial"/>
                <w:sz w:val="15"/>
                <w:szCs w:val="15"/>
                <w:color w:val="auto"/>
              </w:rPr>
              <w:t>Nonvested, June 30, 2008</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243</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Compensation expense is recognized only for those awards expected to vest, with forfeitures estimated based on our historical experience and future expectations. For the three and six months ended June 30, 2008 total compensation expense relating to RSUs was $1.3 million and $2.2 million. For the three and six months ended June 30, 2007 total compensation expense relating the RSUs was $125,000. As of June 30, 2008, unrecognized compensation expense, net of estimated forfeitures, was $12.6 million, which is expected to be recognized over a weighted average period of approximately 27 months. The aggregate intrinsic value of RSUs outstanding at June 30, 2008 and 2007 was $23.9 million and $4.7 million, respectively, and the weighted average grant date fair value was $81.41 and $67.43 per share at June 30, 2008 and 2007, respectively.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Long-Term Performance Plan</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We have a Long-Term Performance Plan (LTPP) for senior management, of which the issuance of restricted stock awards and restricted stock units (awards) are contingent on the attainment of yearly goals. Awards are issued in the year following attainment, as approved by the Board of Directors. The awards are converted into shares of the Company’s common stock, subsequent to a three year cliff vesting period, on a one-to-one basis and issued to employees, subject to any deferral elections made by the recipient or required by the plan. An employee who terminates employment during a vesting period will receive a pro-rata portion of their issued awards based on the number of months worked during the vesting period and, other than for retirement, the awards will not be settled in shares of the Company’s common stock until the date they would otherwise vest. The fair value of an award is the market close price of our common stock on the date of grant.</w:t>
      </w:r>
    </w:p>
    <w:p>
      <w:pPr>
        <w:spacing w:after="0" w:line="186"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Restricted awards that are attainable are established at the beginning of the performance period based on a percentage of the participant’s base salary and the fair market value of the Company’s common stock on the first business day of the performance period. The maximum restricted awards attainable for the 2008 performance period is 50,726 shares at a grant date fair value of $77.74 per share. The awards at June 30, 2007 for the 2007 plan consisted of 21,392 shares at a grant date fair value of $62.52 per share.</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Compensation expense is recognized over the one year performance and three year vesting period for those awards expected to vest, with forfeitures estimated based on our historical experience and future expectations. Total compensation expense recognized for the LTPP plan was $473,000 and $381,000 for the three months ended June 30, 2008 and 2007, and $877,000 and $658,000 for the six months ended June 30, 2008 and 2007, respectively. As of June 30, 2008, total unrecognized compensation expense, net of estimated forfeitures, was $4.3 million, which is expected to be recognized through 2011.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38"/>
        </w:trPr>
        <w:tc>
          <w:tcPr>
            <w:tcW w:w="756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560" w:type="dxa"/>
            <w:vAlign w:val="bottom"/>
            <w:gridSpan w:val="3"/>
          </w:tcPr>
          <w:p>
            <w:pPr>
              <w:spacing w:after="0"/>
              <w:rPr>
                <w:sz w:val="20"/>
                <w:szCs w:val="20"/>
                <w:color w:val="auto"/>
              </w:rPr>
            </w:pPr>
            <w:r>
              <w:rPr>
                <w:rFonts w:ascii="Arial" w:cs="Arial" w:eastAsia="Arial" w:hAnsi="Arial"/>
                <w:sz w:val="15"/>
                <w:szCs w:val="15"/>
                <w:color w:val="auto"/>
              </w:rPr>
              <w:t>A summary of the award activity for the six months ended June 30, 2008 and 2007 is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Number of Awards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720" w:type="dxa"/>
            <w:vAlign w:val="bottom"/>
          </w:tcPr>
          <w:p>
            <w:pPr>
              <w:spacing w:after="0"/>
              <w:rPr>
                <w:sz w:val="15"/>
                <w:szCs w:val="15"/>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Nonvested, January 1, 2007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580" w:type="dxa"/>
            <w:vAlign w:val="bottom"/>
            <w:gridSpan w:val="2"/>
          </w:tcPr>
          <w:p>
            <w:pPr>
              <w:jc w:val="right"/>
              <w:ind w:right="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Nonvested, June 30, 2007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Nonvested, January 1, 2008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540" w:type="dxa"/>
            <w:vAlign w:val="bottom"/>
            <w:gridSpan w:val="2"/>
          </w:tcPr>
          <w:p>
            <w:pPr>
              <w:spacing w:after="0"/>
              <w:rPr>
                <w:sz w:val="20"/>
                <w:szCs w:val="20"/>
                <w:color w:val="auto"/>
              </w:rPr>
            </w:pPr>
            <w:r>
              <w:rPr>
                <w:rFonts w:ascii="Arial" w:cs="Arial" w:eastAsia="Arial" w:hAnsi="Arial"/>
                <w:sz w:val="15"/>
                <w:szCs w:val="15"/>
                <w:color w:val="auto"/>
              </w:rPr>
              <w:t>Issued</w:t>
            </w:r>
          </w:p>
        </w:tc>
        <w:tc>
          <w:tcPr>
            <w:tcW w:w="1580" w:type="dxa"/>
            <w:vAlign w:val="bottom"/>
            <w:gridSpan w:val="2"/>
          </w:tcPr>
          <w:p>
            <w:pPr>
              <w:jc w:val="right"/>
              <w:ind w:right="10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Nonvested, June 30, 2008</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The weighted average grant date fair value per share of nonvested awards was $61.65 for the three and six months ended June 30, 2008, and $61.20 for the three and six months ended June 30, 2007, respectively. The weighted average grant date fair value per share of awards forfeited was $62.52 for the three and six months ended June 30, 2008, and $59.16 for the three and six months ended June 30, 2007, respectively. The aggregate intrinsic value of awards outstanding was $6.5 million with an expected weighted average vesting period of 19 months at June 30, 2008.</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Unrestricted Stock Awards</w:t>
      </w:r>
    </w:p>
    <w:p>
      <w:pPr>
        <w:spacing w:after="0" w:line="1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We issue unrestricted stock awards to our Board of Directors as part of the Board of Directors’ compensation. Awards are fully vested at issuance and are expensed when issued. The fair value of unrestricted stock awards is the market close price of our common stock on the date of grant. During the three months ended June 30, 2008 and 2007, we issued a total of 156 and 300 shares of these awards with a weighted average grant date fair value of $94.47 and $66.41 per share, respectively. During the six months ended June 30, 2008 and 2007, we issued a total of 1,560 and 3,210 shares of these awards with a weighted average grant date fair value of $95.81 and $52.78 per share, respectively. The expense related to these awards was $15,000 and $20,000 for the three months ended June 30, 2008 and 2007, and $150,000 and $170,000 for the six months ended June 30, 2008 and 2007, respectively.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Employee Stock Purchase Plan</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Eligible employees who have completed three months of service, work more than 20 hours each week and are employed more than five months in any calendar year are eligible to participate in our ESPP. Employees who own 5% or more of our common stock are not eligible to participate in the ESPP. Under the terms of the ESPP, eligible employees can choose payroll deductions each year of up to 10% of their regular cash compensation. Such deductions are applied toward the discounted purchase price of our common stock. The purchase price of the common stock is 85% of the fair market value of the stock at the end of each fiscal quarter. Under the ESPP, we sold 15,975 and 23,320 shares to employees in the six months ended June 30, 2008 and 2007, respectively. The fair value of ESPP awards issued is estimated using the Black-Scholes option-pricing model. The weighted average fair value of the ESPP awards issued in the three months ended June 30, 2008 and 2007 was $15.46 and $10.16 per share and $15.81 and $8.99 per share for the six months ended June 30, 2008 and 2007, respectively. The expense related to ESPP recognized under SFAS 123(R) for the three months ended June 30, 2008 and 2007 was $134,000 and $97,000, respectively. The expense related to ESPP recognized under SFAS 123(R) for the six months ended June 30, 2008 and 2007 was $268,000 and $192,000, respectively. We had no unrecognized compensation cost at June 30, 2008 associated with the awards issued under the ESPP. There were approximately 326,000 shares of common stock available for future issuance under the employee stock purchase plan at June 30, 2008.</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Note 10:</w:t>
      </w:r>
      <w:r>
        <w:rPr>
          <w:sz w:val="20"/>
          <w:szCs w:val="20"/>
          <w:color w:val="auto"/>
        </w:rPr>
        <w:tab/>
      </w:r>
      <w:r>
        <w:rPr>
          <w:rFonts w:ascii="Arial" w:cs="Arial" w:eastAsia="Arial" w:hAnsi="Arial"/>
          <w:sz w:val="13"/>
          <w:szCs w:val="13"/>
          <w:b w:val="1"/>
          <w:bCs w:val="1"/>
          <w:color w:val="auto"/>
        </w:rPr>
        <w:t>Income Taxes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tax provision (benefit) as a percentage of income (loss) before tax typically differs from the federal statutory rate of 35%, and can vary from period to period, due to fluctuations in operating results, new or revised tax legislation and accounting pronouncements, changes in the level of business conducted in domestic and international jurisdictions, IPR&amp;D, research credits, state income taxes and adjustments to valuation allowances, among other items.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tax provision (benefit) as a percentage of income (loss) before tax was 2% and 5% for the three and six months ended June 30, 2008, compared with 38% and 39% for the same periods in 2007. Our tax provisions for the three and six months ended June 30, 2008 are lower than those in 2007 as 2008 reflects a benefit associated with lower effective tax rates on international earnings. We made an election under Internal Revenue Code Section 338 with respect to the Actaris acquisition, which resulted in a reduced global effective tax rate. Additionally, our reduced international tax liability reflects the benefit of international interest expense deductions.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Unrecognized tax benefits in accordance with FIN 48 were $36.0 million and $34.8 million at June 30, 2008 and December 31, 2007, respectively. We classify interest expense and penalties related to unrecognized tax benefits and interest income on tax overpayments as components of income tax expense. During the three and six months ended June 30, 2008, we recognized a benefit of $267,000 and expense of $210,000, respectively, in interest and penalties. At June 30, 2007, we had accrued approximately $7.4 million in interest and penalties, which was primarily the result of the acquisition of Actaris on April 18, 2007. At June 30, 2008 and December 31, 2007, accrued interest was $3.0 million and $2.7 million, respectively, and accrued penalties were $2.2 million for both periods, respectively. We do not expect our unrecognized tax benefits to change significantly over the next 12 months. The amount of unrecognized tax benefits that would affect our tax provision as a percentage of income (loss) before tax, at June 30, 2008 and December 31, 2007 were $8.7 million and $8.4 million, respectively. At June 30, 2008, we expect to pay $5.7 million in income tax obligations related to FIN 48 over the next twelve months. We are not able to reasonably estimate the timing of future cash flows relating to the remaining balance.</w:t>
      </w:r>
    </w:p>
    <w:p>
      <w:pPr>
        <w:spacing w:after="0" w:line="182"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Note 11:</w:t>
      </w:r>
      <w:r>
        <w:rPr>
          <w:sz w:val="20"/>
          <w:szCs w:val="20"/>
          <w:color w:val="auto"/>
        </w:rPr>
        <w:tab/>
      </w:r>
      <w:r>
        <w:rPr>
          <w:rFonts w:ascii="Arial" w:cs="Arial" w:eastAsia="Arial" w:hAnsi="Arial"/>
          <w:sz w:val="13"/>
          <w:szCs w:val="13"/>
          <w:b w:val="1"/>
          <w:bCs w:val="1"/>
          <w:color w:val="auto"/>
        </w:rPr>
        <w:t>Commitments and Contingencies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Guarantees and Indemnifications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Under FASB Interpretation 45, </w:t>
      </w:r>
      <w:r>
        <w:rPr>
          <w:rFonts w:ascii="Arial" w:cs="Arial" w:eastAsia="Arial" w:hAnsi="Arial"/>
          <w:sz w:val="15"/>
          <w:szCs w:val="15"/>
          <w:i w:val="1"/>
          <w:iCs w:val="1"/>
          <w:color w:val="auto"/>
        </w:rPr>
        <w:t>Guarantor’s Accounting and Disclosure Requirements for Guarantees, Including Indirect Guarantees of Indebtedness of Others</w:t>
      </w:r>
      <w:r>
        <w:rPr>
          <w:rFonts w:ascii="Arial" w:cs="Arial" w:eastAsia="Arial" w:hAnsi="Arial"/>
          <w:sz w:val="15"/>
          <w:szCs w:val="15"/>
          <w:color w:val="auto"/>
        </w:rPr>
        <w:t>, we record a liability for certain types of guarantees and indemnifications for agreements entered into or amended subsequent to December 31, 2002. We had no such guarantees or indemnifications as of June 30, 2008 and December 31, 2007.</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In addition to the outstanding standby letters of credit of $51.4 million issued under our credit facility’s $115 million multicurrency revolver, our Actaris operating segment has a total of $28.1 million of unsecured multicurrency revolving lines of credit with various financial institutions with total outstanding standby letters of credit of $6.7 million at June 30, 2008. Unsecured surety bonds in force were $12.3 million and $13.8 million at June 30, 2008 and December 31, 2007, respectively. In the event any such bonds or letters of credit are called, we would be obligated to reimburse the issuer of the letter of credit or bond; however, we do not believe that any currently outstanding bonds or letters of credit will be called.</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Legal Matters</w:t>
      </w:r>
    </w:p>
    <w:p>
      <w:pPr>
        <w:spacing w:after="0" w:line="1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4"/>
          <w:szCs w:val="14"/>
          <w:i w:val="1"/>
          <w:iCs w:val="1"/>
          <w:color w:val="auto"/>
        </w:rPr>
        <w:t>Accounting for Contingencies</w:t>
      </w:r>
      <w:r>
        <w:rPr>
          <w:rFonts w:ascii="Arial" w:cs="Arial" w:eastAsia="Arial" w:hAnsi="Arial"/>
          <w:sz w:val="14"/>
          <w:szCs w:val="14"/>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June 30, 2008 were not material to our financial condition or results of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or approximately $14.1 million, in damages, plus accrued interest at 18% annually, against the defendants and have invalidated the 2001 transfer of the Mecoindo interest to a subsidiary of Actaris. All of the parties have appealed the matter and it is currently pending before the Indonesian Supreme Court. We intend to continue vigorously defending our interest. In addition, Actaris has notified Schlumberger that it will seek to have Schlumberger indemnify Actaris from any damages it may incur as a result of this claim. In any event, we do not believe that an adverse outcome is likely to have a material adverse impact to our financial condition or results of operations.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March 2008, IP Co. LLC filed a complaint in the U.S. District Court for the Eastern District of Texas against Itron, Inc., CenterPoint Energy and Eaton Corp. alleging infringement of a patent owned by IP Co. LLC. The complaint alleges that one U.S. patent, concerning wireless mesh networking systems that optimize data sent across a general area, is being infringed by the defendants. The complaint seeks unspecified damages as well as injunctive relief. We believe these claims are without merit and we intend to vigorously defend our interests. In any event, we do not believe an adverse outcome is likely nor do we believe an adverse outcome will have a material adverse impact to our financial condition or results of operations.</w:t>
      </w:r>
    </w:p>
    <w:p>
      <w:pPr>
        <w:spacing w:after="0" w:line="162"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Note 12:</w:t>
      </w:r>
      <w:r>
        <w:rPr>
          <w:sz w:val="20"/>
          <w:szCs w:val="20"/>
          <w:color w:val="auto"/>
        </w:rPr>
        <w:tab/>
      </w:r>
      <w:r>
        <w:rPr>
          <w:rFonts w:ascii="Arial" w:cs="Arial" w:eastAsia="Arial" w:hAnsi="Arial"/>
          <w:sz w:val="13"/>
          <w:szCs w:val="13"/>
          <w:b w:val="1"/>
          <w:bCs w:val="1"/>
          <w:color w:val="auto"/>
        </w:rPr>
        <w:t>Other Comprehensive Income</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Other comprehensive income (loss) is reflected as an increase (decrease) to shareholders’ equity and is not reflected in our results of operations. Other comprehensive income (loss) during the reporting periods, net of tax, was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80" w:type="dxa"/>
            <w:vAlign w:val="bottom"/>
          </w:tcPr>
          <w:p>
            <w:pPr>
              <w:spacing w:after="0"/>
              <w:rPr>
                <w:sz w:val="17"/>
                <w:szCs w:val="17"/>
                <w:color w:val="auto"/>
              </w:rPr>
            </w:pPr>
          </w:p>
        </w:tc>
        <w:tc>
          <w:tcPr>
            <w:tcW w:w="2740" w:type="dxa"/>
            <w:vAlign w:val="bottom"/>
            <w:gridSpan w:val="6"/>
          </w:tcPr>
          <w:p>
            <w:pPr>
              <w:jc w:val="right"/>
              <w:ind w:right="430"/>
              <w:spacing w:after="0"/>
              <w:rPr>
                <w:sz w:val="20"/>
                <w:szCs w:val="20"/>
                <w:color w:val="auto"/>
              </w:rPr>
            </w:pPr>
            <w:r>
              <w:rPr>
                <w:rFonts w:ascii="Arial" w:cs="Arial" w:eastAsia="Arial" w:hAnsi="Arial"/>
                <w:sz w:val="15"/>
                <w:szCs w:val="15"/>
                <w:b w:val="1"/>
                <w:bCs w:val="1"/>
                <w:color w:val="auto"/>
              </w:rPr>
              <w:t>Three Months Ended June 30,</w:t>
            </w:r>
          </w:p>
        </w:tc>
        <w:tc>
          <w:tcPr>
            <w:tcW w:w="360" w:type="dxa"/>
            <w:vAlign w:val="bottom"/>
          </w:tcPr>
          <w:p>
            <w:pPr>
              <w:spacing w:after="0"/>
              <w:rPr>
                <w:sz w:val="17"/>
                <w:szCs w:val="17"/>
                <w:color w:val="auto"/>
              </w:rPr>
            </w:pPr>
          </w:p>
        </w:tc>
        <w:tc>
          <w:tcPr>
            <w:tcW w:w="226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0"/>
              </w:rPr>
              <w:t>Six Months Ended June 30,</w:t>
            </w:r>
          </w:p>
        </w:tc>
      </w:tr>
      <w:tr>
        <w:trPr>
          <w:trHeight w:val="184"/>
        </w:trPr>
        <w:tc>
          <w:tcPr>
            <w:tcW w:w="60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4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r>
      <w:tr>
        <w:trPr>
          <w:trHeight w:val="182"/>
        </w:trPr>
        <w:tc>
          <w:tcPr>
            <w:tcW w:w="6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740" w:type="dxa"/>
            <w:vAlign w:val="bottom"/>
            <w:shd w:val="clear" w:color="auto" w:fill="CCEEFF"/>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13,125</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(23,880)</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16,078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(16,700)</w:t>
            </w:r>
          </w:p>
        </w:tc>
      </w:tr>
      <w:tr>
        <w:trPr>
          <w:trHeight w:val="193"/>
        </w:trPr>
        <w:tc>
          <w:tcPr>
            <w:tcW w:w="6080" w:type="dxa"/>
            <w:vAlign w:val="bottom"/>
          </w:tcPr>
          <w:p>
            <w:pPr>
              <w:spacing w:after="0" w:line="193" w:lineRule="exact"/>
              <w:rPr>
                <w:sz w:val="20"/>
                <w:szCs w:val="20"/>
                <w:color w:val="auto"/>
              </w:rPr>
            </w:pPr>
            <w:r>
              <w:rPr>
                <w:rFonts w:ascii="Arial" w:cs="Arial" w:eastAsia="Arial" w:hAnsi="Arial"/>
                <w:sz w:val="15"/>
                <w:szCs w:val="15"/>
                <w:color w:val="auto"/>
              </w:rPr>
              <w:t xml:space="preserve">Foreign currency translation adjustment, net </w:t>
            </w:r>
            <w:r>
              <w:rPr>
                <w:rFonts w:ascii="Arial" w:cs="Arial" w:eastAsia="Arial" w:hAnsi="Arial"/>
                <w:sz w:val="21"/>
                <w:szCs w:val="21"/>
                <w:color w:val="auto"/>
                <w:vertAlign w:val="superscript"/>
              </w:rPr>
              <w:t>(1)</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w w:val="87"/>
              </w:rPr>
              <w:t>16,732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5"/>
                <w:szCs w:val="15"/>
                <w:color w:val="auto"/>
              </w:rPr>
              <w:t>(6,542)</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140,781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(6,310)</w:t>
            </w:r>
          </w:p>
        </w:tc>
      </w:tr>
      <w:tr>
        <w:trPr>
          <w:trHeight w:val="193"/>
        </w:trPr>
        <w:tc>
          <w:tcPr>
            <w:tcW w:w="6080" w:type="dxa"/>
            <w:vAlign w:val="bottom"/>
            <w:shd w:val="clear" w:color="auto" w:fill="CCEEFF"/>
          </w:tcPr>
          <w:p>
            <w:pPr>
              <w:spacing w:after="0" w:line="193" w:lineRule="exact"/>
              <w:rPr>
                <w:sz w:val="20"/>
                <w:szCs w:val="20"/>
                <w:color w:val="auto"/>
              </w:rPr>
            </w:pPr>
            <w:r>
              <w:rPr>
                <w:rFonts w:ascii="Arial" w:cs="Arial" w:eastAsia="Arial" w:hAnsi="Arial"/>
                <w:sz w:val="15"/>
                <w:szCs w:val="15"/>
                <w:color w:val="auto"/>
              </w:rPr>
              <w:t xml:space="preserve">Net unrealized gain (loss) on derivative instruments, net </w:t>
            </w:r>
            <w:r>
              <w:rPr>
                <w:rFonts w:ascii="Arial" w:cs="Arial" w:eastAsia="Arial" w:hAnsi="Arial"/>
                <w:sz w:val="21"/>
                <w:szCs w:val="21"/>
                <w:color w:val="auto"/>
                <w:vertAlign w:val="superscript"/>
              </w:rPr>
              <w:t>(2)</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(16,116)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r>
      <w:tr>
        <w:trPr>
          <w:trHeight w:val="193"/>
        </w:trPr>
        <w:tc>
          <w:tcPr>
            <w:tcW w:w="6080" w:type="dxa"/>
            <w:vAlign w:val="bottom"/>
          </w:tcPr>
          <w:p>
            <w:pPr>
              <w:spacing w:after="0" w:line="193" w:lineRule="exact"/>
              <w:rPr>
                <w:sz w:val="20"/>
                <w:szCs w:val="20"/>
                <w:color w:val="auto"/>
              </w:rPr>
            </w:pPr>
            <w:r>
              <w:rPr>
                <w:rFonts w:ascii="Arial" w:cs="Arial" w:eastAsia="Arial" w:hAnsi="Arial"/>
                <w:sz w:val="15"/>
                <w:szCs w:val="15"/>
                <w:color w:val="auto"/>
              </w:rPr>
              <w:t xml:space="preserve">Net hedging gains reclassified into net income </w:t>
            </w:r>
            <w:r>
              <w:rPr>
                <w:rFonts w:ascii="Arial" w:cs="Arial" w:eastAsia="Arial" w:hAnsi="Arial"/>
                <w:sz w:val="21"/>
                <w:szCs w:val="21"/>
                <w:color w:val="auto"/>
                <w:vertAlign w:val="superscript"/>
              </w:rPr>
              <w:t>(3)</w:t>
            </w: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100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227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r>
      <w:tr>
        <w:trPr>
          <w:trHeight w:val="193"/>
        </w:trPr>
        <w:tc>
          <w:tcPr>
            <w:tcW w:w="6080" w:type="dxa"/>
            <w:vAlign w:val="bottom"/>
            <w:shd w:val="clear" w:color="auto" w:fill="CCEEFF"/>
          </w:tcPr>
          <w:p>
            <w:pPr>
              <w:spacing w:after="0" w:line="193" w:lineRule="exact"/>
              <w:rPr>
                <w:sz w:val="20"/>
                <w:szCs w:val="20"/>
                <w:color w:val="auto"/>
              </w:rPr>
            </w:pPr>
            <w:r>
              <w:rPr>
                <w:rFonts w:ascii="Arial" w:cs="Arial" w:eastAsia="Arial" w:hAnsi="Arial"/>
                <w:sz w:val="15"/>
                <w:szCs w:val="15"/>
                <w:color w:val="auto"/>
              </w:rPr>
              <w:t xml:space="preserve">Pension plan benefits liability adjustment, net </w:t>
            </w:r>
            <w:r>
              <w:rPr>
                <w:rFonts w:ascii="Arial" w:cs="Arial" w:eastAsia="Arial" w:hAnsi="Arial"/>
                <w:sz w:val="21"/>
                <w:szCs w:val="21"/>
                <w:color w:val="auto"/>
                <w:vertAlign w:val="superscript"/>
              </w:rPr>
              <w:t>(4)</w:t>
            </w: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r>
      <w:tr>
        <w:trPr>
          <w:trHeight w:val="23"/>
        </w:trPr>
        <w:tc>
          <w:tcPr>
            <w:tcW w:w="60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2"/>
        </w:trPr>
        <w:tc>
          <w:tcPr>
            <w:tcW w:w="6080" w:type="dxa"/>
            <w:vAlign w:val="bottom"/>
          </w:tcPr>
          <w:p>
            <w:pPr>
              <w:ind w:left="440"/>
              <w:spacing w:after="0"/>
              <w:rPr>
                <w:sz w:val="20"/>
                <w:szCs w:val="20"/>
                <w:color w:val="auto"/>
              </w:rPr>
            </w:pPr>
            <w:r>
              <w:rPr>
                <w:rFonts w:ascii="Arial" w:cs="Arial" w:eastAsia="Arial" w:hAnsi="Arial"/>
                <w:sz w:val="15"/>
                <w:szCs w:val="15"/>
                <w:color w:val="auto"/>
              </w:rPr>
              <w:t>Total other comprehensive income (loss)</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w w:val="87"/>
              </w:rPr>
              <w:t>36,096</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10"/>
              <w:spacing w:after="0"/>
              <w:rPr>
                <w:sz w:val="20"/>
                <w:szCs w:val="20"/>
                <w:color w:val="auto"/>
              </w:rPr>
            </w:pPr>
            <w:r>
              <w:rPr>
                <w:rFonts w:ascii="Arial" w:cs="Arial" w:eastAsia="Arial" w:hAnsi="Arial"/>
                <w:sz w:val="15"/>
                <w:szCs w:val="15"/>
                <w:color w:val="auto"/>
              </w:rPr>
              <w:t>(30,422)</w:t>
            </w:r>
          </w:p>
        </w:tc>
        <w:tc>
          <w:tcPr>
            <w:tcW w:w="360" w:type="dxa"/>
            <w:vAlign w:val="bottom"/>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141,040</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(23,010)</w:t>
            </w:r>
          </w:p>
        </w:tc>
      </w:tr>
      <w:tr>
        <w:trPr>
          <w:trHeight w:val="23"/>
        </w:trPr>
        <w:tc>
          <w:tcPr>
            <w:tcW w:w="6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hanging="196"/>
        <w:spacing w:after="0" w:line="215" w:lineRule="auto"/>
        <w:tabs>
          <w:tab w:leader="none" w:pos="26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Income tax provision (benefit) of $7,593 and ($481) for the three months ended June 30, 2008 and 2007 and $9,240 and ($558) for the six months ended June 30, 2008 and 2007, respectively.</w:t>
      </w:r>
    </w:p>
    <w:p>
      <w:pPr>
        <w:spacing w:after="0" w:line="1" w:lineRule="exact"/>
        <w:rPr>
          <w:rFonts w:ascii="Arial" w:cs="Arial" w:eastAsia="Arial" w:hAnsi="Arial"/>
          <w:sz w:val="21"/>
          <w:szCs w:val="21"/>
          <w:color w:val="auto"/>
          <w:vertAlign w:val="superscript"/>
        </w:rPr>
      </w:pPr>
    </w:p>
    <w:p>
      <w:pPr>
        <w:ind w:left="260" w:hanging="196"/>
        <w:spacing w:after="0" w:line="180" w:lineRule="auto"/>
        <w:tabs>
          <w:tab w:leader="none" w:pos="26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Income tax provision (benefit) of $3,801 and ($9,945) for the three months and six months ended June 30, 2008.</w:t>
      </w:r>
    </w:p>
    <w:p>
      <w:pPr>
        <w:spacing w:after="0" w:line="9" w:lineRule="exact"/>
        <w:rPr>
          <w:rFonts w:ascii="Arial" w:cs="Arial" w:eastAsia="Arial" w:hAnsi="Arial"/>
          <w:sz w:val="21"/>
          <w:szCs w:val="21"/>
          <w:color w:val="auto"/>
          <w:vertAlign w:val="superscript"/>
        </w:rPr>
      </w:pPr>
    </w:p>
    <w:p>
      <w:pPr>
        <w:ind w:left="260" w:hanging="196"/>
        <w:spacing w:after="0" w:line="182" w:lineRule="auto"/>
        <w:tabs>
          <w:tab w:leader="none" w:pos="26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Income tax provision of $61 and $140 for the three months and six months ended June 30, 2008.</w:t>
      </w:r>
    </w:p>
    <w:p>
      <w:pPr>
        <w:spacing w:after="0" w:line="14" w:lineRule="exact"/>
        <w:rPr>
          <w:rFonts w:ascii="Arial" w:cs="Arial" w:eastAsia="Arial" w:hAnsi="Arial"/>
          <w:sz w:val="21"/>
          <w:szCs w:val="21"/>
          <w:color w:val="auto"/>
          <w:vertAlign w:val="superscript"/>
        </w:rPr>
      </w:pPr>
    </w:p>
    <w:p>
      <w:pPr>
        <w:ind w:left="260" w:hanging="196"/>
        <w:spacing w:after="0" w:line="186" w:lineRule="auto"/>
        <w:tabs>
          <w:tab w:leader="none" w:pos="260" w:val="left"/>
        </w:tabs>
        <w:numPr>
          <w:ilvl w:val="0"/>
          <w:numId w:val="5"/>
        </w:numPr>
        <w:rPr>
          <w:rFonts w:ascii="Arial" w:cs="Arial" w:eastAsia="Arial" w:hAnsi="Arial"/>
          <w:sz w:val="20"/>
          <w:szCs w:val="20"/>
          <w:color w:val="auto"/>
          <w:vertAlign w:val="superscript"/>
        </w:rPr>
      </w:pPr>
      <w:r>
        <w:rPr>
          <w:rFonts w:ascii="Arial" w:cs="Arial" w:eastAsia="Arial" w:hAnsi="Arial"/>
          <w:sz w:val="14"/>
          <w:szCs w:val="14"/>
          <w:color w:val="auto"/>
        </w:rPr>
        <w:t>Income tax provision of $29 for the six months ended June 30, 2008.</w:t>
      </w:r>
    </w:p>
    <w:p>
      <w:pPr>
        <w:spacing w:after="0" w:line="207"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Accumulated other comprehensive income, net of tax, was approximately $251.6 million and $126.7 million at June 30, 2008 and December 31, 2007, respectively, and consisted of the adjustments for foreign currency translation, the unrealized loss on our derivative instruments, the hedging gain and the pension liability adjustment as indicated above.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Note 13:</w:t>
      </w:r>
      <w:r>
        <w:rPr>
          <w:sz w:val="20"/>
          <w:szCs w:val="20"/>
          <w:color w:val="auto"/>
        </w:rPr>
        <w:tab/>
      </w:r>
      <w:r>
        <w:rPr>
          <w:rFonts w:ascii="Arial" w:cs="Arial" w:eastAsia="Arial" w:hAnsi="Arial"/>
          <w:sz w:val="13"/>
          <w:szCs w:val="13"/>
          <w:b w:val="1"/>
          <w:bCs w:val="1"/>
          <w:color w:val="auto"/>
        </w:rPr>
        <w:t>Segment Information</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The Actaris operating segment consists primarily of the operations from the Actaris acquisition, which occurred on April 18, 2007, as well as other Itron operations not located in North America that are now included in the Actaris segment. The operations of the Actaris operating segment are primarily located in Europe, with approximately 5% of operations located in the United States and approximately 20% located throughout the rest of the world. The remainder of our operations, primarily located in the United States and Canada, have been combined into a single operating segment called Itron North America. As we continue to integrate the Actaris acquisition, certain refinements of our segments may occur. The operating segment information as set forth below is based on our current segment reporting structure. In accordance with SFAS 131, </w:t>
      </w:r>
      <w:r>
        <w:rPr>
          <w:rFonts w:ascii="Arial" w:cs="Arial" w:eastAsia="Arial" w:hAnsi="Arial"/>
          <w:sz w:val="15"/>
          <w:szCs w:val="15"/>
          <w:i w:val="1"/>
          <w:iCs w:val="1"/>
          <w:color w:val="auto"/>
        </w:rPr>
        <w:t>Disclosures about Segments of an Enterprise and Related Information</w:t>
      </w:r>
      <w:r>
        <w:rPr>
          <w:rFonts w:ascii="Arial" w:cs="Arial" w:eastAsia="Arial" w:hAnsi="Arial"/>
          <w:sz w:val="15"/>
          <w:szCs w:val="15"/>
          <w:color w:val="auto"/>
        </w:rPr>
        <w:t>, historical segment information has been restated from the segment information previously provided to conform to the segment reporting structure after the April 18, 2007 Actaris acquisition and our January 1, 2008 refinement.</w:t>
      </w:r>
    </w:p>
    <w:p>
      <w:pPr>
        <w:spacing w:after="0" w:line="183" w:lineRule="exact"/>
        <w:rPr>
          <w:sz w:val="20"/>
          <w:szCs w:val="20"/>
          <w:color w:val="auto"/>
        </w:rPr>
      </w:pPr>
    </w:p>
    <w:p>
      <w:pPr>
        <w:jc w:val="both"/>
        <w:ind w:right="20"/>
        <w:spacing w:after="0" w:line="324" w:lineRule="auto"/>
        <w:rPr>
          <w:sz w:val="20"/>
          <w:szCs w:val="20"/>
          <w:color w:val="auto"/>
        </w:rPr>
      </w:pPr>
      <w:r>
        <w:rPr>
          <w:rFonts w:ascii="Arial" w:cs="Arial" w:eastAsia="Arial" w:hAnsi="Arial"/>
          <w:sz w:val="13"/>
          <w:szCs w:val="13"/>
          <w:color w:val="auto"/>
        </w:rPr>
        <w:t>We have three measures of segment performance: revenue, gross profit (margin) and operating income (margin). Intersegment revenues were minimal.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gridSpan w:val="2"/>
          </w:tcPr>
          <w:p>
            <w:pPr>
              <w:spacing w:after="0"/>
              <w:rPr>
                <w:sz w:val="20"/>
                <w:szCs w:val="20"/>
                <w:color w:val="auto"/>
              </w:rPr>
            </w:pPr>
            <w:r>
              <w:rPr>
                <w:rFonts w:ascii="Arial" w:cs="Arial" w:eastAsia="Arial" w:hAnsi="Arial"/>
                <w:sz w:val="15"/>
                <w:szCs w:val="15"/>
                <w:b w:val="1"/>
                <w:bCs w:val="1"/>
                <w:color w:val="auto"/>
              </w:rPr>
              <w:t>Segment Products</w:t>
            </w:r>
          </w:p>
        </w:tc>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160" w:type="dxa"/>
            <w:vAlign w:val="bottom"/>
            <w:gridSpan w:val="2"/>
          </w:tcPr>
          <w:p>
            <w:pPr>
              <w:spacing w:after="0"/>
              <w:rPr>
                <w:sz w:val="20"/>
                <w:szCs w:val="20"/>
                <w:color w:val="auto"/>
              </w:rPr>
            </w:pPr>
            <w:r>
              <w:rPr>
                <w:rFonts w:ascii="Arial" w:cs="Arial" w:eastAsia="Arial" w:hAnsi="Arial"/>
                <w:sz w:val="15"/>
                <w:szCs w:val="15"/>
                <w:i w:val="1"/>
                <w:iCs w:val="1"/>
                <w:color w:val="auto"/>
              </w:rPr>
              <w:t>Itron North America</w:t>
            </w:r>
          </w:p>
        </w:tc>
        <w:tc>
          <w:tcPr>
            <w:tcW w:w="9280" w:type="dxa"/>
            <w:vAlign w:val="bottom"/>
            <w:gridSpan w:val="14"/>
          </w:tcPr>
          <w:p>
            <w:pPr>
              <w:spacing w:after="0"/>
              <w:rPr>
                <w:sz w:val="20"/>
                <w:szCs w:val="20"/>
                <w:color w:val="auto"/>
              </w:rPr>
            </w:pPr>
            <w:r>
              <w:rPr>
                <w:rFonts w:ascii="Arial" w:cs="Arial" w:eastAsia="Arial" w:hAnsi="Arial"/>
                <w:sz w:val="15"/>
                <w:szCs w:val="15"/>
                <w:color w:val="auto"/>
                <w:w w:val="93"/>
              </w:rPr>
              <w:t>Electronic electricity meters with and without automated meter reading (AMR); gas and water AMR modules; handheld, mobile and network AMR data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280" w:type="dxa"/>
            <w:vAlign w:val="bottom"/>
            <w:gridSpan w:val="14"/>
          </w:tcPr>
          <w:p>
            <w:pPr>
              <w:spacing w:after="0"/>
              <w:rPr>
                <w:sz w:val="20"/>
                <w:szCs w:val="20"/>
                <w:color w:val="auto"/>
              </w:rPr>
            </w:pPr>
            <w:r>
              <w:rPr>
                <w:rFonts w:ascii="Arial" w:cs="Arial" w:eastAsia="Arial" w:hAnsi="Arial"/>
                <w:sz w:val="15"/>
                <w:szCs w:val="15"/>
                <w:color w:val="auto"/>
                <w:w w:val="93"/>
              </w:rPr>
              <w:t>collection technologies; advanced metering infrastructure (AMI) technologies; software, installation, implementation, consulting, maintenance support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20" w:type="dxa"/>
            <w:vAlign w:val="bottom"/>
          </w:tcPr>
          <w:p>
            <w:pPr>
              <w:spacing w:after="0"/>
              <w:rPr>
                <w:sz w:val="20"/>
                <w:szCs w:val="20"/>
                <w:color w:val="auto"/>
              </w:rPr>
            </w:pPr>
            <w:r>
              <w:rPr>
                <w:rFonts w:ascii="Arial" w:cs="Arial" w:eastAsia="Arial" w:hAnsi="Arial"/>
                <w:sz w:val="15"/>
                <w:szCs w:val="15"/>
                <w:color w:val="auto"/>
              </w:rPr>
              <w:t>and other services.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160" w:type="dxa"/>
            <w:vAlign w:val="bottom"/>
            <w:gridSpan w:val="2"/>
          </w:tcPr>
          <w:p>
            <w:pPr>
              <w:spacing w:after="0"/>
              <w:rPr>
                <w:sz w:val="20"/>
                <w:szCs w:val="20"/>
                <w:color w:val="auto"/>
              </w:rPr>
            </w:pPr>
            <w:r>
              <w:rPr>
                <w:rFonts w:ascii="Arial" w:cs="Arial" w:eastAsia="Arial" w:hAnsi="Arial"/>
                <w:sz w:val="15"/>
                <w:szCs w:val="15"/>
                <w:i w:val="1"/>
                <w:iCs w:val="1"/>
                <w:color w:val="auto"/>
              </w:rPr>
              <w:t>Actaris</w:t>
            </w:r>
          </w:p>
        </w:tc>
        <w:tc>
          <w:tcPr>
            <w:tcW w:w="9280" w:type="dxa"/>
            <w:vAlign w:val="bottom"/>
            <w:gridSpan w:val="14"/>
          </w:tcPr>
          <w:p>
            <w:pPr>
              <w:spacing w:after="0"/>
              <w:rPr>
                <w:sz w:val="20"/>
                <w:szCs w:val="20"/>
                <w:color w:val="auto"/>
              </w:rPr>
            </w:pPr>
            <w:r>
              <w:rPr>
                <w:rFonts w:ascii="Arial" w:cs="Arial" w:eastAsia="Arial" w:hAnsi="Arial"/>
                <w:sz w:val="15"/>
                <w:szCs w:val="15"/>
                <w:color w:val="auto"/>
                <w:w w:val="93"/>
              </w:rPr>
              <w:t>Electromechanical and electronic electricity meters; mechanical and ultrasonic water and heat meters; diaphragm, turbine and rotary gas meters; one-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9280" w:type="dxa"/>
            <w:vAlign w:val="bottom"/>
            <w:gridSpan w:val="14"/>
          </w:tcPr>
          <w:p>
            <w:pPr>
              <w:spacing w:after="0"/>
              <w:rPr>
                <w:sz w:val="20"/>
                <w:szCs w:val="20"/>
                <w:color w:val="auto"/>
              </w:rPr>
            </w:pPr>
            <w:r>
              <w:rPr>
                <w:rFonts w:ascii="Arial" w:cs="Arial" w:eastAsia="Arial" w:hAnsi="Arial"/>
                <w:sz w:val="15"/>
                <w:szCs w:val="15"/>
                <w:color w:val="auto"/>
                <w:w w:val="94"/>
              </w:rPr>
              <w:t>way and two-way electricity prepayment systems, including smart key, keypad and smart card; two-way gas prepayment systems using smart card;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940" w:type="dxa"/>
            <w:vAlign w:val="bottom"/>
            <w:gridSpan w:val="10"/>
          </w:tcPr>
          <w:p>
            <w:pPr>
              <w:spacing w:after="0"/>
              <w:rPr>
                <w:sz w:val="20"/>
                <w:szCs w:val="20"/>
                <w:color w:val="auto"/>
              </w:rPr>
            </w:pPr>
            <w:r>
              <w:rPr>
                <w:rFonts w:ascii="Arial" w:cs="Arial" w:eastAsia="Arial" w:hAnsi="Arial"/>
                <w:sz w:val="15"/>
                <w:szCs w:val="15"/>
                <w:color w:val="auto"/>
                <w:w w:val="96"/>
              </w:rPr>
              <w:t>AMR and AMI data collection technologies; installation, implementation, maintenance support and other managed services.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2160" w:type="dxa"/>
            <w:vAlign w:val="bottom"/>
            <w:gridSpan w:val="2"/>
          </w:tcPr>
          <w:p>
            <w:pPr>
              <w:spacing w:after="0"/>
              <w:rPr>
                <w:sz w:val="20"/>
                <w:szCs w:val="20"/>
                <w:color w:val="auto"/>
              </w:rPr>
            </w:pPr>
            <w:r>
              <w:rPr>
                <w:rFonts w:ascii="Arial" w:cs="Arial" w:eastAsia="Arial" w:hAnsi="Arial"/>
                <w:sz w:val="15"/>
                <w:szCs w:val="15"/>
                <w:b w:val="1"/>
                <w:bCs w:val="1"/>
                <w:color w:val="auto"/>
              </w:rPr>
              <w:t>Segment Information</w:t>
            </w: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430"/>
              <w:spacing w:after="0"/>
              <w:rPr>
                <w:sz w:val="20"/>
                <w:szCs w:val="20"/>
                <w:color w:val="auto"/>
              </w:rPr>
            </w:pPr>
            <w:r>
              <w:rPr>
                <w:rFonts w:ascii="Arial" w:cs="Arial" w:eastAsia="Arial" w:hAnsi="Arial"/>
                <w:sz w:val="15"/>
                <w:szCs w:val="15"/>
                <w:b w:val="1"/>
                <w:bCs w:val="1"/>
                <w:color w:val="auto"/>
                <w:w w:val="95"/>
              </w:rPr>
              <w:t>Three Months Ended June 30,</w:t>
            </w:r>
          </w:p>
        </w:tc>
        <w:tc>
          <w:tcPr>
            <w:tcW w:w="360" w:type="dxa"/>
            <w:vAlign w:val="bottom"/>
          </w:tcPr>
          <w:p>
            <w:pPr>
              <w:spacing w:after="0"/>
              <w:rPr>
                <w:sz w:val="24"/>
                <w:szCs w:val="24"/>
                <w:color w:val="auto"/>
              </w:rPr>
            </w:pPr>
          </w:p>
        </w:tc>
        <w:tc>
          <w:tcPr>
            <w:tcW w:w="226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0"/>
              </w:rPr>
              <w:t>Six Months Ended June 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2008</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Revenues</w:t>
            </w:r>
          </w:p>
        </w:tc>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160" w:type="dxa"/>
            <w:vAlign w:val="bottom"/>
            <w:gridSpan w:val="2"/>
            <w:vMerge w:val="continue"/>
          </w:tcPr>
          <w:p>
            <w:pPr>
              <w:spacing w:after="0"/>
              <w:rPr>
                <w:sz w:val="14"/>
                <w:szCs w:val="14"/>
                <w:color w:val="auto"/>
              </w:rPr>
            </w:pPr>
          </w:p>
        </w:tc>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Itron North America</w:t>
            </w:r>
          </w:p>
        </w:tc>
        <w:tc>
          <w:tcPr>
            <w:tcW w:w="39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164,650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141,977</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314,860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283,668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ind w:left="540"/>
              <w:spacing w:after="0"/>
              <w:rPr>
                <w:sz w:val="20"/>
                <w:szCs w:val="20"/>
                <w:color w:val="auto"/>
              </w:rPr>
            </w:pPr>
            <w:r>
              <w:rPr>
                <w:rFonts w:ascii="Arial" w:cs="Arial" w:eastAsia="Arial" w:hAnsi="Arial"/>
                <w:sz w:val="15"/>
                <w:szCs w:val="15"/>
                <w:color w:val="auto"/>
              </w:rPr>
              <w:t>Actaris</w:t>
            </w:r>
          </w:p>
        </w:tc>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349,281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259,582</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677,547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265,802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Total Company</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513,931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401,559</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992,407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549,470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140" w:type="dxa"/>
            <w:vAlign w:val="bottom"/>
            <w:tcBorders>
              <w:top w:val="single" w:sz="8" w:color="CCEEFF"/>
            </w:tcBorders>
          </w:tcPr>
          <w:p>
            <w:pPr>
              <w:spacing w:after="0"/>
              <w:rPr>
                <w:sz w:val="15"/>
                <w:szCs w:val="15"/>
                <w:color w:val="auto"/>
              </w:rPr>
            </w:pPr>
          </w:p>
        </w:tc>
        <w:tc>
          <w:tcPr>
            <w:tcW w:w="39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Gross margin</w:t>
            </w:r>
          </w:p>
        </w:tc>
        <w:tc>
          <w:tcPr>
            <w:tcW w:w="3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ind w:left="540"/>
              <w:spacing w:after="0"/>
              <w:rPr>
                <w:sz w:val="20"/>
                <w:szCs w:val="20"/>
                <w:color w:val="auto"/>
              </w:rPr>
            </w:pPr>
            <w:r>
              <w:rPr>
                <w:rFonts w:ascii="Arial" w:cs="Arial" w:eastAsia="Arial" w:hAnsi="Arial"/>
                <w:sz w:val="15"/>
                <w:szCs w:val="15"/>
                <w:color w:val="auto"/>
              </w:rPr>
              <w:t>Itron North America</w:t>
            </w:r>
          </w:p>
        </w:tc>
        <w:tc>
          <w:tcPr>
            <w:tcW w:w="392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65,932</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50"/>
              <w:spacing w:after="0"/>
              <w:rPr>
                <w:sz w:val="20"/>
                <w:szCs w:val="20"/>
                <w:color w:val="auto"/>
              </w:rPr>
            </w:pPr>
            <w:r>
              <w:rPr>
                <w:rFonts w:ascii="Arial" w:cs="Arial" w:eastAsia="Arial" w:hAnsi="Arial"/>
                <w:sz w:val="15"/>
                <w:szCs w:val="15"/>
                <w:color w:val="auto"/>
              </w:rPr>
              <w:t>60,270</w:t>
            </w:r>
          </w:p>
        </w:tc>
        <w:tc>
          <w:tcPr>
            <w:tcW w:w="360" w:type="dxa"/>
            <w:vAlign w:val="bottom"/>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124,500</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120,922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Actaris</w:t>
            </w:r>
          </w:p>
        </w:tc>
        <w:tc>
          <w:tcPr>
            <w:tcW w:w="3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110,278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64,444</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214,269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65,117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gridSpan w:val="2"/>
          </w:tcPr>
          <w:p>
            <w:pPr>
              <w:ind w:left="1220"/>
              <w:spacing w:after="0"/>
              <w:rPr>
                <w:sz w:val="20"/>
                <w:szCs w:val="20"/>
                <w:color w:val="auto"/>
              </w:rPr>
            </w:pPr>
            <w:r>
              <w:rPr>
                <w:rFonts w:ascii="Arial" w:cs="Arial" w:eastAsia="Arial" w:hAnsi="Arial"/>
                <w:sz w:val="15"/>
                <w:szCs w:val="15"/>
                <w:color w:val="auto"/>
              </w:rPr>
              <w:t>Total Company</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176,210</w:t>
            </w:r>
          </w:p>
        </w:tc>
        <w:tc>
          <w:tcPr>
            <w:tcW w:w="2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124,714</w:t>
            </w:r>
          </w:p>
        </w:tc>
        <w:tc>
          <w:tcPr>
            <w:tcW w:w="220" w:type="dxa"/>
            <w:vAlign w:val="bottom"/>
          </w:tcPr>
          <w:p>
            <w:pPr>
              <w:spacing w:after="0"/>
              <w:rPr>
                <w:sz w:val="16"/>
                <w:szCs w:val="16"/>
                <w:color w:val="auto"/>
              </w:rPr>
            </w:pPr>
          </w:p>
        </w:tc>
        <w:tc>
          <w:tcPr>
            <w:tcW w:w="360" w:type="dxa"/>
            <w:vAlign w:val="bottom"/>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338,769</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186,039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5"/>
                <w:szCs w:val="15"/>
                <w:b w:val="1"/>
                <w:bCs w:val="1"/>
                <w:color w:val="auto"/>
              </w:rPr>
              <w:t>Operating income (loss)</w:t>
            </w:r>
          </w:p>
        </w:tc>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Itron North America</w:t>
            </w:r>
          </w:p>
        </w:tc>
        <w:tc>
          <w:tcPr>
            <w:tcW w:w="39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20,536</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15,010</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37,913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33,474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tcPr>
          <w:p>
            <w:pPr>
              <w:ind w:left="540"/>
              <w:spacing w:after="0"/>
              <w:rPr>
                <w:sz w:val="20"/>
                <w:szCs w:val="20"/>
                <w:color w:val="auto"/>
              </w:rPr>
            </w:pPr>
            <w:r>
              <w:rPr>
                <w:rFonts w:ascii="Arial" w:cs="Arial" w:eastAsia="Arial" w:hAnsi="Arial"/>
                <w:sz w:val="15"/>
                <w:szCs w:val="15"/>
                <w:color w:val="auto"/>
              </w:rPr>
              <w:t>Actaris</w:t>
            </w:r>
          </w:p>
        </w:tc>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25,417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5"/>
                <w:szCs w:val="15"/>
                <w:color w:val="auto"/>
              </w:rPr>
              <w:t>(30,523)</w:t>
            </w: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45,115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(32,228)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ind w:left="540"/>
              <w:spacing w:after="0"/>
              <w:rPr>
                <w:sz w:val="20"/>
                <w:szCs w:val="20"/>
                <w:color w:val="auto"/>
              </w:rPr>
            </w:pPr>
            <w:r>
              <w:rPr>
                <w:rFonts w:ascii="Arial" w:cs="Arial" w:eastAsia="Arial" w:hAnsi="Arial"/>
                <w:sz w:val="15"/>
                <w:szCs w:val="15"/>
                <w:color w:val="auto"/>
              </w:rPr>
              <w:t>Corporate unallocated</w:t>
            </w:r>
          </w:p>
        </w:tc>
        <w:tc>
          <w:tcPr>
            <w:tcW w:w="3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(9,775)</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(7,848)</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(19,563)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(15,307)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gridSpan w:val="2"/>
          </w:tcPr>
          <w:p>
            <w:pPr>
              <w:ind w:left="1220"/>
              <w:spacing w:after="0"/>
              <w:rPr>
                <w:sz w:val="20"/>
                <w:szCs w:val="20"/>
                <w:color w:val="auto"/>
              </w:rPr>
            </w:pPr>
            <w:r>
              <w:rPr>
                <w:rFonts w:ascii="Arial" w:cs="Arial" w:eastAsia="Arial" w:hAnsi="Arial"/>
                <w:sz w:val="15"/>
                <w:szCs w:val="15"/>
                <w:color w:val="auto"/>
              </w:rPr>
              <w:t>Total Company</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36,178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5"/>
                <w:szCs w:val="15"/>
                <w:color w:val="auto"/>
              </w:rPr>
              <w:t>(23,361)</w:t>
            </w:r>
          </w:p>
        </w:tc>
        <w:tc>
          <w:tcPr>
            <w:tcW w:w="3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63,465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(14,061)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Total other income (expense)</w:t>
            </w:r>
          </w:p>
        </w:tc>
        <w:tc>
          <w:tcPr>
            <w:tcW w:w="3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(22,842)</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(15,278)</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(46,496)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(13,178)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5"/>
                <w:szCs w:val="15"/>
                <w:b w:val="1"/>
                <w:bCs w:val="1"/>
                <w:color w:val="auto"/>
                <w:w w:val="86"/>
              </w:rPr>
              <w:t>Income (loss) before income taxes</w:t>
            </w:r>
          </w:p>
        </w:tc>
        <w:tc>
          <w:tcPr>
            <w:tcW w:w="392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13,336</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10"/>
              <w:spacing w:after="0"/>
              <w:rPr>
                <w:sz w:val="20"/>
                <w:szCs w:val="20"/>
                <w:color w:val="auto"/>
              </w:rPr>
            </w:pPr>
            <w:r>
              <w:rPr>
                <w:rFonts w:ascii="Arial" w:cs="Arial" w:eastAsia="Arial" w:hAnsi="Arial"/>
                <w:sz w:val="15"/>
                <w:szCs w:val="15"/>
                <w:color w:val="auto"/>
              </w:rPr>
              <w:t>(38,639)</w:t>
            </w:r>
          </w:p>
        </w:tc>
        <w:tc>
          <w:tcPr>
            <w:tcW w:w="360" w:type="dxa"/>
            <w:vAlign w:val="bottom"/>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16,969</w:t>
            </w:r>
          </w:p>
        </w:tc>
        <w:tc>
          <w:tcPr>
            <w:tcW w:w="3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(27,239)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No single customer represented more than 10% of total Company revenues for the three and six months ended June 30, 2008. One customer accounted for 13% and 14% of Itron North America revenues for the three and six months ended June 30, 2008, respectively. No single customer accounted for more than 10% of the Actaris operating segment revenues for the three and six months ended June 30, 2008.</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No single customer represented more than 10% of total Company revenues or of operating segment revenues for the three and six months ended June 30, 2007.</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7" w:name="page28"/>
    <w:bookmarkEnd w:id="2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Revenues by region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 June 30,</w:t>
            </w:r>
          </w:p>
        </w:tc>
        <w:tc>
          <w:tcPr>
            <w:tcW w:w="360" w:type="dxa"/>
            <w:vAlign w:val="bottom"/>
          </w:tcPr>
          <w:p>
            <w:pPr>
              <w:spacing w:after="0"/>
              <w:rPr>
                <w:sz w:val="17"/>
                <w:szCs w:val="17"/>
                <w:color w:val="auto"/>
              </w:rPr>
            </w:pPr>
          </w:p>
        </w:tc>
        <w:tc>
          <w:tcPr>
            <w:tcW w:w="226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0"/>
              </w:rPr>
              <w:t>Six Months Ended June 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2008</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gridSpan w:val="2"/>
            <w:vMerge w:val="restart"/>
          </w:tcPr>
          <w:p>
            <w:pPr>
              <w:spacing w:after="0"/>
              <w:rPr>
                <w:sz w:val="20"/>
                <w:szCs w:val="20"/>
                <w:color w:val="auto"/>
              </w:rPr>
            </w:pPr>
            <w:r>
              <w:rPr>
                <w:rFonts w:ascii="Arial" w:cs="Arial" w:eastAsia="Arial" w:hAnsi="Arial"/>
                <w:sz w:val="15"/>
                <w:szCs w:val="15"/>
                <w:color w:val="auto"/>
              </w:rPr>
              <w:t>Revenues by region</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Europe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250,784</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186,996</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489,436</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188,450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540"/>
              <w:spacing w:after="0"/>
              <w:rPr>
                <w:sz w:val="20"/>
                <w:szCs w:val="20"/>
                <w:color w:val="auto"/>
              </w:rPr>
            </w:pPr>
            <w:r>
              <w:rPr>
                <w:rFonts w:ascii="Arial" w:cs="Arial" w:eastAsia="Arial" w:hAnsi="Arial"/>
                <w:sz w:val="15"/>
                <w:szCs w:val="15"/>
                <w:color w:val="auto"/>
              </w:rPr>
              <w:t>United States and Canada</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165,864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5"/>
                <w:szCs w:val="15"/>
                <w:color w:val="auto"/>
              </w:rPr>
              <w:t>148,437</w:t>
            </w:r>
          </w:p>
        </w:tc>
        <w:tc>
          <w:tcPr>
            <w:tcW w:w="36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327,036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284,895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540"/>
              <w:spacing w:after="0"/>
              <w:rPr>
                <w:sz w:val="20"/>
                <w:szCs w:val="20"/>
                <w:color w:val="auto"/>
              </w:rPr>
            </w:pPr>
            <w:r>
              <w:rPr>
                <w:rFonts w:ascii="Arial" w:cs="Arial" w:eastAsia="Arial" w:hAnsi="Arial"/>
                <w:sz w:val="15"/>
                <w:szCs w:val="15"/>
                <w:color w:val="auto"/>
              </w:rPr>
              <w:t>Other</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97,283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66,126</w:t>
            </w: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175,935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76,125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Total revenues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513,931</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401,559</w:t>
            </w:r>
          </w:p>
        </w:tc>
        <w:tc>
          <w:tcPr>
            <w:tcW w:w="220" w:type="dxa"/>
            <w:vAlign w:val="bottom"/>
          </w:tcPr>
          <w:p>
            <w:pPr>
              <w:spacing w:after="0"/>
              <w:rPr>
                <w:sz w:val="15"/>
                <w:szCs w:val="15"/>
                <w:color w:val="auto"/>
              </w:rPr>
            </w:pPr>
          </w:p>
        </w:tc>
        <w:tc>
          <w:tcPr>
            <w:tcW w:w="360" w:type="dxa"/>
            <w:vAlign w:val="bottom"/>
          </w:tcPr>
          <w:p>
            <w:pPr>
              <w:jc w:val="center"/>
              <w:ind w:right="204"/>
              <w:spacing w:after="0"/>
              <w:rPr>
                <w:sz w:val="20"/>
                <w:szCs w:val="20"/>
                <w:color w:val="auto"/>
              </w:rPr>
            </w:pPr>
            <w:r>
              <w:rPr>
                <w:rFonts w:ascii="Arial" w:cs="Arial" w:eastAsia="Arial" w:hAnsi="Arial"/>
                <w:sz w:val="15"/>
                <w:szCs w:val="15"/>
                <w:color w:val="auto"/>
                <w:w w:val="95"/>
              </w:rPr>
              <w:t>$</w:t>
            </w:r>
          </w:p>
        </w:tc>
        <w:tc>
          <w:tcPr>
            <w:tcW w:w="900" w:type="dxa"/>
            <w:vAlign w:val="bottom"/>
            <w:gridSpan w:val="2"/>
          </w:tcPr>
          <w:p>
            <w:pPr>
              <w:jc w:val="right"/>
              <w:ind w:right="120"/>
              <w:spacing w:after="0"/>
              <w:rPr>
                <w:sz w:val="20"/>
                <w:szCs w:val="20"/>
                <w:color w:val="auto"/>
              </w:rPr>
            </w:pPr>
            <w:r>
              <w:rPr>
                <w:rFonts w:ascii="Arial" w:cs="Arial" w:eastAsia="Arial" w:hAnsi="Arial"/>
                <w:sz w:val="15"/>
                <w:szCs w:val="15"/>
                <w:color w:val="auto"/>
              </w:rPr>
              <w:t>992,407</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549,470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Note 14:</w:t>
      </w:r>
      <w:r>
        <w:rPr>
          <w:sz w:val="20"/>
          <w:szCs w:val="20"/>
          <w:color w:val="auto"/>
        </w:rPr>
        <w:tab/>
      </w:r>
      <w:r>
        <w:rPr>
          <w:rFonts w:ascii="Arial" w:cs="Arial" w:eastAsia="Arial" w:hAnsi="Arial"/>
          <w:sz w:val="13"/>
          <w:szCs w:val="13"/>
          <w:b w:val="1"/>
          <w:bCs w:val="1"/>
          <w:color w:val="auto"/>
        </w:rPr>
        <w:t>Consolidating Financial Information</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Our subordinated notes and convertible notes, issued by Itron, Inc. (the Issuer) are guaranteed by our U.S. domestic subsidiaries, which are 100% owned, and any future domestic subsidiaries. The guarantees are joint and several, full, complete and unconditional. At the date of issuance, our convertible notes were not guaranteed by any of our subsidiaries; however, any future subsidiaries that guarantee our obligations under the subordinated notes will guarantee our convertible notes, joint and several, full, complete and unconditional.</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There are currently no restrictions on the ability of the subsidiary guarantors to transfer funds to the parent company.</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The Actaris acquisition on April 18, 2007, consisted primarily of international entities, which are considered non-guarantor subsidiaries of our subordinated notes and convertible notes.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One legal entity located in the United States is considered a guarantor of the subordinated notes and convertible notes.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Condensed Consolidating Statement of Operations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Three Months Ended June 30, 2008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Combined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158,401</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20,494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344,071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(9,035)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513,931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Cost of revenues</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95,395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15,712</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235,649</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(9,035)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337,721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63,006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108,422</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Sales and marketing</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14,098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2,259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27,848</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44,205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Product development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20,199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819</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10,453</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31,471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13,420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388</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19,081</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32,889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Amortization of intangible 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25,804</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31,467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5"/>
                <w:szCs w:val="15"/>
                <w:color w:val="auto"/>
              </w:rPr>
              <w:t>Total operating expenses</w:t>
            </w: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53,380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3,466</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83,186</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140,032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Operating income</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9,626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1,316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25,236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36,178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32,203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1,095</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(31,815)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1,460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(22,368)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(31,928)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31,815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(22,457)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Other income (expense), net</w:t>
            </w: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(255)</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(1,412)</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(1,845)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other income (expense)</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(254)</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(32,245)</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(22,842)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income taxes</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19,283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(7,009)</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13,336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Income tax benefit (provision)</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578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630</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(1,419)</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(211)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Equity in earnings (losses) of guarantor and</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non-guarantor subsidiaries, net</w:t>
            </w: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(6,736)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6,575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13,125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1,853</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(8,428)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6,575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13,125</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26</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38"/>
        </w:trPr>
        <w:tc>
          <w:tcPr>
            <w:tcW w:w="334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120" w:type="dxa"/>
            <w:vAlign w:val="bottom"/>
            <w:gridSpan w:val="8"/>
          </w:tcPr>
          <w:p>
            <w:pPr>
              <w:jc w:val="right"/>
              <w:ind w:right="160"/>
              <w:spacing w:after="0"/>
              <w:rPr>
                <w:sz w:val="20"/>
                <w:szCs w:val="20"/>
                <w:color w:val="auto"/>
              </w:rPr>
            </w:pPr>
            <w:r>
              <w:rPr>
                <w:rFonts w:ascii="Arial" w:cs="Arial" w:eastAsia="Arial" w:hAnsi="Arial"/>
                <w:sz w:val="15"/>
                <w:szCs w:val="15"/>
                <w:b w:val="1"/>
                <w:bCs w:val="1"/>
                <w:color w:val="auto"/>
              </w:rPr>
              <w:t>Condensed Consolidating Statement of Operations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120" w:type="dxa"/>
            <w:vAlign w:val="bottom"/>
            <w:gridSpan w:val="8"/>
          </w:tcPr>
          <w:p>
            <w:pPr>
              <w:jc w:val="right"/>
              <w:ind w:right="660"/>
              <w:spacing w:after="0"/>
              <w:rPr>
                <w:sz w:val="20"/>
                <w:szCs w:val="20"/>
                <w:color w:val="auto"/>
              </w:rPr>
            </w:pPr>
            <w:r>
              <w:rPr>
                <w:rFonts w:ascii="Arial" w:cs="Arial" w:eastAsia="Arial" w:hAnsi="Arial"/>
                <w:sz w:val="15"/>
                <w:szCs w:val="15"/>
                <w:b w:val="1"/>
                <w:bCs w:val="1"/>
                <w:color w:val="auto"/>
              </w:rPr>
              <w:t>Three Months Ended June 30, 2007</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Combined</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158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139,992</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257,291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(10,259)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401,559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5"/>
                <w:szCs w:val="15"/>
                <w:color w:val="auto"/>
              </w:rPr>
              <w:t>Cost of revenues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82,175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193,630</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(10,216)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276,845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profit</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57,817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63,661</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124,714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ind w:left="320"/>
              <w:spacing w:after="0"/>
              <w:rPr>
                <w:sz w:val="20"/>
                <w:szCs w:val="20"/>
                <w:color w:val="auto"/>
              </w:rPr>
            </w:pPr>
            <w:r>
              <w:rPr>
                <w:rFonts w:ascii="Arial" w:cs="Arial" w:eastAsia="Arial" w:hAnsi="Arial"/>
                <w:sz w:val="15"/>
                <w:szCs w:val="15"/>
                <w:color w:val="auto"/>
              </w:rPr>
              <w:t>Sales and marketing</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13,393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1,449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19,551</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34,393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Product development</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17,449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440</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7,680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25,521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ind w:left="320"/>
              <w:spacing w:after="0"/>
              <w:rPr>
                <w:sz w:val="20"/>
                <w:szCs w:val="20"/>
                <w:color w:val="auto"/>
              </w:rPr>
            </w:pPr>
            <w:r>
              <w:rPr>
                <w:rFonts w:ascii="Arial" w:cs="Arial" w:eastAsia="Arial" w:hAnsi="Arial"/>
                <w:sz w:val="15"/>
                <w:szCs w:val="15"/>
                <w:color w:val="auto"/>
              </w:rPr>
              <w:t>General and administrative</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13,595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808</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12,984</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27,387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Amortization of intangible assets</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6,655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18,568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25,223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ind w:left="320"/>
              <w:spacing w:after="0"/>
              <w:rPr>
                <w:sz w:val="20"/>
                <w:szCs w:val="20"/>
                <w:color w:val="auto"/>
              </w:rPr>
            </w:pPr>
            <w:r>
              <w:rPr>
                <w:rFonts w:ascii="Arial" w:cs="Arial" w:eastAsia="Arial" w:hAnsi="Arial"/>
                <w:sz w:val="15"/>
                <w:szCs w:val="15"/>
                <w:color w:val="auto"/>
              </w:rPr>
              <w:t>In-process research and development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35,551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35,551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rPr>
              <w:t>Total operating expenses</w:t>
            </w:r>
          </w:p>
        </w:tc>
        <w:tc>
          <w:tcPr>
            <w:tcW w:w="1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51,092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94,334</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148,075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2500" w:type="dxa"/>
            <w:vAlign w:val="bottom"/>
            <w:tcBorders>
              <w:top w:val="single" w:sz="8" w:color="CCEEFF"/>
            </w:tcBorders>
          </w:tcPr>
          <w:p>
            <w:pPr>
              <w:spacing w:after="0"/>
              <w:rPr>
                <w:sz w:val="15"/>
                <w:szCs w:val="15"/>
                <w:color w:val="auto"/>
              </w:rPr>
            </w:pPr>
          </w:p>
        </w:tc>
        <w:tc>
          <w:tcPr>
            <w:tcW w:w="136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582</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(30,673)</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(23,361)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Interest income</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25,336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999</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(24,163)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ind w:left="320"/>
              <w:spacing w:after="0"/>
              <w:rPr>
                <w:sz w:val="20"/>
                <w:szCs w:val="20"/>
                <w:color w:val="auto"/>
              </w:rPr>
            </w:pPr>
            <w:r>
              <w:rPr>
                <w:rFonts w:ascii="Arial" w:cs="Arial" w:eastAsia="Arial" w:hAnsi="Arial"/>
                <w:sz w:val="15"/>
                <w:szCs w:val="15"/>
                <w:color w:val="auto"/>
              </w:rPr>
              <w:t>Interest expense</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(21,314)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(2,246)</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(23,525)</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24,158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(22,927)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Other income (expense), net</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(978)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3320" w:type="dxa"/>
            <w:vAlign w:val="bottom"/>
            <w:gridSpan w:val="2"/>
          </w:tcPr>
          <w:p>
            <w:pPr>
              <w:ind w:left="660"/>
              <w:spacing w:after="0"/>
              <w:rPr>
                <w:sz w:val="20"/>
                <w:szCs w:val="20"/>
                <w:color w:val="auto"/>
              </w:rPr>
            </w:pPr>
            <w:r>
              <w:rPr>
                <w:rFonts w:ascii="Arial" w:cs="Arial" w:eastAsia="Arial" w:hAnsi="Arial"/>
                <w:sz w:val="15"/>
                <w:szCs w:val="15"/>
                <w:color w:val="auto"/>
              </w:rPr>
              <w:t>Total other income (expense)</w:t>
            </w: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10,353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(2,122)</w:t>
            </w:r>
          </w:p>
        </w:tc>
        <w:tc>
          <w:tcPr>
            <w:tcW w:w="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(23,504)</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(15,278)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5"/>
                <w:szCs w:val="15"/>
                <w:color w:val="auto"/>
              </w:rPr>
              <w:t>Income (loss) before income taxes</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17,078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(1,540)</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(54,177)</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(38,639)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benefit (provision)</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10,610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14,759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5"/>
                <w:szCs w:val="15"/>
                <w:color w:val="auto"/>
              </w:rPr>
              <w:t>Equity in earnings (losses) of guarantor and</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rPr>
              <w:t>non-guarantor subsidiaries, net</w:t>
            </w:r>
          </w:p>
        </w:tc>
        <w:tc>
          <w:tcPr>
            <w:tcW w:w="1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(45,238)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305</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44,933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tcPr>
          <w:p>
            <w:pPr>
              <w:spacing w:after="0"/>
              <w:rPr>
                <w:sz w:val="20"/>
                <w:szCs w:val="20"/>
                <w:color w:val="auto"/>
              </w:rPr>
            </w:pPr>
            <w:r>
              <w:rPr>
                <w:rFonts w:ascii="Arial" w:cs="Arial" w:eastAsia="Arial" w:hAnsi="Arial"/>
                <w:sz w:val="15"/>
                <w:szCs w:val="15"/>
                <w:color w:val="auto"/>
              </w:rPr>
              <w:t>Net loss</w:t>
            </w:r>
          </w:p>
        </w:tc>
        <w:tc>
          <w:tcPr>
            <w:tcW w:w="136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(23,880)</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(1,366)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(43,567)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44,933</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(23,880)</w:t>
            </w:r>
          </w:p>
        </w:tc>
        <w:tc>
          <w:tcPr>
            <w:tcW w:w="0" w:type="dxa"/>
            <w:vAlign w:val="bottom"/>
          </w:tcPr>
          <w:p>
            <w:pPr>
              <w:spacing w:after="0"/>
              <w:rPr>
                <w:sz w:val="1"/>
                <w:szCs w:val="1"/>
                <w:color w:val="auto"/>
              </w:rPr>
            </w:pPr>
          </w:p>
        </w:tc>
      </w:tr>
      <w:tr>
        <w:trPr>
          <w:trHeight w:val="79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Condensed Consolidating Statement of Operations</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Six Months Ended June 30, 2008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Combined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304,281</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665,761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(19,236)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992,407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Cost of revenues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185,004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31,133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456,677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(19,176)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653,638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119,277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10,468</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209,084</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338,769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Sales and marketing</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27,229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4,302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54,640</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86,171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Product development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37,411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21,552</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60,502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26,654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1,228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38,030</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65,912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Amortization of intangible assets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11,326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51,393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62,719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200"/>
              <w:spacing w:after="0"/>
              <w:rPr>
                <w:sz w:val="20"/>
                <w:szCs w:val="20"/>
                <w:color w:val="auto"/>
              </w:rPr>
            </w:pPr>
            <w:r>
              <w:rPr>
                <w:rFonts w:ascii="Arial" w:cs="Arial" w:eastAsia="Arial" w:hAnsi="Arial"/>
                <w:sz w:val="15"/>
                <w:szCs w:val="15"/>
                <w:color w:val="auto"/>
              </w:rPr>
              <w:t>Total operating expenses</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102,620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7,129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165,615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275,304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Operating income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16,657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3,339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43,469</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63,465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62,887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2,176</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(62,210)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2,884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(47,319)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(89)</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(62,525)</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62,210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(47,723)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Other income (expense), net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(824)</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(2,330)</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(1,657)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Total other income (expense)</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17,065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(882)</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(62,679)</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(46,496)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Income (loss) before income taxes</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33,722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(19,210)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16,969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Income tax benefit (provision)</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244</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(3,483)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(891)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Equity in earnings (losses) of guarantor and</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5"/>
                <w:szCs w:val="15"/>
                <w:color w:val="auto"/>
              </w:rPr>
              <w:t>non-guarantor subsidiaries, net</w:t>
            </w: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(19,992)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553</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19,439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Net income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16,078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3,254</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(22,693)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16,078</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28</w:t>
            </w: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Condensed Consolidating Statement of Operations</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Six Months Ended June 30, 2007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Combined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281,339</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274,969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(21,373)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549,470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Cost of revenues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164,996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11,256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208,447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(21,268)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363,431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Gross profit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116,343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66,522</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186,039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320"/>
              <w:spacing w:after="0"/>
              <w:rPr>
                <w:sz w:val="20"/>
                <w:szCs w:val="20"/>
                <w:color w:val="auto"/>
              </w:rPr>
            </w:pPr>
            <w:r>
              <w:rPr>
                <w:rFonts w:ascii="Arial" w:cs="Arial" w:eastAsia="Arial" w:hAnsi="Arial"/>
                <w:sz w:val="15"/>
                <w:szCs w:val="15"/>
                <w:color w:val="auto"/>
              </w:rPr>
              <w:t>Sales and marketing</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25,712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1,449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22,152</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49,313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Product development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33,152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440</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7,846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41,342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32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26,935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808</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13,888</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41,631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Amortization of intangible assets</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13,264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18,999</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32,263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320"/>
              <w:spacing w:after="0"/>
              <w:rPr>
                <w:sz w:val="20"/>
                <w:szCs w:val="20"/>
                <w:color w:val="auto"/>
              </w:rPr>
            </w:pPr>
            <w:r>
              <w:rPr>
                <w:rFonts w:ascii="Arial" w:cs="Arial" w:eastAsia="Arial" w:hAnsi="Arial"/>
                <w:sz w:val="15"/>
                <w:szCs w:val="15"/>
                <w:color w:val="auto"/>
              </w:rPr>
              <w:t>In-process research and development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35,551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35,551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operating expenses</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99,063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2,697</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98,436</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 (loss)</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17,280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582</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(31,914)</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(14,061)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Other income (expense)</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Interest income</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31,632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1,036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(24,407)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320"/>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(26,711)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(2,246)</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(23,883)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24,416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(28,424)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Other income (expense),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7,828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(967)</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660"/>
              <w:spacing w:after="0"/>
              <w:rPr>
                <w:sz w:val="20"/>
                <w:szCs w:val="20"/>
                <w:color w:val="auto"/>
              </w:rPr>
            </w:pPr>
            <w:r>
              <w:rPr>
                <w:rFonts w:ascii="Arial" w:cs="Arial" w:eastAsia="Arial" w:hAnsi="Arial"/>
                <w:sz w:val="15"/>
                <w:szCs w:val="15"/>
                <w:color w:val="auto"/>
              </w:rPr>
              <w:t>Total other income (expense)</w:t>
            </w: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12,749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(2,122)</w:t>
            </w:r>
          </w:p>
        </w:tc>
        <w:tc>
          <w:tcPr>
            <w:tcW w:w="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(23,814)</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(13,178)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Income (loss) before income taxes</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30,029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(1,540)</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(55,728)</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(27,239)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Income tax benefit (provision)</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(131)</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9,620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10,539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Equity in earnings (losses) of guarantor and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non-guarantor subsidiaries, net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(47,779)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(2,574)</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50,353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(16,700)</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(4,245)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(46,108)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50,353</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(16,700)</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29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Condensed Consolidating Balance Sheet</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June 30, 2008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Combined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vMerge w:val="restart"/>
          </w:tcPr>
          <w:p>
            <w:pPr>
              <w:ind w:left="198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62,755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85,409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152,179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70,580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10,067</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275,681</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356,328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Intercompany accounts receivable</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12,043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585</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5,314</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(17,942)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Inventories</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54,665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7,127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140,473</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(983)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201,282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Deferred income taxes, net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(3,512)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5,727</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5,642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19,265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202</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32,015</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51,482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Intercompany other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11,944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6,390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(18,350)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78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227,740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25,439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551,009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(37,275)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766,913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89,654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12,345</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233,323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335,322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Prepaid debt fees</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15,868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15,868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Deferred income taxes, net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103,194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1,367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29,053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133,614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116</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14,380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20,053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65,693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529,454</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595,147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113,845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10,730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1,291,730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1,416,305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Investment in subsidiaries</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118,596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77,373</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(71,040)</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(124,929)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Intercompany notes receivable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1,893,209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(1,895,950)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780"/>
              <w:spacing w:after="0"/>
              <w:rPr>
                <w:sz w:val="20"/>
                <w:szCs w:val="20"/>
                <w:color w:val="auto"/>
              </w:rPr>
            </w:pPr>
            <w:r>
              <w:rPr>
                <w:rFonts w:ascii="Arial" w:cs="Arial" w:eastAsia="Arial" w:hAnsi="Arial"/>
                <w:sz w:val="15"/>
                <w:szCs w:val="15"/>
                <w:color w:val="auto"/>
              </w:rPr>
              <w:t>Total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2,633,356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127,370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2,580,650</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(2,058,154)</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3,283,222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620"/>
              <w:spacing w:after="0"/>
              <w:rPr>
                <w:sz w:val="20"/>
                <w:szCs w:val="20"/>
                <w:color w:val="auto"/>
              </w:rPr>
            </w:pPr>
            <w:r>
              <w:rPr>
                <w:rFonts w:ascii="Arial" w:cs="Arial" w:eastAsia="Arial" w:hAnsi="Arial"/>
                <w:sz w:val="15"/>
                <w:szCs w:val="15"/>
                <w:b w:val="1"/>
                <w:bCs w:val="1"/>
                <w:color w:val="auto"/>
              </w:rPr>
              <w:t>LIABILITIES AND SHAREHOLDERS' EQUITY</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Trade payables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40,655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6,078</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196,879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243,612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Accrued expenses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8,324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204</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57,092</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65,620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Intercompany accounts payable</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2,862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4,058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11,022</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(17,942)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Wages and benefits payable</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24,368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56,940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83,109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Taxes payable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855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857</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16,539</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18,251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356,341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356,341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Current portion of warranty</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9,497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184</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14,012</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23,693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Deferred income taxes,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1,716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Short-term intercompany advances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5,001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10,036</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(18,350)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Unearned revenue</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23,219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7,155</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30,374</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78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471,122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16,495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371,391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(36,292)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822,716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915,181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915,180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Warranty</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7,321</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18,491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Pension plan benefits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66,325</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66,325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Intercompany notes payable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1,893,209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(1,895,950)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Deferred income taxes, net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969</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184,720</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185,689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Other obligations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9,147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40,230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49,417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780"/>
              <w:spacing w:after="0"/>
              <w:rPr>
                <w:sz w:val="20"/>
                <w:szCs w:val="20"/>
                <w:color w:val="auto"/>
              </w:rPr>
            </w:pPr>
            <w:r>
              <w:rPr>
                <w:rFonts w:ascii="Arial" w:cs="Arial" w:eastAsia="Arial" w:hAnsi="Arial"/>
                <w:sz w:val="15"/>
                <w:szCs w:val="15"/>
                <w:color w:val="auto"/>
              </w:rPr>
              <w:t>Total liabilities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1,407,952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18,913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2,563,195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(1,932,242)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2,057,818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Shareholders' equity</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Preferred stock</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935,464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98,547</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99,060</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(197,607)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935,464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Accumulated other comprehensive income,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251,630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12,574</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15,961</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(28,535)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251,630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Retained earnings (accumulated deficit)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38,310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(2,664)</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(97,566)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100,230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38,310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780"/>
              <w:spacing w:after="0"/>
              <w:rPr>
                <w:sz w:val="20"/>
                <w:szCs w:val="20"/>
                <w:color w:val="auto"/>
              </w:rPr>
            </w:pPr>
            <w:r>
              <w:rPr>
                <w:rFonts w:ascii="Arial" w:cs="Arial" w:eastAsia="Arial" w:hAnsi="Arial"/>
                <w:sz w:val="15"/>
                <w:szCs w:val="15"/>
                <w:color w:val="auto"/>
              </w:rPr>
              <w:t>Total shareholders' equity</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1,225,404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108,457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17,455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(125,912)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1,225,404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780"/>
              <w:spacing w:after="0"/>
              <w:rPr>
                <w:sz w:val="20"/>
                <w:szCs w:val="20"/>
                <w:color w:val="auto"/>
              </w:rPr>
            </w:pPr>
            <w:r>
              <w:rPr>
                <w:rFonts w:ascii="Arial" w:cs="Arial" w:eastAsia="Arial" w:hAnsi="Arial"/>
                <w:sz w:val="15"/>
                <w:szCs w:val="15"/>
                <w:color w:val="auto"/>
              </w:rPr>
              <w:t>Total liabilities and shareholders' equity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2,633,356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127,370</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2,580,650</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(2,058,154)</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3,283,222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97"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Condensed Consolidating Balance Sheet</w:t>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December 31, 2007</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Combined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Parent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80" w:type="dxa"/>
            <w:vAlign w:val="bottom"/>
            <w:vMerge w:val="restart"/>
          </w:tcPr>
          <w:p>
            <w:pPr>
              <w:ind w:left="1980"/>
              <w:spacing w:after="0"/>
              <w:rPr>
                <w:sz w:val="20"/>
                <w:szCs w:val="20"/>
                <w:color w:val="auto"/>
              </w:rPr>
            </w:pPr>
            <w:r>
              <w:rPr>
                <w:rFonts w:ascii="Arial" w:cs="Arial" w:eastAsia="Arial" w:hAnsi="Arial"/>
                <w:sz w:val="15"/>
                <w:szCs w:val="15"/>
                <w:b w:val="1"/>
                <w:bCs w:val="1"/>
                <w:color w:val="auto"/>
              </w:rPr>
              <w:t>ASSETS</w:t>
            </w: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gridSpan w:val="2"/>
          </w:tcPr>
          <w:p>
            <w:pPr>
              <w:spacing w:after="0"/>
              <w:rPr>
                <w:sz w:val="20"/>
                <w:szCs w:val="20"/>
                <w:color w:val="auto"/>
              </w:rPr>
            </w:pPr>
            <w:r>
              <w:rPr>
                <w:rFonts w:ascii="Arial" w:cs="Arial" w:eastAsia="Arial" w:hAnsi="Arial"/>
                <w:sz w:val="15"/>
                <w:szCs w:val="15"/>
                <w:color w:val="auto"/>
              </w:rPr>
              <w:t>Current assets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27,937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62,387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91,988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95,908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7,151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235,959</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339,018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Intercompany accounts receivable</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15,359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5,855</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(21,239)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Inventories</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50,049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6,584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113,804</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(1,199)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169,238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Deferred income taxes,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3,911</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10,733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13,322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29,120</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42,459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Intercompany other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19,365</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(34,894)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80"/>
              <w:spacing w:after="0"/>
              <w:rPr>
                <w:sz w:val="20"/>
                <w:szCs w:val="20"/>
                <w:color w:val="auto"/>
              </w:rPr>
            </w:pPr>
            <w:r>
              <w:rPr>
                <w:rFonts w:ascii="Arial" w:cs="Arial" w:eastAsia="Arial" w:hAnsi="Arial"/>
                <w:sz w:val="15"/>
                <w:szCs w:val="15"/>
                <w:color w:val="auto"/>
              </w:rPr>
              <w:t>Total current assets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215,832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24,535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470,401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(57,332)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653,436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Property, plant and equipment, net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85,036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12,543</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225,424</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323,003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Prepaid debt fees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21,616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21,616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Deferred income taxes, net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85,963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1,275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(11,995)</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75,243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13,458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15,235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Intangible assets, net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77,017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618,883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695,900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Goodwill</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113,846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10,001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1,142,286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Investment in subsidiaries</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118,733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71,943</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(66,192)</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(124,484)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Intercompany notes receivable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1,764,792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8,656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(1,776,730)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880"/>
              <w:spacing w:after="0"/>
              <w:rPr>
                <w:sz w:val="20"/>
                <w:szCs w:val="20"/>
                <w:color w:val="auto"/>
              </w:rPr>
            </w:pPr>
            <w:r>
              <w:rPr>
                <w:rFonts w:ascii="Arial" w:cs="Arial" w:eastAsia="Arial" w:hAnsi="Arial"/>
                <w:sz w:val="15"/>
                <w:szCs w:val="15"/>
                <w:color w:val="auto"/>
              </w:rPr>
              <w:t>Total assets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2,484,597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123,594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2,400,921</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(1,958,546)</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3,050,566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620"/>
              <w:spacing w:after="0"/>
              <w:rPr>
                <w:sz w:val="20"/>
                <w:szCs w:val="20"/>
                <w:color w:val="auto"/>
              </w:rPr>
            </w:pPr>
            <w:r>
              <w:rPr>
                <w:rFonts w:ascii="Arial" w:cs="Arial" w:eastAsia="Arial" w:hAnsi="Arial"/>
                <w:sz w:val="15"/>
                <w:szCs w:val="15"/>
                <w:b w:val="1"/>
                <w:bCs w:val="1"/>
                <w:color w:val="auto"/>
              </w:rPr>
              <w:t>LIABILITIES AND SHAREHOLDERS' EQUITY</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Trade payables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39,701</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4,336</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154,960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198,997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Accrued expenses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7,124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546</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49,605</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57,275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Intercompany accounts payable</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4,258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15,139</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(21,239)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Wages and benefits payable</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17,419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51,317</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70,486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Taxes payable</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1,335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(158)</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16,316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17,493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11,980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Current portion of warranty</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8,411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12,715</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21,277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Deferred income taxes,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5,437</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Short-term intercompany advances</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12,807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14,782</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7,305</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(34,894)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Unearned revenue</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15,120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5,792</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20,912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80"/>
              <w:spacing w:after="0"/>
              <w:rPr>
                <w:sz w:val="20"/>
                <w:szCs w:val="20"/>
                <w:color w:val="auto"/>
              </w:rPr>
            </w:pPr>
            <w:r>
              <w:rPr>
                <w:rFonts w:ascii="Arial" w:cs="Arial" w:eastAsia="Arial" w:hAnsi="Arial"/>
                <w:sz w:val="15"/>
                <w:szCs w:val="15"/>
                <w:color w:val="auto"/>
              </w:rPr>
              <w:t>Total current liabilities</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118,155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23,249</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318,586</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(56,133)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403,857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Long-term debt</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1,578,563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1,578,561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Warranty</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10,104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100</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1,360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11,564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Pension plan benefits</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60,622</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60,623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Intercompany notes payable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1,768,103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(1,776,730)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Deferred income taxes, net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962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172,538</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173,500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5"/>
                <w:szCs w:val="15"/>
                <w:color w:val="auto"/>
              </w:rPr>
              <w:t>Other obligations</w:t>
            </w:r>
          </w:p>
        </w:tc>
        <w:tc>
          <w:tcPr>
            <w:tcW w:w="2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16,536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47,098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63,659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880"/>
              <w:spacing w:after="0"/>
              <w:rPr>
                <w:sz w:val="20"/>
                <w:szCs w:val="20"/>
                <w:color w:val="auto"/>
              </w:rPr>
            </w:pPr>
            <w:r>
              <w:rPr>
                <w:rFonts w:ascii="Arial" w:cs="Arial" w:eastAsia="Arial" w:hAnsi="Arial"/>
                <w:sz w:val="15"/>
                <w:szCs w:val="15"/>
                <w:color w:val="auto"/>
              </w:rPr>
              <w:t>Total liabilities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1,725,795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30,527</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2,368,305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(1,832,863)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2,291,764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5"/>
                <w:szCs w:val="15"/>
                <w:color w:val="auto"/>
              </w:rPr>
              <w:t>Shareholders' equity</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Preferred stock</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609,902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90,437</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97,021</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(187,458)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609,902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Accumulated other comprehensive income, net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126,668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10,468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(19,016)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126,668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ind w:left="420"/>
              <w:spacing w:after="0"/>
              <w:rPr>
                <w:sz w:val="20"/>
                <w:szCs w:val="20"/>
                <w:color w:val="auto"/>
              </w:rPr>
            </w:pPr>
            <w:r>
              <w:rPr>
                <w:rFonts w:ascii="Arial" w:cs="Arial" w:eastAsia="Arial" w:hAnsi="Arial"/>
                <w:sz w:val="15"/>
                <w:szCs w:val="15"/>
                <w:color w:val="auto"/>
              </w:rPr>
              <w:t>Retained earnings (accumulated deficit)</w:t>
            </w:r>
          </w:p>
        </w:tc>
        <w:tc>
          <w:tcPr>
            <w:tcW w:w="22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22,232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(5,918)</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(74,873)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80,791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22,232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shd w:val="clear" w:color="auto" w:fill="CCEEFF"/>
          </w:tcPr>
          <w:p>
            <w:pPr>
              <w:ind w:left="880"/>
              <w:spacing w:after="0"/>
              <w:rPr>
                <w:sz w:val="20"/>
                <w:szCs w:val="20"/>
                <w:color w:val="auto"/>
              </w:rPr>
            </w:pPr>
            <w:r>
              <w:rPr>
                <w:rFonts w:ascii="Arial" w:cs="Arial" w:eastAsia="Arial" w:hAnsi="Arial"/>
                <w:sz w:val="15"/>
                <w:szCs w:val="15"/>
                <w:color w:val="auto"/>
              </w:rPr>
              <w:t>Total shareholders' equity</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758,802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93,067</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32,616</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(125,683)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758,802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tcPr>
          <w:p>
            <w:pPr>
              <w:ind w:left="880"/>
              <w:spacing w:after="0"/>
              <w:rPr>
                <w:sz w:val="20"/>
                <w:szCs w:val="20"/>
                <w:color w:val="auto"/>
              </w:rPr>
            </w:pPr>
            <w:r>
              <w:rPr>
                <w:rFonts w:ascii="Arial" w:cs="Arial" w:eastAsia="Arial" w:hAnsi="Arial"/>
                <w:sz w:val="15"/>
                <w:szCs w:val="15"/>
                <w:color w:val="auto"/>
              </w:rPr>
              <w:t>Total liabilities and shareholders' equity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2,484,597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123,594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2,400,921</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(1,958,546)</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3,050,566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3" w:name="page34"/>
    <w:bookmarkEnd w:id="33"/>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6620" w:type="dxa"/>
            <w:vAlign w:val="bottom"/>
            <w:gridSpan w:val="9"/>
          </w:tcPr>
          <w:p>
            <w:pPr>
              <w:jc w:val="right"/>
              <w:ind w:right="160"/>
              <w:spacing w:after="0" w:line="159" w:lineRule="exact"/>
              <w:rPr>
                <w:sz w:val="20"/>
                <w:szCs w:val="20"/>
                <w:color w:val="auto"/>
              </w:rPr>
            </w:pPr>
            <w:r>
              <w:rPr>
                <w:rFonts w:ascii="Arial" w:cs="Arial" w:eastAsia="Arial" w:hAnsi="Arial"/>
                <w:sz w:val="15"/>
                <w:szCs w:val="15"/>
                <w:b w:val="1"/>
                <w:bCs w:val="1"/>
                <w:color w:val="auto"/>
              </w:rPr>
              <w:t>Condensed Consolidating Statement of Cash Flows</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5"/>
                <w:szCs w:val="15"/>
                <w:b w:val="1"/>
                <w:bCs w:val="1"/>
                <w:color w:val="auto"/>
                <w:w w:val="91"/>
              </w:rPr>
              <w:t>Six Months Ended June 30, 2008</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15"/>
                <w:szCs w:val="15"/>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Combined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40"/>
              <w:spacing w:after="0"/>
              <w:rPr>
                <w:sz w:val="20"/>
                <w:szCs w:val="20"/>
                <w:color w:val="auto"/>
              </w:rPr>
            </w:pPr>
            <w:r>
              <w:rPr>
                <w:rFonts w:ascii="Arial" w:cs="Arial" w:eastAsia="Arial" w:hAnsi="Arial"/>
                <w:sz w:val="15"/>
                <w:szCs w:val="15"/>
                <w:color w:val="auto"/>
              </w:rPr>
              <w:t>Operating activities</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Net income (loss)</w:t>
            </w:r>
          </w:p>
        </w:tc>
        <w:tc>
          <w:tcPr>
            <w:tcW w:w="34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16,078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3,254</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(22,693)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19,439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16,078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tcPr>
          <w:p>
            <w:pPr>
              <w:ind w:left="80"/>
              <w:spacing w:after="0" w:line="172" w:lineRule="exact"/>
              <w:rPr>
                <w:sz w:val="20"/>
                <w:szCs w:val="20"/>
                <w:color w:val="auto"/>
              </w:rPr>
            </w:pPr>
            <w:r>
              <w:rPr>
                <w:rFonts w:ascii="Arial" w:cs="Arial" w:eastAsia="Arial" w:hAnsi="Arial"/>
                <w:sz w:val="15"/>
                <w:szCs w:val="15"/>
                <w:color w:val="auto"/>
              </w:rPr>
              <w:t>Adjustments to reconcile net income (loss) to net cash provided by</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operating activities: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20,269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68,088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89,466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200"/>
              <w:spacing w:after="0"/>
              <w:rPr>
                <w:sz w:val="20"/>
                <w:szCs w:val="20"/>
                <w:color w:val="auto"/>
              </w:rPr>
            </w:pPr>
            <w:r>
              <w:rPr>
                <w:rFonts w:ascii="Arial" w:cs="Arial" w:eastAsia="Arial" w:hAnsi="Arial"/>
                <w:sz w:val="15"/>
                <w:szCs w:val="15"/>
                <w:color w:val="auto"/>
              </w:rPr>
              <w:t>Stock-based compensation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8,026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Amortization of prepaid debt fees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200"/>
              <w:spacing w:after="0"/>
              <w:rPr>
                <w:sz w:val="20"/>
                <w:szCs w:val="20"/>
                <w:color w:val="auto"/>
              </w:rPr>
            </w:pPr>
            <w:r>
              <w:rPr>
                <w:rFonts w:ascii="Arial" w:cs="Arial" w:eastAsia="Arial" w:hAnsi="Arial"/>
                <w:sz w:val="15"/>
                <w:szCs w:val="15"/>
                <w:color w:val="auto"/>
              </w:rPr>
              <w:t>Deferred income taxes, net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(17,551)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(1,985)</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5,115</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(14,421)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shd w:val="clear" w:color="auto" w:fill="CCEEFF"/>
          </w:tcPr>
          <w:p>
            <w:pPr>
              <w:ind w:left="200"/>
              <w:spacing w:after="0" w:line="172" w:lineRule="exact"/>
              <w:rPr>
                <w:sz w:val="20"/>
                <w:szCs w:val="20"/>
                <w:color w:val="auto"/>
              </w:rPr>
            </w:pPr>
            <w:r>
              <w:rPr>
                <w:rFonts w:ascii="Arial" w:cs="Arial" w:eastAsia="Arial" w:hAnsi="Arial"/>
                <w:sz w:val="15"/>
                <w:szCs w:val="15"/>
                <w:color w:val="auto"/>
                <w:w w:val="91"/>
              </w:rPr>
              <w:t>Equity in (earnings) losses of guarantor and non-guarantor subsidiaries,</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19,992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(553)</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(19,439)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200"/>
              <w:spacing w:after="0"/>
              <w:rPr>
                <w:sz w:val="20"/>
                <w:szCs w:val="20"/>
                <w:color w:val="auto"/>
              </w:rPr>
            </w:pPr>
            <w:r>
              <w:rPr>
                <w:rFonts w:ascii="Arial" w:cs="Arial" w:eastAsia="Arial" w:hAnsi="Arial"/>
                <w:sz w:val="15"/>
                <w:szCs w:val="15"/>
                <w:color w:val="auto"/>
              </w:rPr>
              <w:t>Other, net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730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(334)</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Changes in operating assets and liabilities, net of acquisitions: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Accounts receivable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25,328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(2,916)</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(37,598)</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(15,186)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Inventories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(543)</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(26,783)</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(32,158)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Trade payables, accrued expenses and taxes payable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960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2,226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36,376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39,562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Wages and benefits payable</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5,481</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12,481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Unearned revenue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8,610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1,363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9,975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Warranty</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2,052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950</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3,035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Effect of foreign exchange rate changes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2,986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2,986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Intercompany transactions, net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3,378</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(3,576)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Other, net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(3,603)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(273)</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(1,836)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(5,712)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cash provided by operating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89,091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27,539</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120,449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Acquisitions of property, plant and equipment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(13,699)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(759)</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(14,508)</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(28,966)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Business acquisitions, net of cash and cash equivalents acquired</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Cash transferred to parent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7,806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(7,806)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Cash transferred to guarantor subsidiaries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7,806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Cash transferred to non-guarantor subsidiaries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(4,257)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4,257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Intercompany notes, net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(1,187)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3,282</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5,975</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(8,070)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Other, net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6,233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(6,796)</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1,379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Net cash (used in) provided by investing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(13,005)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12,271</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(7,523)</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(19,425)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(27,682)</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Payments on debt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(350,749)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(350,749)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Issuance of common stock</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317,536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317,536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Prepaid debt fees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Cash received from parent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4,257</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(4,257)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Cash received from guarantor subsidiaries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(7,806)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7,806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Cash received from non-guarantor subsidiaries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(7,806)</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7,806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80"/>
              <w:spacing w:after="0"/>
              <w:rPr>
                <w:sz w:val="20"/>
                <w:szCs w:val="20"/>
                <w:color w:val="auto"/>
              </w:rPr>
            </w:pPr>
            <w:r>
              <w:rPr>
                <w:rFonts w:ascii="Arial" w:cs="Arial" w:eastAsia="Arial" w:hAnsi="Arial"/>
                <w:sz w:val="15"/>
                <w:szCs w:val="15"/>
                <w:color w:val="auto"/>
              </w:rPr>
              <w:t>Intercompany notes payable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(5,933)</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(2,095)</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8,070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Other, net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200"/>
              <w:spacing w:after="0"/>
              <w:rPr>
                <w:sz w:val="20"/>
                <w:szCs w:val="20"/>
                <w:color w:val="auto"/>
              </w:rPr>
            </w:pPr>
            <w:r>
              <w:rPr>
                <w:rFonts w:ascii="Arial" w:cs="Arial" w:eastAsia="Arial" w:hAnsi="Arial"/>
                <w:sz w:val="15"/>
                <w:szCs w:val="15"/>
                <w:color w:val="auto"/>
              </w:rPr>
              <w:t>Net cash (used in) provided by financing activities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(41,268)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(13,739)</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2,302</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19,425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(33,280)</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5"/>
                <w:szCs w:val="15"/>
                <w:color w:val="auto"/>
                <w:w w:val="97"/>
              </w:rPr>
              <w:t>Effect of foreign exchange rate changes on cash and cash equivalents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704</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704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Increase in cash and cash equivalents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34,818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2,351</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23,022</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60,191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period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27,937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1,664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62,387</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91,988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62,755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4,015</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85,409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152,179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i w:val="1"/>
                <w:iCs w:val="1"/>
                <w:color w:val="auto"/>
              </w:rPr>
              <w:t>Non-cash transactions:</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gridSpan w:val="2"/>
          </w:tcPr>
          <w:p>
            <w:pPr>
              <w:ind w:left="80"/>
              <w:spacing w:after="0" w:line="172" w:lineRule="exact"/>
              <w:rPr>
                <w:sz w:val="20"/>
                <w:szCs w:val="20"/>
                <w:color w:val="auto"/>
              </w:rPr>
            </w:pPr>
            <w:r>
              <w:rPr>
                <w:rFonts w:ascii="Arial" w:cs="Arial" w:eastAsia="Arial" w:hAnsi="Arial"/>
                <w:sz w:val="15"/>
                <w:szCs w:val="15"/>
                <w:color w:val="auto"/>
              </w:rPr>
              <w:t>Fixed assets purchased but not yet paid</w:t>
            </w:r>
          </w:p>
        </w:tc>
        <w:tc>
          <w:tcPr>
            <w:tcW w:w="340" w:type="dxa"/>
            <w:vAlign w:val="bottom"/>
            <w:gridSpan w:val="2"/>
          </w:tcPr>
          <w:p>
            <w:pPr>
              <w:jc w:val="right"/>
              <w:ind w:right="64"/>
              <w:spacing w:after="0" w:line="172"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1,996</w:t>
            </w:r>
          </w:p>
        </w:tc>
        <w:tc>
          <w:tcPr>
            <w:tcW w:w="140" w:type="dxa"/>
            <w:vAlign w:val="bottom"/>
          </w:tcPr>
          <w:p>
            <w:pPr>
              <w:spacing w:after="0"/>
              <w:rPr>
                <w:sz w:val="14"/>
                <w:szCs w:val="14"/>
                <w:color w:val="auto"/>
              </w:rPr>
            </w:pPr>
          </w:p>
        </w:tc>
        <w:tc>
          <w:tcPr>
            <w:tcW w:w="220" w:type="dxa"/>
            <w:vAlign w:val="bottom"/>
            <w:gridSpan w:val="2"/>
          </w:tcPr>
          <w:p>
            <w:pPr>
              <w:jc w:val="right"/>
              <w:ind w:right="40"/>
              <w:spacing w:after="0" w:line="172"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249</w:t>
            </w:r>
          </w:p>
        </w:tc>
        <w:tc>
          <w:tcPr>
            <w:tcW w:w="80" w:type="dxa"/>
            <w:vAlign w:val="bottom"/>
          </w:tcPr>
          <w:p>
            <w:pPr>
              <w:jc w:val="right"/>
              <w:spacing w:after="0" w:line="172" w:lineRule="exact"/>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line="172" w:lineRule="exact"/>
              <w:rPr>
                <w:sz w:val="20"/>
                <w:szCs w:val="20"/>
                <w:color w:val="auto"/>
              </w:rPr>
            </w:pPr>
            <w:r>
              <w:rPr>
                <w:rFonts w:ascii="Arial" w:cs="Arial" w:eastAsia="Arial" w:hAnsi="Arial"/>
                <w:sz w:val="15"/>
                <w:szCs w:val="15"/>
                <w:color w:val="auto"/>
              </w:rPr>
              <w:t>2,145</w:t>
            </w:r>
          </w:p>
        </w:tc>
        <w:tc>
          <w:tcPr>
            <w:tcW w:w="120" w:type="dxa"/>
            <w:vAlign w:val="bottom"/>
          </w:tcPr>
          <w:p>
            <w:pPr>
              <w:jc w:val="right"/>
              <w:spacing w:after="0" w:line="172"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line="172" w:lineRule="exact"/>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line="172"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4,390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580" w:type="dxa"/>
            <w:vAlign w:val="bottom"/>
            <w:gridSpan w:val="3"/>
          </w:tcPr>
          <w:p>
            <w:pPr>
              <w:spacing w:after="0"/>
              <w:rPr>
                <w:sz w:val="20"/>
                <w:szCs w:val="20"/>
                <w:color w:val="auto"/>
              </w:rPr>
            </w:pPr>
            <w:r>
              <w:rPr>
                <w:rFonts w:ascii="Arial" w:cs="Arial" w:eastAsia="Arial" w:hAnsi="Arial"/>
                <w:sz w:val="15"/>
                <w:szCs w:val="15"/>
                <w:i w:val="1"/>
                <w:iCs w:val="1"/>
                <w:color w:val="auto"/>
              </w:rPr>
              <w:t>Supplemental disclosure of cash flow information: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rPr>
              <w:t>Cash paid during the period for:</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tcPr>
          <w:p>
            <w:pPr>
              <w:ind w:left="200"/>
              <w:spacing w:after="0"/>
              <w:rPr>
                <w:sz w:val="20"/>
                <w:szCs w:val="20"/>
                <w:color w:val="auto"/>
              </w:rPr>
            </w:pPr>
            <w:r>
              <w:rPr>
                <w:rFonts w:ascii="Arial" w:cs="Arial" w:eastAsia="Arial" w:hAnsi="Arial"/>
                <w:sz w:val="15"/>
                <w:szCs w:val="15"/>
                <w:color w:val="auto"/>
              </w:rPr>
              <w:t>Income taxes</w:t>
            </w:r>
          </w:p>
        </w:tc>
        <w:tc>
          <w:tcPr>
            <w:tcW w:w="34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98</w:t>
            </w:r>
          </w:p>
        </w:tc>
        <w:tc>
          <w:tcPr>
            <w:tcW w:w="14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13,458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13,556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Interest, net of amounts capitalized</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41,831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426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42,247</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7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440" w:type="dxa"/>
            <w:vAlign w:val="bottom"/>
            <w:gridSpan w:val="9"/>
          </w:tcPr>
          <w:p>
            <w:pPr>
              <w:ind w:left="4000"/>
              <w:spacing w:after="0"/>
              <w:rPr>
                <w:sz w:val="20"/>
                <w:szCs w:val="20"/>
                <w:color w:val="auto"/>
              </w:rPr>
            </w:pPr>
            <w:r>
              <w:rPr>
                <w:rFonts w:ascii="Arial" w:cs="Arial" w:eastAsia="Arial" w:hAnsi="Arial"/>
                <w:sz w:val="15"/>
                <w:szCs w:val="15"/>
                <w:b w:val="1"/>
                <w:bCs w:val="1"/>
                <w:color w:val="auto"/>
                <w:w w:val="92"/>
              </w:rPr>
              <w:t>Condensed Consolidating Statement of Cash Flows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5"/>
                <w:szCs w:val="15"/>
                <w:b w:val="1"/>
                <w:bCs w:val="1"/>
                <w:color w:val="auto"/>
                <w:w w:val="91"/>
              </w:rPr>
              <w:t>Six Months Ended June 30, 2007</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Combined</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Combined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6"/>
              </w:rPr>
              <w:t>Guarantor</w:t>
            </w:r>
          </w:p>
        </w:tc>
        <w:tc>
          <w:tcPr>
            <w:tcW w:w="8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4"/>
              </w:rPr>
              <w:t>Non-guarantor</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Parent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Subsidiaries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4"/>
              </w:rPr>
              <w:t>Eliminations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0"/>
              </w:rPr>
              <w:t>Consolidated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40"/>
              <w:spacing w:after="0"/>
              <w:rPr>
                <w:sz w:val="20"/>
                <w:szCs w:val="20"/>
                <w:color w:val="auto"/>
              </w:rPr>
            </w:pPr>
            <w:r>
              <w:rPr>
                <w:rFonts w:ascii="Arial" w:cs="Arial" w:eastAsia="Arial" w:hAnsi="Arial"/>
                <w:sz w:val="15"/>
                <w:szCs w:val="15"/>
                <w:color w:val="auto"/>
              </w:rPr>
              <w:t>Operating activities</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24"/>
              <w:spacing w:after="0"/>
              <w:rPr>
                <w:sz w:val="20"/>
                <w:szCs w:val="20"/>
                <w:color w:val="auto"/>
              </w:rPr>
            </w:pPr>
            <w:r>
              <w:rPr>
                <w:rFonts w:ascii="Arial" w:cs="Arial" w:eastAsia="Arial" w:hAnsi="Arial"/>
                <w:sz w:val="15"/>
                <w:szCs w:val="15"/>
                <w:b w:val="1"/>
                <w:bCs w:val="1"/>
                <w:color w:val="auto"/>
                <w:w w:val="88"/>
              </w:rPr>
              <w:t>(in thousands)</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Net loss</w:t>
            </w:r>
          </w:p>
        </w:tc>
        <w:tc>
          <w:tcPr>
            <w:tcW w:w="34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(16,700)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(4,245)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(46,108)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50,353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(16,700)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ind w:left="80"/>
              <w:spacing w:after="0" w:line="172" w:lineRule="exact"/>
              <w:rPr>
                <w:sz w:val="20"/>
                <w:szCs w:val="20"/>
                <w:color w:val="auto"/>
              </w:rPr>
            </w:pPr>
            <w:r>
              <w:rPr>
                <w:rFonts w:ascii="Arial" w:cs="Arial" w:eastAsia="Arial" w:hAnsi="Arial"/>
                <w:sz w:val="15"/>
                <w:szCs w:val="15"/>
                <w:color w:val="auto"/>
              </w:rPr>
              <w:t>Adjustments to reconcile net loss to net cash provided by (used in)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operating activities: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Depreciation and amortization</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21,780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412</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24,964</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47,156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200"/>
              <w:spacing w:after="0"/>
              <w:rPr>
                <w:sz w:val="20"/>
                <w:szCs w:val="20"/>
                <w:color w:val="auto"/>
              </w:rPr>
            </w:pPr>
            <w:r>
              <w:rPr>
                <w:rFonts w:ascii="Arial" w:cs="Arial" w:eastAsia="Arial" w:hAnsi="Arial"/>
                <w:sz w:val="15"/>
                <w:szCs w:val="15"/>
                <w:color w:val="auto"/>
              </w:rPr>
              <w:t>In-process research and development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35,551</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35,551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Employee stock plans income tax benefits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5,773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200"/>
              <w:spacing w:after="0"/>
              <w:rPr>
                <w:sz w:val="20"/>
                <w:szCs w:val="20"/>
                <w:color w:val="auto"/>
              </w:rPr>
            </w:pPr>
            <w:r>
              <w:rPr>
                <w:rFonts w:ascii="Arial" w:cs="Arial" w:eastAsia="Arial" w:hAnsi="Arial"/>
                <w:sz w:val="15"/>
                <w:szCs w:val="15"/>
                <w:color w:val="auto"/>
              </w:rPr>
              <w:t>Excess tax benefits from stock-based compensation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(5,029)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(5,029)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200"/>
              <w:spacing w:after="0"/>
              <w:rPr>
                <w:sz w:val="20"/>
                <w:szCs w:val="20"/>
                <w:color w:val="auto"/>
              </w:rPr>
            </w:pPr>
            <w:r>
              <w:rPr>
                <w:rFonts w:ascii="Arial" w:cs="Arial" w:eastAsia="Arial" w:hAnsi="Arial"/>
                <w:sz w:val="15"/>
                <w:szCs w:val="15"/>
                <w:color w:val="auto"/>
              </w:rPr>
              <w:t>Amortization of prepaid debt fees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96</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income taxes, net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(1,072)</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(22,229)</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(30,133)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ind w:left="200"/>
              <w:spacing w:after="0" w:line="172" w:lineRule="exact"/>
              <w:rPr>
                <w:sz w:val="20"/>
                <w:szCs w:val="20"/>
                <w:color w:val="auto"/>
              </w:rPr>
            </w:pPr>
            <w:r>
              <w:rPr>
                <w:rFonts w:ascii="Arial" w:cs="Arial" w:eastAsia="Arial" w:hAnsi="Arial"/>
                <w:sz w:val="15"/>
                <w:szCs w:val="15"/>
                <w:color w:val="auto"/>
                <w:w w:val="91"/>
              </w:rPr>
              <w:t>Equity in earnings (losses) of guarantor and non-guarantor subsidiaries,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ind w:left="200"/>
              <w:spacing w:after="0"/>
              <w:rPr>
                <w:sz w:val="20"/>
                <w:szCs w:val="20"/>
                <w:color w:val="auto"/>
              </w:rPr>
            </w:pPr>
            <w:r>
              <w:rPr>
                <w:rFonts w:ascii="Arial" w:cs="Arial" w:eastAsia="Arial" w:hAnsi="Arial"/>
                <w:sz w:val="15"/>
                <w:szCs w:val="15"/>
                <w:color w:val="auto"/>
              </w:rPr>
              <w:t>net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47,779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2,574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(50,353)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net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Changes in operating assets and liabilities, net of acquisitions: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Accounts receivable</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(1,817)</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(18,684)</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(12,604)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Inventories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(984)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913</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18,054</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17,983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Trade payables, accrued expenses and taxes payable</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22,453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2,016</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1,342</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25,811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Wages and benefits payable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(6,205)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169</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(1,263)</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(7,299)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Unearned revenue</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(4,856)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508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(4,348)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Warranty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639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(262)</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Intercompany transactions, net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(9,119)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1,635</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7,484</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Other, net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979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(981)</w:t>
            </w:r>
          </w:p>
        </w:tc>
        <w:tc>
          <w:tcPr>
            <w:tcW w:w="8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(2,687)</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(2,689)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cash provided by (used in) operating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66,532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(289)</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(3,324)</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62,919</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Investing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Proceeds from the maturities of investments, held to maturity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35,000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Acquisitions of property, plant and equipment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(12,907)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6,779</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(12,178)</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(18,306)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Business acquisitions, net of cash and cash equivalents acquired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(1,715,626)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(1,715,626)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Cash transferred to parent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(89,042)</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89,042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Cash transferred to non-guarantor subsidiaries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(22,492)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22,492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Intercompany notes, net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52,360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346</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(52,706)</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Other, net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(41,253)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(52,097)</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99,247</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5,897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cash provided by (used in) investing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(1,704,918)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(134,014)</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34,363</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111,534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(1,693,035)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Proceeds from borrowings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1,068,248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5"/>
                <w:szCs w:val="15"/>
                <w:color w:val="auto"/>
              </w:rPr>
              <w:t>90,779</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1,159,027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Payments on debt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(2,890)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Issuance of common stock</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236,220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236,220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Excess tax benefits from stock-based compensation</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Prepaid debt fees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(21,511)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5"/>
                <w:szCs w:val="15"/>
                <w:color w:val="auto"/>
              </w:rPr>
              <w:t>(1,547)</w:t>
            </w: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(23,058)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Cash transferred from parent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89,042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(89,042)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Cash transferred from non-guarantor subsidiaries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22,492</w:t>
            </w:r>
          </w:p>
        </w:tc>
        <w:tc>
          <w:tcPr>
            <w:tcW w:w="12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(22,492)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Intercompany notes payable</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(45,726)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45,726</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ind w:left="200"/>
              <w:spacing w:after="0" w:line="172" w:lineRule="exact"/>
              <w:rPr>
                <w:sz w:val="20"/>
                <w:szCs w:val="20"/>
                <w:color w:val="auto"/>
              </w:rPr>
            </w:pPr>
            <w:r>
              <w:rPr>
                <w:rFonts w:ascii="Arial" w:cs="Arial" w:eastAsia="Arial" w:hAnsi="Arial"/>
                <w:sz w:val="15"/>
                <w:szCs w:val="15"/>
                <w:color w:val="auto"/>
              </w:rPr>
              <w:t>Net cash provided by financing activities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line="172" w:lineRule="exact"/>
              <w:rPr>
                <w:sz w:val="20"/>
                <w:szCs w:val="20"/>
                <w:color w:val="auto"/>
              </w:rPr>
            </w:pPr>
            <w:r>
              <w:rPr>
                <w:rFonts w:ascii="Arial" w:cs="Arial" w:eastAsia="Arial" w:hAnsi="Arial"/>
                <w:sz w:val="15"/>
                <w:szCs w:val="15"/>
                <w:color w:val="auto"/>
              </w:rPr>
              <w:t>1,328,412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134,958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line="172" w:lineRule="exact"/>
              <w:rPr>
                <w:sz w:val="20"/>
                <w:szCs w:val="20"/>
                <w:color w:val="auto"/>
              </w:rPr>
            </w:pPr>
            <w:r>
              <w:rPr>
                <w:rFonts w:ascii="Arial" w:cs="Arial" w:eastAsia="Arial" w:hAnsi="Arial"/>
                <w:sz w:val="15"/>
                <w:szCs w:val="15"/>
                <w:color w:val="auto"/>
              </w:rPr>
              <w:t>22,492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80"/>
              <w:spacing w:after="0" w:line="172" w:lineRule="exact"/>
              <w:rPr>
                <w:sz w:val="20"/>
                <w:szCs w:val="20"/>
                <w:color w:val="auto"/>
              </w:rPr>
            </w:pPr>
            <w:r>
              <w:rPr>
                <w:rFonts w:ascii="Arial" w:cs="Arial" w:eastAsia="Arial" w:hAnsi="Arial"/>
                <w:sz w:val="15"/>
                <w:szCs w:val="15"/>
                <w:color w:val="auto"/>
              </w:rPr>
              <w:t>(111,534)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72" w:lineRule="exact"/>
              <w:rPr>
                <w:sz w:val="20"/>
                <w:szCs w:val="20"/>
                <w:color w:val="auto"/>
              </w:rPr>
            </w:pPr>
            <w:r>
              <w:rPr>
                <w:rFonts w:ascii="Arial" w:cs="Arial" w:eastAsia="Arial" w:hAnsi="Arial"/>
                <w:sz w:val="15"/>
                <w:szCs w:val="15"/>
                <w:color w:val="auto"/>
              </w:rPr>
              <w:t>1,374,328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80" w:type="dxa"/>
            <w:vAlign w:val="bottom"/>
            <w:gridSpan w:val="2"/>
          </w:tcPr>
          <w:p>
            <w:pPr>
              <w:spacing w:after="0"/>
              <w:rPr>
                <w:sz w:val="20"/>
                <w:szCs w:val="20"/>
                <w:color w:val="auto"/>
              </w:rPr>
            </w:pPr>
            <w:r>
              <w:rPr>
                <w:rFonts w:ascii="Arial" w:cs="Arial" w:eastAsia="Arial" w:hAnsi="Arial"/>
                <w:sz w:val="15"/>
                <w:szCs w:val="15"/>
                <w:color w:val="auto"/>
                <w:w w:val="97"/>
              </w:rPr>
              <w:t>Effect of foreign exchange rate changes on cash and cash equivalents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256</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Increase (decrease) in cash and cash equivalents</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(309,974)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655</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53,787</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(255,532)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5"/>
                <w:szCs w:val="15"/>
                <w:color w:val="auto"/>
              </w:rPr>
              <w:t>Cash and cash equivalents at beginning of period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353,483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7,922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361,405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at end of period</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43,509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61,709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105,873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i w:val="1"/>
                <w:iCs w:val="1"/>
                <w:color w:val="auto"/>
              </w:rPr>
              <w:t>Non-cash transactions:</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Fixed assets purchased but not yet paid</w:t>
            </w:r>
          </w:p>
        </w:tc>
        <w:tc>
          <w:tcPr>
            <w:tcW w:w="340" w:type="dxa"/>
            <w:vAlign w:val="bottom"/>
            <w:gridSpan w:val="2"/>
          </w:tcPr>
          <w:p>
            <w:pPr>
              <w:jc w:val="right"/>
              <w:ind w:right="64"/>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1,593</w:t>
            </w:r>
          </w:p>
        </w:tc>
        <w:tc>
          <w:tcPr>
            <w:tcW w:w="14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1,913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5"/>
                <w:szCs w:val="15"/>
                <w:color w:val="auto"/>
              </w:rPr>
              <w:t>Pre-acquisition costs incurred but not yet paid</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5"/>
                <w:szCs w:val="15"/>
                <w:i w:val="1"/>
                <w:iCs w:val="1"/>
                <w:color w:val="auto"/>
              </w:rPr>
              <w:t>Supplemental disclosure of cash flow information:</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tcPr>
          <w:p>
            <w:pPr>
              <w:ind w:left="80"/>
              <w:spacing w:after="0"/>
              <w:rPr>
                <w:sz w:val="20"/>
                <w:szCs w:val="20"/>
                <w:color w:val="auto"/>
              </w:rPr>
            </w:pPr>
            <w:r>
              <w:rPr>
                <w:rFonts w:ascii="Arial" w:cs="Arial" w:eastAsia="Arial" w:hAnsi="Arial"/>
                <w:sz w:val="15"/>
                <w:szCs w:val="15"/>
                <w:color w:val="auto"/>
              </w:rPr>
              <w:t>Cash paid during the period for:</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Income taxes</w:t>
            </w:r>
          </w:p>
        </w:tc>
        <w:tc>
          <w:tcPr>
            <w:tcW w:w="340" w:type="dxa"/>
            <w:vAlign w:val="bottom"/>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2,661</w:t>
            </w: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60" w:type="dxa"/>
            <w:vAlign w:val="bottom"/>
          </w:tcPr>
          <w:p>
            <w:pPr>
              <w:ind w:left="200"/>
              <w:spacing w:after="0"/>
              <w:rPr>
                <w:sz w:val="20"/>
                <w:szCs w:val="20"/>
                <w:color w:val="auto"/>
              </w:rPr>
            </w:pPr>
            <w:r>
              <w:rPr>
                <w:rFonts w:ascii="Arial" w:cs="Arial" w:eastAsia="Arial" w:hAnsi="Arial"/>
                <w:sz w:val="15"/>
                <w:szCs w:val="15"/>
                <w:color w:val="auto"/>
              </w:rPr>
              <w:t>Interest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29,466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1,670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136</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31,272</w:t>
            </w: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329" w:right="21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In this Quarterly Report on Form 10-Q, the terms “we,” “us,” “our,” “Itron” and the “Company” refer to Itron, Inc.</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notes included in this report and with our Annual Report on Form 10-K filed with the Securities and Exchange Commission (SEC) on February 26, 2008.</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 xml:space="preserve">Documents we provide to the SEC are available free of charge under the Investor Information section of our website at </w:t>
      </w:r>
      <w:r>
        <w:rPr>
          <w:rFonts w:ascii="Arial" w:cs="Arial" w:eastAsia="Arial" w:hAnsi="Arial"/>
          <w:sz w:val="15"/>
          <w:szCs w:val="15"/>
          <w:i w:val="1"/>
          <w:iCs w:val="1"/>
          <w:color w:val="auto"/>
        </w:rPr>
        <w:t>www.itron.com</w:t>
      </w:r>
      <w:r>
        <w:rPr>
          <w:rFonts w:ascii="Arial" w:cs="Arial" w:eastAsia="Arial" w:hAnsi="Arial"/>
          <w:sz w:val="15"/>
          <w:szCs w:val="15"/>
          <w:color w:val="auto"/>
        </w:rPr>
        <w:t xml:space="preserve"> as soon as practicable after they are filed with or furnished to the SEC. In addition, these documents are available at the SEC’s website (http://</w:t>
      </w:r>
      <w:r>
        <w:rPr>
          <w:rFonts w:ascii="Arial" w:cs="Arial" w:eastAsia="Arial" w:hAnsi="Arial"/>
          <w:sz w:val="15"/>
          <w:szCs w:val="15"/>
          <w:i w:val="1"/>
          <w:iCs w:val="1"/>
          <w:color w:val="auto"/>
        </w:rPr>
        <w:t>www.sec.gov</w:t>
      </w:r>
      <w:r>
        <w:rPr>
          <w:rFonts w:ascii="Arial" w:cs="Arial" w:eastAsia="Arial" w:hAnsi="Arial"/>
          <w:sz w:val="15"/>
          <w:szCs w:val="15"/>
          <w:color w:val="auto"/>
        </w:rPr>
        <w:t>) and at the SEC’s Headquarters at 100 F Street, NE, Washington, DC 20549, or by calling 1-800-SEC-0330.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Forward-Looking Statements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4"/>
          <w:szCs w:val="14"/>
          <w:i w:val="1"/>
          <w:iCs w:val="1"/>
          <w:color w:val="auto"/>
        </w:rPr>
        <w:t>This document contains forward-looking statements concerning our operations, financial performance, revenues, earnings growth, estimated stock-based compensation expense, pension liabilities, cost reduction programs and other items. These statements reflect our current plans and expectations and are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Any statements that refer to expectations, projections or other characterizations of future events or circumstances are also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or litigation, 4) changes in domestic and international laws and regulations, 5) our dependence on new product development and intellectual property, 6) current and future business combinations, 7) changes in estimates for stock-based compensation or pension costs, 8) changes in foreign currency exchange rates, 9) international business risks, 10) capital market availability and 11)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see “Risk Factors” within Item 1A included in our Annual Report on Form 10-K for the fiscal year ended December 31, 2007, which was filed with the SEC on February 26, 2008.</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derive the majority of our revenues from sales of products and services to utilities. Revenues include hardware, software, post-sale maintenance and professional services. Cost of revenues includes materials, direct labor, warranty expense, other manufacturing spending, distribution and documentation costs for software applications and labor and operating costs for professional services.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Highlights</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Our financial results for the three and six months ended June 30, 2008 reflect both the operations of Itron North America and Actaris Metering Systems SA (Actaris). Actaris was acquired on April 18, 2007, therefore our prior year 2007 operating results reflect Actaris’ operations only from the date of acquisition through June 30, 2007 and a small portion of Itron North America’s operations outside North America that were transferred to our Actaris operating segment on January 1, 2008, which have been restated for comparative purposes.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repaid $304.0 million in borrowings during the three months ended June 30, 2008 and $350.7 million in borrowings during the six months ended June 30, 2008. These repayments were made with cash flows from operations and $311 million in net proceeds from the completed sale of 3.4 million shares of our common stock. Our repayments consisted of the remaining $78.3 million balance on our £50 million pound sterling term loan, $218.0 million on our USD term loan, $50.0 million on our €335 million euro term loan and the repurchase of $4.4 million on our senior subordinated notes.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convertible senior subordinated notes (convertible notes) are convertible at the option of the holder as of June 30, 2008, and through the third quarter of 2008 and accordingly, the aggregate principal amount of the convertible notes is included in the current portion of long-term debt and the shares issuable upon conversion of the convertible notes are included in the calculation of dilutive earnings per share.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Company Revenues, Gross Profit and Margin and Unit Shipments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7"/>
          </w:tcPr>
          <w:p>
            <w:pPr>
              <w:ind w:left="220"/>
              <w:spacing w:after="0"/>
              <w:rPr>
                <w:sz w:val="20"/>
                <w:szCs w:val="20"/>
                <w:color w:val="auto"/>
              </w:rPr>
            </w:pPr>
            <w:r>
              <w:rPr>
                <w:rFonts w:ascii="Arial" w:cs="Arial" w:eastAsia="Arial" w:hAnsi="Arial"/>
                <w:sz w:val="15"/>
                <w:szCs w:val="15"/>
                <w:b w:val="1"/>
                <w:bCs w:val="1"/>
                <w:color w:val="auto"/>
                <w:w w:val="92"/>
              </w:rPr>
              <w:t>Three Months Ended June 30,</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ind w:left="860"/>
              <w:spacing w:after="0"/>
              <w:rPr>
                <w:sz w:val="20"/>
                <w:szCs w:val="20"/>
                <w:color w:val="auto"/>
              </w:rPr>
            </w:pPr>
            <w:r>
              <w:rPr>
                <w:rFonts w:ascii="Arial" w:cs="Arial" w:eastAsia="Arial" w:hAnsi="Arial"/>
                <w:sz w:val="15"/>
                <w:szCs w:val="15"/>
                <w:b w:val="1"/>
                <w:bCs w:val="1"/>
                <w:color w:val="auto"/>
                <w:w w:val="94"/>
              </w:rPr>
              <w:t>Six Months Ended June 30,</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4"/>
        </w:trPr>
        <w:tc>
          <w:tcPr>
            <w:tcW w:w="32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3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6"/>
              </w:rPr>
              <w:t>% Change</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 Change</w:t>
            </w:r>
          </w:p>
        </w:tc>
        <w:tc>
          <w:tcPr>
            <w:tcW w:w="120" w:type="dxa"/>
            <w:vAlign w:val="bottom"/>
          </w:tcPr>
          <w:p>
            <w:pPr>
              <w:spacing w:after="0"/>
              <w:rPr>
                <w:sz w:val="16"/>
                <w:szCs w:val="16"/>
                <w:color w:val="auto"/>
              </w:rPr>
            </w:pPr>
          </w:p>
        </w:tc>
      </w:tr>
      <w:tr>
        <w:trPr>
          <w:trHeight w:val="182"/>
        </w:trPr>
        <w:tc>
          <w:tcPr>
            <w:tcW w:w="328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b w:val="1"/>
                <w:bCs w:val="1"/>
                <w:color w:val="auto"/>
              </w:rPr>
              <w:t>(in millions,</w:t>
            </w:r>
          </w:p>
        </w:tc>
        <w:tc>
          <w:tcPr>
            <w:tcW w:w="1380" w:type="dxa"/>
            <w:vAlign w:val="bottom"/>
            <w:gridSpan w:val="4"/>
          </w:tcPr>
          <w:p>
            <w:pPr>
              <w:jc w:val="right"/>
              <w:spacing w:after="0"/>
              <w:rPr>
                <w:sz w:val="20"/>
                <w:szCs w:val="20"/>
                <w:color w:val="auto"/>
              </w:rPr>
            </w:pPr>
            <w:r>
              <w:rPr>
                <w:rFonts w:ascii="Arial" w:cs="Arial" w:eastAsia="Arial" w:hAnsi="Arial"/>
                <w:sz w:val="15"/>
                <w:szCs w:val="15"/>
                <w:b w:val="1"/>
                <w:bCs w:val="1"/>
                <w:color w:val="auto"/>
                <w:w w:val="85"/>
              </w:rPr>
              <w:t>except gross margin)</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(in millions,</w:t>
            </w:r>
          </w:p>
        </w:tc>
        <w:tc>
          <w:tcPr>
            <w:tcW w:w="1380" w:type="dxa"/>
            <w:vAlign w:val="bottom"/>
            <w:gridSpan w:val="4"/>
          </w:tcPr>
          <w:p>
            <w:pPr>
              <w:jc w:val="right"/>
              <w:spacing w:after="0"/>
              <w:rPr>
                <w:sz w:val="20"/>
                <w:szCs w:val="20"/>
                <w:color w:val="auto"/>
              </w:rPr>
            </w:pPr>
            <w:r>
              <w:rPr>
                <w:rFonts w:ascii="Arial" w:cs="Arial" w:eastAsia="Arial" w:hAnsi="Arial"/>
                <w:sz w:val="15"/>
                <w:szCs w:val="15"/>
                <w:b w:val="1"/>
                <w:bCs w:val="1"/>
                <w:color w:val="auto"/>
                <w:w w:val="85"/>
              </w:rPr>
              <w:t>except gross margin)</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Revenues</w:t>
            </w:r>
          </w:p>
        </w:tc>
        <w:tc>
          <w:tcPr>
            <w:tcW w:w="760" w:type="dxa"/>
            <w:vAlign w:val="bottom"/>
            <w:shd w:val="clear" w:color="auto" w:fill="CCEEFF"/>
          </w:tcPr>
          <w:p>
            <w:pPr>
              <w:jc w:val="right"/>
              <w:ind w:right="604"/>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w w:val="95"/>
              </w:rPr>
              <w:t>513.9</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28%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992.4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81%</w:t>
            </w:r>
          </w:p>
        </w:tc>
        <w:tc>
          <w:tcPr>
            <w:tcW w:w="12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rPr>
                <w:sz w:val="20"/>
                <w:szCs w:val="20"/>
                <w:color w:val="auto"/>
              </w:rPr>
            </w:pPr>
            <w:r>
              <w:rPr>
                <w:rFonts w:ascii="Arial" w:cs="Arial" w:eastAsia="Arial" w:hAnsi="Arial"/>
                <w:sz w:val="15"/>
                <w:szCs w:val="15"/>
                <w:color w:val="auto"/>
              </w:rPr>
              <w:t>Gross Profit</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04"/>
              <w:spacing w:after="0"/>
              <w:rPr>
                <w:sz w:val="20"/>
                <w:szCs w:val="20"/>
                <w:color w:val="auto"/>
              </w:rPr>
            </w:pPr>
            <w:r>
              <w:rPr>
                <w:rFonts w:ascii="Arial" w:cs="Arial" w:eastAsia="Arial" w:hAnsi="Arial"/>
                <w:sz w:val="15"/>
                <w:szCs w:val="15"/>
                <w:color w:val="auto"/>
                <w:w w:val="95"/>
              </w:rPr>
              <w:t>176.2</w:t>
            </w:r>
          </w:p>
        </w:tc>
        <w:tc>
          <w:tcPr>
            <w:tcW w:w="3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124.7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04"/>
              <w:spacing w:after="0"/>
              <w:rPr>
                <w:sz w:val="20"/>
                <w:szCs w:val="20"/>
                <w:color w:val="auto"/>
              </w:rPr>
            </w:pPr>
            <w:r>
              <w:rPr>
                <w:rFonts w:ascii="Arial" w:cs="Arial" w:eastAsia="Arial" w:hAnsi="Arial"/>
                <w:sz w:val="15"/>
                <w:szCs w:val="15"/>
                <w:color w:val="auto"/>
              </w:rPr>
              <w:t>41%</w:t>
            </w:r>
          </w:p>
        </w:tc>
        <w:tc>
          <w:tcPr>
            <w:tcW w:w="4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04"/>
              <w:spacing w:after="0"/>
              <w:rPr>
                <w:sz w:val="20"/>
                <w:szCs w:val="20"/>
                <w:color w:val="auto"/>
              </w:rPr>
            </w:pPr>
            <w:r>
              <w:rPr>
                <w:rFonts w:ascii="Arial" w:cs="Arial" w:eastAsia="Arial" w:hAnsi="Arial"/>
                <w:sz w:val="15"/>
                <w:szCs w:val="15"/>
                <w:color w:val="auto"/>
              </w:rPr>
              <w:t>338.8</w:t>
            </w:r>
          </w:p>
        </w:tc>
        <w:tc>
          <w:tcPr>
            <w:tcW w:w="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186.0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84"/>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7"/>
                <w:szCs w:val="17"/>
                <w:color w:val="auto"/>
              </w:rPr>
            </w:pPr>
          </w:p>
        </w:tc>
      </w:tr>
      <w:tr>
        <w:trPr>
          <w:trHeight w:val="183"/>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Gross Margin</w:t>
            </w:r>
          </w:p>
        </w:tc>
        <w:tc>
          <w:tcPr>
            <w:tcW w:w="7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34%</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bl>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740" w:type="dxa"/>
            <w:vAlign w:val="bottom"/>
            <w:gridSpan w:val="6"/>
          </w:tcPr>
          <w:p>
            <w:pPr>
              <w:ind w:left="28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7"/>
                <w:szCs w:val="17"/>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2"/>
              </w:rPr>
              <w:t>Six Months Ended June 30,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2008</w:t>
            </w:r>
          </w:p>
        </w:tc>
        <w:tc>
          <w:tcPr>
            <w:tcW w:w="38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gridSpan w:val="2"/>
            <w:vMerge w:val="restart"/>
          </w:tcPr>
          <w:p>
            <w:pPr>
              <w:spacing w:after="0"/>
              <w:rPr>
                <w:sz w:val="20"/>
                <w:szCs w:val="20"/>
                <w:color w:val="auto"/>
              </w:rPr>
            </w:pPr>
            <w:r>
              <w:rPr>
                <w:rFonts w:ascii="Arial" w:cs="Arial" w:eastAsia="Arial" w:hAnsi="Arial"/>
                <w:sz w:val="15"/>
                <w:szCs w:val="15"/>
                <w:color w:val="auto"/>
              </w:rPr>
              <w:t>Revenues by region</w:t>
            </w: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(in</w:t>
            </w:r>
          </w:p>
        </w:tc>
        <w:tc>
          <w:tcPr>
            <w:tcW w:w="540" w:type="dxa"/>
            <w:vAlign w:val="bottom"/>
            <w:gridSpan w:val="2"/>
          </w:tcPr>
          <w:p>
            <w:pPr>
              <w:jc w:val="center"/>
              <w:spacing w:after="0"/>
              <w:rPr>
                <w:sz w:val="20"/>
                <w:szCs w:val="20"/>
                <w:color w:val="auto"/>
              </w:rPr>
            </w:pPr>
            <w:r>
              <w:rPr>
                <w:rFonts w:ascii="Arial" w:cs="Arial" w:eastAsia="Arial" w:hAnsi="Arial"/>
                <w:sz w:val="15"/>
                <w:szCs w:val="15"/>
                <w:b w:val="1"/>
                <w:bCs w:val="1"/>
                <w:color w:val="auto"/>
                <w:w w:val="77"/>
              </w:rPr>
              <w:t>millions)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0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Europe</w:t>
            </w:r>
          </w:p>
        </w:tc>
        <w:tc>
          <w:tcPr>
            <w:tcW w:w="780" w:type="dxa"/>
            <w:vAlign w:val="bottom"/>
            <w:shd w:val="clear" w:color="auto" w:fill="CCEEFF"/>
          </w:tcPr>
          <w:p>
            <w:pPr>
              <w:jc w:val="right"/>
              <w:ind w:right="624"/>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250.8</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187.0</w:t>
            </w:r>
          </w:p>
        </w:tc>
        <w:tc>
          <w:tcPr>
            <w:tcW w:w="320" w:type="dxa"/>
            <w:vAlign w:val="bottom"/>
            <w:shd w:val="clear" w:color="auto" w:fill="CCEEFF"/>
          </w:tcPr>
          <w:p>
            <w:pPr>
              <w:jc w:val="center"/>
              <w:ind w:right="164"/>
              <w:spacing w:after="0"/>
              <w:rPr>
                <w:sz w:val="20"/>
                <w:szCs w:val="20"/>
                <w:color w:val="auto"/>
              </w:rPr>
            </w:pPr>
            <w:r>
              <w:rPr>
                <w:rFonts w:ascii="Arial" w:cs="Arial" w:eastAsia="Arial" w:hAnsi="Arial"/>
                <w:sz w:val="15"/>
                <w:szCs w:val="15"/>
                <w:color w:val="auto"/>
                <w:w w:val="95"/>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489.4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420"/>
              <w:spacing w:after="0"/>
              <w:rPr>
                <w:sz w:val="20"/>
                <w:szCs w:val="20"/>
                <w:color w:val="auto"/>
              </w:rPr>
            </w:pPr>
            <w:r>
              <w:rPr>
                <w:rFonts w:ascii="Arial" w:cs="Arial" w:eastAsia="Arial" w:hAnsi="Arial"/>
                <w:sz w:val="15"/>
                <w:szCs w:val="15"/>
                <w:color w:val="auto"/>
              </w:rPr>
              <w:t>United States and Canada</w:t>
            </w:r>
          </w:p>
        </w:tc>
        <w:tc>
          <w:tcPr>
            <w:tcW w:w="7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165.8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44"/>
              <w:spacing w:after="0"/>
              <w:rPr>
                <w:sz w:val="20"/>
                <w:szCs w:val="20"/>
                <w:color w:val="auto"/>
              </w:rPr>
            </w:pPr>
            <w:r>
              <w:rPr>
                <w:rFonts w:ascii="Arial" w:cs="Arial" w:eastAsia="Arial" w:hAnsi="Arial"/>
                <w:sz w:val="15"/>
                <w:szCs w:val="15"/>
                <w:color w:val="auto"/>
              </w:rPr>
              <w:t>148.5</w:t>
            </w:r>
          </w:p>
        </w:tc>
        <w:tc>
          <w:tcPr>
            <w:tcW w:w="3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327.0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Other</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97.3</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66.1</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176.0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76.1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6060" w:type="dxa"/>
            <w:vAlign w:val="bottom"/>
          </w:tcPr>
          <w:p>
            <w:pPr>
              <w:spacing w:after="0"/>
              <w:rPr>
                <w:sz w:val="20"/>
                <w:szCs w:val="20"/>
                <w:color w:val="auto"/>
              </w:rPr>
            </w:pPr>
            <w:r>
              <w:rPr>
                <w:rFonts w:ascii="Arial" w:cs="Arial" w:eastAsia="Arial" w:hAnsi="Arial"/>
                <w:sz w:val="15"/>
                <w:szCs w:val="15"/>
                <w:color w:val="auto"/>
              </w:rPr>
              <w:t>Total revenues</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5"/>
                <w:szCs w:val="15"/>
                <w:color w:val="auto"/>
                <w:w w:val="95"/>
              </w:rPr>
              <w:t>513.9</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401.6</w:t>
            </w:r>
          </w:p>
        </w:tc>
        <w:tc>
          <w:tcPr>
            <w:tcW w:w="220" w:type="dxa"/>
            <w:vAlign w:val="bottom"/>
          </w:tcPr>
          <w:p>
            <w:pPr>
              <w:spacing w:after="0"/>
              <w:rPr>
                <w:sz w:val="15"/>
                <w:szCs w:val="15"/>
                <w:color w:val="auto"/>
              </w:rPr>
            </w:pPr>
          </w:p>
        </w:tc>
        <w:tc>
          <w:tcPr>
            <w:tcW w:w="320" w:type="dxa"/>
            <w:vAlign w:val="bottom"/>
          </w:tcPr>
          <w:p>
            <w:pPr>
              <w:jc w:val="center"/>
              <w:ind w:right="164"/>
              <w:spacing w:after="0"/>
              <w:rPr>
                <w:sz w:val="20"/>
                <w:szCs w:val="20"/>
                <w:color w:val="auto"/>
              </w:rPr>
            </w:pPr>
            <w:r>
              <w:rPr>
                <w:rFonts w:ascii="Arial" w:cs="Arial" w:eastAsia="Arial" w:hAnsi="Arial"/>
                <w:sz w:val="15"/>
                <w:szCs w:val="15"/>
                <w:color w:val="auto"/>
                <w:w w:val="95"/>
              </w:rPr>
              <w:t>$</w:t>
            </w: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992.4</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549.5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Revenues</w:t>
      </w:r>
    </w:p>
    <w:p>
      <w:pPr>
        <w:spacing w:after="0" w:line="18" w:lineRule="exact"/>
        <w:rPr>
          <w:sz w:val="20"/>
          <w:szCs w:val="20"/>
          <w:color w:val="auto"/>
        </w:rPr>
      </w:pPr>
    </w:p>
    <w:p>
      <w:pPr>
        <w:jc w:val="both"/>
        <w:spacing w:after="0" w:line="301" w:lineRule="auto"/>
        <w:rPr>
          <w:sz w:val="20"/>
          <w:szCs w:val="20"/>
          <w:color w:val="auto"/>
        </w:rPr>
      </w:pPr>
      <w:r>
        <w:rPr>
          <w:rFonts w:ascii="Arial" w:cs="Arial" w:eastAsia="Arial" w:hAnsi="Arial"/>
          <w:sz w:val="14"/>
          <w:szCs w:val="14"/>
          <w:color w:val="auto"/>
        </w:rPr>
        <w:t>Revenues increased $112.3 million and $442.9 million for the three and six months ended 2008, compared with the same periods in 2007. Revenues for the second quarter and first half of 2008 include full periods of Actaris operations, compared with the same periods in 2007, which included Actaris results from the date of acquisition on April 18, 2007.</w:t>
      </w:r>
    </w:p>
    <w:p>
      <w:pPr>
        <w:spacing w:after="0" w:line="155" w:lineRule="exact"/>
        <w:rPr>
          <w:sz w:val="20"/>
          <w:szCs w:val="20"/>
          <w:color w:val="auto"/>
        </w:rPr>
      </w:pPr>
    </w:p>
    <w:p>
      <w:pPr>
        <w:jc w:val="both"/>
        <w:spacing w:after="0" w:line="358" w:lineRule="auto"/>
        <w:rPr>
          <w:sz w:val="20"/>
          <w:szCs w:val="20"/>
          <w:color w:val="auto"/>
        </w:rPr>
      </w:pPr>
      <w:r>
        <w:rPr>
          <w:rFonts w:ascii="Arial" w:cs="Arial" w:eastAsia="Arial" w:hAnsi="Arial"/>
          <w:sz w:val="13"/>
          <w:szCs w:val="13"/>
          <w:color w:val="auto"/>
        </w:rPr>
        <w:t>No single customer represented more than 10% of total revenues for the three and six months ended June 30, 2008 and 2007. Our 10 largest customers accounted for 17% of total revenues for the three and six months ending June 30, 2008. For the three and six months ending June 30, 2007, our 10 largest customers accounted for 14% and 15% of total revenues.</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Gross Margins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Without the impact of purchase accounting on the three and six months ended June 30, 2007, gross margins for the same periods in 2008 decreased due to full periods of Actaris operations that have a higher proportion of meter-only sales, which are at lower margins, and the decrease in Itron North America gross margins. The 2007 total company gross margin results were reduced by business combination accounting rules, which require the valuation of inventory on hand at the acquisition date to equal the sales price, less costs to complete, and a reasonable profit allowance for selling effort. Accordingly, Actaris’ historical cost of inventory was increased by $16.0 million on the date of acquisition, which lowered total company gross margins by four percentage points and three percentage points for the three and six months ended June 30, 2007.</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Unit Shipments</w:t>
      </w:r>
    </w:p>
    <w:p>
      <w:pPr>
        <w:spacing w:after="0" w:line="18"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Meters can be sold with and without automated meter reading (AMR). In addition, AMR can be sold separately from meters. Depending on customers’ preferences, we incorporate other vendors’ AMR technology in our meters. Meter and AMR shipments are as follows:</w:t>
      </w:r>
    </w:p>
    <w:p>
      <w:pPr>
        <w:sectPr>
          <w:pgSz w:w="11900" w:h="16838" w:orient="portrait"/>
          <w:cols w:equalWidth="0" w:num="1">
            <w:col w:w="11440"/>
          </w:cols>
          <w:pgMar w:left="240" w:top="12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Total meters (with and without AMR)</w:t>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Electricity - Itron North America</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Electricity - Actaris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Gas</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Water</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Total meters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4000" w:type="dxa"/>
            <w:vAlign w:val="bottom"/>
            <w:gridSpan w:val="5"/>
          </w:tcPr>
          <w:p>
            <w:pPr>
              <w:ind w:left="660"/>
              <w:spacing w:after="0"/>
              <w:rPr>
                <w:sz w:val="20"/>
                <w:szCs w:val="20"/>
                <w:color w:val="auto"/>
              </w:rPr>
            </w:pPr>
            <w:r>
              <w:rPr>
                <w:rFonts w:ascii="Arial" w:cs="Arial" w:eastAsia="Arial" w:hAnsi="Arial"/>
                <w:sz w:val="15"/>
                <w:szCs w:val="15"/>
                <w:b w:val="1"/>
                <w:bCs w:val="1"/>
                <w:color w:val="auto"/>
              </w:rPr>
              <w:t>Three Months Ended June 30,</w:t>
            </w:r>
          </w:p>
        </w:tc>
        <w:tc>
          <w:tcPr>
            <w:tcW w:w="2740" w:type="dxa"/>
            <w:vAlign w:val="bottom"/>
            <w:gridSpan w:val="4"/>
          </w:tcPr>
          <w:p>
            <w:pPr>
              <w:ind w:left="240"/>
              <w:spacing w:after="0"/>
              <w:rPr>
                <w:sz w:val="20"/>
                <w:szCs w:val="20"/>
                <w:color w:val="auto"/>
              </w:rPr>
            </w:pPr>
            <w:r>
              <w:rPr>
                <w:rFonts w:ascii="Arial" w:cs="Arial" w:eastAsia="Arial" w:hAnsi="Arial"/>
                <w:sz w:val="15"/>
                <w:szCs w:val="15"/>
                <w:b w:val="1"/>
                <w:bCs w:val="1"/>
                <w:color w:val="auto"/>
              </w:rPr>
              <w:t>Six Months Ended June 30,</w:t>
            </w:r>
          </w:p>
        </w:tc>
      </w:tr>
      <w:tr>
        <w:trPr>
          <w:trHeight w:val="184"/>
        </w:trPr>
        <w:tc>
          <w:tcPr>
            <w:tcW w:w="156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2007</w:t>
            </w:r>
          </w:p>
        </w:tc>
        <w:tc>
          <w:tcPr>
            <w:tcW w:w="20" w:type="dxa"/>
            <w:vAlign w:val="bottom"/>
          </w:tcPr>
          <w:p>
            <w:pPr>
              <w:spacing w:after="0"/>
              <w:rPr>
                <w:sz w:val="16"/>
                <w:szCs w:val="16"/>
                <w:color w:val="auto"/>
              </w:rPr>
            </w:pPr>
          </w:p>
        </w:tc>
      </w:tr>
      <w:tr>
        <w:trPr>
          <w:trHeight w:val="195"/>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740" w:type="dxa"/>
            <w:vAlign w:val="bottom"/>
            <w:gridSpan w:val="2"/>
          </w:tcPr>
          <w:p>
            <w:pPr>
              <w:spacing w:after="0"/>
              <w:rPr>
                <w:sz w:val="20"/>
                <w:szCs w:val="20"/>
                <w:color w:val="auto"/>
              </w:rPr>
            </w:pPr>
            <w:r>
              <w:rPr>
                <w:rFonts w:ascii="Arial" w:cs="Arial" w:eastAsia="Arial" w:hAnsi="Arial"/>
                <w:sz w:val="15"/>
                <w:szCs w:val="15"/>
                <w:b w:val="1"/>
                <w:bCs w:val="1"/>
                <w:color w:val="auto"/>
                <w:w w:val="89"/>
              </w:rPr>
              <w:t>thousands)</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560" w:type="dxa"/>
            <w:vAlign w:val="bottom"/>
          </w:tcPr>
          <w:p>
            <w:pPr>
              <w:jc w:val="right"/>
              <w:spacing w:after="0"/>
              <w:rPr>
                <w:sz w:val="20"/>
                <w:szCs w:val="20"/>
                <w:color w:val="auto"/>
              </w:rPr>
            </w:pPr>
            <w:r>
              <w:rPr>
                <w:rFonts w:ascii="Arial" w:cs="Arial" w:eastAsia="Arial" w:hAnsi="Arial"/>
                <w:sz w:val="15"/>
                <w:szCs w:val="15"/>
                <w:color w:val="auto"/>
              </w:rPr>
              <w:t>1,325</w:t>
            </w:r>
          </w:p>
        </w:tc>
        <w:tc>
          <w:tcPr>
            <w:tcW w:w="140" w:type="dxa"/>
            <w:vAlign w:val="bottom"/>
          </w:tcPr>
          <w:p>
            <w:pPr>
              <w:spacing w:after="0"/>
              <w:rPr>
                <w:sz w:val="24"/>
                <w:szCs w:val="24"/>
                <w:color w:val="auto"/>
              </w:rPr>
            </w:pPr>
          </w:p>
        </w:tc>
        <w:tc>
          <w:tcPr>
            <w:tcW w:w="1840" w:type="dxa"/>
            <w:vAlign w:val="bottom"/>
            <w:gridSpan w:val="2"/>
          </w:tcPr>
          <w:p>
            <w:pPr>
              <w:jc w:val="right"/>
              <w:ind w:right="204"/>
              <w:spacing w:after="0"/>
              <w:rPr>
                <w:sz w:val="20"/>
                <w:szCs w:val="20"/>
                <w:color w:val="auto"/>
              </w:rPr>
            </w:pPr>
            <w:r>
              <w:rPr>
                <w:rFonts w:ascii="Arial" w:cs="Arial" w:eastAsia="Arial" w:hAnsi="Arial"/>
                <w:sz w:val="15"/>
                <w:szCs w:val="15"/>
                <w:color w:val="auto"/>
              </w:rPr>
              <w:t>1,175</w:t>
            </w:r>
          </w:p>
        </w:tc>
        <w:tc>
          <w:tcPr>
            <w:tcW w:w="4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2,625</w:t>
            </w:r>
          </w:p>
        </w:tc>
        <w:tc>
          <w:tcPr>
            <w:tcW w:w="1480" w:type="dxa"/>
            <w:vAlign w:val="bottom"/>
            <w:gridSpan w:val="2"/>
          </w:tcPr>
          <w:p>
            <w:pPr>
              <w:jc w:val="right"/>
              <w:ind w:right="20"/>
              <w:spacing w:after="0"/>
              <w:rPr>
                <w:sz w:val="20"/>
                <w:szCs w:val="20"/>
                <w:color w:val="auto"/>
              </w:rPr>
            </w:pPr>
            <w:r>
              <w:rPr>
                <w:rFonts w:ascii="Arial" w:cs="Arial" w:eastAsia="Arial" w:hAnsi="Arial"/>
                <w:sz w:val="15"/>
                <w:szCs w:val="15"/>
                <w:color w:val="auto"/>
              </w:rPr>
              <w:t>2,325</w:t>
            </w:r>
          </w:p>
        </w:tc>
      </w:tr>
      <w:tr>
        <w:trPr>
          <w:trHeight w:val="182"/>
        </w:trPr>
        <w:tc>
          <w:tcPr>
            <w:tcW w:w="1560" w:type="dxa"/>
            <w:vAlign w:val="bottom"/>
          </w:tcPr>
          <w:p>
            <w:pPr>
              <w:jc w:val="right"/>
              <w:spacing w:after="0"/>
              <w:rPr>
                <w:sz w:val="20"/>
                <w:szCs w:val="20"/>
                <w:color w:val="auto"/>
              </w:rPr>
            </w:pPr>
            <w:r>
              <w:rPr>
                <w:rFonts w:ascii="Arial" w:cs="Arial" w:eastAsia="Arial" w:hAnsi="Arial"/>
                <w:sz w:val="15"/>
                <w:szCs w:val="15"/>
                <w:color w:val="auto"/>
              </w:rPr>
              <w:t>1,850</w:t>
            </w:r>
          </w:p>
        </w:tc>
        <w:tc>
          <w:tcPr>
            <w:tcW w:w="140" w:type="dxa"/>
            <w:vAlign w:val="bottom"/>
          </w:tcPr>
          <w:p>
            <w:pPr>
              <w:spacing w:after="0"/>
              <w:rPr>
                <w:sz w:val="15"/>
                <w:szCs w:val="15"/>
                <w:color w:val="auto"/>
              </w:rPr>
            </w:pPr>
          </w:p>
        </w:tc>
        <w:tc>
          <w:tcPr>
            <w:tcW w:w="1840" w:type="dxa"/>
            <w:vAlign w:val="bottom"/>
            <w:gridSpan w:val="2"/>
          </w:tcPr>
          <w:p>
            <w:pPr>
              <w:jc w:val="right"/>
              <w:ind w:right="204"/>
              <w:spacing w:after="0"/>
              <w:rPr>
                <w:sz w:val="20"/>
                <w:szCs w:val="20"/>
                <w:color w:val="auto"/>
              </w:rPr>
            </w:pPr>
            <w:r>
              <w:rPr>
                <w:rFonts w:ascii="Arial" w:cs="Arial" w:eastAsia="Arial" w:hAnsi="Arial"/>
                <w:sz w:val="15"/>
                <w:szCs w:val="15"/>
                <w:color w:val="auto"/>
              </w:rPr>
              <w:t>1,625</w:t>
            </w:r>
          </w:p>
        </w:tc>
        <w:tc>
          <w:tcPr>
            <w:tcW w:w="4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3,700</w:t>
            </w:r>
          </w:p>
        </w:tc>
        <w:tc>
          <w:tcPr>
            <w:tcW w:w="1480" w:type="dxa"/>
            <w:vAlign w:val="bottom"/>
            <w:gridSpan w:val="2"/>
          </w:tcPr>
          <w:p>
            <w:pPr>
              <w:jc w:val="right"/>
              <w:ind w:right="20"/>
              <w:spacing w:after="0"/>
              <w:rPr>
                <w:sz w:val="20"/>
                <w:szCs w:val="20"/>
                <w:color w:val="auto"/>
              </w:rPr>
            </w:pPr>
            <w:r>
              <w:rPr>
                <w:rFonts w:ascii="Arial" w:cs="Arial" w:eastAsia="Arial" w:hAnsi="Arial"/>
                <w:sz w:val="15"/>
                <w:szCs w:val="15"/>
                <w:color w:val="auto"/>
              </w:rPr>
              <w:t>1,625</w:t>
            </w:r>
          </w:p>
        </w:tc>
      </w:tr>
      <w:tr>
        <w:trPr>
          <w:trHeight w:val="182"/>
        </w:trPr>
        <w:tc>
          <w:tcPr>
            <w:tcW w:w="1560" w:type="dxa"/>
            <w:vAlign w:val="bottom"/>
          </w:tcPr>
          <w:p>
            <w:pPr>
              <w:jc w:val="right"/>
              <w:spacing w:after="0"/>
              <w:rPr>
                <w:sz w:val="20"/>
                <w:szCs w:val="20"/>
                <w:color w:val="auto"/>
              </w:rPr>
            </w:pPr>
            <w:r>
              <w:rPr>
                <w:rFonts w:ascii="Arial" w:cs="Arial" w:eastAsia="Arial" w:hAnsi="Arial"/>
                <w:sz w:val="15"/>
                <w:szCs w:val="15"/>
                <w:color w:val="auto"/>
              </w:rPr>
              <w:t>1,075</w:t>
            </w:r>
          </w:p>
        </w:tc>
        <w:tc>
          <w:tcPr>
            <w:tcW w:w="140" w:type="dxa"/>
            <w:vAlign w:val="bottom"/>
          </w:tcPr>
          <w:p>
            <w:pPr>
              <w:spacing w:after="0"/>
              <w:rPr>
                <w:sz w:val="15"/>
                <w:szCs w:val="15"/>
                <w:color w:val="auto"/>
              </w:rPr>
            </w:pPr>
          </w:p>
        </w:tc>
        <w:tc>
          <w:tcPr>
            <w:tcW w:w="1840" w:type="dxa"/>
            <w:vAlign w:val="bottom"/>
            <w:gridSpan w:val="2"/>
          </w:tcPr>
          <w:p>
            <w:pPr>
              <w:jc w:val="right"/>
              <w:ind w:right="204"/>
              <w:spacing w:after="0"/>
              <w:rPr>
                <w:sz w:val="20"/>
                <w:szCs w:val="20"/>
                <w:color w:val="auto"/>
              </w:rPr>
            </w:pPr>
            <w:r>
              <w:rPr>
                <w:rFonts w:ascii="Arial" w:cs="Arial" w:eastAsia="Arial" w:hAnsi="Arial"/>
                <w:sz w:val="15"/>
                <w:szCs w:val="15"/>
                <w:color w:val="auto"/>
              </w:rPr>
              <w:t>775</w:t>
            </w:r>
          </w:p>
        </w:tc>
        <w:tc>
          <w:tcPr>
            <w:tcW w:w="4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1,975</w:t>
            </w:r>
          </w:p>
        </w:tc>
        <w:tc>
          <w:tcPr>
            <w:tcW w:w="1480" w:type="dxa"/>
            <w:vAlign w:val="bottom"/>
            <w:gridSpan w:val="2"/>
          </w:tcPr>
          <w:p>
            <w:pPr>
              <w:jc w:val="right"/>
              <w:ind w:right="20"/>
              <w:spacing w:after="0"/>
              <w:rPr>
                <w:sz w:val="20"/>
                <w:szCs w:val="20"/>
                <w:color w:val="auto"/>
              </w:rPr>
            </w:pPr>
            <w:r>
              <w:rPr>
                <w:rFonts w:ascii="Arial" w:cs="Arial" w:eastAsia="Arial" w:hAnsi="Arial"/>
                <w:sz w:val="15"/>
                <w:szCs w:val="15"/>
                <w:color w:val="auto"/>
              </w:rPr>
              <w:t>775</w:t>
            </w:r>
          </w:p>
        </w:tc>
      </w:tr>
      <w:tr>
        <w:trPr>
          <w:trHeight w:val="195"/>
        </w:trPr>
        <w:tc>
          <w:tcPr>
            <w:tcW w:w="1560" w:type="dxa"/>
            <w:vAlign w:val="bottom"/>
          </w:tcPr>
          <w:p>
            <w:pPr>
              <w:jc w:val="right"/>
              <w:spacing w:after="0"/>
              <w:rPr>
                <w:sz w:val="20"/>
                <w:szCs w:val="20"/>
                <w:color w:val="auto"/>
              </w:rPr>
            </w:pPr>
            <w:r>
              <w:rPr>
                <w:rFonts w:ascii="Arial" w:cs="Arial" w:eastAsia="Arial" w:hAnsi="Arial"/>
                <w:sz w:val="15"/>
                <w:szCs w:val="15"/>
                <w:color w:val="auto"/>
              </w:rPr>
              <w:t>2,275</w:t>
            </w:r>
          </w:p>
        </w:tc>
        <w:tc>
          <w:tcPr>
            <w:tcW w:w="140" w:type="dxa"/>
            <w:vAlign w:val="bottom"/>
          </w:tcPr>
          <w:p>
            <w:pPr>
              <w:spacing w:after="0"/>
              <w:rPr>
                <w:sz w:val="16"/>
                <w:szCs w:val="16"/>
                <w:color w:val="auto"/>
              </w:rPr>
            </w:pPr>
          </w:p>
        </w:tc>
        <w:tc>
          <w:tcPr>
            <w:tcW w:w="1840" w:type="dxa"/>
            <w:vAlign w:val="bottom"/>
            <w:gridSpan w:val="2"/>
          </w:tcPr>
          <w:p>
            <w:pPr>
              <w:jc w:val="right"/>
              <w:ind w:right="204"/>
              <w:spacing w:after="0"/>
              <w:rPr>
                <w:sz w:val="20"/>
                <w:szCs w:val="20"/>
                <w:color w:val="auto"/>
              </w:rPr>
            </w:pPr>
            <w:r>
              <w:rPr>
                <w:rFonts w:ascii="Arial" w:cs="Arial" w:eastAsia="Arial" w:hAnsi="Arial"/>
                <w:sz w:val="15"/>
                <w:szCs w:val="15"/>
                <w:color w:val="auto"/>
              </w:rPr>
              <w:t>1,850</w:t>
            </w:r>
          </w:p>
        </w:tc>
        <w:tc>
          <w:tcPr>
            <w:tcW w:w="46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5"/>
                <w:szCs w:val="15"/>
                <w:color w:val="auto"/>
              </w:rPr>
              <w:t>4,600</w:t>
            </w:r>
          </w:p>
        </w:tc>
        <w:tc>
          <w:tcPr>
            <w:tcW w:w="1480" w:type="dxa"/>
            <w:vAlign w:val="bottom"/>
            <w:gridSpan w:val="2"/>
          </w:tcPr>
          <w:p>
            <w:pPr>
              <w:jc w:val="right"/>
              <w:ind w:right="20"/>
              <w:spacing w:after="0"/>
              <w:rPr>
                <w:sz w:val="20"/>
                <w:szCs w:val="20"/>
                <w:color w:val="auto"/>
              </w:rPr>
            </w:pPr>
            <w:r>
              <w:rPr>
                <w:rFonts w:ascii="Arial" w:cs="Arial" w:eastAsia="Arial" w:hAnsi="Arial"/>
                <w:sz w:val="15"/>
                <w:szCs w:val="15"/>
                <w:color w:val="auto"/>
              </w:rPr>
              <w:t>1,850</w:t>
            </w:r>
          </w:p>
        </w:tc>
      </w:tr>
      <w:tr>
        <w:trPr>
          <w:trHeight w:val="184"/>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6,525</w:t>
            </w:r>
          </w:p>
        </w:tc>
        <w:tc>
          <w:tcPr>
            <w:tcW w:w="140" w:type="dxa"/>
            <w:vAlign w:val="bottom"/>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5,425</w:t>
            </w:r>
          </w:p>
        </w:tc>
        <w:tc>
          <w:tcPr>
            <w:tcW w:w="280" w:type="dxa"/>
            <w:vAlign w:val="bottom"/>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12,900</w:t>
            </w:r>
          </w:p>
        </w:tc>
        <w:tc>
          <w:tcPr>
            <w:tcW w:w="14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6,575</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-605155</wp:posOffset>
            </wp:positionV>
            <wp:extent cx="7268210" cy="115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-374015</wp:posOffset>
            </wp:positionV>
            <wp:extent cx="7268210" cy="115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210" cy="115570"/>
                    </a:xfrm>
                    <a:prstGeom prst="rect">
                      <a:avLst/>
                    </a:prstGeom>
                    <a:noFill/>
                  </pic:spPr>
                </pic:pic>
              </a:graphicData>
            </a:graphic>
          </wp:anchor>
        </w:drawing>
        <w:drawing>
          <wp:anchor simplePos="0" relativeHeight="251657728" behindDoc="1" locked="0" layoutInCell="0" allowOverlap="1">
            <wp:simplePos x="0" y="0"/>
            <wp:positionH relativeFrom="column">
              <wp:posOffset>-3002280</wp:posOffset>
            </wp:positionH>
            <wp:positionV relativeFrom="paragraph">
              <wp:posOffset>-128905</wp:posOffset>
            </wp:positionV>
            <wp:extent cx="7268210" cy="129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12954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4000" w:space="720"/>
            <w:col w:w="6720"/>
          </w:cols>
          <w:pgMar w:left="240" w:top="124" w:right="2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AMR units (Itron and Actaris)</w:t>
            </w: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Arial" w:cs="Arial" w:eastAsia="Arial" w:hAnsi="Arial"/>
                <w:sz w:val="15"/>
                <w:szCs w:val="15"/>
                <w:color w:val="auto"/>
              </w:rPr>
              <w:t>Meters with AMR</w:t>
            </w:r>
          </w:p>
        </w:tc>
        <w:tc>
          <w:tcPr>
            <w:tcW w:w="1560" w:type="dxa"/>
            <w:vAlign w:val="bottom"/>
          </w:tcPr>
          <w:p>
            <w:pPr>
              <w:jc w:val="right"/>
              <w:spacing w:after="0"/>
              <w:rPr>
                <w:sz w:val="20"/>
                <w:szCs w:val="20"/>
                <w:color w:val="auto"/>
              </w:rPr>
            </w:pPr>
            <w:r>
              <w:rPr>
                <w:rFonts w:ascii="Arial" w:cs="Arial" w:eastAsia="Arial" w:hAnsi="Arial"/>
                <w:sz w:val="15"/>
                <w:szCs w:val="15"/>
                <w:color w:val="auto"/>
              </w:rPr>
              <w:t>1,375</w:t>
            </w:r>
          </w:p>
        </w:tc>
        <w:tc>
          <w:tcPr>
            <w:tcW w:w="140" w:type="dxa"/>
            <w:vAlign w:val="bottom"/>
          </w:tcPr>
          <w:p>
            <w:pPr>
              <w:spacing w:after="0"/>
              <w:rPr>
                <w:sz w:val="15"/>
                <w:szCs w:val="15"/>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5"/>
                <w:szCs w:val="15"/>
                <w:color w:val="auto"/>
              </w:rPr>
              <w:t>900</w:t>
            </w: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2,700</w:t>
            </w:r>
          </w:p>
        </w:tc>
        <w:tc>
          <w:tcPr>
            <w:tcW w:w="1460" w:type="dxa"/>
            <w:vAlign w:val="bottom"/>
          </w:tcPr>
          <w:p>
            <w:pPr>
              <w:jc w:val="right"/>
              <w:spacing w:after="0"/>
              <w:rPr>
                <w:sz w:val="20"/>
                <w:szCs w:val="20"/>
                <w:color w:val="auto"/>
              </w:rPr>
            </w:pPr>
            <w:r>
              <w:rPr>
                <w:rFonts w:ascii="Arial" w:cs="Arial" w:eastAsia="Arial" w:hAnsi="Arial"/>
                <w:sz w:val="15"/>
                <w:szCs w:val="15"/>
                <w:color w:val="auto"/>
              </w:rPr>
              <w:t>1,400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AMR modules</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1,225</w:t>
            </w:r>
          </w:p>
        </w:tc>
        <w:tc>
          <w:tcPr>
            <w:tcW w:w="14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1,150</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2,300</w:t>
            </w: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tcPr>
          <w:p>
            <w:pPr>
              <w:ind w:left="560"/>
              <w:spacing w:after="0"/>
              <w:rPr>
                <w:sz w:val="20"/>
                <w:szCs w:val="20"/>
                <w:color w:val="auto"/>
              </w:rPr>
            </w:pPr>
            <w:r>
              <w:rPr>
                <w:rFonts w:ascii="Arial" w:cs="Arial" w:eastAsia="Arial" w:hAnsi="Arial"/>
                <w:sz w:val="15"/>
                <w:szCs w:val="15"/>
                <w:color w:val="auto"/>
              </w:rPr>
              <w:t>Total AMR units</w:t>
            </w:r>
          </w:p>
        </w:tc>
        <w:tc>
          <w:tcPr>
            <w:tcW w:w="1560" w:type="dxa"/>
            <w:vAlign w:val="bottom"/>
          </w:tcPr>
          <w:p>
            <w:pPr>
              <w:jc w:val="right"/>
              <w:spacing w:after="0"/>
              <w:rPr>
                <w:sz w:val="20"/>
                <w:szCs w:val="20"/>
                <w:color w:val="auto"/>
              </w:rPr>
            </w:pPr>
            <w:r>
              <w:rPr>
                <w:rFonts w:ascii="Arial" w:cs="Arial" w:eastAsia="Arial" w:hAnsi="Arial"/>
                <w:sz w:val="15"/>
                <w:szCs w:val="15"/>
                <w:color w:val="auto"/>
              </w:rPr>
              <w:t>2,600</w:t>
            </w:r>
          </w:p>
        </w:tc>
        <w:tc>
          <w:tcPr>
            <w:tcW w:w="140" w:type="dxa"/>
            <w:vAlign w:val="bottom"/>
          </w:tcPr>
          <w:p>
            <w:pPr>
              <w:spacing w:after="0"/>
              <w:rPr>
                <w:sz w:val="16"/>
                <w:szCs w:val="16"/>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5"/>
                <w:szCs w:val="15"/>
                <w:color w:val="auto"/>
              </w:rPr>
              <w:t>2,050</w:t>
            </w: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5,000</w:t>
            </w:r>
          </w:p>
        </w:tc>
        <w:tc>
          <w:tcPr>
            <w:tcW w:w="1460" w:type="dxa"/>
            <w:vAlign w:val="bottom"/>
          </w:tcPr>
          <w:p>
            <w:pPr>
              <w:jc w:val="right"/>
              <w:spacing w:after="0"/>
              <w:rPr>
                <w:sz w:val="20"/>
                <w:szCs w:val="20"/>
                <w:color w:val="auto"/>
              </w:rPr>
            </w:pPr>
            <w:r>
              <w:rPr>
                <w:rFonts w:ascii="Arial" w:cs="Arial" w:eastAsia="Arial" w:hAnsi="Arial"/>
                <w:sz w:val="15"/>
                <w:szCs w:val="15"/>
                <w:color w:val="auto"/>
              </w:rPr>
              <w:t>3,750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20" w:type="dxa"/>
            <w:vAlign w:val="bottom"/>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Arial" w:cs="Arial" w:eastAsia="Arial" w:hAnsi="Arial"/>
                <w:sz w:val="15"/>
                <w:szCs w:val="15"/>
                <w:color w:val="auto"/>
              </w:rPr>
              <w:t>Meters with other vendors' AMR</w:t>
            </w:r>
          </w:p>
        </w:tc>
        <w:tc>
          <w:tcPr>
            <w:tcW w:w="1560" w:type="dxa"/>
            <w:vAlign w:val="bottom"/>
          </w:tcPr>
          <w:p>
            <w:pPr>
              <w:jc w:val="right"/>
              <w:spacing w:after="0"/>
              <w:rPr>
                <w:sz w:val="20"/>
                <w:szCs w:val="20"/>
                <w:color w:val="auto"/>
              </w:rPr>
            </w:pPr>
            <w:r>
              <w:rPr>
                <w:rFonts w:ascii="Arial" w:cs="Arial" w:eastAsia="Arial" w:hAnsi="Arial"/>
                <w:sz w:val="15"/>
                <w:szCs w:val="15"/>
                <w:color w:val="auto"/>
              </w:rPr>
              <w:t>150</w:t>
            </w:r>
          </w:p>
        </w:tc>
        <w:tc>
          <w:tcPr>
            <w:tcW w:w="140" w:type="dxa"/>
            <w:vAlign w:val="bottom"/>
          </w:tcPr>
          <w:p>
            <w:pPr>
              <w:spacing w:after="0"/>
              <w:rPr>
                <w:sz w:val="15"/>
                <w:szCs w:val="15"/>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5"/>
                <w:szCs w:val="15"/>
                <w:color w:val="auto"/>
              </w:rPr>
              <w:t>175</w:t>
            </w:r>
          </w:p>
        </w:tc>
        <w:tc>
          <w:tcPr>
            <w:tcW w:w="1720" w:type="dxa"/>
            <w:vAlign w:val="bottom"/>
            <w:gridSpan w:val="2"/>
          </w:tcPr>
          <w:p>
            <w:pPr>
              <w:jc w:val="right"/>
              <w:ind w:right="140"/>
              <w:spacing w:after="0"/>
              <w:rPr>
                <w:sz w:val="20"/>
                <w:szCs w:val="20"/>
                <w:color w:val="auto"/>
              </w:rPr>
            </w:pPr>
            <w:r>
              <w:rPr>
                <w:rFonts w:ascii="Arial" w:cs="Arial" w:eastAsia="Arial" w:hAnsi="Arial"/>
                <w:sz w:val="15"/>
                <w:szCs w:val="15"/>
                <w:color w:val="auto"/>
              </w:rPr>
              <w:t>400</w:t>
            </w:r>
          </w:p>
        </w:tc>
        <w:tc>
          <w:tcPr>
            <w:tcW w:w="1460" w:type="dxa"/>
            <w:vAlign w:val="bottom"/>
          </w:tcPr>
          <w:p>
            <w:pPr>
              <w:jc w:val="right"/>
              <w:spacing w:after="0"/>
              <w:rPr>
                <w:sz w:val="20"/>
                <w:szCs w:val="20"/>
                <w:color w:val="auto"/>
              </w:rPr>
            </w:pPr>
            <w:r>
              <w:rPr>
                <w:rFonts w:ascii="Arial" w:cs="Arial" w:eastAsia="Arial" w:hAnsi="Arial"/>
                <w:sz w:val="15"/>
                <w:szCs w:val="15"/>
                <w:color w:val="auto"/>
              </w:rPr>
              <w:t>425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7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Revenues, Gross Profit, Gross Margin and Operating Income (Loss) and Operating Margin</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The Actaris operating segment consists primarily of the operations from the Actaris acquisition, which occurred on April 18, 2007, as well as other Itron operations not located in North America that are now included in the Actaris segment. The operations of the Actaris operating segment are primarily located in Europe, with approximately 5% of operations located in the United States and approximately 20% located throughout the rest of the world. The remainder of our operations, primarily located in the United States and Canada, have been combined into a single operating segment called Itron North America. As we continue to integrate the Actaris acquisition, certain refinements of our segments may occur. The operating segment information as set forth below is based on our current segment reporting structure. In accordance with Statement of Financial Accounting Standards (SFAS) 131, </w:t>
      </w:r>
      <w:r>
        <w:rPr>
          <w:rFonts w:ascii="Arial" w:cs="Arial" w:eastAsia="Arial" w:hAnsi="Arial"/>
          <w:sz w:val="14"/>
          <w:szCs w:val="14"/>
          <w:i w:val="1"/>
          <w:iCs w:val="1"/>
          <w:color w:val="auto"/>
        </w:rPr>
        <w:t>Disclosures about</w:t>
      </w:r>
      <w:r>
        <w:rPr>
          <w:rFonts w:ascii="Arial" w:cs="Arial" w:eastAsia="Arial" w:hAnsi="Arial"/>
          <w:sz w:val="14"/>
          <w:szCs w:val="14"/>
          <w:color w:val="auto"/>
        </w:rPr>
        <w:t xml:space="preserve"> </w:t>
      </w:r>
      <w:r>
        <w:rPr>
          <w:rFonts w:ascii="Arial" w:cs="Arial" w:eastAsia="Arial" w:hAnsi="Arial"/>
          <w:sz w:val="14"/>
          <w:szCs w:val="14"/>
          <w:i w:val="1"/>
          <w:iCs w:val="1"/>
          <w:color w:val="auto"/>
        </w:rPr>
        <w:t>Segments of an Enterprise and Related Information</w:t>
      </w:r>
      <w:r>
        <w:rPr>
          <w:rFonts w:ascii="Arial" w:cs="Arial" w:eastAsia="Arial" w:hAnsi="Arial"/>
          <w:sz w:val="14"/>
          <w:szCs w:val="14"/>
          <w:color w:val="auto"/>
        </w:rPr>
        <w:t>, historical segment information has been restated from the segment information previously provided to conform to the segment reporting</w:t>
      </w:r>
      <w:r>
        <w:rPr>
          <w:rFonts w:ascii="Arial" w:cs="Arial" w:eastAsia="Arial" w:hAnsi="Arial"/>
          <w:sz w:val="14"/>
          <w:szCs w:val="14"/>
          <w:i w:val="1"/>
          <w:iCs w:val="1"/>
          <w:color w:val="auto"/>
        </w:rPr>
        <w:t xml:space="preserve"> </w:t>
      </w:r>
      <w:r>
        <w:rPr>
          <w:rFonts w:ascii="Arial" w:cs="Arial" w:eastAsia="Arial" w:hAnsi="Arial"/>
          <w:sz w:val="14"/>
          <w:szCs w:val="14"/>
          <w:color w:val="auto"/>
        </w:rPr>
        <w:t>structure after the April 18, 2007 Actaris acquisition and our January 1, 2008 refinement.</w:t>
      </w:r>
    </w:p>
    <w:p>
      <w:pPr>
        <w:spacing w:after="0" w:line="171" w:lineRule="exact"/>
        <w:rPr>
          <w:sz w:val="20"/>
          <w:szCs w:val="20"/>
          <w:color w:val="auto"/>
        </w:rPr>
      </w:pPr>
    </w:p>
    <w:p>
      <w:pPr>
        <w:jc w:val="both"/>
        <w:ind w:right="20"/>
        <w:spacing w:after="0" w:line="324" w:lineRule="auto"/>
        <w:rPr>
          <w:sz w:val="20"/>
          <w:szCs w:val="20"/>
          <w:color w:val="auto"/>
        </w:rPr>
      </w:pPr>
      <w:r>
        <w:rPr>
          <w:rFonts w:ascii="Arial" w:cs="Arial" w:eastAsia="Arial" w:hAnsi="Arial"/>
          <w:sz w:val="13"/>
          <w:szCs w:val="13"/>
          <w:color w:val="auto"/>
        </w:rPr>
        <w:t>We have three measures of segment performance: revenue, gross profit (margin) and operating income (margin). Intersegment revenues were minimal. Corporate operating expenses, interest income, interest expense, other income (expense) and income tax expense (benefit) are not allocated to the segments, nor included in the measure of segment profit or loss. Assets and liabilities are not used in our measurement of segment performance and, therefore, are not allocated to our segments. Substantially all depreciation expense is allocated to our segments.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00" w:type="dxa"/>
            <w:vAlign w:val="bottom"/>
          </w:tcPr>
          <w:p>
            <w:pPr>
              <w:spacing w:after="0"/>
              <w:rPr>
                <w:sz w:val="20"/>
                <w:szCs w:val="20"/>
                <w:color w:val="auto"/>
              </w:rPr>
            </w:pPr>
            <w:r>
              <w:rPr>
                <w:rFonts w:ascii="Arial" w:cs="Arial" w:eastAsia="Arial" w:hAnsi="Arial"/>
                <w:sz w:val="15"/>
                <w:szCs w:val="15"/>
                <w:b w:val="1"/>
                <w:bCs w:val="1"/>
                <w:color w:val="auto"/>
              </w:rPr>
              <w:t>Segment Products</w:t>
            </w:r>
          </w:p>
        </w:tc>
        <w:tc>
          <w:tcPr>
            <w:tcW w:w="9740" w:type="dxa"/>
            <w:vAlign w:val="bottom"/>
          </w:tcPr>
          <w:p>
            <w:pPr>
              <w:spacing w:after="0"/>
              <w:rPr>
                <w:sz w:val="16"/>
                <w:szCs w:val="16"/>
                <w:color w:val="auto"/>
              </w:rPr>
            </w:pPr>
          </w:p>
        </w:tc>
      </w:tr>
      <w:tr>
        <w:trPr>
          <w:trHeight w:val="377"/>
        </w:trPr>
        <w:tc>
          <w:tcPr>
            <w:tcW w:w="1700" w:type="dxa"/>
            <w:vAlign w:val="bottom"/>
          </w:tcPr>
          <w:p>
            <w:pPr>
              <w:spacing w:after="0"/>
              <w:rPr>
                <w:sz w:val="20"/>
                <w:szCs w:val="20"/>
                <w:color w:val="auto"/>
              </w:rPr>
            </w:pPr>
            <w:r>
              <w:rPr>
                <w:rFonts w:ascii="Arial" w:cs="Arial" w:eastAsia="Arial" w:hAnsi="Arial"/>
                <w:sz w:val="15"/>
                <w:szCs w:val="15"/>
                <w:i w:val="1"/>
                <w:iCs w:val="1"/>
                <w:color w:val="auto"/>
              </w:rPr>
              <w:t>Itron North America</w:t>
            </w:r>
          </w:p>
        </w:tc>
        <w:tc>
          <w:tcPr>
            <w:tcW w:w="9740" w:type="dxa"/>
            <w:vAlign w:val="bottom"/>
          </w:tcPr>
          <w:p>
            <w:pPr>
              <w:ind w:left="460"/>
              <w:spacing w:after="0"/>
              <w:rPr>
                <w:sz w:val="20"/>
                <w:szCs w:val="20"/>
                <w:color w:val="auto"/>
              </w:rPr>
            </w:pPr>
            <w:r>
              <w:rPr>
                <w:rFonts w:ascii="Arial" w:cs="Arial" w:eastAsia="Arial" w:hAnsi="Arial"/>
                <w:sz w:val="15"/>
                <w:szCs w:val="15"/>
                <w:color w:val="auto"/>
                <w:w w:val="95"/>
              </w:rPr>
              <w:t>Electronic electricity meters with and without AMR; gas and water AMR modules; handheld, mobile and network AMR data collection technologies;</w:t>
            </w:r>
          </w:p>
        </w:tc>
      </w:tr>
      <w:tr>
        <w:trPr>
          <w:trHeight w:val="191"/>
        </w:trPr>
        <w:tc>
          <w:tcPr>
            <w:tcW w:w="1700" w:type="dxa"/>
            <w:vAlign w:val="bottom"/>
          </w:tcPr>
          <w:p>
            <w:pPr>
              <w:spacing w:after="0"/>
              <w:rPr>
                <w:sz w:val="16"/>
                <w:szCs w:val="16"/>
                <w:color w:val="auto"/>
              </w:rPr>
            </w:pPr>
          </w:p>
        </w:tc>
        <w:tc>
          <w:tcPr>
            <w:tcW w:w="9740" w:type="dxa"/>
            <w:vAlign w:val="bottom"/>
          </w:tcPr>
          <w:p>
            <w:pPr>
              <w:ind w:left="460"/>
              <w:spacing w:after="0"/>
              <w:rPr>
                <w:sz w:val="20"/>
                <w:szCs w:val="20"/>
                <w:color w:val="auto"/>
              </w:rPr>
            </w:pPr>
            <w:r>
              <w:rPr>
                <w:rFonts w:ascii="Arial" w:cs="Arial" w:eastAsia="Arial" w:hAnsi="Arial"/>
                <w:sz w:val="15"/>
                <w:szCs w:val="15"/>
                <w:color w:val="auto"/>
                <w:w w:val="96"/>
              </w:rPr>
              <w:t>advanced metering infrastructure (AMI) technologies; software, installation, implementation, consulting, maintenance support and other services.</w:t>
            </w:r>
          </w:p>
        </w:tc>
      </w:tr>
      <w:tr>
        <w:trPr>
          <w:trHeight w:val="354"/>
        </w:trPr>
        <w:tc>
          <w:tcPr>
            <w:tcW w:w="1700" w:type="dxa"/>
            <w:vAlign w:val="bottom"/>
          </w:tcPr>
          <w:p>
            <w:pPr>
              <w:spacing w:after="0"/>
              <w:rPr>
                <w:sz w:val="20"/>
                <w:szCs w:val="20"/>
                <w:color w:val="auto"/>
              </w:rPr>
            </w:pPr>
            <w:r>
              <w:rPr>
                <w:rFonts w:ascii="Arial" w:cs="Arial" w:eastAsia="Arial" w:hAnsi="Arial"/>
                <w:sz w:val="15"/>
                <w:szCs w:val="15"/>
                <w:i w:val="1"/>
                <w:iCs w:val="1"/>
                <w:color w:val="auto"/>
              </w:rPr>
              <w:t>Actaris</w:t>
            </w:r>
          </w:p>
        </w:tc>
        <w:tc>
          <w:tcPr>
            <w:tcW w:w="9740" w:type="dxa"/>
            <w:vAlign w:val="bottom"/>
          </w:tcPr>
          <w:p>
            <w:pPr>
              <w:ind w:left="460"/>
              <w:spacing w:after="0"/>
              <w:rPr>
                <w:sz w:val="20"/>
                <w:szCs w:val="20"/>
                <w:color w:val="auto"/>
              </w:rPr>
            </w:pPr>
            <w:r>
              <w:rPr>
                <w:rFonts w:ascii="Arial" w:cs="Arial" w:eastAsia="Arial" w:hAnsi="Arial"/>
                <w:sz w:val="15"/>
                <w:szCs w:val="15"/>
                <w:color w:val="auto"/>
                <w:w w:val="93"/>
              </w:rPr>
              <w:t>Electromechanical and electronic electricity meters; mechanical and ultrasonic water and heat meters; diaphragm, turbine and rotary gas meters; one-</w:t>
            </w:r>
          </w:p>
        </w:tc>
      </w:tr>
      <w:tr>
        <w:trPr>
          <w:trHeight w:val="182"/>
        </w:trPr>
        <w:tc>
          <w:tcPr>
            <w:tcW w:w="1700" w:type="dxa"/>
            <w:vAlign w:val="bottom"/>
          </w:tcPr>
          <w:p>
            <w:pPr>
              <w:spacing w:after="0"/>
              <w:rPr>
                <w:sz w:val="15"/>
                <w:szCs w:val="15"/>
                <w:color w:val="auto"/>
              </w:rPr>
            </w:pPr>
          </w:p>
        </w:tc>
        <w:tc>
          <w:tcPr>
            <w:tcW w:w="9740" w:type="dxa"/>
            <w:vAlign w:val="bottom"/>
          </w:tcPr>
          <w:p>
            <w:pPr>
              <w:ind w:left="460"/>
              <w:spacing w:after="0"/>
              <w:rPr>
                <w:sz w:val="20"/>
                <w:szCs w:val="20"/>
                <w:color w:val="auto"/>
              </w:rPr>
            </w:pPr>
            <w:r>
              <w:rPr>
                <w:rFonts w:ascii="Arial" w:cs="Arial" w:eastAsia="Arial" w:hAnsi="Arial"/>
                <w:sz w:val="15"/>
                <w:szCs w:val="15"/>
                <w:color w:val="auto"/>
                <w:w w:val="94"/>
              </w:rPr>
              <w:t>way and two-way electricity prepayment systems, including smart key, keypad and smart card; two-way gas prepayment systems using smart card;</w:t>
            </w:r>
          </w:p>
        </w:tc>
      </w:tr>
      <w:tr>
        <w:trPr>
          <w:trHeight w:val="191"/>
        </w:trPr>
        <w:tc>
          <w:tcPr>
            <w:tcW w:w="1700" w:type="dxa"/>
            <w:vAlign w:val="bottom"/>
          </w:tcPr>
          <w:p>
            <w:pPr>
              <w:spacing w:after="0"/>
              <w:rPr>
                <w:sz w:val="16"/>
                <w:szCs w:val="16"/>
                <w:color w:val="auto"/>
              </w:rPr>
            </w:pPr>
          </w:p>
        </w:tc>
        <w:tc>
          <w:tcPr>
            <w:tcW w:w="9740" w:type="dxa"/>
            <w:vAlign w:val="bottom"/>
          </w:tcPr>
          <w:p>
            <w:pPr>
              <w:ind w:left="460"/>
              <w:spacing w:after="0"/>
              <w:rPr>
                <w:sz w:val="20"/>
                <w:szCs w:val="20"/>
                <w:color w:val="auto"/>
              </w:rPr>
            </w:pPr>
            <w:r>
              <w:rPr>
                <w:rFonts w:ascii="Arial" w:cs="Arial" w:eastAsia="Arial" w:hAnsi="Arial"/>
                <w:sz w:val="15"/>
                <w:szCs w:val="15"/>
                <w:color w:val="auto"/>
              </w:rPr>
              <w:t>AMR and AMI data collection technologies; installation, implementation, maintenance support and other managed services.</w:t>
            </w:r>
          </w:p>
        </w:tc>
      </w:tr>
      <w:tr>
        <w:trPr>
          <w:trHeight w:val="795"/>
        </w:trPr>
        <w:tc>
          <w:tcPr>
            <w:tcW w:w="1700" w:type="dxa"/>
            <w:vAlign w:val="bottom"/>
          </w:tcPr>
          <w:p>
            <w:pPr>
              <w:spacing w:after="0"/>
              <w:rPr>
                <w:sz w:val="24"/>
                <w:szCs w:val="24"/>
                <w:color w:val="auto"/>
              </w:rPr>
            </w:pPr>
          </w:p>
        </w:tc>
        <w:tc>
          <w:tcPr>
            <w:tcW w:w="9740" w:type="dxa"/>
            <w:vAlign w:val="bottom"/>
          </w:tcPr>
          <w:p>
            <w:pPr>
              <w:ind w:left="3940"/>
              <w:spacing w:after="0"/>
              <w:rPr>
                <w:sz w:val="20"/>
                <w:szCs w:val="20"/>
                <w:color w:val="auto"/>
              </w:rPr>
            </w:pPr>
            <w:r>
              <w:rPr>
                <w:rFonts w:ascii="Arial" w:cs="Arial" w:eastAsia="Arial" w:hAnsi="Arial"/>
                <w:sz w:val="15"/>
                <w:szCs w:val="15"/>
                <w:color w:val="auto"/>
              </w:rPr>
              <w:t>36</w:t>
            </w:r>
          </w:p>
        </w:tc>
      </w:tr>
      <w:tr>
        <w:trPr>
          <w:trHeight w:val="99"/>
        </w:trPr>
        <w:tc>
          <w:tcPr>
            <w:tcW w:w="1700" w:type="dxa"/>
            <w:vAlign w:val="bottom"/>
            <w:tcBorders>
              <w:bottom w:val="single" w:sz="8" w:color="808080"/>
            </w:tcBorders>
          </w:tcPr>
          <w:p>
            <w:pPr>
              <w:spacing w:after="0"/>
              <w:rPr>
                <w:sz w:val="8"/>
                <w:szCs w:val="8"/>
                <w:color w:val="auto"/>
              </w:rPr>
            </w:pPr>
          </w:p>
        </w:tc>
        <w:tc>
          <w:tcPr>
            <w:tcW w:w="97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7252335</wp:posOffset>
            </wp:positionH>
            <wp:positionV relativeFrom="paragraph">
              <wp:posOffset>-12700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-12700</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38"/>
        </w:trPr>
        <w:tc>
          <w:tcPr>
            <w:tcW w:w="286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28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120" w:type="dxa"/>
            <w:vAlign w:val="bottom"/>
            <w:gridSpan w:val="14"/>
          </w:tcPr>
          <w:p>
            <w:pPr>
              <w:spacing w:after="0"/>
              <w:rPr>
                <w:sz w:val="20"/>
                <w:szCs w:val="20"/>
                <w:color w:val="auto"/>
              </w:rPr>
            </w:pPr>
            <w:r>
              <w:rPr>
                <w:rFonts w:ascii="Arial" w:cs="Arial" w:eastAsia="Arial" w:hAnsi="Arial"/>
                <w:sz w:val="15"/>
                <w:szCs w:val="15"/>
                <w:color w:val="auto"/>
                <w:w w:val="99"/>
              </w:rPr>
              <w:t>The following tables and discussion highlight significant changes in trends or components of each segment.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ind w:left="460"/>
              <w:spacing w:after="0"/>
              <w:rPr>
                <w:sz w:val="20"/>
                <w:szCs w:val="20"/>
                <w:color w:val="auto"/>
              </w:rPr>
            </w:pPr>
            <w:r>
              <w:rPr>
                <w:rFonts w:ascii="Arial" w:cs="Arial" w:eastAsia="Arial" w:hAnsi="Arial"/>
                <w:sz w:val="15"/>
                <w:szCs w:val="15"/>
                <w:b w:val="1"/>
                <w:bCs w:val="1"/>
                <w:color w:val="auto"/>
              </w:rPr>
              <w:t>Three Months Ended June 30,</w:t>
            </w:r>
          </w:p>
        </w:tc>
        <w:tc>
          <w:tcPr>
            <w:tcW w:w="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260"/>
              <w:spacing w:after="0"/>
              <w:rPr>
                <w:sz w:val="20"/>
                <w:szCs w:val="20"/>
                <w:color w:val="auto"/>
              </w:rPr>
            </w:pPr>
            <w:r>
              <w:rPr>
                <w:rFonts w:ascii="Arial" w:cs="Arial" w:eastAsia="Arial" w:hAnsi="Arial"/>
                <w:sz w:val="15"/>
                <w:szCs w:val="15"/>
                <w:b w:val="1"/>
                <w:bCs w:val="1"/>
                <w:color w:val="auto"/>
                <w:w w:val="89"/>
              </w:rPr>
              <w:t>Six Months Ended June 30,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5"/>
                <w:szCs w:val="15"/>
                <w:b w:val="1"/>
                <w:bCs w:val="1"/>
                <w:color w:val="auto"/>
              </w:rPr>
              <w:t>% Change</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2008</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5"/>
                <w:szCs w:val="15"/>
                <w:b w:val="1"/>
                <w:bCs w:val="1"/>
                <w:color w:val="auto"/>
              </w:rPr>
              <w:t>% Change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gridSpan w:val="2"/>
            <w:vMerge w:val="restart"/>
          </w:tcPr>
          <w:p>
            <w:pPr>
              <w:spacing w:after="0"/>
              <w:rPr>
                <w:sz w:val="20"/>
                <w:szCs w:val="20"/>
                <w:color w:val="auto"/>
              </w:rPr>
            </w:pPr>
            <w:r>
              <w:rPr>
                <w:rFonts w:ascii="Arial" w:cs="Arial" w:eastAsia="Arial" w:hAnsi="Arial"/>
                <w:sz w:val="15"/>
                <w:szCs w:val="15"/>
                <w:b w:val="1"/>
                <w:bCs w:val="1"/>
                <w:i w:val="1"/>
                <w:iCs w:val="1"/>
                <w:color w:val="auto"/>
              </w:rPr>
              <w:t>Segment Revenues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tcPr>
          <w:p>
            <w:pPr>
              <w:jc w:val="right"/>
              <w:spacing w:after="0"/>
              <w:rPr>
                <w:sz w:val="20"/>
                <w:szCs w:val="20"/>
                <w:color w:val="auto"/>
              </w:rPr>
            </w:pPr>
            <w:r>
              <w:rPr>
                <w:rFonts w:ascii="Arial" w:cs="Arial" w:eastAsia="Arial" w:hAnsi="Arial"/>
                <w:sz w:val="15"/>
                <w:szCs w:val="15"/>
                <w:b w:val="1"/>
                <w:bCs w:val="1"/>
                <w:color w:val="auto"/>
              </w:rPr>
              <w:t>(millions)</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Arial" w:cs="Arial" w:eastAsia="Arial" w:hAnsi="Arial"/>
                <w:sz w:val="15"/>
                <w:szCs w:val="15"/>
                <w:b w:val="1"/>
                <w:bCs w:val="1"/>
                <w:color w:val="auto"/>
              </w:rPr>
              <w:t>(millions)</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Itron North America</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1040" w:type="dxa"/>
            <w:vAlign w:val="bottom"/>
            <w:tcBorders>
              <w:left w:val="single" w:sz="8" w:color="CCEEFF"/>
              <w:right w:val="single" w:sz="8" w:color="CCEEFF"/>
            </w:tcBorders>
            <w:gridSpan w:val="3"/>
            <w:shd w:val="clear" w:color="auto" w:fill="CCEEFF"/>
          </w:tcPr>
          <w:p>
            <w:pPr>
              <w:jc w:val="center"/>
              <w:ind w:left="144"/>
              <w:spacing w:after="0"/>
              <w:rPr>
                <w:sz w:val="20"/>
                <w:szCs w:val="20"/>
                <w:color w:val="auto"/>
              </w:rPr>
            </w:pPr>
            <w:r>
              <w:rPr>
                <w:rFonts w:ascii="Arial" w:cs="Arial" w:eastAsia="Arial" w:hAnsi="Arial"/>
                <w:sz w:val="15"/>
                <w:szCs w:val="15"/>
                <w:color w:val="auto"/>
                <w:w w:val="90"/>
              </w:rPr>
              <w:t>164.7</w:t>
            </w:r>
          </w:p>
        </w:tc>
        <w:tc>
          <w:tcPr>
            <w:tcW w:w="22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142.0</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16%</w:t>
            </w: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2"/>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314.9</w:t>
            </w:r>
          </w:p>
        </w:tc>
        <w:tc>
          <w:tcPr>
            <w:tcW w:w="52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0"/>
              </w:rPr>
              <w:t>283.7</w:t>
            </w:r>
          </w:p>
        </w:tc>
        <w:tc>
          <w:tcPr>
            <w:tcW w:w="160" w:type="dxa"/>
            <w:vAlign w:val="bottom"/>
            <w:shd w:val="clear" w:color="auto" w:fill="CCEEFF"/>
          </w:tcPr>
          <w:p>
            <w:pPr>
              <w:spacing w:after="0"/>
              <w:rPr>
                <w:sz w:val="17"/>
                <w:szCs w:val="17"/>
                <w:color w:val="auto"/>
              </w:rPr>
            </w:pPr>
          </w:p>
        </w:tc>
        <w:tc>
          <w:tcPr>
            <w:tcW w:w="102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3"/>
              </w:rPr>
              <w:t>11%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gridSpan w:val="2"/>
          </w:tcPr>
          <w:p>
            <w:pPr>
              <w:ind w:left="560"/>
              <w:spacing w:after="0"/>
              <w:rPr>
                <w:sz w:val="20"/>
                <w:szCs w:val="20"/>
                <w:color w:val="auto"/>
              </w:rPr>
            </w:pPr>
            <w:r>
              <w:rPr>
                <w:rFonts w:ascii="Arial" w:cs="Arial" w:eastAsia="Arial" w:hAnsi="Arial"/>
                <w:sz w:val="15"/>
                <w:szCs w:val="15"/>
                <w:color w:val="auto"/>
              </w:rPr>
              <w:t>Actaris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gridSpan w:val="2"/>
          </w:tcPr>
          <w:p>
            <w:pPr>
              <w:jc w:val="center"/>
              <w:ind w:left="384"/>
              <w:spacing w:after="0"/>
              <w:rPr>
                <w:sz w:val="20"/>
                <w:szCs w:val="20"/>
                <w:color w:val="auto"/>
              </w:rPr>
            </w:pPr>
            <w:r>
              <w:rPr>
                <w:rFonts w:ascii="Arial" w:cs="Arial" w:eastAsia="Arial" w:hAnsi="Arial"/>
                <w:sz w:val="15"/>
                <w:szCs w:val="15"/>
                <w:color w:val="auto"/>
                <w:w w:val="90"/>
              </w:rPr>
              <w:t>349.2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259.6</w:t>
            </w: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5"/>
              </w:rPr>
              <w:t>677.5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gridSpan w:val="2"/>
          </w:tcPr>
          <w:p>
            <w:pPr>
              <w:jc w:val="center"/>
              <w:ind w:left="24"/>
              <w:spacing w:after="0"/>
              <w:rPr>
                <w:sz w:val="20"/>
                <w:szCs w:val="20"/>
                <w:color w:val="auto"/>
              </w:rPr>
            </w:pPr>
            <w:r>
              <w:rPr>
                <w:rFonts w:ascii="Arial" w:cs="Arial" w:eastAsia="Arial" w:hAnsi="Arial"/>
                <w:sz w:val="15"/>
                <w:szCs w:val="15"/>
                <w:color w:val="auto"/>
                <w:w w:val="90"/>
              </w:rPr>
              <w:t>265.8</w:t>
            </w:r>
          </w:p>
        </w:tc>
        <w:tc>
          <w:tcPr>
            <w:tcW w:w="16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5"/>
                <w:szCs w:val="15"/>
                <w:color w:val="auto"/>
                <w:w w:val="93"/>
              </w:rPr>
              <w:t>155%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40" w:type="dxa"/>
            <w:vAlign w:val="bottom"/>
            <w:shd w:val="clear" w:color="auto" w:fill="CCEEFF"/>
          </w:tcPr>
          <w:p>
            <w:pPr>
              <w:spacing w:after="0"/>
              <w:rPr>
                <w:sz w:val="17"/>
                <w:szCs w:val="17"/>
                <w:color w:val="auto"/>
              </w:rPr>
            </w:pPr>
          </w:p>
        </w:tc>
        <w:tc>
          <w:tcPr>
            <w:tcW w:w="20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Total revenues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800" w:type="dxa"/>
            <w:vAlign w:val="bottom"/>
            <w:tcBorders>
              <w:left w:val="single" w:sz="8" w:color="CCEEFF"/>
            </w:tcBorders>
            <w:gridSpan w:val="2"/>
            <w:shd w:val="clear" w:color="auto" w:fill="CCEEFF"/>
          </w:tcPr>
          <w:p>
            <w:pPr>
              <w:jc w:val="center"/>
              <w:ind w:left="384"/>
              <w:spacing w:after="0"/>
              <w:rPr>
                <w:sz w:val="20"/>
                <w:szCs w:val="20"/>
                <w:color w:val="auto"/>
              </w:rPr>
            </w:pPr>
            <w:r>
              <w:rPr>
                <w:rFonts w:ascii="Arial" w:cs="Arial" w:eastAsia="Arial" w:hAnsi="Arial"/>
                <w:sz w:val="15"/>
                <w:szCs w:val="15"/>
                <w:color w:val="auto"/>
                <w:w w:val="90"/>
              </w:rPr>
              <w:t>513.9</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401.6</w:t>
            </w:r>
          </w:p>
        </w:tc>
        <w:tc>
          <w:tcPr>
            <w:tcW w:w="9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28%</w:t>
            </w: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2"/>
            <w:shd w:val="clear" w:color="auto" w:fill="CCEEFF"/>
          </w:tcPr>
          <w:p>
            <w:pPr>
              <w:jc w:val="right"/>
              <w:ind w:right="504"/>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992.4</w:t>
            </w:r>
          </w:p>
        </w:tc>
        <w:tc>
          <w:tcPr>
            <w:tcW w:w="52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center"/>
              <w:ind w:left="24"/>
              <w:spacing w:after="0"/>
              <w:rPr>
                <w:sz w:val="20"/>
                <w:szCs w:val="20"/>
                <w:color w:val="auto"/>
              </w:rPr>
            </w:pPr>
            <w:r>
              <w:rPr>
                <w:rFonts w:ascii="Arial" w:cs="Arial" w:eastAsia="Arial" w:hAnsi="Arial"/>
                <w:sz w:val="15"/>
                <w:szCs w:val="15"/>
                <w:color w:val="auto"/>
                <w:w w:val="90"/>
              </w:rPr>
              <w:t>549.5</w:t>
            </w:r>
          </w:p>
        </w:tc>
        <w:tc>
          <w:tcPr>
            <w:tcW w:w="160" w:type="dxa"/>
            <w:vAlign w:val="bottom"/>
            <w:shd w:val="clear" w:color="auto" w:fill="CCEEFF"/>
          </w:tcPr>
          <w:p>
            <w:pPr>
              <w:spacing w:after="0"/>
              <w:rPr>
                <w:sz w:val="17"/>
                <w:szCs w:val="17"/>
                <w:color w:val="auto"/>
              </w:rPr>
            </w:pPr>
          </w:p>
        </w:tc>
        <w:tc>
          <w:tcPr>
            <w:tcW w:w="102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color w:val="auto"/>
                <w:w w:val="93"/>
              </w:rPr>
              <w:t>81%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CCEEFF"/>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70"/>
        </w:trPr>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5"/>
                <w:szCs w:val="15"/>
                <w:b w:val="1"/>
                <w:bCs w:val="1"/>
                <w:color w:val="auto"/>
                <w:w w:val="93"/>
              </w:rPr>
              <w:t>Three Months Ended 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140"/>
              <w:spacing w:after="0"/>
              <w:rPr>
                <w:sz w:val="20"/>
                <w:szCs w:val="20"/>
                <w:color w:val="auto"/>
              </w:rPr>
            </w:pPr>
            <w:r>
              <w:rPr>
                <w:rFonts w:ascii="Arial" w:cs="Arial" w:eastAsia="Arial" w:hAnsi="Arial"/>
                <w:sz w:val="15"/>
                <w:szCs w:val="15"/>
                <w:b w:val="1"/>
                <w:bCs w:val="1"/>
                <w:color w:val="auto"/>
                <w:w w:val="95"/>
              </w:rPr>
              <w:t>Six Months Ended June 30,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2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Borders>
              <w:bottom w:val="single" w:sz="8" w:color="auto"/>
            </w:tcBorders>
            <w:gridSpan w:val="5"/>
          </w:tcPr>
          <w:p>
            <w:pPr>
              <w:jc w:val="right"/>
              <w:ind w:right="744"/>
              <w:spacing w:after="0"/>
              <w:rPr>
                <w:sz w:val="20"/>
                <w:szCs w:val="20"/>
                <w:color w:val="auto"/>
              </w:rPr>
            </w:pPr>
            <w:r>
              <w:rPr>
                <w:rFonts w:ascii="Arial" w:cs="Arial" w:eastAsia="Arial" w:hAnsi="Arial"/>
                <w:sz w:val="15"/>
                <w:szCs w:val="15"/>
                <w:b w:val="1"/>
                <w:bCs w:val="1"/>
                <w:color w:val="auto"/>
              </w:rPr>
              <w:t>2007</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44"/>
              <w:spacing w:after="0"/>
              <w:rPr>
                <w:sz w:val="20"/>
                <w:szCs w:val="20"/>
                <w:color w:val="auto"/>
              </w:rPr>
            </w:pPr>
            <w:r>
              <w:rPr>
                <w:rFonts w:ascii="Arial" w:cs="Arial" w:eastAsia="Arial" w:hAnsi="Arial"/>
                <w:sz w:val="15"/>
                <w:szCs w:val="15"/>
                <w:b w:val="1"/>
                <w:bCs w:val="1"/>
                <w:i w:val="1"/>
                <w:iCs w:val="1"/>
                <w:color w:val="auto"/>
                <w:w w:val="87"/>
              </w:rPr>
              <w:t>Gross Profit</w:t>
            </w:r>
          </w:p>
        </w:tc>
        <w:tc>
          <w:tcPr>
            <w:tcW w:w="10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5"/>
                <w:szCs w:val="15"/>
                <w:b w:val="1"/>
                <w:bCs w:val="1"/>
                <w:i w:val="1"/>
                <w:iCs w:val="1"/>
                <w:color w:val="auto"/>
                <w:w w:val="88"/>
              </w:rPr>
              <w:t>Gross Margin</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5"/>
                <w:szCs w:val="15"/>
                <w:b w:val="1"/>
                <w:bCs w:val="1"/>
                <w:i w:val="1"/>
                <w:iCs w:val="1"/>
                <w:color w:val="auto"/>
                <w:w w:val="85"/>
              </w:rPr>
              <w:t>Gross Profit</w:t>
            </w:r>
          </w:p>
        </w:tc>
        <w:tc>
          <w:tcPr>
            <w:tcW w:w="900" w:type="dxa"/>
            <w:vAlign w:val="bottom"/>
          </w:tcPr>
          <w:p>
            <w:pPr>
              <w:jc w:val="right"/>
              <w:spacing w:after="0"/>
              <w:rPr>
                <w:sz w:val="20"/>
                <w:szCs w:val="20"/>
                <w:color w:val="auto"/>
              </w:rPr>
            </w:pPr>
            <w:r>
              <w:rPr>
                <w:rFonts w:ascii="Arial" w:cs="Arial" w:eastAsia="Arial" w:hAnsi="Arial"/>
                <w:sz w:val="15"/>
                <w:szCs w:val="15"/>
                <w:b w:val="1"/>
                <w:bCs w:val="1"/>
                <w:i w:val="1"/>
                <w:iCs w:val="1"/>
                <w:color w:val="auto"/>
                <w:w w:val="88"/>
              </w:rPr>
              <w:t>Gross Margin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5"/>
                <w:szCs w:val="15"/>
                <w:b w:val="1"/>
                <w:bCs w:val="1"/>
                <w:i w:val="1"/>
                <w:iCs w:val="1"/>
                <w:color w:val="auto"/>
                <w:w w:val="87"/>
              </w:rPr>
              <w:t>Gross Profit</w:t>
            </w:r>
          </w:p>
        </w:tc>
        <w:tc>
          <w:tcPr>
            <w:tcW w:w="90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auto"/>
                <w:w w:val="88"/>
              </w:rPr>
              <w:t>Gross Margin</w:t>
            </w:r>
          </w:p>
        </w:tc>
        <w:tc>
          <w:tcPr>
            <w:tcW w:w="300" w:type="dxa"/>
            <w:vAlign w:val="bottom"/>
          </w:tcPr>
          <w:p>
            <w:pPr>
              <w:spacing w:after="0"/>
              <w:rPr>
                <w:sz w:val="16"/>
                <w:szCs w:val="16"/>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5"/>
                <w:szCs w:val="15"/>
                <w:b w:val="1"/>
                <w:bCs w:val="1"/>
                <w:i w:val="1"/>
                <w:iCs w:val="1"/>
                <w:color w:val="auto"/>
                <w:w w:val="87"/>
              </w:rPr>
              <w:t>Gross Profit</w:t>
            </w:r>
          </w:p>
        </w:tc>
        <w:tc>
          <w:tcPr>
            <w:tcW w:w="120" w:type="dxa"/>
            <w:vAlign w:val="bottom"/>
          </w:tcPr>
          <w:p>
            <w:pPr>
              <w:spacing w:after="0"/>
              <w:rPr>
                <w:sz w:val="16"/>
                <w:szCs w:val="16"/>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5"/>
                <w:szCs w:val="15"/>
                <w:b w:val="1"/>
                <w:bCs w:val="1"/>
                <w:i w:val="1"/>
                <w:iCs w:val="1"/>
                <w:color w:val="auto"/>
                <w:w w:val="88"/>
              </w:rPr>
              <w:t>Gross Margin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Gross Profit and Margin</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center"/>
              <w:ind w:right="24"/>
              <w:spacing w:after="0"/>
              <w:rPr>
                <w:sz w:val="20"/>
                <w:szCs w:val="20"/>
                <w:color w:val="auto"/>
              </w:rPr>
            </w:pPr>
            <w:r>
              <w:rPr>
                <w:rFonts w:ascii="Arial" w:cs="Arial" w:eastAsia="Arial" w:hAnsi="Arial"/>
                <w:sz w:val="15"/>
                <w:szCs w:val="15"/>
                <w:b w:val="1"/>
                <w:bCs w:val="1"/>
                <w:color w:val="auto"/>
                <w:w w:val="92"/>
              </w:rPr>
              <w:t>(millions)</w:t>
            </w: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(millions)</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gridSpan w:val="2"/>
          </w:tcPr>
          <w:p>
            <w:pPr>
              <w:jc w:val="center"/>
              <w:ind w:right="4"/>
              <w:spacing w:after="0"/>
              <w:rPr>
                <w:sz w:val="20"/>
                <w:szCs w:val="20"/>
                <w:color w:val="auto"/>
              </w:rPr>
            </w:pPr>
            <w:r>
              <w:rPr>
                <w:rFonts w:ascii="Arial" w:cs="Arial" w:eastAsia="Arial" w:hAnsi="Arial"/>
                <w:sz w:val="15"/>
                <w:szCs w:val="15"/>
                <w:b w:val="1"/>
                <w:bCs w:val="1"/>
                <w:color w:val="auto"/>
                <w:w w:val="92"/>
              </w:rPr>
              <w:t>(millions)</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5"/>
                <w:szCs w:val="15"/>
                <w:b w:val="1"/>
                <w:bCs w:val="1"/>
                <w:color w:val="auto"/>
                <w:w w:val="92"/>
              </w:rPr>
              <w:t>(millions)</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Itron North America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65.9</w:t>
            </w:r>
          </w:p>
        </w:tc>
        <w:tc>
          <w:tcPr>
            <w:tcW w:w="800" w:type="dxa"/>
            <w:vAlign w:val="bottom"/>
            <w:tcBorders>
              <w:left w:val="single" w:sz="8" w:color="CCEEFF"/>
            </w:tcBorders>
            <w:gridSpan w:val="2"/>
            <w:shd w:val="clear" w:color="auto" w:fill="CCEEFF"/>
          </w:tcPr>
          <w:p>
            <w:pPr>
              <w:jc w:val="center"/>
              <w:ind w:left="364"/>
              <w:spacing w:after="0"/>
              <w:rPr>
                <w:sz w:val="20"/>
                <w:szCs w:val="20"/>
                <w:color w:val="auto"/>
              </w:rPr>
            </w:pPr>
            <w:r>
              <w:rPr>
                <w:rFonts w:ascii="Arial" w:cs="Arial" w:eastAsia="Arial" w:hAnsi="Arial"/>
                <w:sz w:val="15"/>
                <w:szCs w:val="15"/>
                <w:color w:val="auto"/>
                <w:w w:val="93"/>
              </w:rPr>
              <w:t>40%</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60.3</w:t>
            </w:r>
          </w:p>
        </w:tc>
        <w:tc>
          <w:tcPr>
            <w:tcW w:w="90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86"/>
              </w:rPr>
              <w:t>42%</w:t>
            </w: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124.5</w:t>
            </w:r>
          </w:p>
        </w:tc>
        <w:tc>
          <w:tcPr>
            <w:tcW w:w="900" w:type="dxa"/>
            <w:vAlign w:val="bottom"/>
            <w:gridSpan w:val="3"/>
            <w:shd w:val="clear" w:color="auto" w:fill="CCEEFF"/>
          </w:tcPr>
          <w:p>
            <w:pPr>
              <w:jc w:val="center"/>
              <w:ind w:left="24"/>
              <w:spacing w:after="0"/>
              <w:rPr>
                <w:sz w:val="20"/>
                <w:szCs w:val="20"/>
                <w:color w:val="auto"/>
              </w:rPr>
            </w:pPr>
            <w:r>
              <w:rPr>
                <w:rFonts w:ascii="Arial" w:cs="Arial" w:eastAsia="Arial" w:hAnsi="Arial"/>
                <w:sz w:val="15"/>
                <w:szCs w:val="15"/>
                <w:color w:val="auto"/>
                <w:w w:val="93"/>
              </w:rPr>
              <w:t>40%</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120.9</w:t>
            </w:r>
          </w:p>
        </w:tc>
        <w:tc>
          <w:tcPr>
            <w:tcW w:w="1020" w:type="dxa"/>
            <w:vAlign w:val="bottom"/>
            <w:tcBorders>
              <w:left w:val="single" w:sz="8" w:color="CCEEFF"/>
            </w:tcBorders>
            <w:gridSpan w:val="2"/>
            <w:shd w:val="clear" w:color="auto" w:fill="CCEEFF"/>
          </w:tcPr>
          <w:p>
            <w:pPr>
              <w:jc w:val="center"/>
              <w:ind w:left="144"/>
              <w:spacing w:after="0"/>
              <w:rPr>
                <w:sz w:val="20"/>
                <w:szCs w:val="20"/>
                <w:color w:val="auto"/>
              </w:rPr>
            </w:pPr>
            <w:r>
              <w:rPr>
                <w:rFonts w:ascii="Arial" w:cs="Arial" w:eastAsia="Arial" w:hAnsi="Arial"/>
                <w:sz w:val="15"/>
                <w:szCs w:val="15"/>
                <w:color w:val="auto"/>
                <w:w w:val="93"/>
              </w:rPr>
              <w:t>43%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60" w:type="dxa"/>
            <w:vAlign w:val="bottom"/>
            <w:gridSpan w:val="2"/>
          </w:tcPr>
          <w:p>
            <w:pPr>
              <w:ind w:left="560"/>
              <w:spacing w:after="0"/>
              <w:rPr>
                <w:sz w:val="20"/>
                <w:szCs w:val="20"/>
                <w:color w:val="auto"/>
              </w:rPr>
            </w:pPr>
            <w:r>
              <w:rPr>
                <w:rFonts w:ascii="Arial" w:cs="Arial" w:eastAsia="Arial" w:hAnsi="Arial"/>
                <w:sz w:val="15"/>
                <w:szCs w:val="15"/>
                <w:color w:val="auto"/>
              </w:rPr>
              <w:t>Actaris</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110.3</w:t>
            </w:r>
          </w:p>
        </w:tc>
        <w:tc>
          <w:tcPr>
            <w:tcW w:w="800" w:type="dxa"/>
            <w:vAlign w:val="bottom"/>
            <w:gridSpan w:val="2"/>
          </w:tcPr>
          <w:p>
            <w:pPr>
              <w:jc w:val="center"/>
              <w:ind w:left="364"/>
              <w:spacing w:after="0"/>
              <w:rPr>
                <w:sz w:val="20"/>
                <w:szCs w:val="20"/>
                <w:color w:val="auto"/>
              </w:rPr>
            </w:pPr>
            <w:r>
              <w:rPr>
                <w:rFonts w:ascii="Arial" w:cs="Arial" w:eastAsia="Arial" w:hAnsi="Arial"/>
                <w:sz w:val="15"/>
                <w:szCs w:val="15"/>
                <w:color w:val="auto"/>
                <w:w w:val="93"/>
              </w:rPr>
              <w:t>32%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64.4</w:t>
            </w:r>
          </w:p>
        </w:tc>
        <w:tc>
          <w:tcPr>
            <w:tcW w:w="900" w:type="dxa"/>
            <w:vAlign w:val="bottom"/>
          </w:tcPr>
          <w:p>
            <w:pPr>
              <w:jc w:val="center"/>
              <w:ind w:left="44"/>
              <w:spacing w:after="0"/>
              <w:rPr>
                <w:sz w:val="20"/>
                <w:szCs w:val="20"/>
                <w:color w:val="auto"/>
              </w:rPr>
            </w:pPr>
            <w:r>
              <w:rPr>
                <w:rFonts w:ascii="Arial" w:cs="Arial" w:eastAsia="Arial" w:hAnsi="Arial"/>
                <w:sz w:val="15"/>
                <w:szCs w:val="15"/>
                <w:color w:val="auto"/>
                <w:w w:val="86"/>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214.3</w:t>
            </w:r>
          </w:p>
        </w:tc>
        <w:tc>
          <w:tcPr>
            <w:tcW w:w="900" w:type="dxa"/>
            <w:vAlign w:val="bottom"/>
            <w:gridSpan w:val="3"/>
          </w:tcPr>
          <w:p>
            <w:pPr>
              <w:jc w:val="center"/>
              <w:ind w:left="24"/>
              <w:spacing w:after="0"/>
              <w:rPr>
                <w:sz w:val="20"/>
                <w:szCs w:val="20"/>
                <w:color w:val="auto"/>
              </w:rPr>
            </w:pPr>
            <w:r>
              <w:rPr>
                <w:rFonts w:ascii="Arial" w:cs="Arial" w:eastAsia="Arial" w:hAnsi="Arial"/>
                <w:sz w:val="15"/>
                <w:szCs w:val="15"/>
                <w:color w:val="auto"/>
                <w:w w:val="93"/>
              </w:rPr>
              <w:t>32%</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65.1</w:t>
            </w:r>
          </w:p>
        </w:tc>
        <w:tc>
          <w:tcPr>
            <w:tcW w:w="1020" w:type="dxa"/>
            <w:vAlign w:val="bottom"/>
            <w:gridSpan w:val="2"/>
          </w:tcPr>
          <w:p>
            <w:pPr>
              <w:jc w:val="center"/>
              <w:ind w:left="144"/>
              <w:spacing w:after="0"/>
              <w:rPr>
                <w:sz w:val="20"/>
                <w:szCs w:val="20"/>
                <w:color w:val="auto"/>
              </w:rPr>
            </w:pPr>
            <w:r>
              <w:rPr>
                <w:rFonts w:ascii="Arial" w:cs="Arial" w:eastAsia="Arial" w:hAnsi="Arial"/>
                <w:sz w:val="15"/>
                <w:szCs w:val="15"/>
                <w:color w:val="auto"/>
                <w:w w:val="93"/>
              </w:rPr>
              <w:t>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shd w:val="clear" w:color="auto" w:fill="CCEEFF"/>
          </w:tcPr>
          <w:p>
            <w:pPr>
              <w:spacing w:after="0"/>
              <w:rPr>
                <w:sz w:val="14"/>
                <w:szCs w:val="14"/>
                <w:color w:val="auto"/>
              </w:rPr>
            </w:pPr>
          </w:p>
        </w:tc>
        <w:tc>
          <w:tcPr>
            <w:tcW w:w="2020" w:type="dxa"/>
            <w:vAlign w:val="bottom"/>
            <w:shd w:val="clear" w:color="auto" w:fill="CCEEFF"/>
          </w:tcPr>
          <w:p>
            <w:pPr>
              <w:ind w:left="180"/>
              <w:spacing w:after="0" w:line="172" w:lineRule="exact"/>
              <w:rPr>
                <w:sz w:val="20"/>
                <w:szCs w:val="20"/>
                <w:color w:val="auto"/>
              </w:rPr>
            </w:pPr>
            <w:r>
              <w:rPr>
                <w:rFonts w:ascii="Arial" w:cs="Arial" w:eastAsia="Arial" w:hAnsi="Arial"/>
                <w:sz w:val="15"/>
                <w:szCs w:val="15"/>
                <w:color w:val="auto"/>
              </w:rPr>
              <w:t>Total gross profit and</w:t>
            </w: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40" w:type="dxa"/>
            <w:vAlign w:val="bottom"/>
            <w:tcBorders>
              <w:lef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40" w:type="dxa"/>
            <w:vAlign w:val="bottom"/>
            <w:shd w:val="clear" w:color="auto" w:fill="CCEEFF"/>
          </w:tcPr>
          <w:p>
            <w:pPr>
              <w:spacing w:after="0"/>
              <w:rPr>
                <w:sz w:val="16"/>
                <w:szCs w:val="16"/>
                <w:color w:val="auto"/>
              </w:rPr>
            </w:pPr>
          </w:p>
        </w:tc>
        <w:tc>
          <w:tcPr>
            <w:tcW w:w="2020" w:type="dxa"/>
            <w:vAlign w:val="bottom"/>
            <w:shd w:val="clear" w:color="auto" w:fill="CCEEFF"/>
          </w:tcPr>
          <w:p>
            <w:pPr>
              <w:ind w:left="180"/>
              <w:spacing w:after="0"/>
              <w:rPr>
                <w:sz w:val="20"/>
                <w:szCs w:val="20"/>
                <w:color w:val="auto"/>
              </w:rPr>
            </w:pPr>
            <w:r>
              <w:rPr>
                <w:rFonts w:ascii="Arial" w:cs="Arial" w:eastAsia="Arial" w:hAnsi="Arial"/>
                <w:sz w:val="15"/>
                <w:szCs w:val="15"/>
                <w:color w:val="auto"/>
              </w:rPr>
              <w:t>margin</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176.2</w:t>
            </w:r>
          </w:p>
        </w:tc>
        <w:tc>
          <w:tcPr>
            <w:tcW w:w="800" w:type="dxa"/>
            <w:vAlign w:val="bottom"/>
            <w:tcBorders>
              <w:left w:val="single" w:sz="8" w:color="CCEEFF"/>
            </w:tcBorders>
            <w:gridSpan w:val="2"/>
            <w:shd w:val="clear" w:color="auto" w:fill="CCEEFF"/>
          </w:tcPr>
          <w:p>
            <w:pPr>
              <w:jc w:val="center"/>
              <w:ind w:left="364"/>
              <w:spacing w:after="0"/>
              <w:rPr>
                <w:sz w:val="20"/>
                <w:szCs w:val="20"/>
                <w:color w:val="auto"/>
              </w:rPr>
            </w:pPr>
            <w:r>
              <w:rPr>
                <w:rFonts w:ascii="Arial" w:cs="Arial" w:eastAsia="Arial" w:hAnsi="Arial"/>
                <w:sz w:val="15"/>
                <w:szCs w:val="15"/>
                <w:color w:val="auto"/>
                <w:w w:val="93"/>
              </w:rPr>
              <w:t>34%</w:t>
            </w:r>
          </w:p>
        </w:tc>
        <w:tc>
          <w:tcPr>
            <w:tcW w:w="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124.7</w:t>
            </w:r>
          </w:p>
        </w:tc>
        <w:tc>
          <w:tcPr>
            <w:tcW w:w="90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86"/>
              </w:rPr>
              <w:t>31%</w:t>
            </w:r>
          </w:p>
        </w:tc>
        <w:tc>
          <w:tcPr>
            <w:tcW w:w="1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338.8</w:t>
            </w:r>
          </w:p>
        </w:tc>
        <w:tc>
          <w:tcPr>
            <w:tcW w:w="900" w:type="dxa"/>
            <w:vAlign w:val="bottom"/>
            <w:gridSpan w:val="3"/>
            <w:shd w:val="clear" w:color="auto" w:fill="CCEEFF"/>
          </w:tcPr>
          <w:p>
            <w:pPr>
              <w:jc w:val="center"/>
              <w:ind w:left="24"/>
              <w:spacing w:after="0"/>
              <w:rPr>
                <w:sz w:val="20"/>
                <w:szCs w:val="20"/>
                <w:color w:val="auto"/>
              </w:rPr>
            </w:pPr>
            <w:r>
              <w:rPr>
                <w:rFonts w:ascii="Arial" w:cs="Arial" w:eastAsia="Arial" w:hAnsi="Arial"/>
                <w:sz w:val="15"/>
                <w:szCs w:val="15"/>
                <w:color w:val="auto"/>
                <w:w w:val="93"/>
              </w:rPr>
              <w:t>34%</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186.0</w:t>
            </w:r>
          </w:p>
        </w:tc>
        <w:tc>
          <w:tcPr>
            <w:tcW w:w="1020" w:type="dxa"/>
            <w:vAlign w:val="bottom"/>
            <w:tcBorders>
              <w:left w:val="single" w:sz="8" w:color="CCEEFF"/>
            </w:tcBorders>
            <w:gridSpan w:val="2"/>
            <w:shd w:val="clear" w:color="auto" w:fill="CCEEFF"/>
          </w:tcPr>
          <w:p>
            <w:pPr>
              <w:jc w:val="center"/>
              <w:ind w:left="144"/>
              <w:spacing w:after="0"/>
              <w:rPr>
                <w:sz w:val="20"/>
                <w:szCs w:val="20"/>
                <w:color w:val="auto"/>
              </w:rPr>
            </w:pPr>
            <w:r>
              <w:rPr>
                <w:rFonts w:ascii="Arial" w:cs="Arial" w:eastAsia="Arial" w:hAnsi="Arial"/>
                <w:sz w:val="15"/>
                <w:szCs w:val="15"/>
                <w:color w:val="auto"/>
                <w:w w:val="93"/>
              </w:rPr>
              <w:t>34%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right w:val="single" w:sz="8" w:color="CCEEFF"/>
            </w:tcBorders>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9"/>
        </w:trPr>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5"/>
                <w:szCs w:val="15"/>
                <w:b w:val="1"/>
                <w:bCs w:val="1"/>
                <w:color w:val="auto"/>
                <w:w w:val="93"/>
              </w:rPr>
              <w:t>Three Months Ended June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140"/>
              <w:spacing w:after="0"/>
              <w:rPr>
                <w:sz w:val="20"/>
                <w:szCs w:val="20"/>
                <w:color w:val="auto"/>
              </w:rPr>
            </w:pPr>
            <w:r>
              <w:rPr>
                <w:rFonts w:ascii="Arial" w:cs="Arial" w:eastAsia="Arial" w:hAnsi="Arial"/>
                <w:sz w:val="15"/>
                <w:szCs w:val="15"/>
                <w:b w:val="1"/>
                <w:bCs w:val="1"/>
                <w:color w:val="auto"/>
                <w:w w:val="95"/>
              </w:rPr>
              <w:t>Six Months Ended June 30,</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72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bottom w:val="single" w:sz="8" w:color="auto"/>
            </w:tcBorders>
            <w:gridSpan w:val="4"/>
          </w:tcPr>
          <w:p>
            <w:pPr>
              <w:jc w:val="right"/>
              <w:ind w:right="204"/>
              <w:spacing w:after="0"/>
              <w:rPr>
                <w:sz w:val="20"/>
                <w:szCs w:val="20"/>
                <w:color w:val="auto"/>
              </w:rPr>
            </w:pPr>
            <w:r>
              <w:rPr>
                <w:rFonts w:ascii="Arial" w:cs="Arial" w:eastAsia="Arial" w:hAnsi="Arial"/>
                <w:sz w:val="15"/>
                <w:szCs w:val="15"/>
                <w:b w:val="1"/>
                <w:bCs w:val="1"/>
                <w:color w:val="auto"/>
              </w:rPr>
              <w:t>2008</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Borders>
              <w:bottom w:val="single" w:sz="8" w:color="auto"/>
            </w:tcBorders>
            <w:gridSpan w:val="5"/>
          </w:tcPr>
          <w:p>
            <w:pPr>
              <w:jc w:val="right"/>
              <w:ind w:right="744"/>
              <w:spacing w:after="0"/>
              <w:rPr>
                <w:sz w:val="20"/>
                <w:szCs w:val="20"/>
                <w:color w:val="auto"/>
              </w:rPr>
            </w:pPr>
            <w:r>
              <w:rPr>
                <w:rFonts w:ascii="Arial" w:cs="Arial" w:eastAsia="Arial" w:hAnsi="Arial"/>
                <w:sz w:val="15"/>
                <w:szCs w:val="15"/>
                <w:b w:val="1"/>
                <w:bCs w:val="1"/>
                <w:color w:val="auto"/>
              </w:rPr>
              <w:t>2007</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
              <w:spacing w:after="0" w:line="172" w:lineRule="exact"/>
              <w:rPr>
                <w:sz w:val="20"/>
                <w:szCs w:val="20"/>
                <w:color w:val="auto"/>
              </w:rPr>
            </w:pPr>
            <w:r>
              <w:rPr>
                <w:rFonts w:ascii="Arial" w:cs="Arial" w:eastAsia="Arial" w:hAnsi="Arial"/>
                <w:sz w:val="15"/>
                <w:szCs w:val="15"/>
                <w:b w:val="1"/>
                <w:bCs w:val="1"/>
                <w:i w:val="1"/>
                <w:iCs w:val="1"/>
                <w:color w:val="auto"/>
                <w:w w:val="87"/>
              </w:rPr>
              <w:t>Operating</w:t>
            </w:r>
          </w:p>
        </w:tc>
        <w:tc>
          <w:tcPr>
            <w:tcW w:w="100" w:type="dxa"/>
            <w:vAlign w:val="bottom"/>
          </w:tcPr>
          <w:p>
            <w:pPr>
              <w:spacing w:after="0"/>
              <w:rPr>
                <w:sz w:val="14"/>
                <w:szCs w:val="14"/>
                <w:color w:val="auto"/>
              </w:rPr>
            </w:pPr>
          </w:p>
        </w:tc>
        <w:tc>
          <w:tcPr>
            <w:tcW w:w="940" w:type="dxa"/>
            <w:vAlign w:val="bottom"/>
            <w:gridSpan w:val="2"/>
          </w:tcPr>
          <w:p>
            <w:pPr>
              <w:jc w:val="center"/>
              <w:spacing w:after="0" w:line="172" w:lineRule="exact"/>
              <w:rPr>
                <w:sz w:val="20"/>
                <w:szCs w:val="20"/>
                <w:color w:val="auto"/>
              </w:rPr>
            </w:pPr>
            <w:r>
              <w:rPr>
                <w:rFonts w:ascii="Arial" w:cs="Arial" w:eastAsia="Arial" w:hAnsi="Arial"/>
                <w:sz w:val="15"/>
                <w:szCs w:val="15"/>
                <w:b w:val="1"/>
                <w:bCs w:val="1"/>
                <w:i w:val="1"/>
                <w:iCs w:val="1"/>
                <w:color w:val="auto"/>
                <w:w w:val="87"/>
              </w:rPr>
              <w:t>Operating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60"/>
              <w:spacing w:after="0" w:line="172" w:lineRule="exact"/>
              <w:rPr>
                <w:sz w:val="20"/>
                <w:szCs w:val="20"/>
                <w:color w:val="auto"/>
              </w:rPr>
            </w:pPr>
            <w:r>
              <w:rPr>
                <w:rFonts w:ascii="Arial" w:cs="Arial" w:eastAsia="Arial" w:hAnsi="Arial"/>
                <w:sz w:val="15"/>
                <w:szCs w:val="15"/>
                <w:b w:val="1"/>
                <w:bCs w:val="1"/>
                <w:i w:val="1"/>
                <w:iCs w:val="1"/>
                <w:color w:val="auto"/>
              </w:rPr>
              <w:t>Operating</w:t>
            </w:r>
          </w:p>
        </w:tc>
        <w:tc>
          <w:tcPr>
            <w:tcW w:w="900" w:type="dxa"/>
            <w:vAlign w:val="bottom"/>
          </w:tcPr>
          <w:p>
            <w:pPr>
              <w:jc w:val="right"/>
              <w:ind w:right="64"/>
              <w:spacing w:after="0" w:line="172" w:lineRule="exact"/>
              <w:rPr>
                <w:sz w:val="20"/>
                <w:szCs w:val="20"/>
                <w:color w:val="auto"/>
              </w:rPr>
            </w:pPr>
            <w:r>
              <w:rPr>
                <w:rFonts w:ascii="Arial" w:cs="Arial" w:eastAsia="Arial" w:hAnsi="Arial"/>
                <w:sz w:val="15"/>
                <w:szCs w:val="15"/>
                <w:b w:val="1"/>
                <w:bCs w:val="1"/>
                <w:i w:val="1"/>
                <w:iCs w:val="1"/>
                <w:color w:val="auto"/>
              </w:rPr>
              <w:t>Operating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200"/>
              <w:spacing w:after="0" w:line="172" w:lineRule="exact"/>
              <w:rPr>
                <w:sz w:val="20"/>
                <w:szCs w:val="20"/>
                <w:color w:val="auto"/>
              </w:rPr>
            </w:pPr>
            <w:r>
              <w:rPr>
                <w:rFonts w:ascii="Arial" w:cs="Arial" w:eastAsia="Arial" w:hAnsi="Arial"/>
                <w:sz w:val="15"/>
                <w:szCs w:val="15"/>
                <w:b w:val="1"/>
                <w:bCs w:val="1"/>
                <w:i w:val="1"/>
                <w:iCs w:val="1"/>
                <w:color w:val="auto"/>
                <w:w w:val="87"/>
              </w:rPr>
              <w:t>Operating</w:t>
            </w:r>
          </w:p>
        </w:tc>
        <w:tc>
          <w:tcPr>
            <w:tcW w:w="900" w:type="dxa"/>
            <w:vAlign w:val="bottom"/>
            <w:gridSpan w:val="3"/>
          </w:tcPr>
          <w:p>
            <w:pPr>
              <w:ind w:left="140"/>
              <w:spacing w:after="0" w:line="172" w:lineRule="exact"/>
              <w:rPr>
                <w:sz w:val="20"/>
                <w:szCs w:val="20"/>
                <w:color w:val="auto"/>
              </w:rPr>
            </w:pPr>
            <w:r>
              <w:rPr>
                <w:rFonts w:ascii="Arial" w:cs="Arial" w:eastAsia="Arial" w:hAnsi="Arial"/>
                <w:sz w:val="15"/>
                <w:szCs w:val="15"/>
                <w:b w:val="1"/>
                <w:bCs w:val="1"/>
                <w:i w:val="1"/>
                <w:iCs w:val="1"/>
                <w:color w:val="auto"/>
              </w:rPr>
              <w:t>Operating</w:t>
            </w:r>
          </w:p>
        </w:tc>
        <w:tc>
          <w:tcPr>
            <w:tcW w:w="300" w:type="dxa"/>
            <w:vAlign w:val="bottom"/>
          </w:tcPr>
          <w:p>
            <w:pPr>
              <w:spacing w:after="0"/>
              <w:rPr>
                <w:sz w:val="14"/>
                <w:szCs w:val="14"/>
                <w:color w:val="auto"/>
              </w:rPr>
            </w:pPr>
          </w:p>
        </w:tc>
        <w:tc>
          <w:tcPr>
            <w:tcW w:w="840" w:type="dxa"/>
            <w:vAlign w:val="bottom"/>
            <w:gridSpan w:val="3"/>
          </w:tcPr>
          <w:p>
            <w:pPr>
              <w:jc w:val="center"/>
              <w:ind w:right="60"/>
              <w:spacing w:after="0" w:line="172" w:lineRule="exact"/>
              <w:rPr>
                <w:sz w:val="20"/>
                <w:szCs w:val="20"/>
                <w:color w:val="auto"/>
              </w:rPr>
            </w:pPr>
            <w:r>
              <w:rPr>
                <w:rFonts w:ascii="Arial" w:cs="Arial" w:eastAsia="Arial" w:hAnsi="Arial"/>
                <w:sz w:val="15"/>
                <w:szCs w:val="15"/>
                <w:b w:val="1"/>
                <w:bCs w:val="1"/>
                <w:i w:val="1"/>
                <w:iCs w:val="1"/>
                <w:color w:val="auto"/>
                <w:w w:val="87"/>
              </w:rPr>
              <w:t>Operating</w:t>
            </w:r>
          </w:p>
        </w:tc>
        <w:tc>
          <w:tcPr>
            <w:tcW w:w="120" w:type="dxa"/>
            <w:vAlign w:val="bottom"/>
          </w:tcPr>
          <w:p>
            <w:pPr>
              <w:spacing w:after="0"/>
              <w:rPr>
                <w:sz w:val="14"/>
                <w:szCs w:val="14"/>
                <w:color w:val="auto"/>
              </w:rPr>
            </w:pPr>
          </w:p>
        </w:tc>
        <w:tc>
          <w:tcPr>
            <w:tcW w:w="920" w:type="dxa"/>
            <w:vAlign w:val="bottom"/>
            <w:gridSpan w:val="2"/>
          </w:tcPr>
          <w:p>
            <w:pPr>
              <w:jc w:val="center"/>
              <w:ind w:right="20"/>
              <w:spacing w:after="0" w:line="172" w:lineRule="exact"/>
              <w:rPr>
                <w:sz w:val="20"/>
                <w:szCs w:val="20"/>
                <w:color w:val="auto"/>
              </w:rPr>
            </w:pPr>
            <w:r>
              <w:rPr>
                <w:rFonts w:ascii="Arial" w:cs="Arial" w:eastAsia="Arial" w:hAnsi="Arial"/>
                <w:sz w:val="15"/>
                <w:szCs w:val="15"/>
                <w:b w:val="1"/>
                <w:bCs w:val="1"/>
                <w:i w:val="1"/>
                <w:iCs w:val="1"/>
                <w:color w:val="auto"/>
                <w:w w:val="87"/>
              </w:rPr>
              <w:t>Operating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Segment Operating Income</w:t>
            </w:r>
          </w:p>
        </w:tc>
        <w:tc>
          <w:tcPr>
            <w:tcW w:w="960" w:type="dxa"/>
            <w:vAlign w:val="bottom"/>
            <w:gridSpan w:val="3"/>
          </w:tcPr>
          <w:p>
            <w:pPr>
              <w:ind w:left="20"/>
              <w:spacing w:after="0"/>
              <w:rPr>
                <w:sz w:val="20"/>
                <w:szCs w:val="20"/>
                <w:color w:val="auto"/>
              </w:rPr>
            </w:pPr>
            <w:r>
              <w:rPr>
                <w:rFonts w:ascii="Arial" w:cs="Arial" w:eastAsia="Arial" w:hAnsi="Arial"/>
                <w:sz w:val="15"/>
                <w:szCs w:val="15"/>
                <w:b w:val="1"/>
                <w:bCs w:val="1"/>
                <w:i w:val="1"/>
                <w:iCs w:val="1"/>
                <w:color w:val="auto"/>
                <w:w w:val="88"/>
              </w:rPr>
              <w:t>Income (Loss)</w:t>
            </w:r>
          </w:p>
        </w:tc>
        <w:tc>
          <w:tcPr>
            <w:tcW w:w="10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5"/>
                <w:szCs w:val="15"/>
                <w:b w:val="1"/>
                <w:bCs w:val="1"/>
                <w:i w:val="1"/>
                <w:iCs w:val="1"/>
                <w:color w:val="auto"/>
                <w:w w:val="93"/>
              </w:rPr>
              <w:t>Margin</w:t>
            </w:r>
          </w:p>
        </w:tc>
        <w:tc>
          <w:tcPr>
            <w:tcW w:w="22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Arial" w:cs="Arial" w:eastAsia="Arial" w:hAnsi="Arial"/>
                <w:sz w:val="15"/>
                <w:szCs w:val="15"/>
                <w:b w:val="1"/>
                <w:bCs w:val="1"/>
                <w:i w:val="1"/>
                <w:iCs w:val="1"/>
                <w:color w:val="auto"/>
                <w:w w:val="98"/>
              </w:rPr>
              <w:t>Income (Loss)</w:t>
            </w:r>
          </w:p>
        </w:tc>
        <w:tc>
          <w:tcPr>
            <w:tcW w:w="1020" w:type="dxa"/>
            <w:vAlign w:val="bottom"/>
            <w:gridSpan w:val="2"/>
          </w:tcPr>
          <w:p>
            <w:pPr>
              <w:ind w:left="220"/>
              <w:spacing w:after="0"/>
              <w:rPr>
                <w:sz w:val="20"/>
                <w:szCs w:val="20"/>
                <w:color w:val="auto"/>
              </w:rPr>
            </w:pPr>
            <w:r>
              <w:rPr>
                <w:rFonts w:ascii="Arial" w:cs="Arial" w:eastAsia="Arial" w:hAnsi="Arial"/>
                <w:sz w:val="15"/>
                <w:szCs w:val="15"/>
                <w:b w:val="1"/>
                <w:bCs w:val="1"/>
                <w:i w:val="1"/>
                <w:iCs w:val="1"/>
                <w:color w:val="auto"/>
              </w:rPr>
              <w:t>Margin</w:t>
            </w:r>
          </w:p>
        </w:tc>
        <w:tc>
          <w:tcPr>
            <w:tcW w:w="20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5"/>
                <w:szCs w:val="15"/>
                <w:b w:val="1"/>
                <w:bCs w:val="1"/>
                <w:i w:val="1"/>
                <w:iCs w:val="1"/>
                <w:color w:val="auto"/>
                <w:w w:val="90"/>
              </w:rPr>
              <w:t>Income (Loss)</w:t>
            </w:r>
          </w:p>
        </w:tc>
        <w:tc>
          <w:tcPr>
            <w:tcW w:w="900" w:type="dxa"/>
            <w:vAlign w:val="bottom"/>
            <w:gridSpan w:val="3"/>
          </w:tcPr>
          <w:p>
            <w:pPr>
              <w:jc w:val="right"/>
              <w:ind w:right="220"/>
              <w:spacing w:after="0"/>
              <w:rPr>
                <w:sz w:val="20"/>
                <w:szCs w:val="20"/>
                <w:color w:val="auto"/>
              </w:rPr>
            </w:pPr>
            <w:r>
              <w:rPr>
                <w:rFonts w:ascii="Arial" w:cs="Arial" w:eastAsia="Arial" w:hAnsi="Arial"/>
                <w:sz w:val="15"/>
                <w:szCs w:val="15"/>
                <w:b w:val="1"/>
                <w:bCs w:val="1"/>
                <w:i w:val="1"/>
                <w:iCs w:val="1"/>
                <w:color w:val="auto"/>
              </w:rPr>
              <w:t>Margin</w:t>
            </w:r>
          </w:p>
        </w:tc>
        <w:tc>
          <w:tcPr>
            <w:tcW w:w="30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5"/>
                <w:szCs w:val="15"/>
                <w:b w:val="1"/>
                <w:bCs w:val="1"/>
                <w:i w:val="1"/>
                <w:iCs w:val="1"/>
                <w:color w:val="auto"/>
                <w:w w:val="82"/>
              </w:rPr>
              <w:t>Income (Loss)</w:t>
            </w:r>
          </w:p>
        </w:tc>
        <w:tc>
          <w:tcPr>
            <w:tcW w:w="120" w:type="dxa"/>
            <w:vAlign w:val="bottom"/>
          </w:tcPr>
          <w:p>
            <w:pPr>
              <w:spacing w:after="0"/>
              <w:rPr>
                <w:sz w:val="16"/>
                <w:szCs w:val="16"/>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5"/>
                <w:szCs w:val="15"/>
                <w:b w:val="1"/>
                <w:bCs w:val="1"/>
                <w:i w:val="1"/>
                <w:iCs w:val="1"/>
                <w:color w:val="auto"/>
                <w:w w:val="93"/>
              </w:rPr>
              <w:t>Margin</w:t>
            </w:r>
          </w:p>
        </w:tc>
        <w:tc>
          <w:tcPr>
            <w:tcW w:w="0" w:type="dxa"/>
            <w:vAlign w:val="bottom"/>
          </w:tcPr>
          <w:p>
            <w:pPr>
              <w:spacing w:after="0"/>
              <w:rPr>
                <w:sz w:val="1"/>
                <w:szCs w:val="1"/>
                <w:color w:val="auto"/>
              </w:rPr>
            </w:pPr>
          </w:p>
        </w:tc>
      </w:tr>
      <w:tr>
        <w:trPr>
          <w:trHeight w:val="182"/>
        </w:trPr>
        <w:tc>
          <w:tcPr>
            <w:tcW w:w="2860" w:type="dxa"/>
            <w:vAlign w:val="bottom"/>
            <w:gridSpan w:val="2"/>
          </w:tcPr>
          <w:p>
            <w:pPr>
              <w:spacing w:after="0"/>
              <w:rPr>
                <w:sz w:val="20"/>
                <w:szCs w:val="20"/>
                <w:color w:val="auto"/>
              </w:rPr>
            </w:pPr>
            <w:r>
              <w:rPr>
                <w:rFonts w:ascii="Arial" w:cs="Arial" w:eastAsia="Arial" w:hAnsi="Arial"/>
                <w:sz w:val="15"/>
                <w:szCs w:val="15"/>
                <w:b w:val="1"/>
                <w:bCs w:val="1"/>
                <w:i w:val="1"/>
                <w:iCs w:val="1"/>
                <w:color w:val="auto"/>
              </w:rPr>
              <w:t>(Loss) and Operating Margin</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center"/>
              <w:ind w:right="24"/>
              <w:spacing w:after="0"/>
              <w:rPr>
                <w:sz w:val="20"/>
                <w:szCs w:val="20"/>
                <w:color w:val="auto"/>
              </w:rPr>
            </w:pPr>
            <w:r>
              <w:rPr>
                <w:rFonts w:ascii="Arial" w:cs="Arial" w:eastAsia="Arial" w:hAnsi="Arial"/>
                <w:sz w:val="15"/>
                <w:szCs w:val="15"/>
                <w:b w:val="1"/>
                <w:bCs w:val="1"/>
                <w:color w:val="auto"/>
                <w:w w:val="92"/>
              </w:rPr>
              <w:t>(millions)</w:t>
            </w: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(millions)</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top w:val="single" w:sz="8" w:color="auto"/>
            </w:tcBorders>
            <w:gridSpan w:val="2"/>
          </w:tcPr>
          <w:p>
            <w:pPr>
              <w:jc w:val="center"/>
              <w:ind w:right="4"/>
              <w:spacing w:after="0"/>
              <w:rPr>
                <w:sz w:val="20"/>
                <w:szCs w:val="20"/>
                <w:color w:val="auto"/>
              </w:rPr>
            </w:pPr>
            <w:r>
              <w:rPr>
                <w:rFonts w:ascii="Arial" w:cs="Arial" w:eastAsia="Arial" w:hAnsi="Arial"/>
                <w:sz w:val="15"/>
                <w:szCs w:val="15"/>
                <w:b w:val="1"/>
                <w:bCs w:val="1"/>
                <w:color w:val="auto"/>
                <w:w w:val="92"/>
              </w:rPr>
              <w:t>(millions)</w:t>
            </w: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5"/>
                <w:szCs w:val="15"/>
                <w:b w:val="1"/>
                <w:bCs w:val="1"/>
                <w:color w:val="auto"/>
                <w:w w:val="92"/>
              </w:rPr>
              <w:t>(millions)</w:t>
            </w: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Itron North America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800" w:type="dxa"/>
            <w:vAlign w:val="bottom"/>
            <w:tcBorders>
              <w:left w:val="single" w:sz="8" w:color="CCEEFF"/>
            </w:tcBorders>
            <w:gridSpan w:val="2"/>
            <w:shd w:val="clear" w:color="auto" w:fill="CCEEFF"/>
          </w:tcPr>
          <w:p>
            <w:pPr>
              <w:jc w:val="center"/>
              <w:ind w:left="364"/>
              <w:spacing w:after="0"/>
              <w:rPr>
                <w:sz w:val="20"/>
                <w:szCs w:val="20"/>
                <w:color w:val="auto"/>
              </w:rPr>
            </w:pPr>
            <w:r>
              <w:rPr>
                <w:rFonts w:ascii="Arial" w:cs="Arial" w:eastAsia="Arial" w:hAnsi="Arial"/>
                <w:sz w:val="15"/>
                <w:szCs w:val="15"/>
                <w:color w:val="auto"/>
                <w:w w:val="93"/>
              </w:rPr>
              <w:t>12%</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15.0</w:t>
            </w:r>
          </w:p>
        </w:tc>
        <w:tc>
          <w:tcPr>
            <w:tcW w:w="90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86"/>
              </w:rPr>
              <w:t>11%</w:t>
            </w: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37.9</w:t>
            </w:r>
          </w:p>
        </w:tc>
        <w:tc>
          <w:tcPr>
            <w:tcW w:w="900" w:type="dxa"/>
            <w:vAlign w:val="bottom"/>
            <w:gridSpan w:val="3"/>
            <w:shd w:val="clear" w:color="auto" w:fill="CCEEFF"/>
          </w:tcPr>
          <w:p>
            <w:pPr>
              <w:jc w:val="center"/>
              <w:ind w:left="24"/>
              <w:spacing w:after="0"/>
              <w:rPr>
                <w:sz w:val="20"/>
                <w:szCs w:val="20"/>
                <w:color w:val="auto"/>
              </w:rPr>
            </w:pPr>
            <w:r>
              <w:rPr>
                <w:rFonts w:ascii="Arial" w:cs="Arial" w:eastAsia="Arial" w:hAnsi="Arial"/>
                <w:sz w:val="15"/>
                <w:szCs w:val="15"/>
                <w:color w:val="auto"/>
                <w:w w:val="93"/>
              </w:rPr>
              <w:t>12%</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33.5</w:t>
            </w:r>
          </w:p>
        </w:tc>
        <w:tc>
          <w:tcPr>
            <w:tcW w:w="1020" w:type="dxa"/>
            <w:vAlign w:val="bottom"/>
            <w:tcBorders>
              <w:left w:val="single" w:sz="8" w:color="CCEEFF"/>
            </w:tcBorders>
            <w:gridSpan w:val="2"/>
            <w:shd w:val="clear" w:color="auto" w:fill="CCEEFF"/>
          </w:tcPr>
          <w:p>
            <w:pPr>
              <w:jc w:val="center"/>
              <w:ind w:left="144"/>
              <w:spacing w:after="0"/>
              <w:rPr>
                <w:sz w:val="20"/>
                <w:szCs w:val="20"/>
                <w:color w:val="auto"/>
              </w:rPr>
            </w:pPr>
            <w:r>
              <w:rPr>
                <w:rFonts w:ascii="Arial" w:cs="Arial" w:eastAsia="Arial" w:hAnsi="Arial"/>
                <w:sz w:val="15"/>
                <w:szCs w:val="15"/>
                <w:color w:val="auto"/>
                <w:w w:val="93"/>
              </w:rPr>
              <w:t>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60" w:type="dxa"/>
            <w:vAlign w:val="bottom"/>
            <w:gridSpan w:val="2"/>
          </w:tcPr>
          <w:p>
            <w:pPr>
              <w:ind w:left="560"/>
              <w:spacing w:after="0"/>
              <w:rPr>
                <w:sz w:val="20"/>
                <w:szCs w:val="20"/>
                <w:color w:val="auto"/>
              </w:rPr>
            </w:pPr>
            <w:r>
              <w:rPr>
                <w:rFonts w:ascii="Arial" w:cs="Arial" w:eastAsia="Arial" w:hAnsi="Arial"/>
                <w:sz w:val="15"/>
                <w:szCs w:val="15"/>
                <w:color w:val="auto"/>
              </w:rPr>
              <w:t>Actaris</w:t>
            </w: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25.4</w:t>
            </w:r>
          </w:p>
        </w:tc>
        <w:tc>
          <w:tcPr>
            <w:tcW w:w="800" w:type="dxa"/>
            <w:vAlign w:val="bottom"/>
            <w:gridSpan w:val="2"/>
          </w:tcPr>
          <w:p>
            <w:pPr>
              <w:jc w:val="center"/>
              <w:ind w:left="364"/>
              <w:spacing w:after="0"/>
              <w:rPr>
                <w:sz w:val="20"/>
                <w:szCs w:val="20"/>
                <w:color w:val="auto"/>
              </w:rPr>
            </w:pPr>
            <w:r>
              <w:rPr>
                <w:rFonts w:ascii="Arial" w:cs="Arial" w:eastAsia="Arial" w:hAnsi="Arial"/>
                <w:sz w:val="15"/>
                <w:szCs w:val="15"/>
                <w:color w:val="auto"/>
                <w:w w:val="92"/>
              </w:rPr>
              <w:t>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(30.5)</w:t>
            </w:r>
          </w:p>
        </w:tc>
        <w:tc>
          <w:tcPr>
            <w:tcW w:w="900" w:type="dxa"/>
            <w:vAlign w:val="bottom"/>
          </w:tcPr>
          <w:p>
            <w:pPr>
              <w:jc w:val="center"/>
              <w:ind w:left="44"/>
              <w:spacing w:after="0"/>
              <w:rPr>
                <w:sz w:val="20"/>
                <w:szCs w:val="20"/>
                <w:color w:val="auto"/>
              </w:rPr>
            </w:pPr>
            <w:r>
              <w:rPr>
                <w:rFonts w:ascii="Arial" w:cs="Arial" w:eastAsia="Arial" w:hAnsi="Arial"/>
                <w:sz w:val="15"/>
                <w:szCs w:val="15"/>
                <w:color w:val="auto"/>
                <w:w w:val="94"/>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45.1</w:t>
            </w:r>
          </w:p>
        </w:tc>
        <w:tc>
          <w:tcPr>
            <w:tcW w:w="380" w:type="dxa"/>
            <w:vAlign w:val="bottom"/>
          </w:tcPr>
          <w:p>
            <w:pPr>
              <w:spacing w:after="0"/>
              <w:rPr>
                <w:sz w:val="17"/>
                <w:szCs w:val="17"/>
                <w:color w:val="auto"/>
              </w:rPr>
            </w:pPr>
          </w:p>
        </w:tc>
        <w:tc>
          <w:tcPr>
            <w:tcW w:w="240" w:type="dxa"/>
            <w:vAlign w:val="bottom"/>
          </w:tcPr>
          <w:p>
            <w:pPr>
              <w:jc w:val="center"/>
              <w:spacing w:after="0"/>
              <w:rPr>
                <w:sz w:val="20"/>
                <w:szCs w:val="20"/>
                <w:color w:val="auto"/>
              </w:rPr>
            </w:pPr>
            <w:r>
              <w:rPr>
                <w:rFonts w:ascii="Arial" w:cs="Arial" w:eastAsia="Arial" w:hAnsi="Arial"/>
                <w:sz w:val="15"/>
                <w:szCs w:val="15"/>
                <w:color w:val="auto"/>
                <w:w w:val="92"/>
              </w:rPr>
              <w:t>7%</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(32.2)</w:t>
            </w:r>
          </w:p>
        </w:tc>
        <w:tc>
          <w:tcPr>
            <w:tcW w:w="1020" w:type="dxa"/>
            <w:vAlign w:val="bottom"/>
            <w:gridSpan w:val="2"/>
          </w:tcPr>
          <w:p>
            <w:pPr>
              <w:jc w:val="center"/>
              <w:ind w:left="164"/>
              <w:spacing w:after="0"/>
              <w:rPr>
                <w:sz w:val="20"/>
                <w:szCs w:val="20"/>
                <w:color w:val="auto"/>
              </w:rPr>
            </w:pPr>
            <w:r>
              <w:rPr>
                <w:rFonts w:ascii="Arial" w:cs="Arial" w:eastAsia="Arial" w:hAnsi="Arial"/>
                <w:sz w:val="15"/>
                <w:szCs w:val="15"/>
                <w:color w:val="auto"/>
                <w:w w:val="94"/>
              </w:rPr>
              <w:t>(12%)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86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Corporate unallocated</w:t>
            </w:r>
          </w:p>
        </w:tc>
        <w:tc>
          <w:tcPr>
            <w:tcW w:w="80" w:type="dxa"/>
            <w:vAlign w:val="bottom"/>
            <w:shd w:val="clear" w:color="auto" w:fill="CCEEFF"/>
          </w:tcPr>
          <w:p>
            <w:pPr>
              <w:spacing w:after="0"/>
              <w:rPr>
                <w:sz w:val="15"/>
                <w:szCs w:val="15"/>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0" w:type="dxa"/>
            <w:vAlign w:val="bottom"/>
            <w:tcBorders>
              <w:lef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(7.9)</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(19.5)</w:t>
            </w:r>
          </w:p>
        </w:tc>
        <w:tc>
          <w:tcPr>
            <w:tcW w:w="38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20" w:type="dxa"/>
            <w:vAlign w:val="bottom"/>
            <w:tcBorders>
              <w:left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 w:type="dxa"/>
            <w:vAlign w:val="bottom"/>
          </w:tcPr>
          <w:p>
            <w:pPr>
              <w:spacing w:after="0"/>
              <w:rPr>
                <w:sz w:val="17"/>
                <w:szCs w:val="17"/>
                <w:color w:val="auto"/>
              </w:rPr>
            </w:pPr>
          </w:p>
        </w:tc>
        <w:tc>
          <w:tcPr>
            <w:tcW w:w="2020" w:type="dxa"/>
            <w:vAlign w:val="bottom"/>
          </w:tcPr>
          <w:p>
            <w:pPr>
              <w:ind w:left="300"/>
              <w:spacing w:after="0"/>
              <w:rPr>
                <w:sz w:val="20"/>
                <w:szCs w:val="20"/>
                <w:color w:val="auto"/>
              </w:rPr>
            </w:pPr>
            <w:r>
              <w:rPr>
                <w:rFonts w:ascii="Arial" w:cs="Arial" w:eastAsia="Arial" w:hAnsi="Arial"/>
                <w:sz w:val="15"/>
                <w:szCs w:val="15"/>
                <w:color w:val="auto"/>
              </w:rPr>
              <w:t>Total Company</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36.2</w:t>
            </w:r>
          </w:p>
        </w:tc>
        <w:tc>
          <w:tcPr>
            <w:tcW w:w="800" w:type="dxa"/>
            <w:vAlign w:val="bottom"/>
            <w:gridSpan w:val="2"/>
          </w:tcPr>
          <w:p>
            <w:pPr>
              <w:jc w:val="center"/>
              <w:ind w:left="364"/>
              <w:spacing w:after="0"/>
              <w:rPr>
                <w:sz w:val="20"/>
                <w:szCs w:val="20"/>
                <w:color w:val="auto"/>
              </w:rPr>
            </w:pPr>
            <w:r>
              <w:rPr>
                <w:rFonts w:ascii="Arial" w:cs="Arial" w:eastAsia="Arial" w:hAnsi="Arial"/>
                <w:sz w:val="15"/>
                <w:szCs w:val="15"/>
                <w:color w:val="auto"/>
                <w:w w:val="92"/>
              </w:rPr>
              <w:t>7%</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(23.4)</w:t>
            </w:r>
          </w:p>
        </w:tc>
        <w:tc>
          <w:tcPr>
            <w:tcW w:w="900" w:type="dxa"/>
            <w:vAlign w:val="bottom"/>
          </w:tcPr>
          <w:p>
            <w:pPr>
              <w:jc w:val="center"/>
              <w:ind w:left="44"/>
              <w:spacing w:after="0"/>
              <w:rPr>
                <w:sz w:val="20"/>
                <w:szCs w:val="20"/>
                <w:color w:val="auto"/>
              </w:rPr>
            </w:pPr>
            <w:r>
              <w:rPr>
                <w:rFonts w:ascii="Arial" w:cs="Arial" w:eastAsia="Arial" w:hAnsi="Arial"/>
                <w:sz w:val="15"/>
                <w:szCs w:val="15"/>
                <w:color w:val="auto"/>
                <w:w w:val="94"/>
              </w:rPr>
              <w:t>(6%)</w:t>
            </w:r>
          </w:p>
        </w:tc>
        <w:tc>
          <w:tcPr>
            <w:tcW w:w="120" w:type="dxa"/>
            <w:vAlign w:val="bottom"/>
          </w:tcPr>
          <w:p>
            <w:pPr>
              <w:spacing w:after="0"/>
              <w:rPr>
                <w:sz w:val="17"/>
                <w:szCs w:val="17"/>
                <w:color w:val="auto"/>
              </w:rPr>
            </w:pPr>
          </w:p>
        </w:tc>
        <w:tc>
          <w:tcPr>
            <w:tcW w:w="20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120"/>
              <w:spacing w:after="0"/>
              <w:rPr>
                <w:sz w:val="20"/>
                <w:szCs w:val="20"/>
                <w:color w:val="auto"/>
              </w:rPr>
            </w:pPr>
            <w:r>
              <w:rPr>
                <w:rFonts w:ascii="Arial" w:cs="Arial" w:eastAsia="Arial" w:hAnsi="Arial"/>
                <w:sz w:val="15"/>
                <w:szCs w:val="15"/>
                <w:color w:val="auto"/>
              </w:rPr>
              <w:t>63.5</w:t>
            </w:r>
          </w:p>
        </w:tc>
        <w:tc>
          <w:tcPr>
            <w:tcW w:w="380" w:type="dxa"/>
            <w:vAlign w:val="bottom"/>
          </w:tcPr>
          <w:p>
            <w:pPr>
              <w:spacing w:after="0"/>
              <w:rPr>
                <w:sz w:val="17"/>
                <w:szCs w:val="17"/>
                <w:color w:val="auto"/>
              </w:rPr>
            </w:pPr>
          </w:p>
        </w:tc>
        <w:tc>
          <w:tcPr>
            <w:tcW w:w="240" w:type="dxa"/>
            <w:vAlign w:val="bottom"/>
          </w:tcPr>
          <w:p>
            <w:pPr>
              <w:jc w:val="center"/>
              <w:spacing w:after="0"/>
              <w:rPr>
                <w:sz w:val="20"/>
                <w:szCs w:val="20"/>
                <w:color w:val="auto"/>
              </w:rPr>
            </w:pPr>
            <w:r>
              <w:rPr>
                <w:rFonts w:ascii="Arial" w:cs="Arial" w:eastAsia="Arial" w:hAnsi="Arial"/>
                <w:sz w:val="15"/>
                <w:szCs w:val="15"/>
                <w:color w:val="auto"/>
                <w:w w:val="92"/>
              </w:rPr>
              <w:t>6%</w:t>
            </w:r>
          </w:p>
        </w:tc>
        <w:tc>
          <w:tcPr>
            <w:tcW w:w="28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3"/>
          </w:tcPr>
          <w:p>
            <w:pPr>
              <w:jc w:val="right"/>
              <w:spacing w:after="0"/>
              <w:rPr>
                <w:sz w:val="20"/>
                <w:szCs w:val="20"/>
                <w:color w:val="auto"/>
              </w:rPr>
            </w:pPr>
            <w:r>
              <w:rPr>
                <w:rFonts w:ascii="Arial" w:cs="Arial" w:eastAsia="Arial" w:hAnsi="Arial"/>
                <w:sz w:val="15"/>
                <w:szCs w:val="15"/>
                <w:color w:val="auto"/>
              </w:rPr>
              <w:t>(14.1)</w:t>
            </w:r>
          </w:p>
        </w:tc>
        <w:tc>
          <w:tcPr>
            <w:tcW w:w="1020" w:type="dxa"/>
            <w:vAlign w:val="bottom"/>
            <w:gridSpan w:val="2"/>
          </w:tcPr>
          <w:p>
            <w:pPr>
              <w:jc w:val="center"/>
              <w:ind w:left="164"/>
              <w:spacing w:after="0"/>
              <w:rPr>
                <w:sz w:val="20"/>
                <w:szCs w:val="20"/>
                <w:color w:val="auto"/>
              </w:rPr>
            </w:pPr>
            <w:r>
              <w:rPr>
                <w:rFonts w:ascii="Arial" w:cs="Arial" w:eastAsia="Arial" w:hAnsi="Arial"/>
                <w:sz w:val="15"/>
                <w:szCs w:val="15"/>
                <w:color w:val="auto"/>
                <w:w w:val="94"/>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color w:val="auto"/>
        </w:rPr>
        <w:t>Itron North America</w:t>
      </w:r>
      <w:r>
        <w:rPr>
          <w:rFonts w:ascii="Arial" w:cs="Arial" w:eastAsia="Arial" w:hAnsi="Arial"/>
          <w:sz w:val="14"/>
          <w:szCs w:val="14"/>
          <w:color w:val="auto"/>
        </w:rPr>
        <w:t>: Revenues increased $22.7 million, or 16%, in the second quarter of 2008, compared with the second quarter of 2007, due to an 18% increase in meter shipments, a</w:t>
      </w:r>
      <w:r>
        <w:rPr>
          <w:rFonts w:ascii="Arial" w:cs="Arial" w:eastAsia="Arial" w:hAnsi="Arial"/>
          <w:sz w:val="14"/>
          <w:szCs w:val="14"/>
          <w:i w:val="1"/>
          <w:iCs w:val="1"/>
          <w:color w:val="auto"/>
        </w:rPr>
        <w:t xml:space="preserve"> </w:t>
      </w:r>
      <w:r>
        <w:rPr>
          <w:rFonts w:ascii="Arial" w:cs="Arial" w:eastAsia="Arial" w:hAnsi="Arial"/>
          <w:sz w:val="14"/>
          <w:szCs w:val="14"/>
          <w:color w:val="auto"/>
        </w:rPr>
        <w:t>34% increase in standalone water AMR shipments and related implementation and installation. Revenues increased $31.2 million, or 11%, in the six months ended June 30, 2008, compared with the same period in 2007, due to a 14% increase in meter shipments, an 18% increase in standalone water AMR shipments and related implementation and installation. Approximately 64% and 62% of our meters sold in the three and six months ended June 30, 2008 were equipped with our AMR technology, compared with 40% and 42% for the same periods in 2007, respectively. Gross margin decreased by two and three percentage points in the three and six months ended June 30, 2008, compared with the same periods in 2007, due to costs associated with the first version of our AMI meters, a lower mix of C&amp;I meter sales and increased services costs.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One customer represented 13% and 14% of the Itron North America operating segment revenues in the second quarter and first half of 2008, respectively. No single customer accounted for more than 10% of the Itron North America operating segment revenues for the three and six months ended June 30, 2007.</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Itron North America operating expenses as a percentage of revenues were 28% for the three and six months ended June 30, 2008, compared with 32% and 31% for the same periods in 2007. This decrease is primarily the result of higher revenue in 2008 and decreasing amortization of intangible assets.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Actaris</w:t>
      </w:r>
      <w:r>
        <w:rPr>
          <w:rFonts w:ascii="Arial" w:cs="Arial" w:eastAsia="Arial" w:hAnsi="Arial"/>
          <w:sz w:val="15"/>
          <w:szCs w:val="15"/>
          <w:color w:val="auto"/>
        </w:rPr>
        <w:t>: Actaris was acquired on April 18, 2007. As we continue to integrate the Actaris acquisition and align our operations, certain operations not located in North America that were</w:t>
      </w:r>
      <w:r>
        <w:rPr>
          <w:rFonts w:ascii="Arial" w:cs="Arial" w:eastAsia="Arial" w:hAnsi="Arial"/>
          <w:sz w:val="15"/>
          <w:szCs w:val="15"/>
          <w:i w:val="1"/>
          <w:iCs w:val="1"/>
          <w:color w:val="auto"/>
        </w:rPr>
        <w:t xml:space="preserve"> </w:t>
      </w:r>
      <w:r>
        <w:rPr>
          <w:rFonts w:ascii="Arial" w:cs="Arial" w:eastAsia="Arial" w:hAnsi="Arial"/>
          <w:sz w:val="15"/>
          <w:szCs w:val="15"/>
          <w:color w:val="auto"/>
        </w:rPr>
        <w:t>previously reported within the Itron North America operating segment were moved to the Actaris operating segment on January 1, 2008. Therefore, historical segment information has been restated to conform to the January 1, 2008 reporting presentation.</w:t>
      </w:r>
    </w:p>
    <w:p>
      <w:pPr>
        <w:spacing w:after="0" w:line="183" w:lineRule="exact"/>
        <w:rPr>
          <w:sz w:val="20"/>
          <w:szCs w:val="20"/>
          <w:color w:val="auto"/>
        </w:rPr>
      </w:pPr>
    </w:p>
    <w:p>
      <w:pPr>
        <w:jc w:val="both"/>
        <w:spacing w:after="0" w:line="324" w:lineRule="auto"/>
        <w:rPr>
          <w:sz w:val="20"/>
          <w:szCs w:val="20"/>
          <w:color w:val="auto"/>
        </w:rPr>
      </w:pPr>
      <w:r>
        <w:rPr>
          <w:rFonts w:ascii="Arial" w:cs="Arial" w:eastAsia="Arial" w:hAnsi="Arial"/>
          <w:sz w:val="13"/>
          <w:szCs w:val="13"/>
          <w:color w:val="auto"/>
        </w:rPr>
        <w:t>Actaris revenues were $349.2 million for the three months ended June 30, 2008 with 39%, 32% and 29% from electricity, gas and water meter products and services, respectively. Actaris revenues were $677.5 million for the six months ended June 30, 2008 with 38%, 31% and 31% from electricity, gas and water meter products and services, respectively. Actaris revenues were $259.6 million and $265.8 million for the three and six months ended June 30, 2007 with 43%, 30% and 27% from electricity, gas and water meter products and services, respectively.</w:t>
      </w:r>
    </w:p>
    <w:p>
      <w:pPr>
        <w:spacing w:after="0" w:line="14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Actaris revenues increased in 2008 as a result of full period results in 2008, as compared with 2007 when we began including Actaris’ results of operations from the date of acquisition on April 18, 2007. Gross margins increased in 2008, compared with 2007, primarily as a result of a six percentage point reduction in 2007 due to the revaluation of inventory on hand at the acquisition date in accordance with business combination accounting rules, which increased cost of sales in the three months ended June 30, 2007. Gross margins were also favorably impacted in 2008 by a higher mix of gas meter shipments and commercial and industrial (C&amp;I) electricity meters, which have a higher functionality than residential meters.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No single customer represented more than 10% of Actaris operating segment revenues for the three and six months ended June 30, 2008 or 2007.</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Operating expenses for Actaris were $84.9 million and $169.2 million for the three and six months ended June 30, 2008, compared with $94.9 million and $97.3 million for the three and six months ended June 30, 2007. Operating expenses for the three months ended June 30, 2007 consisted of operations commencing on the date of acquisition and $35.6 million of in-process research and development (IPR&amp;D) recorded in accordance with business combination accounting rules.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i w:val="1"/>
          <w:iCs w:val="1"/>
          <w:color w:val="auto"/>
        </w:rPr>
        <w:t xml:space="preserve">Corporate unallocated: </w:t>
      </w:r>
      <w:r>
        <w:rPr>
          <w:rFonts w:ascii="Arial" w:cs="Arial" w:eastAsia="Arial" w:hAnsi="Arial"/>
          <w:sz w:val="15"/>
          <w:szCs w:val="15"/>
          <w:color w:val="auto"/>
        </w:rPr>
        <w:t>Operating expenses not directly associated with an operating segment are classified as “Corporate unallocated.” Corporate unallocated expenses increased $1.8</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and $4.1 million for the three and six months ended June 30, 2008, compared with the same periods last year, due to increased compensation and financial integration expenses. As a percentage of total Company revenues, corporate unallocated expenses were 2% for the three and six months ended June 30, 2008, compared with 2% and 3% for the same periods in 2007,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Bookings and Backlog of Orders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Bookings for a reported period represent contracts and firm purchase orders received during the specified period. Total backlog represents committed but undelivered contracts and purchase orders at period end. Twelve-month backlog represents the portion of total backlog that we estimate will be recognized as revenue over the next twelve months. Bookings and backlog exclude maintenance-related activity. Customer agreements that contain cancellation for convenience terms are generally not reflected in bookings and backlog until certain conditions are met. Backlog is not a complete measure of our future business due to these customer agreements, as well as significant book-and-ship orders. Bookings and backlog can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00" w:type="dxa"/>
            <w:vAlign w:val="bottom"/>
          </w:tcPr>
          <w:p>
            <w:pPr>
              <w:spacing w:after="0"/>
              <w:rPr>
                <w:sz w:val="20"/>
                <w:szCs w:val="20"/>
                <w:color w:val="auto"/>
              </w:rPr>
            </w:pPr>
            <w:r>
              <w:rPr>
                <w:rFonts w:ascii="Arial" w:cs="Arial" w:eastAsia="Arial" w:hAnsi="Arial"/>
                <w:sz w:val="15"/>
                <w:szCs w:val="15"/>
                <w:color w:val="auto"/>
                <w:w w:val="99"/>
              </w:rPr>
              <w:t>Information on bookings and backlog is summarized as follows: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9"/>
        </w:trPr>
        <w:tc>
          <w:tcPr>
            <w:tcW w:w="4200" w:type="dxa"/>
            <w:vAlign w:val="bottom"/>
          </w:tcPr>
          <w:p>
            <w:pPr>
              <w:spacing w:after="0"/>
              <w:rPr>
                <w:sz w:val="20"/>
                <w:szCs w:val="20"/>
                <w:color w:val="auto"/>
              </w:rPr>
            </w:pPr>
            <w:r>
              <w:rPr>
                <w:rFonts w:ascii="Arial" w:cs="Arial" w:eastAsia="Arial" w:hAnsi="Arial"/>
                <w:sz w:val="15"/>
                <w:szCs w:val="15"/>
                <w:b w:val="1"/>
                <w:bCs w:val="1"/>
                <w:color w:val="auto"/>
              </w:rPr>
              <w:t>Quarter 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w w:val="94"/>
              </w:rPr>
              <w:t>Total Bookings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5"/>
                <w:szCs w:val="15"/>
                <w:b w:val="1"/>
                <w:bCs w:val="1"/>
                <w:color w:val="auto"/>
              </w:rPr>
              <w:t>Total Backlog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5"/>
                <w:szCs w:val="15"/>
                <w:b w:val="1"/>
                <w:bCs w:val="1"/>
                <w:color w:val="auto"/>
              </w:rPr>
              <w:t>12-Month Backlog</w:t>
            </w:r>
          </w:p>
        </w:tc>
      </w:tr>
      <w:tr>
        <w:trPr>
          <w:trHeight w:val="182"/>
        </w:trPr>
        <w:tc>
          <w:tcPr>
            <w:tcW w:w="4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(in millions)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June 30, 2008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432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609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493</w:t>
            </w:r>
          </w:p>
        </w:tc>
      </w:tr>
      <w:tr>
        <w:trPr>
          <w:trHeight w:val="182"/>
        </w:trPr>
        <w:tc>
          <w:tcPr>
            <w:tcW w:w="4200" w:type="dxa"/>
            <w:vAlign w:val="bottom"/>
          </w:tcPr>
          <w:p>
            <w:pPr>
              <w:spacing w:after="0"/>
              <w:rPr>
                <w:sz w:val="20"/>
                <w:szCs w:val="20"/>
                <w:color w:val="auto"/>
              </w:rPr>
            </w:pPr>
            <w:r>
              <w:rPr>
                <w:rFonts w:ascii="Arial" w:cs="Arial" w:eastAsia="Arial" w:hAnsi="Arial"/>
                <w:sz w:val="15"/>
                <w:szCs w:val="15"/>
                <w:color w:val="auto"/>
              </w:rPr>
              <w:t>March 31, 2008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484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5"/>
                <w:szCs w:val="15"/>
                <w:color w:val="auto"/>
              </w:rPr>
              <w:t>683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552</w:t>
            </w:r>
          </w:p>
        </w:tc>
      </w:tr>
      <w:tr>
        <w:trPr>
          <w:trHeight w:val="182"/>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December 31, 2007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448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501</w:t>
            </w:r>
          </w:p>
        </w:tc>
      </w:tr>
      <w:tr>
        <w:trPr>
          <w:trHeight w:val="182"/>
        </w:trPr>
        <w:tc>
          <w:tcPr>
            <w:tcW w:w="4200" w:type="dxa"/>
            <w:vAlign w:val="bottom"/>
          </w:tcPr>
          <w:p>
            <w:pPr>
              <w:spacing w:after="0"/>
              <w:rPr>
                <w:sz w:val="20"/>
                <w:szCs w:val="20"/>
                <w:color w:val="auto"/>
              </w:rPr>
            </w:pPr>
            <w:r>
              <w:rPr>
                <w:rFonts w:ascii="Arial" w:cs="Arial" w:eastAsia="Arial" w:hAnsi="Arial"/>
                <w:sz w:val="15"/>
                <w:szCs w:val="15"/>
                <w:color w:val="auto"/>
              </w:rPr>
              <w:t>September 31, 2007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440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5"/>
                <w:szCs w:val="15"/>
                <w:color w:val="auto"/>
              </w:rPr>
              <w:t>668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494</w:t>
            </w:r>
          </w:p>
        </w:tc>
      </w:tr>
      <w:tr>
        <w:trPr>
          <w:trHeight w:val="182"/>
        </w:trPr>
        <w:tc>
          <w:tcPr>
            <w:tcW w:w="4200" w:type="dxa"/>
            <w:vAlign w:val="bottom"/>
            <w:shd w:val="clear" w:color="auto" w:fill="CCEEFF"/>
          </w:tcPr>
          <w:p>
            <w:pPr>
              <w:spacing w:after="0"/>
              <w:rPr>
                <w:sz w:val="20"/>
                <w:szCs w:val="20"/>
                <w:color w:val="auto"/>
              </w:rPr>
            </w:pPr>
            <w:r>
              <w:rPr>
                <w:rFonts w:ascii="Arial" w:cs="Arial" w:eastAsia="Arial" w:hAnsi="Arial"/>
                <w:sz w:val="15"/>
                <w:szCs w:val="15"/>
                <w:color w:val="auto"/>
              </w:rPr>
              <w:t>June 30, 2007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491</w:t>
            </w:r>
          </w:p>
        </w:tc>
      </w:tr>
      <w:tr>
        <w:trPr>
          <w:trHeight w:val="191"/>
        </w:trPr>
        <w:tc>
          <w:tcPr>
            <w:tcW w:w="4200" w:type="dxa"/>
            <w:vAlign w:val="bottom"/>
          </w:tcPr>
          <w:p>
            <w:pPr>
              <w:spacing w:after="0"/>
              <w:rPr>
                <w:sz w:val="20"/>
                <w:szCs w:val="20"/>
                <w:color w:val="auto"/>
              </w:rPr>
            </w:pPr>
            <w:r>
              <w:rPr>
                <w:rFonts w:ascii="Arial" w:cs="Arial" w:eastAsia="Arial" w:hAnsi="Arial"/>
                <w:sz w:val="15"/>
                <w:szCs w:val="15"/>
                <w:color w:val="auto"/>
              </w:rPr>
              <w:t>March 31, 2007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5"/>
                <w:szCs w:val="15"/>
                <w:color w:val="auto"/>
              </w:rPr>
              <w:t>118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5"/>
                <w:szCs w:val="15"/>
                <w:color w:val="auto"/>
              </w:rPr>
              <w:t>376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225</w:t>
            </w:r>
          </w:p>
        </w:tc>
      </w:tr>
    </w:tbl>
    <w:p>
      <w:pPr>
        <w:spacing w:after="0" w:line="185" w:lineRule="exact"/>
        <w:rPr>
          <w:sz w:val="20"/>
          <w:szCs w:val="20"/>
          <w:color w:val="auto"/>
        </w:rPr>
      </w:pPr>
    </w:p>
    <w:p>
      <w:pPr>
        <w:spacing w:after="0" w:line="315" w:lineRule="auto"/>
        <w:rPr>
          <w:sz w:val="20"/>
          <w:szCs w:val="20"/>
          <w:color w:val="auto"/>
        </w:rPr>
      </w:pPr>
      <w:r>
        <w:rPr>
          <w:rFonts w:ascii="Arial" w:cs="Arial" w:eastAsia="Arial" w:hAnsi="Arial"/>
          <w:sz w:val="14"/>
          <w:szCs w:val="14"/>
          <w:color w:val="auto"/>
        </w:rPr>
        <w:t>As we enter into AMI agreements to deploy our OpenWay® meter and communications system, we do not include these contracts in bookings and backlog until any necessary regulatory approvals are received or other certain conditions are met. As of June 30, 2008, we have not included any significant portion of our AMI agreements in bookings and backlog.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Expenses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our total operating expenses in dollars and as a percentage of revenues.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b w:val="1"/>
                <w:bCs w:val="1"/>
                <w:color w:val="auto"/>
                <w:w w:val="94"/>
              </w:rPr>
              <w:t>Three Months Ended June 30,</w:t>
            </w: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5"/>
                <w:szCs w:val="15"/>
                <w:b w:val="1"/>
                <w:bCs w:val="1"/>
                <w:color w:val="auto"/>
                <w:w w:val="96"/>
              </w:rPr>
              <w:t>Six Months Ended June 30,</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4"/>
        </w:trPr>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2008</w:t>
            </w: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 of Revenue</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2007</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1"/>
              </w:rPr>
              <w:t>% of Revenue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2008</w:t>
            </w: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 of Revenue</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 of Revenue</w:t>
            </w:r>
          </w:p>
        </w:tc>
        <w:tc>
          <w:tcPr>
            <w:tcW w:w="120" w:type="dxa"/>
            <w:vAlign w:val="bottom"/>
          </w:tcPr>
          <w:p>
            <w:pPr>
              <w:spacing w:after="0"/>
              <w:rPr>
                <w:sz w:val="16"/>
                <w:szCs w:val="16"/>
                <w:color w:val="auto"/>
              </w:rPr>
            </w:pPr>
          </w:p>
        </w:tc>
      </w:tr>
      <w:tr>
        <w:trPr>
          <w:trHeight w:val="182"/>
        </w:trPr>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44"/>
              <w:spacing w:after="0"/>
              <w:rPr>
                <w:sz w:val="20"/>
                <w:szCs w:val="20"/>
                <w:color w:val="auto"/>
              </w:rPr>
            </w:pPr>
            <w:r>
              <w:rPr>
                <w:rFonts w:ascii="Arial" w:cs="Arial" w:eastAsia="Arial" w:hAnsi="Arial"/>
                <w:sz w:val="15"/>
                <w:szCs w:val="15"/>
                <w:b w:val="1"/>
                <w:bCs w:val="1"/>
                <w:color w:val="auto"/>
                <w:w w:val="89"/>
              </w:rPr>
              <w:t>(millions)</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b w:val="1"/>
                <w:bCs w:val="1"/>
                <w:color w:val="auto"/>
                <w:w w:val="89"/>
              </w:rPr>
              <w:t>(mllions)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4"/>
              <w:spacing w:after="0"/>
              <w:rPr>
                <w:sz w:val="20"/>
                <w:szCs w:val="20"/>
                <w:color w:val="auto"/>
              </w:rPr>
            </w:pPr>
            <w:r>
              <w:rPr>
                <w:rFonts w:ascii="Arial" w:cs="Arial" w:eastAsia="Arial" w:hAnsi="Arial"/>
                <w:sz w:val="15"/>
                <w:szCs w:val="15"/>
                <w:b w:val="1"/>
                <w:bCs w:val="1"/>
                <w:color w:val="auto"/>
                <w:w w:val="89"/>
              </w:rPr>
              <w:t>(millions)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b w:val="1"/>
                <w:bCs w:val="1"/>
                <w:color w:val="auto"/>
                <w:w w:val="92"/>
              </w:rPr>
              <w:t>(millions)</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4"/>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Sales and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92"/>
              </w:rPr>
              <w:t>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34.4</w:t>
            </w:r>
          </w:p>
        </w:tc>
        <w:tc>
          <w:tcPr>
            <w:tcW w:w="92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92"/>
              </w:rPr>
              <w:t>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86.2</w:t>
            </w:r>
          </w:p>
        </w:tc>
        <w:tc>
          <w:tcPr>
            <w:tcW w:w="90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2"/>
              </w:rPr>
              <w:t>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49.3</w:t>
            </w:r>
          </w:p>
        </w:tc>
        <w:tc>
          <w:tcPr>
            <w:tcW w:w="90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2"/>
              </w:rPr>
              <w:t>9%</w:t>
            </w:r>
          </w:p>
        </w:tc>
        <w:tc>
          <w:tcPr>
            <w:tcW w:w="120" w:type="dxa"/>
            <w:vAlign w:val="bottom"/>
            <w:shd w:val="clear" w:color="auto" w:fill="CCEEFF"/>
          </w:tcPr>
          <w:p>
            <w:pPr>
              <w:spacing w:after="0"/>
              <w:rPr>
                <w:sz w:val="17"/>
                <w:szCs w:val="17"/>
                <w:color w:val="auto"/>
              </w:rPr>
            </w:pPr>
          </w:p>
        </w:tc>
      </w:tr>
      <w:tr>
        <w:trPr>
          <w:trHeight w:val="204"/>
        </w:trPr>
        <w:tc>
          <w:tcPr>
            <w:tcW w:w="3320" w:type="dxa"/>
            <w:vAlign w:val="bottom"/>
          </w:tcPr>
          <w:p>
            <w:pPr>
              <w:spacing w:after="0"/>
              <w:rPr>
                <w:sz w:val="20"/>
                <w:szCs w:val="20"/>
                <w:color w:val="auto"/>
              </w:rPr>
            </w:pPr>
            <w:r>
              <w:rPr>
                <w:rFonts w:ascii="Arial" w:cs="Arial" w:eastAsia="Arial" w:hAnsi="Arial"/>
                <w:sz w:val="15"/>
                <w:szCs w:val="15"/>
                <w:color w:val="auto"/>
              </w:rPr>
              <w:t>Product development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31.5</w:t>
            </w:r>
          </w:p>
        </w:tc>
        <w:tc>
          <w:tcPr>
            <w:tcW w:w="120" w:type="dxa"/>
            <w:vAlign w:val="bottom"/>
          </w:tcPr>
          <w:p>
            <w:pPr>
              <w:spacing w:after="0"/>
              <w:rPr>
                <w:sz w:val="17"/>
                <w:szCs w:val="17"/>
                <w:color w:val="auto"/>
              </w:rPr>
            </w:pPr>
          </w:p>
        </w:tc>
        <w:tc>
          <w:tcPr>
            <w:tcW w:w="920" w:type="dxa"/>
            <w:vAlign w:val="bottom"/>
          </w:tcPr>
          <w:p>
            <w:pPr>
              <w:jc w:val="center"/>
              <w:ind w:left="44"/>
              <w:spacing w:after="0"/>
              <w:rPr>
                <w:sz w:val="20"/>
                <w:szCs w:val="20"/>
                <w:color w:val="auto"/>
              </w:rPr>
            </w:pPr>
            <w:r>
              <w:rPr>
                <w:rFonts w:ascii="Arial" w:cs="Arial" w:eastAsia="Arial" w:hAnsi="Arial"/>
                <w:sz w:val="15"/>
                <w:szCs w:val="15"/>
                <w:color w:val="auto"/>
                <w:w w:val="92"/>
              </w:rPr>
              <w:t>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25.5</w:t>
            </w:r>
          </w:p>
        </w:tc>
        <w:tc>
          <w:tcPr>
            <w:tcW w:w="920" w:type="dxa"/>
            <w:vAlign w:val="bottom"/>
          </w:tcPr>
          <w:p>
            <w:pPr>
              <w:jc w:val="center"/>
              <w:ind w:left="44"/>
              <w:spacing w:after="0"/>
              <w:rPr>
                <w:sz w:val="20"/>
                <w:szCs w:val="20"/>
                <w:color w:val="auto"/>
              </w:rPr>
            </w:pPr>
            <w:r>
              <w:rPr>
                <w:rFonts w:ascii="Arial" w:cs="Arial" w:eastAsia="Arial" w:hAnsi="Arial"/>
                <w:sz w:val="15"/>
                <w:szCs w:val="15"/>
                <w:color w:val="auto"/>
                <w:w w:val="92"/>
              </w:rPr>
              <w:t>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60.5</w:t>
            </w:r>
          </w:p>
        </w:tc>
        <w:tc>
          <w:tcPr>
            <w:tcW w:w="900" w:type="dxa"/>
            <w:vAlign w:val="bottom"/>
          </w:tcPr>
          <w:p>
            <w:pPr>
              <w:jc w:val="center"/>
              <w:ind w:left="24"/>
              <w:spacing w:after="0"/>
              <w:rPr>
                <w:sz w:val="20"/>
                <w:szCs w:val="20"/>
                <w:color w:val="auto"/>
              </w:rPr>
            </w:pPr>
            <w:r>
              <w:rPr>
                <w:rFonts w:ascii="Arial" w:cs="Arial" w:eastAsia="Arial" w:hAnsi="Arial"/>
                <w:sz w:val="15"/>
                <w:szCs w:val="15"/>
                <w:color w:val="auto"/>
                <w:w w:val="92"/>
              </w:rPr>
              <w:t>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41.3</w:t>
            </w:r>
          </w:p>
        </w:tc>
        <w:tc>
          <w:tcPr>
            <w:tcW w:w="900" w:type="dxa"/>
            <w:vAlign w:val="bottom"/>
          </w:tcPr>
          <w:p>
            <w:pPr>
              <w:jc w:val="center"/>
              <w:ind w:left="24"/>
              <w:spacing w:after="0"/>
              <w:rPr>
                <w:sz w:val="20"/>
                <w:szCs w:val="20"/>
                <w:color w:val="auto"/>
              </w:rPr>
            </w:pPr>
            <w:r>
              <w:rPr>
                <w:rFonts w:ascii="Arial" w:cs="Arial" w:eastAsia="Arial" w:hAnsi="Arial"/>
                <w:sz w:val="15"/>
                <w:szCs w:val="15"/>
                <w:color w:val="auto"/>
                <w:w w:val="92"/>
              </w:rPr>
              <w:t>7%</w:t>
            </w:r>
          </w:p>
        </w:tc>
        <w:tc>
          <w:tcPr>
            <w:tcW w:w="12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General and administrative</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92"/>
              </w:rPr>
              <w:t>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27.4</w:t>
            </w:r>
          </w:p>
        </w:tc>
        <w:tc>
          <w:tcPr>
            <w:tcW w:w="92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92"/>
              </w:rPr>
              <w:t>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65.9</w:t>
            </w:r>
          </w:p>
        </w:tc>
        <w:tc>
          <w:tcPr>
            <w:tcW w:w="90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2"/>
              </w:rPr>
              <w:t>7%</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41.6</w:t>
            </w:r>
          </w:p>
        </w:tc>
        <w:tc>
          <w:tcPr>
            <w:tcW w:w="90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2"/>
              </w:rPr>
              <w:t>8%</w:t>
            </w:r>
          </w:p>
        </w:tc>
        <w:tc>
          <w:tcPr>
            <w:tcW w:w="120" w:type="dxa"/>
            <w:vAlign w:val="bottom"/>
            <w:shd w:val="clear" w:color="auto" w:fill="CCEEFF"/>
          </w:tcPr>
          <w:p>
            <w:pPr>
              <w:spacing w:after="0"/>
              <w:rPr>
                <w:sz w:val="17"/>
                <w:szCs w:val="17"/>
                <w:color w:val="auto"/>
              </w:rPr>
            </w:pPr>
          </w:p>
        </w:tc>
      </w:tr>
      <w:tr>
        <w:trPr>
          <w:trHeight w:val="204"/>
        </w:trPr>
        <w:tc>
          <w:tcPr>
            <w:tcW w:w="332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31.5</w:t>
            </w:r>
          </w:p>
        </w:tc>
        <w:tc>
          <w:tcPr>
            <w:tcW w:w="120" w:type="dxa"/>
            <w:vAlign w:val="bottom"/>
          </w:tcPr>
          <w:p>
            <w:pPr>
              <w:spacing w:after="0"/>
              <w:rPr>
                <w:sz w:val="17"/>
                <w:szCs w:val="17"/>
                <w:color w:val="auto"/>
              </w:rPr>
            </w:pPr>
          </w:p>
        </w:tc>
        <w:tc>
          <w:tcPr>
            <w:tcW w:w="920" w:type="dxa"/>
            <w:vAlign w:val="bottom"/>
          </w:tcPr>
          <w:p>
            <w:pPr>
              <w:jc w:val="center"/>
              <w:ind w:left="44"/>
              <w:spacing w:after="0"/>
              <w:rPr>
                <w:sz w:val="20"/>
                <w:szCs w:val="20"/>
                <w:color w:val="auto"/>
              </w:rPr>
            </w:pPr>
            <w:r>
              <w:rPr>
                <w:rFonts w:ascii="Arial" w:cs="Arial" w:eastAsia="Arial" w:hAnsi="Arial"/>
                <w:sz w:val="15"/>
                <w:szCs w:val="15"/>
                <w:color w:val="auto"/>
                <w:w w:val="92"/>
              </w:rPr>
              <w:t>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25.2</w:t>
            </w:r>
          </w:p>
        </w:tc>
        <w:tc>
          <w:tcPr>
            <w:tcW w:w="920" w:type="dxa"/>
            <w:vAlign w:val="bottom"/>
          </w:tcPr>
          <w:p>
            <w:pPr>
              <w:jc w:val="center"/>
              <w:ind w:left="44"/>
              <w:spacing w:after="0"/>
              <w:rPr>
                <w:sz w:val="20"/>
                <w:szCs w:val="20"/>
                <w:color w:val="auto"/>
              </w:rPr>
            </w:pPr>
            <w:r>
              <w:rPr>
                <w:rFonts w:ascii="Arial" w:cs="Arial" w:eastAsia="Arial" w:hAnsi="Arial"/>
                <w:sz w:val="15"/>
                <w:szCs w:val="15"/>
                <w:color w:val="auto"/>
                <w:w w:val="92"/>
              </w:rPr>
              <w:t>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62.7</w:t>
            </w:r>
          </w:p>
        </w:tc>
        <w:tc>
          <w:tcPr>
            <w:tcW w:w="900" w:type="dxa"/>
            <w:vAlign w:val="bottom"/>
          </w:tcPr>
          <w:p>
            <w:pPr>
              <w:jc w:val="center"/>
              <w:ind w:left="24"/>
              <w:spacing w:after="0"/>
              <w:rPr>
                <w:sz w:val="20"/>
                <w:szCs w:val="20"/>
                <w:color w:val="auto"/>
              </w:rPr>
            </w:pPr>
            <w:r>
              <w:rPr>
                <w:rFonts w:ascii="Arial" w:cs="Arial" w:eastAsia="Arial" w:hAnsi="Arial"/>
                <w:sz w:val="15"/>
                <w:szCs w:val="15"/>
                <w:color w:val="auto"/>
                <w:w w:val="92"/>
              </w:rPr>
              <w:t>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32.3</w:t>
            </w:r>
          </w:p>
        </w:tc>
        <w:tc>
          <w:tcPr>
            <w:tcW w:w="900" w:type="dxa"/>
            <w:vAlign w:val="bottom"/>
          </w:tcPr>
          <w:p>
            <w:pPr>
              <w:jc w:val="center"/>
              <w:ind w:left="24"/>
              <w:spacing w:after="0"/>
              <w:rPr>
                <w:sz w:val="20"/>
                <w:szCs w:val="20"/>
                <w:color w:val="auto"/>
              </w:rPr>
            </w:pPr>
            <w:r>
              <w:rPr>
                <w:rFonts w:ascii="Arial" w:cs="Arial" w:eastAsia="Arial" w:hAnsi="Arial"/>
                <w:sz w:val="15"/>
                <w:szCs w:val="15"/>
                <w:color w:val="auto"/>
                <w:w w:val="92"/>
              </w:rPr>
              <w:t>6%</w:t>
            </w:r>
          </w:p>
        </w:tc>
        <w:tc>
          <w:tcPr>
            <w:tcW w:w="120" w:type="dxa"/>
            <w:vAlign w:val="bottom"/>
          </w:tcPr>
          <w:p>
            <w:pPr>
              <w:spacing w:after="0"/>
              <w:rPr>
                <w:sz w:val="17"/>
                <w:szCs w:val="17"/>
                <w:color w:val="auto"/>
              </w:rPr>
            </w:pPr>
          </w:p>
        </w:tc>
      </w:tr>
      <w:tr>
        <w:trPr>
          <w:trHeight w:val="204"/>
        </w:trPr>
        <w:tc>
          <w:tcPr>
            <w:tcW w:w="3320" w:type="dxa"/>
            <w:vAlign w:val="bottom"/>
            <w:shd w:val="clear" w:color="auto" w:fill="CCEEFF"/>
          </w:tcPr>
          <w:p>
            <w:pPr>
              <w:spacing w:after="0"/>
              <w:rPr>
                <w:sz w:val="20"/>
                <w:szCs w:val="20"/>
                <w:color w:val="auto"/>
              </w:rPr>
            </w:pPr>
            <w:r>
              <w:rPr>
                <w:rFonts w:ascii="Arial" w:cs="Arial" w:eastAsia="Arial" w:hAnsi="Arial"/>
                <w:sz w:val="15"/>
                <w:szCs w:val="15"/>
                <w:color w:val="auto"/>
              </w:rPr>
              <w:t>In-process research and development</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44"/>
              <w:spacing w:after="0"/>
              <w:rPr>
                <w:sz w:val="20"/>
                <w:szCs w:val="20"/>
                <w:color w:val="auto"/>
              </w:rPr>
            </w:pPr>
            <w:r>
              <w:rPr>
                <w:rFonts w:ascii="Arial" w:cs="Arial" w:eastAsia="Arial" w:hAnsi="Arial"/>
                <w:sz w:val="15"/>
                <w:szCs w:val="15"/>
                <w:color w:val="auto"/>
                <w:w w:val="92"/>
              </w:rPr>
              <w:t>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79"/>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35.6</w:t>
            </w:r>
          </w:p>
        </w:tc>
        <w:tc>
          <w:tcPr>
            <w:tcW w:w="900" w:type="dxa"/>
            <w:vAlign w:val="bottom"/>
            <w:shd w:val="clear" w:color="auto" w:fill="CCEEFF"/>
          </w:tcPr>
          <w:p>
            <w:pPr>
              <w:jc w:val="center"/>
              <w:ind w:left="24"/>
              <w:spacing w:after="0"/>
              <w:rPr>
                <w:sz w:val="20"/>
                <w:szCs w:val="20"/>
                <w:color w:val="auto"/>
              </w:rPr>
            </w:pPr>
            <w:r>
              <w:rPr>
                <w:rFonts w:ascii="Arial" w:cs="Arial" w:eastAsia="Arial" w:hAnsi="Arial"/>
                <w:sz w:val="15"/>
                <w:szCs w:val="15"/>
                <w:color w:val="auto"/>
                <w:w w:val="92"/>
              </w:rPr>
              <w:t>6%</w:t>
            </w:r>
          </w:p>
        </w:tc>
        <w:tc>
          <w:tcPr>
            <w:tcW w:w="120" w:type="dxa"/>
            <w:vAlign w:val="bottom"/>
            <w:shd w:val="clear" w:color="auto" w:fill="CCEEFF"/>
          </w:tcPr>
          <w:p>
            <w:pPr>
              <w:spacing w:after="0"/>
              <w:rPr>
                <w:sz w:val="17"/>
                <w:szCs w:val="17"/>
                <w:color w:val="auto"/>
              </w:rPr>
            </w:pPr>
          </w:p>
        </w:tc>
      </w:tr>
      <w:tr>
        <w:trPr>
          <w:trHeight w:val="23"/>
        </w:trPr>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4"/>
        </w:trPr>
        <w:tc>
          <w:tcPr>
            <w:tcW w:w="3320" w:type="dxa"/>
            <w:vAlign w:val="bottom"/>
          </w:tcPr>
          <w:p>
            <w:pPr>
              <w:ind w:left="680"/>
              <w:spacing w:after="0"/>
              <w:rPr>
                <w:sz w:val="20"/>
                <w:szCs w:val="20"/>
                <w:color w:val="auto"/>
              </w:rPr>
            </w:pPr>
            <w:r>
              <w:rPr>
                <w:rFonts w:ascii="Arial" w:cs="Arial" w:eastAsia="Arial" w:hAnsi="Arial"/>
                <w:sz w:val="15"/>
                <w:szCs w:val="15"/>
                <w:color w:val="auto"/>
              </w:rPr>
              <w:t>Total operating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140.0</w:t>
            </w:r>
          </w:p>
        </w:tc>
        <w:tc>
          <w:tcPr>
            <w:tcW w:w="120" w:type="dxa"/>
            <w:vAlign w:val="bottom"/>
          </w:tcPr>
          <w:p>
            <w:pPr>
              <w:spacing w:after="0"/>
              <w:rPr>
                <w:sz w:val="17"/>
                <w:szCs w:val="17"/>
                <w:color w:val="auto"/>
              </w:rPr>
            </w:pPr>
          </w:p>
        </w:tc>
        <w:tc>
          <w:tcPr>
            <w:tcW w:w="920" w:type="dxa"/>
            <w:vAlign w:val="bottom"/>
          </w:tcPr>
          <w:p>
            <w:pPr>
              <w:jc w:val="center"/>
              <w:ind w:left="44"/>
              <w:spacing w:after="0"/>
              <w:rPr>
                <w:sz w:val="20"/>
                <w:szCs w:val="20"/>
                <w:color w:val="auto"/>
              </w:rPr>
            </w:pPr>
            <w:r>
              <w:rPr>
                <w:rFonts w:ascii="Arial" w:cs="Arial" w:eastAsia="Arial" w:hAnsi="Arial"/>
                <w:sz w:val="15"/>
                <w:szCs w:val="15"/>
                <w:color w:val="auto"/>
                <w:w w:val="93"/>
              </w:rPr>
              <w:t>27%</w:t>
            </w:r>
          </w:p>
        </w:tc>
        <w:tc>
          <w:tcPr>
            <w:tcW w:w="3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148.1</w:t>
            </w:r>
          </w:p>
        </w:tc>
        <w:tc>
          <w:tcPr>
            <w:tcW w:w="100" w:type="dxa"/>
            <w:vAlign w:val="bottom"/>
          </w:tcPr>
          <w:p>
            <w:pPr>
              <w:spacing w:after="0"/>
              <w:rPr>
                <w:sz w:val="17"/>
                <w:szCs w:val="17"/>
                <w:color w:val="auto"/>
              </w:rPr>
            </w:pPr>
          </w:p>
        </w:tc>
        <w:tc>
          <w:tcPr>
            <w:tcW w:w="920" w:type="dxa"/>
            <w:vAlign w:val="bottom"/>
          </w:tcPr>
          <w:p>
            <w:pPr>
              <w:jc w:val="center"/>
              <w:ind w:left="44"/>
              <w:spacing w:after="0"/>
              <w:rPr>
                <w:sz w:val="20"/>
                <w:szCs w:val="20"/>
                <w:color w:val="auto"/>
              </w:rPr>
            </w:pPr>
            <w:r>
              <w:rPr>
                <w:rFonts w:ascii="Arial" w:cs="Arial" w:eastAsia="Arial" w:hAnsi="Arial"/>
                <w:sz w:val="15"/>
                <w:szCs w:val="15"/>
                <w:color w:val="auto"/>
                <w:w w:val="93"/>
              </w:rPr>
              <w:t>37%</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275.3</w:t>
            </w:r>
          </w:p>
        </w:tc>
        <w:tc>
          <w:tcPr>
            <w:tcW w:w="120" w:type="dxa"/>
            <w:vAlign w:val="bottom"/>
          </w:tcPr>
          <w:p>
            <w:pPr>
              <w:spacing w:after="0"/>
              <w:rPr>
                <w:sz w:val="17"/>
                <w:szCs w:val="17"/>
                <w:color w:val="auto"/>
              </w:rPr>
            </w:pPr>
          </w:p>
        </w:tc>
        <w:tc>
          <w:tcPr>
            <w:tcW w:w="900" w:type="dxa"/>
            <w:vAlign w:val="bottom"/>
          </w:tcPr>
          <w:p>
            <w:pPr>
              <w:jc w:val="center"/>
              <w:ind w:left="24"/>
              <w:spacing w:after="0"/>
              <w:rPr>
                <w:sz w:val="20"/>
                <w:szCs w:val="20"/>
                <w:color w:val="auto"/>
              </w:rPr>
            </w:pPr>
            <w:r>
              <w:rPr>
                <w:rFonts w:ascii="Arial" w:cs="Arial" w:eastAsia="Arial" w:hAnsi="Arial"/>
                <w:sz w:val="15"/>
                <w:szCs w:val="15"/>
                <w:color w:val="auto"/>
                <w:w w:val="93"/>
              </w:rPr>
              <w:t>28%</w:t>
            </w:r>
          </w:p>
        </w:tc>
        <w:tc>
          <w:tcPr>
            <w:tcW w:w="3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200.1</w:t>
            </w:r>
          </w:p>
        </w:tc>
        <w:tc>
          <w:tcPr>
            <w:tcW w:w="120" w:type="dxa"/>
            <w:vAlign w:val="bottom"/>
          </w:tcPr>
          <w:p>
            <w:pPr>
              <w:spacing w:after="0"/>
              <w:rPr>
                <w:sz w:val="17"/>
                <w:szCs w:val="17"/>
                <w:color w:val="auto"/>
              </w:rPr>
            </w:pPr>
          </w:p>
        </w:tc>
        <w:tc>
          <w:tcPr>
            <w:tcW w:w="900" w:type="dxa"/>
            <w:vAlign w:val="bottom"/>
          </w:tcPr>
          <w:p>
            <w:pPr>
              <w:jc w:val="center"/>
              <w:ind w:left="24"/>
              <w:spacing w:after="0"/>
              <w:rPr>
                <w:sz w:val="20"/>
                <w:szCs w:val="20"/>
                <w:color w:val="auto"/>
              </w:rPr>
            </w:pPr>
            <w:r>
              <w:rPr>
                <w:rFonts w:ascii="Arial" w:cs="Arial" w:eastAsia="Arial" w:hAnsi="Arial"/>
                <w:sz w:val="15"/>
                <w:szCs w:val="15"/>
                <w:color w:val="auto"/>
                <w:w w:val="93"/>
              </w:rPr>
              <w:t>36%</w:t>
            </w:r>
          </w:p>
        </w:tc>
        <w:tc>
          <w:tcPr>
            <w:tcW w:w="120" w:type="dxa"/>
            <w:vAlign w:val="bottom"/>
          </w:tcPr>
          <w:p>
            <w:pPr>
              <w:spacing w:after="0"/>
              <w:rPr>
                <w:sz w:val="17"/>
                <w:szCs w:val="17"/>
                <w:color w:val="auto"/>
              </w:rPr>
            </w:pPr>
          </w:p>
        </w:tc>
      </w:tr>
      <w:tr>
        <w:trPr>
          <w:trHeight w:val="23"/>
        </w:trPr>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Operating expenses in most areas have remained constant period over period, as a percentage of revenue, except for in-process research and development, which was directly related to the Actaris acquisition. The increase in amortization of intangible assets of $6.3 million and $30.4 million for the three and six months ended June 30, 2008, compared with 2007, was the result of the Actaris acquisition. Administrative expenses for the three and six months ended June 30, 2008 have been impacted by increased compensation and financial integration expenses, which we expect to continue through 2008.</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In-Process Research and Development Expenses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Our acquisition of Actaris resulted in $36.0 million of IPR&amp;D expense in 2007, consisting primarily of next generation technology. The IPR&amp;D projects were analyzed according to exclusivity, substance, economic benefit, incompleteness, measurability and alternative future use. The primary projects are intended to make key enhancements and improve functionality of our residential and commercial and industrial meters. We value IPR&amp;D using the income approach, which uses the present value of the projected cash flows that are expected to be generated over the next one to six years. The risk adjusted discount rate was 12 percent, which was based on an industry composite of weighted average cost of capital, with certain premiums for equity risk and size, and the uncertainty associated with the completion of the development effort and subsequent commercialization. These research and development projects are substantially complete at June 30, 2008.</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20"/>
                <w:szCs w:val="20"/>
                <w:color w:val="auto"/>
              </w:rPr>
            </w:pPr>
            <w:r>
              <w:rPr>
                <w:rFonts w:ascii="Arial" w:cs="Arial" w:eastAsia="Arial" w:hAnsi="Arial"/>
                <w:sz w:val="15"/>
                <w:szCs w:val="15"/>
                <w:b w:val="1"/>
                <w:bCs w:val="1"/>
                <w:color w:val="auto"/>
              </w:rPr>
              <w:t>Other Income (Expense)</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86"/>
        </w:trPr>
        <w:tc>
          <w:tcPr>
            <w:tcW w:w="6080" w:type="dxa"/>
            <w:vAlign w:val="bottom"/>
          </w:tcPr>
          <w:p>
            <w:pPr>
              <w:spacing w:after="0"/>
              <w:rPr>
                <w:sz w:val="20"/>
                <w:szCs w:val="20"/>
                <w:color w:val="auto"/>
              </w:rPr>
            </w:pPr>
            <w:r>
              <w:rPr>
                <w:rFonts w:ascii="Arial" w:cs="Arial" w:eastAsia="Arial" w:hAnsi="Arial"/>
                <w:sz w:val="15"/>
                <w:szCs w:val="15"/>
                <w:color w:val="auto"/>
              </w:rPr>
              <w:t>The following table shows the components of other income (expense).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430"/>
              <w:spacing w:after="0"/>
              <w:rPr>
                <w:sz w:val="20"/>
                <w:szCs w:val="20"/>
                <w:color w:val="auto"/>
              </w:rPr>
            </w:pPr>
            <w:r>
              <w:rPr>
                <w:rFonts w:ascii="Arial" w:cs="Arial" w:eastAsia="Arial" w:hAnsi="Arial"/>
                <w:sz w:val="15"/>
                <w:szCs w:val="15"/>
                <w:b w:val="1"/>
                <w:bCs w:val="1"/>
                <w:color w:val="auto"/>
                <w:w w:val="95"/>
              </w:rPr>
              <w:t>Three Months Ended June 30,</w:t>
            </w:r>
          </w:p>
        </w:tc>
        <w:tc>
          <w:tcPr>
            <w:tcW w:w="360" w:type="dxa"/>
            <w:vAlign w:val="bottom"/>
          </w:tcPr>
          <w:p>
            <w:pPr>
              <w:spacing w:after="0"/>
              <w:rPr>
                <w:sz w:val="24"/>
                <w:szCs w:val="24"/>
                <w:color w:val="auto"/>
              </w:rPr>
            </w:pPr>
          </w:p>
        </w:tc>
        <w:tc>
          <w:tcPr>
            <w:tcW w:w="2260" w:type="dxa"/>
            <w:vAlign w:val="bottom"/>
            <w:gridSpan w:val="6"/>
          </w:tcPr>
          <w:p>
            <w:pPr>
              <w:jc w:val="right"/>
              <w:ind w:right="480"/>
              <w:spacing w:after="0"/>
              <w:rPr>
                <w:sz w:val="20"/>
                <w:szCs w:val="20"/>
                <w:color w:val="auto"/>
              </w:rPr>
            </w:pPr>
            <w:r>
              <w:rPr>
                <w:rFonts w:ascii="Arial" w:cs="Arial" w:eastAsia="Arial" w:hAnsi="Arial"/>
                <w:sz w:val="15"/>
                <w:szCs w:val="15"/>
                <w:b w:val="1"/>
                <w:bCs w:val="1"/>
                <w:color w:val="auto"/>
                <w:w w:val="90"/>
              </w:rPr>
              <w:t>Six Months Ended June 30,</w:t>
            </w:r>
          </w:p>
        </w:tc>
      </w:tr>
      <w:tr>
        <w:trPr>
          <w:trHeight w:val="184"/>
        </w:trPr>
        <w:tc>
          <w:tcPr>
            <w:tcW w:w="60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2008</w:t>
            </w: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2008</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120" w:type="dxa"/>
            <w:vAlign w:val="bottom"/>
          </w:tcPr>
          <w:p>
            <w:pPr>
              <w:spacing w:after="0"/>
              <w:rPr>
                <w:sz w:val="16"/>
                <w:szCs w:val="16"/>
                <w:color w:val="auto"/>
              </w:rPr>
            </w:pPr>
          </w:p>
        </w:tc>
      </w:tr>
      <w:tr>
        <w:trPr>
          <w:trHeight w:val="182"/>
        </w:trPr>
        <w:tc>
          <w:tcPr>
            <w:tcW w:w="6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(in</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1,460</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5"/>
                <w:szCs w:val="15"/>
                <w:color w:val="auto"/>
              </w:rPr>
              <w:t>2,216</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2,884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8,305</w:t>
            </w:r>
          </w:p>
        </w:tc>
        <w:tc>
          <w:tcPr>
            <w:tcW w:w="120" w:type="dxa"/>
            <w:vAlign w:val="bottom"/>
            <w:shd w:val="clear" w:color="auto" w:fill="CCEEFF"/>
          </w:tcPr>
          <w:p>
            <w:pPr>
              <w:spacing w:after="0"/>
              <w:rPr>
                <w:sz w:val="15"/>
                <w:szCs w:val="15"/>
                <w:color w:val="auto"/>
              </w:rPr>
            </w:pPr>
          </w:p>
        </w:tc>
      </w:tr>
      <w:tr>
        <w:trPr>
          <w:trHeight w:val="182"/>
        </w:trPr>
        <w:tc>
          <w:tcPr>
            <w:tcW w:w="6080" w:type="dxa"/>
            <w:vAlign w:val="bottom"/>
          </w:tcPr>
          <w:p>
            <w:pPr>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(18,430)</w:t>
            </w:r>
          </w:p>
        </w:tc>
        <w:tc>
          <w:tcPr>
            <w:tcW w:w="240" w:type="dxa"/>
            <w:vAlign w:val="bottom"/>
          </w:tcPr>
          <w:p>
            <w:pPr>
              <w:spacing w:after="0"/>
              <w:rPr>
                <w:sz w:val="15"/>
                <w:szCs w:val="15"/>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5"/>
                <w:szCs w:val="15"/>
                <w:color w:val="auto"/>
              </w:rPr>
              <w:t>(20,872)</w:t>
            </w:r>
          </w:p>
        </w:tc>
        <w:tc>
          <w:tcPr>
            <w:tcW w:w="36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(41,838)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(25,611)</w:t>
            </w:r>
          </w:p>
        </w:tc>
      </w:tr>
      <w:tr>
        <w:trPr>
          <w:trHeight w:val="182"/>
        </w:trPr>
        <w:tc>
          <w:tcPr>
            <w:tcW w:w="608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debt placement fees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(4,027)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(2,055)</w:t>
            </w: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(5,885)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(2,813)</w:t>
            </w:r>
          </w:p>
        </w:tc>
      </w:tr>
      <w:tr>
        <w:trPr>
          <w:trHeight w:val="182"/>
        </w:trPr>
        <w:tc>
          <w:tcPr>
            <w:tcW w:w="608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1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5"/>
                <w:szCs w:val="15"/>
                <w:color w:val="auto"/>
              </w:rPr>
              <w:t>(1,845)</w:t>
            </w:r>
          </w:p>
        </w:tc>
        <w:tc>
          <w:tcPr>
            <w:tcW w:w="240" w:type="dxa"/>
            <w:vAlign w:val="bottom"/>
          </w:tcPr>
          <w:p>
            <w:pPr>
              <w:spacing w:after="0"/>
              <w:rPr>
                <w:sz w:val="15"/>
                <w:szCs w:val="15"/>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5"/>
                <w:szCs w:val="15"/>
                <w:color w:val="auto"/>
              </w:rPr>
              <w:t>5,433</w:t>
            </w:r>
          </w:p>
        </w:tc>
        <w:tc>
          <w:tcPr>
            <w:tcW w:w="36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(1,657)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6,941</w:t>
            </w:r>
          </w:p>
        </w:tc>
        <w:tc>
          <w:tcPr>
            <w:tcW w:w="120" w:type="dxa"/>
            <w:vAlign w:val="bottom"/>
          </w:tcPr>
          <w:p>
            <w:pPr>
              <w:spacing w:after="0"/>
              <w:rPr>
                <w:sz w:val="15"/>
                <w:szCs w:val="15"/>
                <w:color w:val="auto"/>
              </w:rPr>
            </w:pPr>
          </w:p>
        </w:tc>
      </w:tr>
      <w:tr>
        <w:trPr>
          <w:trHeight w:val="23"/>
        </w:trPr>
        <w:tc>
          <w:tcPr>
            <w:tcW w:w="6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60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Total other income (expense)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(22,842)</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rPr>
              <w:t>(15,278)</w:t>
            </w:r>
          </w:p>
        </w:tc>
        <w:tc>
          <w:tcPr>
            <w:tcW w:w="360" w:type="dxa"/>
            <w:vAlign w:val="bottom"/>
            <w:shd w:val="clear" w:color="auto" w:fill="CCEEFF"/>
          </w:tcPr>
          <w:p>
            <w:pPr>
              <w:jc w:val="center"/>
              <w:ind w:right="204"/>
              <w:spacing w:after="0"/>
              <w:rPr>
                <w:sz w:val="20"/>
                <w:szCs w:val="20"/>
                <w:color w:val="auto"/>
              </w:rPr>
            </w:pPr>
            <w:r>
              <w:rPr>
                <w:rFonts w:ascii="Arial" w:cs="Arial" w:eastAsia="Arial" w:hAnsi="Arial"/>
                <w:sz w:val="15"/>
                <w:szCs w:val="15"/>
                <w:color w:val="auto"/>
                <w:w w:val="95"/>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(46,496)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(13,178)</w:t>
            </w:r>
          </w:p>
        </w:tc>
      </w:tr>
      <w:tr>
        <w:trPr>
          <w:trHeight w:val="23"/>
        </w:trPr>
        <w:tc>
          <w:tcPr>
            <w:tcW w:w="60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For the three months ended June 30, 2008, our average cash and cash equivalent balance was $123 million, compared with $61 million for the same period last year. This increase in cash was the result of our sale of 3.4 million shares of common stock in May 2008, with net proceeds of approximately $311 million, partially offset by our repayment of approximately $304 million in borrowings during the three months ended June 30, 2008. Therefore, although we had higher average cash balances during the three months ended June 30, 2008, lower interest income was the result of lower yields.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Our average cash and cash equivalent balance was $104 million for the six months ended June 30, 2008, compared with $249 million for the same period in 2007, respectively. Our average cash balance for the six months ended June 30, 2007 was the result of proceeds from our August 2006 issuance of $345 million 2.5% convertible notes and our March 1, 2007 sale of 4.1 million shares of common stock, resulting in net proceeds of $225.2 million, which were used to fund a portion of the Actaris acquisition on April 18, 2007. Therefore, the decrease in interest income for the six months ended June 30, 2008, compared with the same period in 2007, was the result of lower cash balances and lower yields.</w:t>
      </w:r>
    </w:p>
    <w:p>
      <w:pPr>
        <w:spacing w:after="0" w:line="166"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The increase in interest expense for the three and six months ended June 30, 2008, compared with the same periods in 2007, is the result of full periods of interest expense from the $1.2 billion credit facility used to finance the Actaris acquisition on April 18, 2007. Average outstanding borrowings were $1.5 billion for the three and six months ended June 30, 2008, compared with $1.4 billion and $943.2 million for the same periods in 2007, respectively.</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Amortization of debt placement fees increased for the three and six months ended June 30, 2008 as a result of the full periods of amortization expense associated with the new borrowings used to fund the Actaris acquisition, as well as the write-off of unamortized prepaid debt fees related to the early principal repayment of borrowings.</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Other income (expense) consists primarily of foreign currency gains and losses, which can vary from period to period, as well as other non-operating items or transactions. In the three and six months ended June 30, 2008, other expense, net resulted primarily from net foreign currency losses due to balances denominated in a currency other than the reporting entity’s functional currency. For the three months ended June 30, 2007, other income, net, included $1.2 million in net realized gains from foreign currency range forward contracts that were settled and a $1.0 million realized gain from an overnight euro rate change prior to the acquisition of Actaris. For the six months ended June 30, 2007, realized gains totaled $3.8 million, consisting of the $2.2 million in realized gains recognized in the second quarter of 2007 and $1.6 million from the foreign currency range forward contract, which was an unrealized gain at March 31, 2007.</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tax provision (benefit) as a percentage of income (loss) before tax typically differs from the federal statutory rate of 35%, and can vary from period to period, due to fluctuations in operating results, new or revised tax legislation and accounting pronouncements, changes in the level of business conducted in domestic and international jurisdictions, research credits, state income taxes and adjustments to valuation allowances, among other items.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Our tax provision (benefit) as a percentage of income (loss) before tax was 2% and 5% for the three and six months ended June 30, 2008, compared with 38% and 39% for the same periods in 2007. Our tax provisions for the three and six months ended June 30, 2008 are lower than those in 2007 as 2008 reflects a benefit associated with lower effective tax rates on international earnings. We made an election under Internal Revenue Code Section 338 with respect to the Actaris acquisition, which resulted in a reduced global effective tax rate. Additionally, our reduced international tax liability reflects the benefit of international interest expense deductions.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Unrecognized tax benefits in accordance with FIN 48 were $36.0 million and $34.8 million at June 30, 2008 and December 31, 2007, respectively. We classify interest expense and penalties related to unrecognized tax benefits and interest income on tax overpayments as components of income tax expense. During the three and six months ended June 30, 2008, we recognized a benefit of $267,000 and expense of $210,000, respectively, in interest and penalties. At June 30, 2007, we had accrued approximately $7.4 million in interest and penalties, which was primarily the result of the acquisition of Actaris on April 18, 2007. At June 30, 2008 and December 31, 2007, accrued interest was $3.0 million and $2.7 million, respectively, and accrued penalties were $2.2 million for both periods, respectively. We do not expect our unrecognized tax benefits to change significantly over the next 12 months. The amount of unrecognized tax benefits that would affect our tax provision as a percentage of income (loss) before tax, at June 30, 2008 and December 31, 2007 were $8.7 million and $8.4 million, respectively. At June 30, 2008, we expect to pay $5.7 million in income tax obligations related to FIN 48 over the next twelve months. We are not able to reasonably estimate the timing of future cash flows relating to the remaining balance.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38"/>
        </w:trPr>
        <w:tc>
          <w:tcPr>
            <w:tcW w:w="4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600" w:type="dxa"/>
            <w:vAlign w:val="bottom"/>
            <w:gridSpan w:val="3"/>
          </w:tcPr>
          <w:p>
            <w:pPr>
              <w:spacing w:after="0"/>
              <w:rPr>
                <w:sz w:val="20"/>
                <w:szCs w:val="20"/>
                <w:color w:val="auto"/>
              </w:rPr>
            </w:pPr>
            <w:r>
              <w:rPr>
                <w:rFonts w:ascii="Arial" w:cs="Arial" w:eastAsia="Arial" w:hAnsi="Arial"/>
                <w:sz w:val="15"/>
                <w:szCs w:val="15"/>
                <w:b w:val="1"/>
                <w:bCs w:val="1"/>
                <w:color w:val="auto"/>
              </w:rPr>
              <w:t>Financial Condition</w:t>
            </w: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600" w:type="dxa"/>
            <w:vAlign w:val="bottom"/>
            <w:gridSpan w:val="3"/>
          </w:tcPr>
          <w:p>
            <w:pPr>
              <w:spacing w:after="0"/>
              <w:rPr>
                <w:sz w:val="20"/>
                <w:szCs w:val="20"/>
                <w:color w:val="auto"/>
              </w:rPr>
            </w:pPr>
            <w:r>
              <w:rPr>
                <w:rFonts w:ascii="Arial" w:cs="Arial" w:eastAsia="Arial" w:hAnsi="Arial"/>
                <w:sz w:val="15"/>
                <w:szCs w:val="15"/>
                <w:i w:val="1"/>
                <w:iCs w:val="1"/>
                <w:color w:val="auto"/>
              </w:rPr>
              <w:t>Cash Flow Information:</w:t>
            </w:r>
          </w:p>
        </w:tc>
        <w:tc>
          <w:tcPr>
            <w:tcW w:w="1360" w:type="dxa"/>
            <w:vAlign w:val="bottom"/>
          </w:tcPr>
          <w:p>
            <w:pPr>
              <w:spacing w:after="0"/>
              <w:rPr>
                <w:sz w:val="24"/>
                <w:szCs w:val="24"/>
                <w:color w:val="auto"/>
              </w:rPr>
            </w:pPr>
          </w:p>
        </w:tc>
        <w:tc>
          <w:tcPr>
            <w:tcW w:w="2560" w:type="dxa"/>
            <w:vAlign w:val="bottom"/>
            <w:gridSpan w:val="4"/>
            <w:vMerge w:val="restart"/>
          </w:tcPr>
          <w:p>
            <w:pPr>
              <w:jc w:val="right"/>
              <w:ind w:right="64"/>
              <w:spacing w:after="0"/>
              <w:rPr>
                <w:sz w:val="20"/>
                <w:szCs w:val="20"/>
                <w:color w:val="auto"/>
              </w:rPr>
            </w:pPr>
            <w:r>
              <w:rPr>
                <w:rFonts w:ascii="Arial" w:cs="Arial" w:eastAsia="Arial" w:hAnsi="Arial"/>
                <w:sz w:val="15"/>
                <w:szCs w:val="15"/>
                <w:b w:val="1"/>
                <w:bCs w:val="1"/>
                <w:color w:val="auto"/>
              </w:rPr>
              <w:t>Six Months Ended June 30,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560" w:type="dxa"/>
            <w:vAlign w:val="bottom"/>
            <w:tcBorders>
              <w:bottom w:val="single" w:sz="8" w:color="auto"/>
            </w:tcBorders>
            <w:gridSpan w:val="4"/>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2008</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2007</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ind w:right="44"/>
              <w:spacing w:after="0"/>
              <w:rPr>
                <w:sz w:val="20"/>
                <w:szCs w:val="20"/>
                <w:color w:val="auto"/>
              </w:rPr>
            </w:pPr>
            <w:r>
              <w:rPr>
                <w:rFonts w:ascii="Arial" w:cs="Arial" w:eastAsia="Arial" w:hAnsi="Arial"/>
                <w:sz w:val="15"/>
                <w:szCs w:val="15"/>
                <w:b w:val="1"/>
                <w:bCs w:val="1"/>
                <w:color w:val="auto"/>
              </w:rPr>
              <w:t>(in</w:t>
            </w:r>
          </w:p>
        </w:tc>
        <w:tc>
          <w:tcPr>
            <w:tcW w:w="1100" w:type="dxa"/>
            <w:vAlign w:val="bottom"/>
            <w:gridSpan w:val="2"/>
          </w:tcPr>
          <w:p>
            <w:pPr>
              <w:jc w:val="center"/>
              <w:ind w:right="544"/>
              <w:spacing w:after="0"/>
              <w:rPr>
                <w:sz w:val="20"/>
                <w:szCs w:val="20"/>
                <w:color w:val="auto"/>
              </w:rPr>
            </w:pPr>
            <w:r>
              <w:rPr>
                <w:rFonts w:ascii="Arial" w:cs="Arial" w:eastAsia="Arial" w:hAnsi="Arial"/>
                <w:sz w:val="15"/>
                <w:szCs w:val="15"/>
                <w:b w:val="1"/>
                <w:bCs w:val="1"/>
                <w:color w:val="auto"/>
                <w:w w:val="77"/>
              </w:rPr>
              <w:t>millions)</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2360" w:type="dxa"/>
            <w:vAlign w:val="bottom"/>
            <w:gridSpan w:val="2"/>
            <w:shd w:val="clear" w:color="auto" w:fill="CCEEFF"/>
          </w:tcPr>
          <w:p>
            <w:pPr>
              <w:jc w:val="right"/>
              <w:ind w:right="864"/>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120.5</w:t>
            </w:r>
          </w:p>
        </w:tc>
        <w:tc>
          <w:tcPr>
            <w:tcW w:w="920" w:type="dxa"/>
            <w:vAlign w:val="bottom"/>
            <w:shd w:val="clear" w:color="auto" w:fill="CCEEFF"/>
          </w:tcPr>
          <w:p>
            <w:pPr>
              <w:jc w:val="center"/>
              <w:ind w:right="764"/>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Investing activities</w:t>
            </w: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64"/>
              <w:spacing w:after="0"/>
              <w:rPr>
                <w:sz w:val="20"/>
                <w:szCs w:val="20"/>
                <w:color w:val="auto"/>
              </w:rPr>
            </w:pPr>
            <w:r>
              <w:rPr>
                <w:rFonts w:ascii="Arial" w:cs="Arial" w:eastAsia="Arial" w:hAnsi="Arial"/>
                <w:sz w:val="15"/>
                <w:szCs w:val="15"/>
                <w:color w:val="auto"/>
              </w:rPr>
              <w:t>(27.7)</w:t>
            </w:r>
          </w:p>
        </w:tc>
        <w:tc>
          <w:tcPr>
            <w:tcW w:w="9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(1,693.0)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1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5"/>
                <w:szCs w:val="15"/>
                <w:color w:val="auto"/>
              </w:rPr>
              <w:t>(33.3)</w:t>
            </w: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1,374.3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580" w:type="dxa"/>
            <w:vAlign w:val="bottom"/>
            <w:gridSpan w:val="2"/>
          </w:tcPr>
          <w:p>
            <w:pPr>
              <w:spacing w:after="0"/>
              <w:rPr>
                <w:sz w:val="20"/>
                <w:szCs w:val="20"/>
                <w:color w:val="auto"/>
              </w:rPr>
            </w:pPr>
            <w:r>
              <w:rPr>
                <w:rFonts w:ascii="Arial" w:cs="Arial" w:eastAsia="Arial" w:hAnsi="Arial"/>
                <w:sz w:val="15"/>
                <w:szCs w:val="15"/>
                <w:color w:val="auto"/>
              </w:rPr>
              <w:t>Effect of exchange rates on cash and cash equivalents</w:t>
            </w:r>
          </w:p>
        </w:tc>
        <w:tc>
          <w:tcPr>
            <w:tcW w:w="1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0.7</w:t>
            </w: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Increase (decrease) in cash and cash equivalents</w:t>
            </w:r>
          </w:p>
        </w:tc>
        <w:tc>
          <w:tcPr>
            <w:tcW w:w="2360" w:type="dxa"/>
            <w:vAlign w:val="bottom"/>
            <w:gridSpan w:val="2"/>
            <w:shd w:val="clear" w:color="auto" w:fill="CCEEFF"/>
          </w:tcPr>
          <w:p>
            <w:pPr>
              <w:jc w:val="right"/>
              <w:ind w:right="864"/>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60.2</w:t>
            </w:r>
          </w:p>
        </w:tc>
        <w:tc>
          <w:tcPr>
            <w:tcW w:w="920" w:type="dxa"/>
            <w:vAlign w:val="bottom"/>
            <w:shd w:val="clear" w:color="auto" w:fill="CCEEFF"/>
          </w:tcPr>
          <w:p>
            <w:pPr>
              <w:jc w:val="center"/>
              <w:ind w:right="764"/>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(255.5)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increase in cash from December 31, 2007 to June 30, 2008 was the result of strong cash flows from operations and the $311 million stock offering in May 2008, partially offset by $351 million in debt repayments.</w:t>
      </w:r>
    </w:p>
    <w:p>
      <w:pPr>
        <w:spacing w:after="0" w:line="168"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Our June 30, 2007 cash and cash equivalents balance decreased from December 31, 2006 due to the Actaris acquisition on April 18, 2007, which was funded with a $1.2 billion credit facility, $225 million in net proceeds from the sale of 4.1 million shares of common stock and cash on hand.</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color w:val="auto"/>
        </w:rPr>
        <w:t xml:space="preserve">Operating activities: </w:t>
      </w:r>
      <w:r>
        <w:rPr>
          <w:rFonts w:ascii="Arial" w:cs="Arial" w:eastAsia="Arial" w:hAnsi="Arial"/>
          <w:sz w:val="14"/>
          <w:szCs w:val="14"/>
          <w:color w:val="auto"/>
        </w:rPr>
        <w:t>Primarily as a result of the Actaris acquisition, cash provided by operating activities increased $57.6 million in the first six months of 2008 compared with the same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period in 2007. Increased revenue activity resulted in cash received from customers of $987.2 million in the first half of 2008, compared with $532.5 million for the same period in 2007, partially offset by cash paid to suppliers and employees of $813.8 million in the first half of 2008, compared with $434.2 million in the same period in 2007. This increase in operating activity in the first half of 2008 was partially offset by an increase of $16.4 million in net interest paid and $6.1 million in taxes paid compared with the same period in 2007. In the first half of 2007, $5.0 million in excess tax benefits from stock-based compensation associated with SFAS 123(R), </w:t>
      </w:r>
      <w:r>
        <w:rPr>
          <w:rFonts w:ascii="Arial" w:cs="Arial" w:eastAsia="Arial" w:hAnsi="Arial"/>
          <w:sz w:val="14"/>
          <w:szCs w:val="14"/>
          <w:i w:val="1"/>
          <w:iCs w:val="1"/>
          <w:color w:val="auto"/>
        </w:rPr>
        <w:t>Share-Based Payment,</w:t>
      </w:r>
      <w:r>
        <w:rPr>
          <w:rFonts w:ascii="Arial" w:cs="Arial" w:eastAsia="Arial" w:hAnsi="Arial"/>
          <w:sz w:val="14"/>
          <w:szCs w:val="14"/>
          <w:color w:val="auto"/>
        </w:rPr>
        <w:t xml:space="preserve"> is reflected in financing activities. In 2008, no excess tax benefits from stock-based compensation were recognized due to net tax losses resulting from increased interest expense.</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The acquisition of property, plant and equipment increased $10.7 million in the first half of 2008, compared with the same period in 2007, primarily due to Actaris’</w:t>
      </w:r>
      <w:r>
        <w:rPr>
          <w:rFonts w:ascii="Arial" w:cs="Arial" w:eastAsia="Arial" w:hAnsi="Arial"/>
          <w:sz w:val="15"/>
          <w:szCs w:val="15"/>
          <w:i w:val="1"/>
          <w:iCs w:val="1"/>
          <w:color w:val="auto"/>
        </w:rPr>
        <w:t xml:space="preserve"> </w:t>
      </w:r>
      <w:r>
        <w:rPr>
          <w:rFonts w:ascii="Arial" w:cs="Arial" w:eastAsia="Arial" w:hAnsi="Arial"/>
          <w:sz w:val="15"/>
          <w:szCs w:val="15"/>
          <w:color w:val="auto"/>
        </w:rPr>
        <w:t>activity subsequent to the acquisition. Cash paid for the acquisition of Actaris in 2007 was approximately $1.7 billion. In the first half of 2007, $35.0 million in short-term investments matured with the proceeds used to partially fund the Actaris acquisition.</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Financing activities: </w:t>
      </w:r>
      <w:r>
        <w:rPr>
          <w:rFonts w:ascii="Arial" w:cs="Arial" w:eastAsia="Arial" w:hAnsi="Arial"/>
          <w:sz w:val="14"/>
          <w:szCs w:val="14"/>
          <w:color w:val="auto"/>
        </w:rPr>
        <w:t>Net proceeds from the common stock issuance were $310.9 million in 2008 compared with $225.2 million in 2007. In 2008, the net proceeds were primarily used to</w:t>
      </w:r>
      <w:r>
        <w:rPr>
          <w:rFonts w:ascii="Arial" w:cs="Arial" w:eastAsia="Arial" w:hAnsi="Arial"/>
          <w:sz w:val="14"/>
          <w:szCs w:val="14"/>
          <w:i w:val="1"/>
          <w:iCs w:val="1"/>
          <w:color w:val="auto"/>
        </w:rPr>
        <w:t xml:space="preserve"> </w:t>
      </w:r>
      <w:r>
        <w:rPr>
          <w:rFonts w:ascii="Arial" w:cs="Arial" w:eastAsia="Arial" w:hAnsi="Arial"/>
          <w:sz w:val="14"/>
          <w:szCs w:val="14"/>
          <w:color w:val="auto"/>
        </w:rPr>
        <w:t>repay a portion of our non-convertible debt, while the net proceeds in 2007 were used to partially fund the acquisition of Actaris. Cash generated from the exercise of stock-based awards was $6.6 million during the first six months of 2008, compared with $11.0 million for the same period in 2007. During the first half of 2008, we repaid $350.7 million on the credit facility, compared with $2.9 million for the same period in 2007. Proceeds from the credit facility were $1.2 billion in the first half of 2007, partially offset by debt placement fees of $23.1 million. Excess tax benefits from stock-based compensation were $5.0 million for the first six months in 2007, with no tax benefits received in 2008.</w:t>
      </w:r>
    </w:p>
    <w:p>
      <w:pPr>
        <w:spacing w:after="0" w:line="170" w:lineRule="exact"/>
        <w:rPr>
          <w:sz w:val="20"/>
          <w:szCs w:val="20"/>
          <w:color w:val="auto"/>
        </w:rPr>
      </w:pPr>
    </w:p>
    <w:p>
      <w:pPr>
        <w:jc w:val="both"/>
        <w:spacing w:after="0" w:line="315" w:lineRule="auto"/>
        <w:rPr>
          <w:sz w:val="20"/>
          <w:szCs w:val="20"/>
          <w:color w:val="auto"/>
        </w:rPr>
      </w:pPr>
      <w:r>
        <w:rPr>
          <w:rFonts w:ascii="Arial" w:cs="Arial" w:eastAsia="Arial" w:hAnsi="Arial"/>
          <w:sz w:val="14"/>
          <w:szCs w:val="14"/>
          <w:i w:val="1"/>
          <w:iCs w:val="1"/>
          <w:color w:val="auto"/>
        </w:rPr>
        <w:t>Effect of exchange rates on cash and cash equivalents</w:t>
      </w:r>
      <w:r>
        <w:rPr>
          <w:rFonts w:ascii="Arial" w:cs="Arial" w:eastAsia="Arial" w:hAnsi="Arial"/>
          <w:sz w:val="14"/>
          <w:szCs w:val="14"/>
          <w:color w:val="auto"/>
        </w:rPr>
        <w:t>: As a result of the Actaris acquisition in the second quarter of 2007, the effect of exchange rates on the cash balances of currencies</w:t>
      </w:r>
      <w:r>
        <w:rPr>
          <w:rFonts w:ascii="Arial" w:cs="Arial" w:eastAsia="Arial" w:hAnsi="Arial"/>
          <w:sz w:val="14"/>
          <w:szCs w:val="14"/>
          <w:i w:val="1"/>
          <w:iCs w:val="1"/>
          <w:color w:val="auto"/>
        </w:rPr>
        <w:t xml:space="preserve"> </w:t>
      </w:r>
      <w:r>
        <w:rPr>
          <w:rFonts w:ascii="Arial" w:cs="Arial" w:eastAsia="Arial" w:hAnsi="Arial"/>
          <w:sz w:val="14"/>
          <w:szCs w:val="14"/>
          <w:color w:val="auto"/>
        </w:rPr>
        <w:t>held in foreign denominations (primarily euros) for the six months ended June 30, 2008 was an increase of $704,000 compared with $256,000 for the same period in 2007.</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Off-balance sheet arrangements:</w:t>
      </w:r>
    </w:p>
    <w:p>
      <w:pPr>
        <w:spacing w:after="0" w:line="18"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We had no off-balance sheet financing agreements or guarantees at June 30, 2008 and December 31, 2007 that we believe were reasonably likely to have a current or future effect on our financial condition,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Liquidity, Sources and Uses of Capital:</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We have historically funded our operations and growth with cash flows from operations, borrowings and issuances of common stock.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Credit Facility</w:t>
      </w:r>
    </w:p>
    <w:p>
      <w:pPr>
        <w:spacing w:after="0" w:line="1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Actaris acquisition in 2007 was financed in part by a $1.2 billion credit facility. The credit facility, dated April 18, 2007, was comprised of a $605.1 million first lien U.S. dollar denominated term loan; a €335 million first lien euro denominated term loan; a £50 million first lien pound sterling denominated term loan (collectively the term loans); and a $115 million multicurrency revolving line-of-credit (revolver). Interest rates on the credit facility are based on the respective borrowing’s denominated LIBOR rate (U.S. dollar, euro or pound sterling) or the Wells Fargo Bank, National Association’s prime rate, plus an additional margin subject to factors including our consolidated leverage ratio. If our consolidated leverage ratio decreases below 4.5 to 1.0, as specified in our Credit Agreement, the applicable margin on our interest rate payable will decrease from 2.0% to 1.75%. At June 30, 2008, our leverage ratio was below 4.5 to 1.0; accordingly, our margin will decrease upon completion of our second quarter compliance certification.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Prepaid debt fees are amortized using the effective interest method through the term loans’ earliest maturity date, as defined by the credit agreement. The credit facility is secured by substantially all of the assets of Itron, Inc., our operating subsidiaries, except our international subsidiaries, and contains covenants, which contain certain financial ratios and place restrictions on the incurrence of debt, the payment of dividends, certain investments, incurrence of capital expenditures above a set limit and mergers. We were in compliance with these debt covenants at June 30, 2008. At June 30, 2008, there were no borrowings outstanding under the revolver and $51.4 million was utilized by outstanding standby letters of credit resulting in $63.6 million being available for additional borrowings.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We repaid $304.0 million in borrowings during the three months ended June 30, 2008 and $350.7 million in borrowings during the six months ended June 30, 2008. These repayments were made with cash flows from operations and $311 million in net proceeds from the completed sale of 3.4 million shares of our common stock. Our repayments consisted of the remaining $78.3 million balance on our £50 million pound sterling term loan, $218.0 million on our USD term loan, $50.0 million on our €335 million euro term loan and the repurchase of $4.4 million on our senior subordinated notes (subordinated notes).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Senior Subordinated Notes</w:t>
      </w:r>
    </w:p>
    <w:p>
      <w:pPr>
        <w:spacing w:after="0" w:line="18"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Our senior subordinated notes consist of $120.6 million aggregate principal amount of 7.75% notes, issued in May 2004 and due in 2012. The subordinated notes were discounted to a price of 99.265 to yield 7.875%. The discount on the subordinated notes is accreted resulting in a balance of $120.1 million at June 30, 2008. Prepaid debt fees are amortized over the life of the subordinated notes. The subordinated notes are registered with the SEC and are generally transferable. Fixed interest payments are required every six months, in May and November. The notes are subordinated to our credit facility (senior secured borrowings) and are guaranteed by all of our operating subsidiaries, except for our international subsidiaries. The subordinated notes contain covenants, which place restrictions on the incurrence of debt, the payment of dividends, certain investments and mergers. We were in compliance with these debt covenants at June 30, 2008. Some or all of the subordinated notes may be redeemed at our option at any time on or after May 15, 2008, at their principal amount plus a specified premium price of 103.875%, decreasing each year thereafter. From time to time, we may reacquire the subordinated notes on the open market, resulting in the early extinguishment of debt.</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Convertible Senior Subordinated Notes</w:t>
      </w:r>
    </w:p>
    <w:p>
      <w:pPr>
        <w:spacing w:after="0" w:line="1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On August 4, 2006, we issued $345 million of 2.50% convertible notes due August 2026. Fixed interest payments of $4.3 million are required every six months, in February and August.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defined in FASB’s Emerging Issues Task Force (EITF) 05-2, </w:t>
      </w:r>
      <w:r>
        <w:rPr>
          <w:rFonts w:ascii="Arial" w:cs="Arial" w:eastAsia="Arial" w:hAnsi="Arial"/>
          <w:sz w:val="15"/>
          <w:szCs w:val="15"/>
          <w:i w:val="1"/>
          <w:iCs w:val="1"/>
          <w:color w:val="auto"/>
        </w:rPr>
        <w:t>The Meaning of “Conventional Convertible Debt Instruments” in Issue 00-19</w:t>
      </w:r>
      <w:r>
        <w:rPr>
          <w:rFonts w:ascii="Arial" w:cs="Arial" w:eastAsia="Arial" w:hAnsi="Arial"/>
          <w:sz w:val="15"/>
          <w:szCs w:val="15"/>
          <w:color w:val="auto"/>
        </w:rPr>
        <w:t xml:space="preserve">, as the number of shares, or cash, to be received by the holders was not fixed at the inception of the obligation. We have concluded that the conversion feature of our convertible notes does not require bifurcation from the host contract in accordance with SFAS 133, </w:t>
      </w:r>
      <w:r>
        <w:rPr>
          <w:rFonts w:ascii="Arial" w:cs="Arial" w:eastAsia="Arial" w:hAnsi="Arial"/>
          <w:sz w:val="15"/>
          <w:szCs w:val="15"/>
          <w:i w:val="1"/>
          <w:iCs w:val="1"/>
          <w:color w:val="auto"/>
        </w:rPr>
        <w:t>Accounting for Derivative Instruments and Hedging Activities</w:t>
      </w:r>
      <w:r>
        <w:rPr>
          <w:rFonts w:ascii="Arial" w:cs="Arial" w:eastAsia="Arial" w:hAnsi="Arial"/>
          <w:sz w:val="15"/>
          <w:szCs w:val="15"/>
          <w:color w:val="auto"/>
        </w:rPr>
        <w:t xml:space="preserve">, as the conversion feature is indexed to the Company’s own stock and would be classified within stockholders’ equity if it were a freestanding instrument as provided by EITF 00-19, </w:t>
      </w:r>
      <w:r>
        <w:rPr>
          <w:rFonts w:ascii="Arial" w:cs="Arial" w:eastAsia="Arial" w:hAnsi="Arial"/>
          <w:sz w:val="15"/>
          <w:szCs w:val="15"/>
          <w:i w:val="1"/>
          <w:iCs w:val="1"/>
          <w:color w:val="auto"/>
        </w:rPr>
        <w:t>Accounting for Derivative Financial Instruments Indexed to, and</w:t>
      </w:r>
      <w:r>
        <w:rPr>
          <w:rFonts w:ascii="Arial" w:cs="Arial" w:eastAsia="Arial" w:hAnsi="Arial"/>
          <w:sz w:val="15"/>
          <w:szCs w:val="15"/>
          <w:color w:val="auto"/>
        </w:rPr>
        <w:t xml:space="preserve"> </w:t>
      </w:r>
      <w:r>
        <w:rPr>
          <w:rFonts w:ascii="Arial" w:cs="Arial" w:eastAsia="Arial" w:hAnsi="Arial"/>
          <w:sz w:val="15"/>
          <w:szCs w:val="15"/>
          <w:i w:val="1"/>
          <w:iCs w:val="1"/>
          <w:color w:val="auto"/>
        </w:rPr>
        <w:t>Potentially Settled in, a Company’s Own Stock</w:t>
      </w:r>
      <w:r>
        <w:rPr>
          <w:rFonts w:ascii="Arial" w:cs="Arial" w:eastAsia="Arial" w:hAnsi="Arial"/>
          <w:sz w:val="15"/>
          <w:szCs w:val="15"/>
          <w:color w:val="auto"/>
        </w:rPr>
        <w: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The convertible notes may be converted at the option of the holder at an initial conversion rate of 15.3478 shares of our common stock for each $1,000 principal amount of the convertible notes (conversion price of $65.16 per share), under the following circumstances, as defined in the indenture:</w:t>
      </w:r>
    </w:p>
    <w:p>
      <w:pPr>
        <w:spacing w:after="0" w:line="168" w:lineRule="exact"/>
        <w:rPr>
          <w:sz w:val="20"/>
          <w:szCs w:val="20"/>
          <w:color w:val="auto"/>
        </w:rPr>
      </w:pPr>
    </w:p>
    <w:p>
      <w:pPr>
        <w:ind w:left="800" w:right="20" w:hanging="143"/>
        <w:spacing w:after="0" w:line="259"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during any fiscal quarter commencing after September 30, 2006, if the closing sale price per share of our common stock exceeds $78.19, which is 120% of the conversion price of $65.16, for at least 20 trading days in the 30 consecutive trading day period ending on the last trading day of the preceding fiscal quarter;</w:t>
      </w:r>
    </w:p>
    <w:p>
      <w:pPr>
        <w:ind w:left="800" w:hanging="143"/>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between July 1, 2011 and August 1, 2011, and any time after August 1, 2024;</w:t>
      </w:r>
    </w:p>
    <w:p>
      <w:pPr>
        <w:spacing w:after="0" w:line="9" w:lineRule="exact"/>
        <w:rPr>
          <w:rFonts w:ascii="Arial" w:cs="Arial" w:eastAsia="Arial" w:hAnsi="Arial"/>
          <w:sz w:val="15"/>
          <w:szCs w:val="15"/>
          <w:color w:val="auto"/>
        </w:rPr>
      </w:pPr>
    </w:p>
    <w:p>
      <w:pPr>
        <w:ind w:left="800" w:hanging="143"/>
        <w:spacing w:after="0" w:line="252"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during the five business days after any five consecutive trading day period in which the trading price of the convertible notes for each day was less than 98% of the conversion value of the convertible notes;</w:t>
      </w:r>
    </w:p>
    <w:p>
      <w:pPr>
        <w:spacing w:after="0" w:line="1" w:lineRule="exact"/>
        <w:rPr>
          <w:rFonts w:ascii="Arial" w:cs="Arial" w:eastAsia="Arial" w:hAnsi="Arial"/>
          <w:sz w:val="15"/>
          <w:szCs w:val="15"/>
          <w:color w:val="auto"/>
        </w:rPr>
      </w:pPr>
    </w:p>
    <w:p>
      <w:pPr>
        <w:ind w:left="800" w:hanging="143"/>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the convertible notes are called for redemption;</w:t>
      </w:r>
    </w:p>
    <w:p>
      <w:pPr>
        <w:spacing w:after="0" w:line="9" w:lineRule="exact"/>
        <w:rPr>
          <w:rFonts w:ascii="Arial" w:cs="Arial" w:eastAsia="Arial" w:hAnsi="Arial"/>
          <w:sz w:val="15"/>
          <w:szCs w:val="15"/>
          <w:color w:val="auto"/>
        </w:rPr>
      </w:pPr>
    </w:p>
    <w:p>
      <w:pPr>
        <w:ind w:left="800" w:hanging="143"/>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if a fundamental change occurs; or</w:t>
      </w:r>
    </w:p>
    <w:p>
      <w:pPr>
        <w:spacing w:after="0" w:line="9" w:lineRule="exact"/>
        <w:rPr>
          <w:rFonts w:ascii="Arial" w:cs="Arial" w:eastAsia="Arial" w:hAnsi="Arial"/>
          <w:sz w:val="15"/>
          <w:szCs w:val="15"/>
          <w:color w:val="auto"/>
        </w:rPr>
      </w:pPr>
    </w:p>
    <w:p>
      <w:pPr>
        <w:ind w:left="800" w:hanging="143"/>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upon the occurrence of defined corporate events.</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 convertible notes also contain purchase options, at the option of the holders, which may require us to repurchase all or a portion of the convertible notes on August 1, 2011, August 1, 2016 and August 1, 2021 at the principal amount, plus accrued and unpaid interest.</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notes are preserved. We may redeem some or all of the convertible notes for cash, on or after August 1, 2011, for a price equal to 100% of the principal amount plus accrued and unpaid interest.</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convertible notes are unsecured and subordinate to all of our existing and future senior secured borrowings. The convertible notes are unconditionally guaranteed, joint and severally, by all of our operating subsidiaries, except for our international subsidiaries, all of which are wholly owned. The convertible notes contain covenants, which place restrictions on the incurrence of debt and certain mergers. We were in compliance with these debt covenants at June 30, 2008.</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At June 30, 2008, as was the case on March 31, 2008, the contingent conversion threshold was exceeded as the closing sale price per share of our common stock exceeded $78.19, which is 120% of the conversion price of $65.16, for at least 20 trading days in the 30 consecutive trading day period ending June 30, 2008. As a result, the notes are convertible at the option of the holder as of June 30, 2008 and through the third quarter of 2008, and accordingly, the aggregate principal amount of the convertible notes at June 30, 2008 is included in the current portion of long-term debt. At December 31, 2007, the contingent conversion threshold was not exceeded and, therefore, the aggregate principal amount of the convertible notes is included in long-term debt. As our stock price is subject to fluctuation, the contingent conversion threshold may be exceeded during any quarter prior to July 2011, and the notes subject to conversion.</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 xml:space="preserve">In May 2008, the FASB issued FSP APB 14-1, </w:t>
      </w:r>
      <w:r>
        <w:rPr>
          <w:rFonts w:ascii="Arial" w:cs="Arial" w:eastAsia="Arial" w:hAnsi="Arial"/>
          <w:sz w:val="15"/>
          <w:szCs w:val="15"/>
          <w:i w:val="1"/>
          <w:iCs w:val="1"/>
          <w:color w:val="auto"/>
        </w:rPr>
        <w:t>Accounting for Convertible Debt Instruments That May Be Settled in Cash upon Conversion</w:t>
      </w:r>
      <w:r>
        <w:rPr>
          <w:rFonts w:ascii="Arial" w:cs="Arial" w:eastAsia="Arial" w:hAnsi="Arial"/>
          <w:sz w:val="15"/>
          <w:szCs w:val="15"/>
          <w:color w:val="auto"/>
        </w:rPr>
        <w:t>, addressing convertible instruments that may be settled in cash upon conversion (see New Accounting Pronouncements).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5"/>
          <w:szCs w:val="15"/>
          <w:i w:val="1"/>
          <w:iCs w:val="1"/>
          <w:color w:val="auto"/>
        </w:rPr>
        <w:t>Other Sources and Uses of Capital</w:t>
      </w:r>
    </w:p>
    <w:p>
      <w:pPr>
        <w:spacing w:after="0" w:line="18"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In addition to the outstanding standby letters of credit of $51.4 million issued under our credit facility’s $115 million multicurrency revolver, our Actaris operating segment has a total of $28.1 million of unsecured multicurrency revolving lines of credit with various financial institutions with total outstanding standby letters of credit of $6.7 million at June 30, 2008. Unsecured surety bonds in force were $12.3 million and $13.8 million at June 30, 2008 and December 31, 2007, respectively. In the event any such bonds or letters of credit are called, we would be obligated to reimburse the issuer of the letter of credit or bond; however, we do not believe that any currently outstanding bonds or letters of credit will be called.</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Prepaid debt fees for our outstanding borrowings are amortized over the respective terms using the effective interest method. Total unamortized prepaid debt fees were approximately $15.9 million and $21.6 million at June 30, 2008 and December 31, 2007, respectively. Accrued interest expense was $4.5 million and $5.0 million at June 30, 2008 and December 31, 2007, respectively.</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Our net deferred tax assets consist primarily of accumulated net operating loss carryforwards, hedging activities and tax credits that can be carried forward, some of which are limited by Internal Revenue Code Sections 382 and 383. The limited deferred tax assets resulted primarily from acquisitions. Based on current projections, we expect to pay minimal U.S. federal and state taxes and approximately $25.3 million in local and foreign taxes in 2008.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We sponsor both funded and unfunded non-U.S. defined benefit pension plans offering death and disability, retirement and special termination benefits to employees in Germany, France, Spain, Italy, Belgium, Chile, Portugal, Hungary and Indonesia. These plans were assumed with the acquisition of Actaris on April 18, 2007. Our general funding policy for these qualified pension plans is to contribute amounts at least sufficient to satisfy regulatory funding standards of the respective countries for each plan. At December 31, 2007, we expected to contribute $500,000 to our defined benefit pension plans in 2008. For the three and six months ended June 30, 2008, we contributed $30,000 and $90,000, respectively, to the defined benefit pension plans.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Working capital, which includes current assets less current liabilities, was ($55.8) million at June 30, 2008, compared with $249.6 million at December 31, 2007. The $305.4 million decrease in working capital resulted primarily from the $345 million aggregate principal amount of convertible notes being reclassified from long-term to current debt at June 30, 2008 as the contingent conversion threshold was exceeded at June 30, 2008.</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issuance of common stock or other securities. We believe existing sources of liquidity will be sufficient to fund our existing operations and obligations for the remainder of the year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1 of our Annual Report on Form 10-K for the fiscal year ended December 31, 2007, which was filed with the SEC on February 26, 2008, as well as in our “Quantitative and Qualitative Disclosures About Market Risk” within Item 3 of Part 1, included in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21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4"/>
          <w:szCs w:val="14"/>
          <w:i w:val="1"/>
          <w:iCs w:val="1"/>
          <w:color w:val="auto"/>
        </w:rPr>
        <w:t>Accounting for Contingencies</w:t>
      </w:r>
      <w:r>
        <w:rPr>
          <w:rFonts w:ascii="Arial" w:cs="Arial" w:eastAsia="Arial" w:hAnsi="Arial"/>
          <w:sz w:val="14"/>
          <w:szCs w:val="14"/>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June 30, 2008 were not material to our financial condition or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or approximately $14.1 million, in damages, plus accrued interest at 18% annually, against the defendants and have invalidated the 2001 transfer of the Mecoindo interest to a subsidiary of Actaris. All of the parties have appealed the matter and it is currently pending before the Indonesian Supreme Court. We intend to continue vigorously defending our interest. In addition, Actaris has notified Schlumberger that it will seek to have Schlumberger indemnify Actaris from any damages it may incur as a result of this claim. In any event, we do not believe that an adverse outcome is likely to have a material adverse impact to our financial condition or results of operations.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March 2008, IP Co. LLC filed a complaint in the U.S. District Court for the Eastern District of Texas against Itron, Inc., CenterPoint Energy and Eaton Corp. alleging infringement of a patent owned by IP Co. LLC. The complaint alleges that one U.S. patent, concerning wireless mesh networking systems that optimize data sent across a general area, is being infringed by the defendants. The complaint seeks unspecified damages as well as injunctive relief. We believe these claims are without merit and we intend to vigorously defend our interests. In any event, we do not believe an adverse outcome is likely nor do we believe an adverse outcome will have a material adverse impact to our financial condition or results of operations.</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The terms of the indemnification normally do not limit the maximum potential future payments. We also provide an indemnification for third party claims resulting from damages caused by the negligence or willful misconduct of our employees/agents in connection with the performance of certain contracts. The terms of the indemnification generally do not limit the maximum potential payments.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w:t>
      </w:r>
    </w:p>
    <w:p>
      <w:pPr>
        <w:spacing w:after="0" w:line="20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Revenue Recognition: </w:t>
      </w:r>
      <w:r>
        <w:rPr>
          <w:rFonts w:ascii="Arial" w:cs="Arial" w:eastAsia="Arial" w:hAnsi="Arial"/>
          <w:sz w:val="14"/>
          <w:szCs w:val="14"/>
          <w:color w:val="auto"/>
        </w:rPr>
        <w:t>The majority of our revenues are recognized when products are shipped to or received by a customer or when services are provided. For arrangements involving</w:t>
      </w:r>
      <w:r>
        <w:rPr>
          <w:rFonts w:ascii="Arial" w:cs="Arial" w:eastAsia="Arial" w:hAnsi="Arial"/>
          <w:sz w:val="14"/>
          <w:szCs w:val="14"/>
          <w:i w:val="1"/>
          <w:iCs w:val="1"/>
          <w:color w:val="auto"/>
        </w:rPr>
        <w:t xml:space="preserve"> </w:t>
      </w:r>
      <w:r>
        <w:rPr>
          <w:rFonts w:ascii="Arial" w:cs="Arial" w:eastAsia="Arial" w:hAnsi="Arial"/>
          <w:sz w:val="14"/>
          <w:szCs w:val="14"/>
          <w:color w:val="auto"/>
        </w:rPr>
        <w:t>multiple elements, we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Fair values represent the estimated price charged when an item is sold separately. We review our fair values on an annual basis or more frequently if a significant trend is noted.</w:t>
      </w:r>
    </w:p>
    <w:p>
      <w:pPr>
        <w:spacing w:after="0" w:line="170" w:lineRule="exact"/>
        <w:rPr>
          <w:sz w:val="20"/>
          <w:szCs w:val="20"/>
          <w:color w:val="auto"/>
        </w:rPr>
      </w:pPr>
    </w:p>
    <w:p>
      <w:pPr>
        <w:jc w:val="both"/>
        <w:ind w:right="20"/>
        <w:spacing w:after="0" w:line="265" w:lineRule="auto"/>
        <w:rPr>
          <w:sz w:val="20"/>
          <w:szCs w:val="20"/>
          <w:color w:val="auto"/>
        </w:rPr>
      </w:pPr>
      <w:r>
        <w:rPr>
          <w:rFonts w:ascii="Arial" w:cs="Arial" w:eastAsia="Arial" w:hAnsi="Arial"/>
          <w:sz w:val="15"/>
          <w:szCs w:val="15"/>
          <w:color w:val="auto"/>
        </w:rPr>
        <w:t>We recognize revenue for delivered elements when the delivered elements have standalone value and we have objective and reliable evidence of fair value for each undelivered element.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Unearned revenue is recorded for products or services for which cash has been received from a customer but for which the criteria for revenue recognition has not been met as of the balance sheet date. Unearned revenue relates to payments received from customers in connection with product and service invoicing for which revenue recognition criteria has not been met. Shipping and handling costs and incidental expenses billed to customers are recorded as revenue, with the associated cost charged to cost of revenues.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 xml:space="preserve">Warranty: </w:t>
      </w:r>
      <w:r>
        <w:rPr>
          <w:rFonts w:ascii="Arial" w:cs="Arial" w:eastAsia="Arial" w:hAnsi="Arial"/>
          <w:sz w:val="15"/>
          <w:szCs w:val="15"/>
          <w:color w:val="auto"/>
        </w:rPr>
        <w:t>We offer industry standard warranties on our hardware products and large application software products. We accrue the estimated cost of projected warranty claims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historical and projected product performance trends, business volume assumptions, supplier information and other business and economic projections.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replace projected product failures, and we may incur additional warranty and related expenses in the future with respect to new or established products.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 xml:space="preserve">Inventories: </w:t>
      </w:r>
      <w:r>
        <w:rPr>
          <w:rFonts w:ascii="Arial" w:cs="Arial" w:eastAsia="Arial" w:hAnsi="Arial"/>
          <w:sz w:val="15"/>
          <w:szCs w:val="15"/>
          <w:color w:val="auto"/>
        </w:rPr>
        <w:t>Items are removed from inventory using the first-in, first-out method. Inventories include raw materials, sub-assemblies and finished goods. Inventory amounts include the cost</w:t>
      </w:r>
      <w:r>
        <w:rPr>
          <w:rFonts w:ascii="Arial" w:cs="Arial" w:eastAsia="Arial" w:hAnsi="Arial"/>
          <w:sz w:val="15"/>
          <w:szCs w:val="15"/>
          <w:i w:val="1"/>
          <w:iCs w:val="1"/>
          <w:color w:val="auto"/>
        </w:rPr>
        <w:t xml:space="preserve"> </w:t>
      </w:r>
      <w:r>
        <w:rPr>
          <w:rFonts w:ascii="Arial" w:cs="Arial" w:eastAsia="Arial" w:hAnsi="Arial"/>
          <w:sz w:val="15"/>
          <w:szCs w:val="15"/>
          <w:color w:val="auto"/>
        </w:rPr>
        <w:t>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86" w:lineRule="exact"/>
        <w:rPr>
          <w:sz w:val="20"/>
          <w:szCs w:val="20"/>
          <w:color w:val="auto"/>
        </w:rPr>
      </w:pPr>
    </w:p>
    <w:p>
      <w:pPr>
        <w:ind w:right="40"/>
        <w:spacing w:after="0" w:line="308" w:lineRule="auto"/>
        <w:rPr>
          <w:sz w:val="20"/>
          <w:szCs w:val="20"/>
          <w:color w:val="auto"/>
        </w:rPr>
      </w:pPr>
      <w:r>
        <w:rPr>
          <w:rFonts w:ascii="Arial" w:cs="Arial" w:eastAsia="Arial" w:hAnsi="Arial"/>
          <w:sz w:val="13"/>
          <w:szCs w:val="13"/>
          <w:i w:val="1"/>
          <w:iCs w:val="1"/>
          <w:color w:val="auto"/>
        </w:rPr>
        <w:t>Business Combinations</w:t>
      </w:r>
      <w:r>
        <w:rPr>
          <w:rFonts w:ascii="Arial" w:cs="Arial" w:eastAsia="Arial" w:hAnsi="Arial"/>
          <w:sz w:val="13"/>
          <w:szCs w:val="13"/>
          <w:color w:val="auto"/>
        </w:rPr>
        <w:t>: In accordance with SFAS 141,</w:t>
      </w:r>
      <w:r>
        <w:rPr>
          <w:rFonts w:ascii="Arial" w:cs="Arial" w:eastAsia="Arial" w:hAnsi="Arial"/>
          <w:sz w:val="13"/>
          <w:szCs w:val="13"/>
          <w:i w:val="1"/>
          <w:iCs w:val="1"/>
          <w:color w:val="auto"/>
        </w:rPr>
        <w:t xml:space="preserve"> Business Combinations</w:t>
      </w:r>
      <w:r>
        <w:rPr>
          <w:rFonts w:ascii="Arial" w:cs="Arial" w:eastAsia="Arial" w:hAnsi="Arial"/>
          <w:sz w:val="13"/>
          <w:szCs w:val="13"/>
          <w:color w:val="auto"/>
        </w:rPr>
        <w:t>, we record the results of operations of an acquired business from the date of acquisition. We make</w:t>
      </w:r>
      <w:r>
        <w:rPr>
          <w:rFonts w:ascii="Arial" w:cs="Arial" w:eastAsia="Arial" w:hAnsi="Arial"/>
          <w:sz w:val="13"/>
          <w:szCs w:val="13"/>
          <w:i w:val="1"/>
          <w:iCs w:val="1"/>
          <w:color w:val="auto"/>
        </w:rPr>
        <w:t xml:space="preserve"> </w:t>
      </w:r>
      <w:r>
        <w:rPr>
          <w:rFonts w:ascii="Arial" w:cs="Arial" w:eastAsia="Arial" w:hAnsi="Arial"/>
          <w:sz w:val="13"/>
          <w:szCs w:val="13"/>
          <w:color w:val="auto"/>
        </w:rPr>
        <w:t>preliminary allocations of the purchase price to the assets acquired and liabilities assumed based on estimated fair value assessments. Until we finalize the fair values, we may have changes to the carrying values of tangible and intangible assets, goodwill, commitments and contingencies, liabilities, deferred taxes, uncertain tax positions and restructuring activities. Amounts allocated to IPR&amp;D are expensed in the period of acquisition. Costs to complete the IPR&amp;D are expensed in the subsequent period as incurred. We may experience unforeseen problems in the development or performance of the IPR&amp;D, we may not meet our product development schedules or we may not achieve market acceptance of these new products or solutions.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jc w:val="both"/>
        <w:spacing w:after="0" w:line="299" w:lineRule="auto"/>
        <w:rPr>
          <w:sz w:val="20"/>
          <w:szCs w:val="20"/>
          <w:color w:val="auto"/>
        </w:rPr>
      </w:pPr>
      <w:r>
        <w:rPr>
          <w:rFonts w:ascii="Arial" w:cs="Arial" w:eastAsia="Arial" w:hAnsi="Arial"/>
          <w:sz w:val="13"/>
          <w:szCs w:val="13"/>
          <w:i w:val="1"/>
          <w:iCs w:val="1"/>
          <w:color w:val="auto"/>
        </w:rPr>
        <w:t xml:space="preserve">Goodwill and Intangible Assets: </w:t>
      </w:r>
      <w:r>
        <w:rPr>
          <w:rFonts w:ascii="Arial" w:cs="Arial" w:eastAsia="Arial" w:hAnsi="Arial"/>
          <w:sz w:val="13"/>
          <w:szCs w:val="13"/>
          <w:color w:val="auto"/>
        </w:rPr>
        <w:t>Goodwill and intangible assets result from our acquisitions. We use estimates in determining the value assigned to goodwill and intangible assets, including</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estimates of useful lives of intangible assets, discounted future cash flows and fair values of the related operations. We test goodwill for impairment each year as of October 1, under the guidance of SFAS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At October 1, 2007, our Itron North America operating segment represents one reporting unit, while our Actaris operating segment has three reporting units. We forecast discounted future cash flows at the reporting unit level based on estimated future revenues and operating costs, which take into consideration factors such as existing backlog, expected future orders, supplier contracts and general market conditions. Changes in our forecasts or cost of capital may result in asset value adjustments, which could have a significant effect on our current and future results of operations and financial condition. Intangible assets with a finite life are amortized over their estimated useful life based on estimated discounted cash flows and are tested for impairment when events or changes in circumstances indicate the carrying value may not be recoverable.</w:t>
      </w:r>
    </w:p>
    <w:p>
      <w:pPr>
        <w:spacing w:after="0" w:line="16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 xml:space="preserve">Stock-Based Compensation: </w:t>
      </w:r>
      <w:r>
        <w:rPr>
          <w:rFonts w:ascii="Arial" w:cs="Arial" w:eastAsia="Arial" w:hAnsi="Arial"/>
          <w:sz w:val="15"/>
          <w:szCs w:val="15"/>
          <w:color w:val="auto"/>
        </w:rPr>
        <w:t>We measure compensation cost for stock-based awards at fair value and recognize compensation cost over the service period for awards expected to vest. We</w:t>
      </w:r>
      <w:r>
        <w:rPr>
          <w:rFonts w:ascii="Arial" w:cs="Arial" w:eastAsia="Arial" w:hAnsi="Arial"/>
          <w:sz w:val="15"/>
          <w:szCs w:val="15"/>
          <w:i w:val="1"/>
          <w:iCs w:val="1"/>
          <w:color w:val="auto"/>
        </w:rPr>
        <w:t xml:space="preserve"> </w:t>
      </w:r>
      <w:r>
        <w:rPr>
          <w:rFonts w:ascii="Arial" w:cs="Arial" w:eastAsia="Arial" w:hAnsi="Arial"/>
          <w:sz w:val="15"/>
          <w:szCs w:val="15"/>
          <w:color w:val="auto"/>
        </w:rPr>
        <w:t>use the Black-Scholes option-pricing model, which requires the input of assumptions, including the estimated length of time employees will retain their vested stock options before exercising them (expected term) and the estimated volatility of our common stock’s price over the expected term. Furthermore, in calculating compensation for these awards, we are also required to estimate the approximate number of options that will be forfeited prior to completing their vesting requirement (forfeitures). We consider many factors when estimating expected forfeitures, including types of awards, employee class and historical experience. To the extent actual results or updated estimates differ from our current estimates, such amounts will be recorded as a cumulative adjustment in the period estimates are revised.</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 xml:space="preserve">Bonus and Profit Sharing: </w:t>
      </w:r>
      <w:r>
        <w:rPr>
          <w:rFonts w:ascii="Arial" w:cs="Arial" w:eastAsia="Arial" w:hAnsi="Arial"/>
          <w:sz w:val="15"/>
          <w:szCs w:val="15"/>
          <w:color w:val="auto"/>
        </w:rPr>
        <w:t>We have employee bonus and profit sharing plans in which many of our employees participate, which provide award amounts for the achievement of annual</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An accrual is recorded if management determines it probable that a target will be achieved and the amount can be reasonably estimated. Although we monitor our annual forecast and the progress towards achievement of goals, the actual results at the end of the year may warrant a bonus award that is significantly greater or less than the estimates made in earlier quarters.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i w:val="1"/>
          <w:iCs w:val="1"/>
          <w:color w:val="auto"/>
        </w:rPr>
        <w:t xml:space="preserve">Defined Benefit Pension Plans: </w:t>
      </w:r>
      <w:r>
        <w:rPr>
          <w:rFonts w:ascii="Arial" w:cs="Arial" w:eastAsia="Arial" w:hAnsi="Arial"/>
          <w:sz w:val="14"/>
          <w:szCs w:val="14"/>
          <w:color w:val="auto"/>
        </w:rPr>
        <w:t>We sponsor both funded and unfunded non-U.S. defined benefit pension plans. FASB Statement 87,</w:t>
      </w:r>
      <w:r>
        <w:rPr>
          <w:rFonts w:ascii="Arial" w:cs="Arial" w:eastAsia="Arial" w:hAnsi="Arial"/>
          <w:sz w:val="14"/>
          <w:szCs w:val="14"/>
          <w:i w:val="1"/>
          <w:iCs w:val="1"/>
          <w:color w:val="auto"/>
        </w:rPr>
        <w:t xml:space="preserve"> Employers' Accounting for Pensions</w:t>
      </w:r>
      <w:r>
        <w:rPr>
          <w:rFonts w:ascii="Arial" w:cs="Arial" w:eastAsia="Arial" w:hAnsi="Arial"/>
          <w:sz w:val="14"/>
          <w:szCs w:val="14"/>
          <w:color w:val="auto"/>
        </w:rPr>
        <w:t>, as amended by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SFAS 158, </w:t>
      </w:r>
      <w:r>
        <w:rPr>
          <w:rFonts w:ascii="Arial" w:cs="Arial" w:eastAsia="Arial" w:hAnsi="Arial"/>
          <w:sz w:val="14"/>
          <w:szCs w:val="14"/>
          <w:i w:val="1"/>
          <w:iCs w:val="1"/>
          <w:color w:val="auto"/>
        </w:rPr>
        <w:t>Employers' Accounting for Defined Benefit Pension and Other Postretirement Plans</w:t>
      </w:r>
      <w:r>
        <w:rPr>
          <w:rFonts w:ascii="Arial" w:cs="Arial" w:eastAsia="Arial" w:hAnsi="Arial"/>
          <w:sz w:val="14"/>
          <w:szCs w:val="14"/>
          <w:color w:val="auto"/>
        </w:rPr>
        <w:t>, requires the assets acquired and liabilities assumed in a business combination to include a liability for the projected benefit obligation in excess of plan assets or an asset for plan assets in excess of the projected benefit obligation. SFAS 158 also requires employers to recognize the funded status of their defined benefit pension plans on their consolidated balance sheet and recognize as a component of other comprehensive income, net of tax, the actuarial gains or losses, prior service costs or credits and transition assets or obligations, if any, that arise during the period but are not recognized as components of net periodic benefit cost. Our general funding policy for these qualified pension plans is to contribute amounts at least sufficient to satisfy regulatory funding standards of the respective countries for each plan. At June 30, 2008 we expect to contribute a total of $500,000 to our defined benefit pension plans during 2008, which is consistent with our estimate at December 31, 2007. Our expected contribution assumes that actual plan asset returns are consistent with our expected rate of return and that interest rates remain constant. For the three and six months ended June 30, 2008, we contributed approximately $30,000 and $90,000, respectively, to the defined benefit pension plans.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We estimate income taxes in each of the taxing jurisdictions in which we operate. Changes in our effective tax rate are subject to several factors, including fluctuations in</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results, new or revised tax legislation and accounting pronouncements, changes in the level of business performed in domestic and international jurisdictions, research credits, state income taxes and adjustments to valuation allowances, among other items. Significant judgment is required in determining our annual tax rate and in evaluating our tax positions. At the end of each interim period, we make our best estimate of the effective tax rate expected to be applicable for the full fiscal year and the impact of discrete items, if any, and adjust the quarterly rate, as necessary. We assess the likelihood that deferred tax assets, which include net operating loss carryforwards and temporary differences expected to be deductible in future years, will be recoverable. The realization of our deferred tax asset related to net operating loss carryforwards is supported by projections of future profitability. If recovery of the deferred tax asset is not more likely than not, we provide a valuation allowance based on estimates of future taxable income in the respective taxing jurisdiction and the amount of deferred taxes that are expected to be realizable. If future taxable income is different than expected, we will adjust the valuation allowances through income tax expense in future periods, creating variability in our calculated tax rates. We are also subject to audit in multiple taxing jurisdictions in which we operate. Tax liabilities are recorded based on estimates of additional taxes, which will be due upon the conclusion of these audits. Estimates of these tax liabilities are made based upon prior experience and are updated in light of changes in facts and circumstances. Due to the uncertain and complex application of tax regulations, it is possible that the ultimate resolution of audits may result in liabilities, which could be different from these estimates. These audits can involve complex issues, which may require an extended period of time to resolve. We believe we have recorded adequate income tax provisions and FIN 48 reserves.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We evaluate whether our tax benefits claimed or expected to be claimed on a tax return should be recorded in the financial statements in accordance with FIN 48. Under FIN 48, we recognize the tax benefit from an uncertain tax position only if it is more likely than not that the tax position will be sustained upon examination by the taxing authorities based solely on the technical merits of the position. The tax benefits recognized in the financial statements from such a position should be measured based on the largest benefit that has a greater than fifty percent likelihood of being realized upon ultimate settlement. We classify interest expense and penalties related to unrecognized tax benefits and interest income on tax overpayments as components of income tax expense. We believe we have recorded adequate income tax provisions.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i w:val="1"/>
          <w:iCs w:val="1"/>
          <w:color w:val="auto"/>
        </w:rPr>
        <w:t xml:space="preserve">Legal Contingencies: </w:t>
      </w:r>
      <w:r>
        <w:rPr>
          <w:rFonts w:ascii="Arial" w:cs="Arial" w:eastAsia="Arial" w:hAnsi="Arial"/>
          <w:sz w:val="15"/>
          <w:szCs w:val="15"/>
          <w:color w:val="auto"/>
        </w:rPr>
        <w:t>We are subject to various legal proceedings and claims of which the outcomes are subject to significant uncertainty. Our policy is to assess the likelihood of any</w:t>
      </w:r>
      <w:r>
        <w:rPr>
          <w:rFonts w:ascii="Arial" w:cs="Arial" w:eastAsia="Arial" w:hAnsi="Arial"/>
          <w:sz w:val="15"/>
          <w:szCs w:val="15"/>
          <w:i w:val="1"/>
          <w:iCs w:val="1"/>
          <w:color w:val="auto"/>
        </w:rPr>
        <w:t xml:space="preserve"> </w:t>
      </w:r>
      <w:r>
        <w:rPr>
          <w:rFonts w:ascii="Arial" w:cs="Arial" w:eastAsia="Arial" w:hAnsi="Arial"/>
          <w:sz w:val="15"/>
          <w:szCs w:val="15"/>
          <w:color w:val="auto"/>
        </w:rPr>
        <w:t>adverse judgments or outcomes related to legal matters, as well as ranges of probable losses. A determination of the amount of the liability required, if any, for these contingencies is made after an analysis of each known issue in accordance with SFAS 5, and related pronouncements. In accordance with SFAS 5, a liability is recorded when we determine that a loss is probable and the amount can be reasonably estimated. Additionally, we disclose contingencies for which a material loss is reasonably possible, but not probable. Legal contingencies at June 30, 2008 were not material to our financial condition or results of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i w:val="1"/>
          <w:iCs w:val="1"/>
          <w:color w:val="auto"/>
        </w:rPr>
        <w:t xml:space="preserve">Derivative Instruments: </w:t>
      </w:r>
      <w:r>
        <w:rPr>
          <w:rFonts w:ascii="Arial" w:cs="Arial" w:eastAsia="Arial" w:hAnsi="Arial"/>
          <w:sz w:val="14"/>
          <w:szCs w:val="14"/>
          <w:color w:val="auto"/>
        </w:rPr>
        <w:t>We account for derivative instruments and hedging activities in accordance with SFAS 133, as amended. All derivative instruments, whether designated in hedging</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relationships or not, are recorded on the Condensed Consolidated Balance Sheets at fair value as either assets or liabilities. The components and fair values of our derivative instruments are determined using the fair value measurements of significant other observable inputs (Level 2), as defined by SFAS 157, </w:t>
      </w:r>
      <w:r>
        <w:rPr>
          <w:rFonts w:ascii="Arial" w:cs="Arial" w:eastAsia="Arial" w:hAnsi="Arial"/>
          <w:sz w:val="14"/>
          <w:szCs w:val="14"/>
          <w:i w:val="1"/>
          <w:iCs w:val="1"/>
          <w:color w:val="auto"/>
        </w:rPr>
        <w:t>Fair Value Measurements</w:t>
      </w:r>
      <w:r>
        <w:rPr>
          <w:rFonts w:ascii="Arial" w:cs="Arial" w:eastAsia="Arial" w:hAnsi="Arial"/>
          <w:sz w:val="14"/>
          <w:szCs w:val="14"/>
          <w:color w:val="auto"/>
        </w:rPr>
        <w:t>.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derivative instruments that do not qualify for hedging activities are recognized in other income (expense) in the Condensed Consolidated Statement of Operations. We classify cash flows from our derivative programs as cash flows from operating activities in the Condensed Consolidated Statements of Cash Flows. Derivatives are not used for trading or speculative purposes. Counterparties to our currency exchange and interest rate derivatives consist of major international financial institutions. We monitor our positions and the credit ratings of our counterparties when valuing our derivatives.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i w:val="1"/>
          <w:iCs w:val="1"/>
          <w:color w:val="auto"/>
        </w:rPr>
        <w:t xml:space="preserve">Foreign Exchange: </w:t>
      </w:r>
      <w:r>
        <w:rPr>
          <w:rFonts w:ascii="Arial" w:cs="Arial" w:eastAsia="Arial" w:hAnsi="Arial"/>
          <w:sz w:val="14"/>
          <w:szCs w:val="14"/>
          <w:color w:val="auto"/>
        </w:rPr>
        <w:t>Our condensed consolidated financial statements are reported in U.S. dollars. Assets and liabilities of international subsidiaries with a non-U.S. dollar functional</w:t>
      </w:r>
      <w:r>
        <w:rPr>
          <w:rFonts w:ascii="Arial" w:cs="Arial" w:eastAsia="Arial" w:hAnsi="Arial"/>
          <w:sz w:val="14"/>
          <w:szCs w:val="14"/>
          <w:i w:val="1"/>
          <w:iCs w:val="1"/>
          <w:color w:val="auto"/>
        </w:rPr>
        <w:t xml:space="preserve"> </w:t>
      </w:r>
      <w:r>
        <w:rPr>
          <w:rFonts w:ascii="Arial" w:cs="Arial" w:eastAsia="Arial" w:hAnsi="Arial"/>
          <w:sz w:val="14"/>
          <w:szCs w:val="14"/>
          <w:color w:val="auto"/>
        </w:rPr>
        <w:t>currency are translated to U.S. dollars at the exchange rates in effect on the balance sheet date, or the last business day of the period, if applicable. Revenues and expenses for these subsidiaries are translated to U.S. dollars using an average rate for the relevant reporting period. Translation adjustments resulting from this process are included, net of tax, in accumulated other comprehensive income in shareholders’ equity. Gains and losses that arise from exchange rate fluctuations for balances that are not denominated in the functional currency are included in the Condensed Consolidated Statements of Operations. Currency gains and losses of intercompany balances deemed to be long-term in nature or considered to be hedges of the net investment in international subsidiaries are included, net of tax, in accumulated other comprehensive income in shareholders’ equity.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Accounting Pronouncements</w:t>
      </w:r>
    </w:p>
    <w:p>
      <w:pPr>
        <w:spacing w:after="0" w:line="202"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 xml:space="preserve">In December 2007, the FASB issued SFAS 141(R), </w:t>
      </w:r>
      <w:r>
        <w:rPr>
          <w:rFonts w:ascii="Arial" w:cs="Arial" w:eastAsia="Arial" w:hAnsi="Arial"/>
          <w:sz w:val="14"/>
          <w:szCs w:val="14"/>
          <w:i w:val="1"/>
          <w:iCs w:val="1"/>
          <w:color w:val="auto"/>
        </w:rPr>
        <w:t>Business Combinations</w:t>
      </w:r>
      <w:r>
        <w:rPr>
          <w:rFonts w:ascii="Arial" w:cs="Arial" w:eastAsia="Arial" w:hAnsi="Arial"/>
          <w:sz w:val="14"/>
          <w:szCs w:val="14"/>
          <w:color w:val="auto"/>
        </w:rPr>
        <w:t>, which replaces SFAS 141. SFAS 141(R) retains the fundamental purchase method of accounting for acquisitions, but requires a number of changes, including the way assets and liabilities are recognized in purchase accounting. SFAS 141(R) requires the recognition of assets acquired and liabilities assumed arising from contingencies to be recorded at fair value on the acquisition date; that in-process research and development be capitalized as an intangible asset and amortized over its estimated useful life; and that acquisition-related costs are expensed as incurred. SFAS 141(R) also requires that restructuring costs generally be expensed in periods subsequent to the acquisition date and that changes in accounting for deferred tax asset valuation allowances and acquired income tax uncertainties after the measurement period be recognized as a component of provision for taxes. SFAS 141(R) is effective for business combinations for which the acquisition date is on or after the beginning of the first annual reporting period beginning on or after December 15, 2008. We will apply SFAS 141(R) to any acquisition after the date of adoption.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 xml:space="preserve">In February 2008, the FASB issued FASB Staff Position (FSP) 157-2, </w:t>
      </w:r>
      <w:r>
        <w:rPr>
          <w:rFonts w:ascii="Arial" w:cs="Arial" w:eastAsia="Arial" w:hAnsi="Arial"/>
          <w:sz w:val="15"/>
          <w:szCs w:val="15"/>
          <w:i w:val="1"/>
          <w:iCs w:val="1"/>
          <w:color w:val="auto"/>
        </w:rPr>
        <w:t>Effective Date of FASB Statement No. 157</w:t>
      </w:r>
      <w:r>
        <w:rPr>
          <w:rFonts w:ascii="Arial" w:cs="Arial" w:eastAsia="Arial" w:hAnsi="Arial"/>
          <w:sz w:val="15"/>
          <w:szCs w:val="15"/>
          <w:color w:val="auto"/>
        </w:rPr>
        <w:t>, which delays the effective date of SFAS 157 for nonfinancial assets and nonfinancial liabilities, except those that are recognized or disclosed at fair value in the financial statements on a recurring basis (at least annually) to fiscal years beginning after November 15, 2008 and interim periods within those fiscal years (see Financial Statements, Note 1). We are currently assessing the impact of SFAS 157 for nonfinancial assets and nonfinancial liabilities on our condensed consolidated financial statements.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 xml:space="preserve">In December 2007, the FASB issued SFAS 160, </w:t>
      </w:r>
      <w:r>
        <w:rPr>
          <w:rFonts w:ascii="Arial" w:cs="Arial" w:eastAsia="Arial" w:hAnsi="Arial"/>
          <w:sz w:val="14"/>
          <w:szCs w:val="14"/>
          <w:i w:val="1"/>
          <w:iCs w:val="1"/>
          <w:color w:val="auto"/>
        </w:rPr>
        <w:t>Noncontrolling Interests in Consolidated Financial Statements - an amendment of ARB No. 51</w:t>
      </w:r>
      <w:r>
        <w:rPr>
          <w:rFonts w:ascii="Arial" w:cs="Arial" w:eastAsia="Arial" w:hAnsi="Arial"/>
          <w:sz w:val="14"/>
          <w:szCs w:val="14"/>
          <w:color w:val="auto"/>
        </w:rPr>
        <w:t>, which changes the accounting and reporting for minority interests. Minority interests will be re-characterized as noncontrolling interests and will be reported as a component of equity, separate from the parent’s equity, and purchases or sales of equity interests that do not result in a change in control will be accounted for as equity transactions. In addition, net income attributable to the noncontrolling interest will be included in consolidated net income on the face of the income statement and upon a loss of control, the interest sold, as well as any interest retained, will be recorded at fair value with any gain or loss recognized in earnings. SFAS 160 is effective for fiscal years beginning after December 15, 2008, and will be adopted by us in the first quarter of 2009. SFAS 160 is currently not expected to have a material effect on our condensed consolidated financial statements.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 xml:space="preserve">In March 2008, the FASB issued SFAS 161, </w:t>
      </w:r>
      <w:r>
        <w:rPr>
          <w:rFonts w:ascii="Arial" w:cs="Arial" w:eastAsia="Arial" w:hAnsi="Arial"/>
          <w:sz w:val="15"/>
          <w:szCs w:val="15"/>
          <w:i w:val="1"/>
          <w:iCs w:val="1"/>
          <w:color w:val="auto"/>
        </w:rPr>
        <w:t>Disclosures about Derivative Instruments and Hedging Activities – an amendment of FASB Statement 133</w:t>
      </w:r>
      <w:r>
        <w:rPr>
          <w:rFonts w:ascii="Arial" w:cs="Arial" w:eastAsia="Arial" w:hAnsi="Arial"/>
          <w:sz w:val="15"/>
          <w:szCs w:val="15"/>
          <w:color w:val="auto"/>
        </w:rPr>
        <w:t>, which requires enhanced disclosures about how and why derivative instruments are used, how derivative instruments and related hedged items are accounted for under SFAS 133 and its related interpretations and how derivative instruments and related hedged items affect an entity’s financial position, financial performance and cash flows. SFAS 161 also requires the fair values of derivative instruments and their gains and losses to be disclosed in a tabular format. SFAS 161 does not change how we record and account for derivative instruments. SFAS 161 is effective for fiscal years and interim periods beginning after November 15, 2008 and will be adopted by us in the first quarter of 2009.</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In May 2008, the FASB issued FSP APB 14-1, </w:t>
      </w:r>
      <w:r>
        <w:rPr>
          <w:rFonts w:ascii="Arial" w:cs="Arial" w:eastAsia="Arial" w:hAnsi="Arial"/>
          <w:sz w:val="14"/>
          <w:szCs w:val="14"/>
          <w:i w:val="1"/>
          <w:iCs w:val="1"/>
          <w:color w:val="auto"/>
        </w:rPr>
        <w:t>Accounting for Convertible Debt Instruments That May Be Settled in Cash upon Conversion</w:t>
      </w:r>
      <w:r>
        <w:rPr>
          <w:rFonts w:ascii="Arial" w:cs="Arial" w:eastAsia="Arial" w:hAnsi="Arial"/>
          <w:sz w:val="14"/>
          <w:szCs w:val="14"/>
          <w:color w:val="auto"/>
        </w:rPr>
        <w:t>, addressing convertible instruments that may be settled in cash upon conversion. This FSP requires, among other things, the issuer to separately account for the liability and equity components of the convertible instrument in a manner that reflects the issuer’s non-convertible debt borrowing rate. This FSP is effective for financial statements issued for fiscal years and interim periods beginning after December 15, 2008 and must be applied retrospectively to all periods presented at the time of adoption. We will adopt the FSP on January 1, 2009. We expect the impact of the FSP to be material to our condensed consolidated financial statements and are currently evaluating the impact on specific accounts and disclosures.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218"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speculative purposes.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Interest Rate Risk</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The table below provides information about our financial instruments that are sensitive to changes in interest rates and the scheduled minimum repayment of principal over the remaining lives of our debt at June 30, 2008. Weighted average variable rates in the table are based on implied forward rates in the Wells Fargo swap yield curve as of July 2, 2008, our estimated ratio of funded debt to EBITDA, which determines our rate margin, and a static foreign exchange rate at June 30, 2008.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2008</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2009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64"/>
              <w:spacing w:after="0"/>
              <w:rPr>
                <w:sz w:val="20"/>
                <w:szCs w:val="20"/>
                <w:color w:val="auto"/>
              </w:rPr>
            </w:pPr>
            <w:r>
              <w:rPr>
                <w:rFonts w:ascii="Arial" w:cs="Arial" w:eastAsia="Arial" w:hAnsi="Arial"/>
                <w:sz w:val="15"/>
                <w:szCs w:val="15"/>
                <w:b w:val="1"/>
                <w:bCs w:val="1"/>
                <w:color w:val="auto"/>
              </w:rPr>
              <w:t>2010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64"/>
              <w:spacing w:after="0"/>
              <w:rPr>
                <w:sz w:val="20"/>
                <w:szCs w:val="20"/>
                <w:color w:val="auto"/>
              </w:rPr>
            </w:pPr>
            <w:r>
              <w:rPr>
                <w:rFonts w:ascii="Arial" w:cs="Arial" w:eastAsia="Arial" w:hAnsi="Arial"/>
                <w:sz w:val="15"/>
                <w:szCs w:val="15"/>
                <w:b w:val="1"/>
                <w:bCs w:val="1"/>
                <w:color w:val="auto"/>
              </w:rPr>
              <w:t>2011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4"/>
              <w:spacing w:after="0"/>
              <w:rPr>
                <w:sz w:val="20"/>
                <w:szCs w:val="20"/>
                <w:color w:val="auto"/>
              </w:rPr>
            </w:pPr>
            <w:r>
              <w:rPr>
                <w:rFonts w:ascii="Arial" w:cs="Arial" w:eastAsia="Arial" w:hAnsi="Arial"/>
                <w:sz w:val="15"/>
                <w:szCs w:val="15"/>
                <w:b w:val="1"/>
                <w:bCs w:val="1"/>
                <w:color w:val="auto"/>
              </w:rPr>
              <w:t>2012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8"/>
              </w:rPr>
              <w:t>Beyond 2012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5"/>
        </w:trPr>
        <w:tc>
          <w:tcPr>
            <w:tcW w:w="268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Fixed Rate Debt</w:t>
            </w:r>
          </w:p>
        </w:tc>
        <w:tc>
          <w:tcPr>
            <w:tcW w:w="6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2"/>
              </w:rPr>
              <w:t>(in millions)</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8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shd w:val="clear" w:color="auto" w:fill="CCEEFF"/>
          </w:tcPr>
          <w:p>
            <w:pPr>
              <w:ind w:left="420"/>
              <w:spacing w:after="0" w:line="171" w:lineRule="exact"/>
              <w:rPr>
                <w:sz w:val="20"/>
                <w:szCs w:val="20"/>
                <w:color w:val="auto"/>
              </w:rPr>
            </w:pPr>
            <w:r>
              <w:rPr>
                <w:rFonts w:ascii="Arial" w:cs="Arial" w:eastAsia="Arial" w:hAnsi="Arial"/>
                <w:sz w:val="15"/>
                <w:szCs w:val="15"/>
                <w:color w:val="auto"/>
              </w:rPr>
              <w:t>Convertible senior subordinated</w:t>
            </w: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ind w:left="420"/>
              <w:spacing w:after="0" w:line="205" w:lineRule="exact"/>
              <w:rPr>
                <w:sz w:val="20"/>
                <w:szCs w:val="20"/>
                <w:color w:val="auto"/>
              </w:rPr>
            </w:pPr>
            <w:r>
              <w:rPr>
                <w:rFonts w:ascii="Arial" w:cs="Arial" w:eastAsia="Arial" w:hAnsi="Arial"/>
                <w:sz w:val="15"/>
                <w:szCs w:val="15"/>
                <w:color w:val="auto"/>
              </w:rPr>
              <w:t xml:space="preserve">notes </w:t>
            </w:r>
            <w:r>
              <w:rPr>
                <w:rFonts w:ascii="Arial" w:cs="Arial" w:eastAsia="Arial" w:hAnsi="Arial"/>
                <w:sz w:val="21"/>
                <w:szCs w:val="21"/>
                <w:color w:val="auto"/>
                <w:vertAlign w:val="superscript"/>
              </w:rPr>
              <w:t>(1)</w:t>
            </w:r>
          </w:p>
        </w:tc>
        <w:tc>
          <w:tcPr>
            <w:tcW w:w="660" w:type="dxa"/>
            <w:vAlign w:val="bottom"/>
            <w:shd w:val="clear" w:color="auto" w:fill="CCEEFF"/>
          </w:tcPr>
          <w:p>
            <w:pPr>
              <w:jc w:val="right"/>
              <w:ind w:right="546"/>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85"/>
              </w:rPr>
              <w:t>345.0</w:t>
            </w:r>
          </w:p>
        </w:tc>
        <w:tc>
          <w:tcPr>
            <w:tcW w:w="7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Pr>
          <w:p>
            <w:pPr>
              <w:ind w:left="420"/>
              <w:spacing w:after="0"/>
              <w:rPr>
                <w:sz w:val="20"/>
                <w:szCs w:val="20"/>
                <w:color w:val="auto"/>
              </w:rPr>
            </w:pPr>
            <w:r>
              <w:rPr>
                <w:rFonts w:ascii="Arial" w:cs="Arial" w:eastAsia="Arial" w:hAnsi="Arial"/>
                <w:sz w:val="15"/>
                <w:szCs w:val="15"/>
                <w:color w:val="auto"/>
              </w:rPr>
              <w:t>Interest rate</w:t>
            </w:r>
          </w:p>
        </w:tc>
        <w:tc>
          <w:tcPr>
            <w:tcW w:w="66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2.50%</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tcPr>
          <w:p>
            <w:pPr>
              <w:ind w:left="420"/>
              <w:spacing w:after="0" w:line="193" w:lineRule="exact"/>
              <w:rPr>
                <w:sz w:val="20"/>
                <w:szCs w:val="20"/>
                <w:color w:val="auto"/>
              </w:rPr>
            </w:pPr>
            <w:r>
              <w:rPr>
                <w:rFonts w:ascii="Arial" w:cs="Arial" w:eastAsia="Arial" w:hAnsi="Arial"/>
                <w:sz w:val="15"/>
                <w:szCs w:val="15"/>
                <w:color w:val="auto"/>
              </w:rPr>
              <w:t xml:space="preserve">Senior subordinated notes </w:t>
            </w:r>
            <w:r>
              <w:rPr>
                <w:rFonts w:ascii="Arial" w:cs="Arial" w:eastAsia="Arial" w:hAnsi="Arial"/>
                <w:sz w:val="21"/>
                <w:szCs w:val="21"/>
                <w:color w:val="auto"/>
                <w:vertAlign w:val="superscript"/>
              </w:rPr>
              <w:t>(2)</w:t>
            </w:r>
          </w:p>
        </w:tc>
        <w:tc>
          <w:tcPr>
            <w:tcW w:w="660" w:type="dxa"/>
            <w:vAlign w:val="bottom"/>
          </w:tcPr>
          <w:p>
            <w:pPr>
              <w:jc w:val="right"/>
              <w:ind w:right="546"/>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120.6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120.6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Interest rate</w:t>
            </w:r>
          </w:p>
        </w:tc>
        <w:tc>
          <w:tcPr>
            <w:tcW w:w="6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7.75%</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660" w:type="dxa"/>
            <w:vAlign w:val="bottom"/>
            <w:shd w:val="clear" w:color="auto" w:fill="CCEEFF"/>
          </w:tcPr>
          <w:p>
            <w:pPr>
              <w:spacing w:after="0" w:line="193" w:lineRule="exact"/>
              <w:rPr>
                <w:sz w:val="20"/>
                <w:szCs w:val="20"/>
                <w:color w:val="auto"/>
              </w:rPr>
            </w:pPr>
            <w:r>
              <w:rPr>
                <w:rFonts w:ascii="Arial" w:cs="Arial" w:eastAsia="Arial" w:hAnsi="Arial"/>
                <w:sz w:val="15"/>
                <w:szCs w:val="15"/>
                <w:i w:val="1"/>
                <w:iCs w:val="1"/>
                <w:color w:val="auto"/>
              </w:rPr>
              <w:t xml:space="preserve">Variable Rate Debt </w:t>
            </w:r>
            <w:r>
              <w:rPr>
                <w:rFonts w:ascii="Arial" w:cs="Arial" w:eastAsia="Arial" w:hAnsi="Arial"/>
                <w:sz w:val="21"/>
                <w:szCs w:val="21"/>
                <w:i w:val="1"/>
                <w:iCs w:val="1"/>
                <w:color w:val="auto"/>
                <w:vertAlign w:val="superscript"/>
              </w:rPr>
              <w:t>(3)</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Pr>
          <w:p>
            <w:pPr>
              <w:ind w:left="420"/>
              <w:spacing w:after="0"/>
              <w:rPr>
                <w:sz w:val="20"/>
                <w:szCs w:val="20"/>
                <w:color w:val="auto"/>
              </w:rPr>
            </w:pPr>
            <w:r>
              <w:rPr>
                <w:rFonts w:ascii="Arial" w:cs="Arial" w:eastAsia="Arial" w:hAnsi="Arial"/>
                <w:sz w:val="15"/>
                <w:szCs w:val="15"/>
                <w:color w:val="auto"/>
              </w:rPr>
              <w:t>U.S. dollar term loan</w:t>
            </w:r>
          </w:p>
        </w:tc>
        <w:tc>
          <w:tcPr>
            <w:tcW w:w="660" w:type="dxa"/>
            <w:vAlign w:val="bottom"/>
          </w:tcPr>
          <w:p>
            <w:pPr>
              <w:jc w:val="right"/>
              <w:ind w:right="546"/>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5"/>
                <w:szCs w:val="15"/>
                <w:color w:val="auto"/>
              </w:rPr>
              <w:t>3.0</w:t>
            </w:r>
          </w:p>
        </w:tc>
        <w:tc>
          <w:tcPr>
            <w:tcW w:w="760" w:type="dxa"/>
            <w:vAlign w:val="bottom"/>
            <w:gridSpan w:val="2"/>
          </w:tcPr>
          <w:p>
            <w:pPr>
              <w:jc w:val="right"/>
              <w:ind w:right="620"/>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5"/>
                <w:szCs w:val="15"/>
                <w:color w:val="auto"/>
              </w:rPr>
              <w:t>6.1</w:t>
            </w: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5"/>
                <w:szCs w:val="15"/>
                <w:color w:val="auto"/>
              </w:rPr>
              <w:t>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6.1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351.4</w:t>
            </w:r>
          </w:p>
        </w:tc>
        <w:tc>
          <w:tcPr>
            <w:tcW w:w="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378.8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Average interest rate</w:t>
            </w:r>
          </w:p>
        </w:tc>
        <w:tc>
          <w:tcPr>
            <w:tcW w:w="6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4.69%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8"/>
              </w:rPr>
              <w:t>5.06%</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5.28%</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5.63%</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5.84%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6.06%</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Euro term loan</w:t>
            </w:r>
          </w:p>
        </w:tc>
        <w:tc>
          <w:tcPr>
            <w:tcW w:w="660" w:type="dxa"/>
            <w:vAlign w:val="bottom"/>
            <w:shd w:val="clear" w:color="auto" w:fill="CCEEFF"/>
          </w:tcPr>
          <w:p>
            <w:pPr>
              <w:jc w:val="right"/>
              <w:ind w:right="546"/>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2.6</w:t>
            </w:r>
          </w:p>
        </w:tc>
        <w:tc>
          <w:tcPr>
            <w:tcW w:w="7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5.3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403.8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Pr>
          <w:p>
            <w:pPr>
              <w:ind w:left="420"/>
              <w:spacing w:after="0"/>
              <w:rPr>
                <w:sz w:val="20"/>
                <w:szCs w:val="20"/>
                <w:color w:val="auto"/>
              </w:rPr>
            </w:pPr>
            <w:r>
              <w:rPr>
                <w:rFonts w:ascii="Arial" w:cs="Arial" w:eastAsia="Arial" w:hAnsi="Arial"/>
                <w:sz w:val="15"/>
                <w:szCs w:val="15"/>
                <w:color w:val="auto"/>
              </w:rPr>
              <w:t>Average interest rate</w:t>
            </w:r>
          </w:p>
        </w:tc>
        <w:tc>
          <w:tcPr>
            <w:tcW w:w="66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6.84%</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7.14%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7.11%</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7.04%</w:t>
            </w: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6.97%</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6.87%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60" w:type="dxa"/>
            <w:vAlign w:val="bottom"/>
          </w:tcPr>
          <w:p>
            <w:pPr>
              <w:ind w:left="420"/>
              <w:spacing w:after="0" w:line="170" w:lineRule="exact"/>
              <w:rPr>
                <w:sz w:val="20"/>
                <w:szCs w:val="20"/>
                <w:color w:val="auto"/>
              </w:rPr>
            </w:pPr>
            <w:r>
              <w:rPr>
                <w:rFonts w:ascii="Arial" w:cs="Arial" w:eastAsia="Arial" w:hAnsi="Arial"/>
                <w:sz w:val="15"/>
                <w:szCs w:val="15"/>
                <w:color w:val="auto"/>
              </w:rPr>
              <w:t>Interest rate swap on euro term</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tcPr>
          <w:p>
            <w:pPr>
              <w:ind w:left="420"/>
              <w:spacing w:after="0" w:line="205" w:lineRule="exact"/>
              <w:rPr>
                <w:sz w:val="20"/>
                <w:szCs w:val="20"/>
                <w:color w:val="auto"/>
              </w:rPr>
            </w:pPr>
            <w:r>
              <w:rPr>
                <w:rFonts w:ascii="Arial" w:cs="Arial" w:eastAsia="Arial" w:hAnsi="Arial"/>
                <w:sz w:val="15"/>
                <w:szCs w:val="15"/>
                <w:color w:val="auto"/>
              </w:rPr>
              <w:t xml:space="preserve">loan </w:t>
            </w:r>
            <w:r>
              <w:rPr>
                <w:rFonts w:ascii="Arial" w:cs="Arial" w:eastAsia="Arial" w:hAnsi="Arial"/>
                <w:sz w:val="21"/>
                <w:szCs w:val="21"/>
                <w:color w:val="auto"/>
                <w:vertAlign w:val="superscript"/>
              </w:rPr>
              <w:t>(4)</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Average interest rate (Pay)</w:t>
            </w:r>
          </w:p>
        </w:tc>
        <w:tc>
          <w:tcPr>
            <w:tcW w:w="6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6.59%</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8"/>
              </w:rPr>
              <w:t>6.59%</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6.59%</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6.59%</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6.59%</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Pr>
          <w:p>
            <w:pPr>
              <w:ind w:left="420"/>
              <w:spacing w:after="0"/>
              <w:rPr>
                <w:sz w:val="20"/>
                <w:szCs w:val="20"/>
                <w:color w:val="auto"/>
              </w:rPr>
            </w:pPr>
            <w:r>
              <w:rPr>
                <w:rFonts w:ascii="Arial" w:cs="Arial" w:eastAsia="Arial" w:hAnsi="Arial"/>
                <w:sz w:val="15"/>
                <w:szCs w:val="15"/>
                <w:color w:val="auto"/>
              </w:rPr>
              <w:t>Average interest rate (Receive)</w:t>
            </w:r>
          </w:p>
        </w:tc>
        <w:tc>
          <w:tcPr>
            <w:tcW w:w="66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7.04%</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7.39%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7.36%</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7.29%</w:t>
            </w: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7.22%</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0.00%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Net/Spread</w:t>
            </w:r>
          </w:p>
        </w:tc>
        <w:tc>
          <w:tcPr>
            <w:tcW w:w="6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0.45%</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8"/>
              </w:rPr>
              <w:t>0.80%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0.77%</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0.70%</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0.63%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60" w:type="dxa"/>
            <w:vAlign w:val="bottom"/>
            <w:shd w:val="clear" w:color="auto" w:fill="CCEEFF"/>
          </w:tcPr>
          <w:p>
            <w:pPr>
              <w:ind w:left="420"/>
              <w:spacing w:after="0" w:line="170" w:lineRule="exact"/>
              <w:rPr>
                <w:sz w:val="20"/>
                <w:szCs w:val="20"/>
                <w:color w:val="auto"/>
              </w:rPr>
            </w:pPr>
            <w:r>
              <w:rPr>
                <w:rFonts w:ascii="Arial" w:cs="Arial" w:eastAsia="Arial" w:hAnsi="Arial"/>
                <w:sz w:val="15"/>
                <w:szCs w:val="15"/>
                <w:color w:val="auto"/>
              </w:rPr>
              <w:t>Interest rate swap on USD term</w:t>
            </w: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shd w:val="clear" w:color="auto" w:fill="CCEEFF"/>
          </w:tcPr>
          <w:p>
            <w:pPr>
              <w:ind w:left="420"/>
              <w:spacing w:after="0" w:line="205" w:lineRule="exact"/>
              <w:rPr>
                <w:sz w:val="20"/>
                <w:szCs w:val="20"/>
                <w:color w:val="auto"/>
              </w:rPr>
            </w:pPr>
            <w:r>
              <w:rPr>
                <w:rFonts w:ascii="Arial" w:cs="Arial" w:eastAsia="Arial" w:hAnsi="Arial"/>
                <w:sz w:val="15"/>
                <w:szCs w:val="15"/>
                <w:color w:val="auto"/>
              </w:rPr>
              <w:t xml:space="preserve">loan </w:t>
            </w:r>
            <w:r>
              <w:rPr>
                <w:rFonts w:ascii="Arial" w:cs="Arial" w:eastAsia="Arial" w:hAnsi="Arial"/>
                <w:sz w:val="21"/>
                <w:szCs w:val="21"/>
                <w:color w:val="auto"/>
                <w:vertAlign w:val="superscript"/>
              </w:rPr>
              <w:t>(5)</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tcPr>
          <w:p>
            <w:pPr>
              <w:ind w:left="420"/>
              <w:spacing w:after="0"/>
              <w:rPr>
                <w:sz w:val="20"/>
                <w:szCs w:val="20"/>
                <w:color w:val="auto"/>
              </w:rPr>
            </w:pPr>
            <w:r>
              <w:rPr>
                <w:rFonts w:ascii="Arial" w:cs="Arial" w:eastAsia="Arial" w:hAnsi="Arial"/>
                <w:sz w:val="15"/>
                <w:szCs w:val="15"/>
                <w:color w:val="auto"/>
              </w:rPr>
              <w:t>Average interest rate (Pay)</w:t>
            </w:r>
          </w:p>
        </w:tc>
        <w:tc>
          <w:tcPr>
            <w:tcW w:w="66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3.01%</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3.01%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0.00%</w:t>
            </w:r>
          </w:p>
        </w:tc>
        <w:tc>
          <w:tcPr>
            <w:tcW w:w="10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0.00%</w:t>
            </w: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0.00%</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0.00%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60" w:type="dxa"/>
            <w:vAlign w:val="bottom"/>
            <w:shd w:val="clear" w:color="auto" w:fill="CCEEFF"/>
          </w:tcPr>
          <w:p>
            <w:pPr>
              <w:ind w:left="420"/>
              <w:spacing w:after="0"/>
              <w:rPr>
                <w:sz w:val="20"/>
                <w:szCs w:val="20"/>
                <w:color w:val="auto"/>
              </w:rPr>
            </w:pPr>
            <w:r>
              <w:rPr>
                <w:rFonts w:ascii="Arial" w:cs="Arial" w:eastAsia="Arial" w:hAnsi="Arial"/>
                <w:sz w:val="15"/>
                <w:szCs w:val="15"/>
                <w:color w:val="auto"/>
              </w:rPr>
              <w:t>Average interest rate (Receive)</w:t>
            </w:r>
          </w:p>
        </w:tc>
        <w:tc>
          <w:tcPr>
            <w:tcW w:w="6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8"/>
              </w:rPr>
              <w:t>3.31%</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0.00%</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0.00%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0.00%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60" w:type="dxa"/>
            <w:vAlign w:val="bottom"/>
          </w:tcPr>
          <w:p>
            <w:pPr>
              <w:ind w:left="420"/>
              <w:spacing w:after="0"/>
              <w:rPr>
                <w:sz w:val="20"/>
                <w:szCs w:val="20"/>
                <w:color w:val="auto"/>
              </w:rPr>
            </w:pPr>
            <w:r>
              <w:rPr>
                <w:rFonts w:ascii="Arial" w:cs="Arial" w:eastAsia="Arial" w:hAnsi="Arial"/>
                <w:sz w:val="15"/>
                <w:szCs w:val="15"/>
                <w:color w:val="auto"/>
              </w:rPr>
              <w:t>Net/Spread</w:t>
            </w:r>
          </w:p>
        </w:tc>
        <w:tc>
          <w:tcPr>
            <w:tcW w:w="66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w w:val="95"/>
              </w:rPr>
              <w:t>(0.11%)</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w w:val="98"/>
              </w:rPr>
              <w:t>0.30%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0.00%</w:t>
            </w:r>
          </w:p>
        </w:tc>
        <w:tc>
          <w:tcPr>
            <w:tcW w:w="1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0.00%</w:t>
            </w:r>
          </w:p>
        </w:tc>
        <w:tc>
          <w:tcPr>
            <w:tcW w:w="2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5"/>
                <w:szCs w:val="15"/>
                <w:color w:val="auto"/>
              </w:rPr>
              <w:t>0.00%</w:t>
            </w: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0.00%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260" w:hanging="196"/>
        <w:spacing w:after="0" w:line="226" w:lineRule="auto"/>
        <w:tabs>
          <w:tab w:leader="none" w:pos="26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$345.0 million of 2.50% convertible notes due August 2026, with fixed interest payments of $4.3 million due every six months, in February and August. On June 30, 2008, the convertible notes exceeded the conversion threshold. As a result, the notes are convertible at the option of the holder as of June 30, 2008, and accordingly, the aggregate principal amount of the convertible notes is included in the current portion of long-term debt (see Note 6).</w:t>
      </w:r>
    </w:p>
    <w:p>
      <w:pPr>
        <w:spacing w:after="0" w:line="2" w:lineRule="exact"/>
        <w:rPr>
          <w:rFonts w:ascii="Arial" w:cs="Arial" w:eastAsia="Arial" w:hAnsi="Arial"/>
          <w:sz w:val="21"/>
          <w:szCs w:val="21"/>
          <w:color w:val="auto"/>
          <w:vertAlign w:val="superscript"/>
        </w:rPr>
      </w:pPr>
    </w:p>
    <w:p>
      <w:pPr>
        <w:ind w:left="260" w:hanging="196"/>
        <w:spacing w:after="0" w:line="180" w:lineRule="auto"/>
        <w:tabs>
          <w:tab w:leader="none" w:pos="26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The $120.6 million aggregate principal amount of 7.75% subordinated notes, due in 2012, was discounted to 99.265 per $100 of principal to yield 7.875% (see Note 6).</w:t>
      </w:r>
    </w:p>
    <w:p>
      <w:pPr>
        <w:spacing w:after="0" w:line="14" w:lineRule="exact"/>
        <w:rPr>
          <w:rFonts w:ascii="Arial" w:cs="Arial" w:eastAsia="Arial" w:hAnsi="Arial"/>
          <w:sz w:val="21"/>
          <w:szCs w:val="21"/>
          <w:color w:val="auto"/>
          <w:vertAlign w:val="superscript"/>
        </w:rPr>
      </w:pPr>
    </w:p>
    <w:p>
      <w:pPr>
        <w:ind w:left="260" w:hanging="196"/>
        <w:spacing w:after="0" w:line="186" w:lineRule="auto"/>
        <w:tabs>
          <w:tab w:leader="none" w:pos="26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Actaris acquisition was financed in part by a $1.2 billion senior secured credit facility of which $806,390 remains outstanding at June 30, 2008 due to prepayments (see Note 6).</w:t>
      </w:r>
    </w:p>
    <w:p>
      <w:pPr>
        <w:spacing w:after="0" w:line="14" w:lineRule="exact"/>
        <w:rPr>
          <w:rFonts w:ascii="Arial" w:cs="Arial" w:eastAsia="Arial" w:hAnsi="Arial"/>
          <w:sz w:val="20"/>
          <w:szCs w:val="20"/>
          <w:color w:val="auto"/>
          <w:vertAlign w:val="superscript"/>
        </w:rPr>
      </w:pPr>
    </w:p>
    <w:p>
      <w:pPr>
        <w:jc w:val="both"/>
        <w:ind w:left="260" w:hanging="196"/>
        <w:spacing w:after="0" w:line="221" w:lineRule="auto"/>
        <w:tabs>
          <w:tab w:leader="none" w:pos="26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Interest rate swap to convert our €335 million euro denominated variable rate term loan to a fixed-rate debt obligation at a rate of 6.59% for the term of the loan, including expected prepayments. As a result of the expected prepayments, the interest rate swap will terminate before the maturity of the term loan. This variable-to-fixed interest rate swap is considered a highly effective cash flow hedge (see Note 7).</w:t>
      </w:r>
    </w:p>
    <w:p>
      <w:pPr>
        <w:spacing w:after="0" w:line="2" w:lineRule="exact"/>
        <w:rPr>
          <w:rFonts w:ascii="Arial" w:cs="Arial" w:eastAsia="Arial" w:hAnsi="Arial"/>
          <w:sz w:val="21"/>
          <w:szCs w:val="21"/>
          <w:color w:val="auto"/>
          <w:vertAlign w:val="superscript"/>
        </w:rPr>
      </w:pPr>
    </w:p>
    <w:p>
      <w:pPr>
        <w:ind w:left="260" w:right="20" w:hanging="196"/>
        <w:spacing w:after="0" w:line="223" w:lineRule="auto"/>
        <w:tabs>
          <w:tab w:leader="none" w:pos="260"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Interest rate swap to convert $200 million of our $379 million U.S. dollar denominated term loan from a floating 1-month LIBOR interest rate, plus an additional margin, to a fixed 3.01% interest rate, plus the additional margin, for one year. This variable-to-fixed interest rate swap is considered a highly effective cash flow hedge (see Note 7).</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Based on a sensitivity analysis as of June 30, 2008, we estimate that if market interest rates average one percentage point higher in 2008, than in the table above, our earnings before income taxes in 2008 would not be materially impacted due to our interest rate swaps in place at June 30, 2008.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As part of the acquisition of Actaris on April 18, 2007, we entered into a $1.2 billion credit facility, comprised of a $605.1 million first lien U.S. dollar denominated term loan; a €335 million first lien euro denominated term loan; a £50 million first lien pound sterling denominated term loan (collectively the term loans); and a $115 million multicurrency revolving line-of-credit (revolver). As of June 30, 2008, the pound sterling denominated term loan had been repaid. Interest rates on the credit facility are based on the respective borrowing’s denominated LIBOR rate (U.S. dollar or euro) or the Wells Fargo Bank, National Association’s prime rate, plus an additional margin subject to factors including our consolidated leverage ratio.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w:t>
      </w:r>
    </w:p>
    <w:p>
      <w:pPr>
        <w:spacing w:after="0" w:line="186"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These variable rate financial instruments are sensitive to changes in interest rates. On June 30, 2008, we entered into a one-year interest rate swap to convert $200 million of our $379 million USD term loan from a floating 1-month LIBOR interest rate to a fixed 3.01% interest rate. Our interest rate will continue to contain an additional margin per the credit facility agreement.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was $200 million and the fair value, recorded as a short-term liability, was $220,000 at June 30, 2008. The amount of net gains expected to be reclassified into earnings in the next twelve months is approximately $188,000.</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In the third quarter of 2007, we entered into an interest rate swap to convert our €335 million euro denominated variable rate term loan to a fixed-rate debt obligation at a rate of 6.59% for the term of the debt, including expected prepayments. The cash flow hedge is currently, and is expected to be, highly effective in achieving offsetting cash flows attributable to the hedged risk through the term of the hedge. Consequently, changes in the fair value of the interest rate swap are recorded as a component of other comprehensive income and are recognized in earnings when the hedged item affects earnings. The amounts paid or received on the hedge are recognized as adjustments to interest expense. The notional amount of the swap was $428 million (€271 million) and the fair value, recorded as a long-term asset, was $4.8 million at June 30, 2008. The amount of net gains expected to be reclassified into earnings in the next twelve months is approximately $2.7 million.</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We will monitor and assess our interest rate risk and may institute additional interest rate swaps or other derivative instruments to manage interest rate risk.</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Foreign Currency Exchange Rate Risk</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conduct business in a number of international countries and, therefore, face exposure to adverse movements in foreign currency exchange rates. As a result of the Actaris acquisition, commencing in the second quarter of 2007, a majority of our revenues and operating expenses are now denominated in foreign currencies, resulting in changes in our foreign currency exchange rate exposures that could have a material effect on our financial results. Our primary foreign currency exposure relates to non-U.S. dollar denominated transactions in our international subsidiary operations, the most significant of which is the euro. International revenues were 68% and 67% of total revenues for the three and six months ended June 30, 2008, respectively.</w:t>
      </w:r>
    </w:p>
    <w:p>
      <w:pPr>
        <w:spacing w:after="0" w:line="184"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In the second quarter of 2008, we began entering into certain foreign exchange forward contracts with the intent to reduce volatility of certain intercompany financing transactions. These contracts are not designated as accounting hedges and are de minimis in fair value and notional amounts.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the second quarter of 2007, we designated certain portions of our foreign currency denominated term loans as hedges of our net investment in international operations. There was no change in the currency exchange rates between the euro and U.S. dollar for the three months ended June 30, 2008. Net losses of $32.4 million ($20.0 million after-tax) were reported as a net unrealized loss on derivative instruments, a component of accumulated other comprehensive income, which represented effective hedges of net investments, for the six months ended June 30, 2008. We had no hedge ineffectiveness.</w:t>
      </w:r>
    </w:p>
    <w:p>
      <w:pPr>
        <w:spacing w:after="0" w:line="181"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In future periods, we may use additional derivative contracts to protect against foreign currency exchange rate risks. Alternatively, we may choose not to hedge certain foreign currency risks associated with our foreign currency exposures if such exposures act as a natural foreign currency hedge for other offsetting amounts denominated in the same currency.</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Because our earnings are affected by fluctuations in the value of the U.S. dollar against foreign currencies, we have performed a sensitivity analysis assuming a hypothetical 10% increase or decrease in the value of the dollar relative to the currencies in which our transactions are denominated. At June 30, 2008, the analysis indicated that a 10% increase in the value of the U.S. dollar against our operations denominated in foreign currencies would have decreased our results from operations by approximately $4.1 million, as the increase in value of the U.S. dollar reduced our results from operations denominated in foreign currencies. A 10% decrease in the value of the U.S. dollar against our operations denominated in foreign currencies would have increased our results from operations by approximately $5.0 million at June 30, 2008. The model assumes foreign currency exchange rates will shift in the same direction and relative amount. However, exchange rates rarely move in the same direction. This assumption may result in the overstatement or understatement of the effect of changing exchange rates on assets and liabilities denominated in a foreign currency. Consequently, the actual effects on operations in the future may differ materially from results of the analysis for the six months ended June 30, 2008.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2" w:name="page53"/>
    <w:bookmarkEnd w:id="52"/>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ind w:left="9"/>
        <w:spacing w:after="0"/>
        <w:tabs>
          <w:tab w:leader="none" w:pos="589"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Controls and Procedures</w:t>
      </w:r>
    </w:p>
    <w:p>
      <w:pPr>
        <w:spacing w:after="0" w:line="218" w:lineRule="exact"/>
        <w:rPr>
          <w:sz w:val="20"/>
          <w:szCs w:val="20"/>
          <w:color w:val="auto"/>
        </w:rPr>
      </w:pPr>
    </w:p>
    <w:p>
      <w:pPr>
        <w:jc w:val="both"/>
        <w:ind w:left="409" w:hanging="409"/>
        <w:spacing w:after="0" w:line="277" w:lineRule="auto"/>
        <w:tabs>
          <w:tab w:leader="none" w:pos="409"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Evaluation of disclosure controls and procedures</w:t>
      </w:r>
      <w:r>
        <w:rPr>
          <w:rFonts w:ascii="Arial" w:cs="Arial" w:eastAsia="Arial" w:hAnsi="Arial"/>
          <w:sz w:val="14"/>
          <w:szCs w:val="14"/>
          <w:color w:val="auto"/>
        </w:rPr>
        <w:t>. An evaluation was performed under the supervision and with the participation of our Company’s management, including the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2008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1" w:lineRule="exact"/>
        <w:rPr>
          <w:rFonts w:ascii="Arial" w:cs="Arial" w:eastAsia="Arial" w:hAnsi="Arial"/>
          <w:sz w:val="14"/>
          <w:szCs w:val="14"/>
          <w:color w:val="auto"/>
        </w:rPr>
      </w:pPr>
    </w:p>
    <w:p>
      <w:pPr>
        <w:ind w:left="409" w:hanging="371"/>
        <w:spacing w:after="0" w:line="278" w:lineRule="auto"/>
        <w:tabs>
          <w:tab w:leader="none" w:pos="409" w:val="left"/>
        </w:tabs>
        <w:numPr>
          <w:ilvl w:val="1"/>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Changes in internal controls over financial reporting. </w:t>
      </w:r>
      <w:r>
        <w:rPr>
          <w:rFonts w:ascii="Arial" w:cs="Arial" w:eastAsia="Arial" w:hAnsi="Arial"/>
          <w:sz w:val="15"/>
          <w:szCs w:val="15"/>
          <w:color w:val="auto"/>
        </w:rPr>
        <w:t>There have been no changes in internal control over financial reporting during the quarter ended June 30, 2008 that have</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 OTHER INFORMATION</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1:</w:t>
      </w:r>
      <w:r>
        <w:rPr>
          <w:sz w:val="20"/>
          <w:szCs w:val="20"/>
          <w:color w:val="auto"/>
        </w:rPr>
        <w:tab/>
      </w:r>
      <w:r>
        <w:rPr>
          <w:rFonts w:ascii="Arial" w:cs="Arial" w:eastAsia="Arial" w:hAnsi="Arial"/>
          <w:sz w:val="13"/>
          <w:szCs w:val="13"/>
          <w:b w:val="1"/>
          <w:bCs w:val="1"/>
          <w:color w:val="auto"/>
        </w:rPr>
        <w:t>Legal Proceedings</w:t>
      </w:r>
    </w:p>
    <w:p>
      <w:pPr>
        <w:spacing w:after="0" w:line="21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 xml:space="preserve">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in accordance with SFAS 5, </w:t>
      </w:r>
      <w:r>
        <w:rPr>
          <w:rFonts w:ascii="Arial" w:cs="Arial" w:eastAsia="Arial" w:hAnsi="Arial"/>
          <w:sz w:val="14"/>
          <w:szCs w:val="14"/>
          <w:i w:val="1"/>
          <w:iCs w:val="1"/>
          <w:color w:val="auto"/>
        </w:rPr>
        <w:t>Accounting for Contingencies</w:t>
      </w:r>
      <w:r>
        <w:rPr>
          <w:rFonts w:ascii="Arial" w:cs="Arial" w:eastAsia="Arial" w:hAnsi="Arial"/>
          <w:sz w:val="14"/>
          <w:szCs w:val="14"/>
          <w:color w:val="auto"/>
        </w:rPr>
        <w:t>, and related pronouncements. In accordance with SFAS 5, a liability is recorded and charged to operating expense when we determine that a loss is probable and the amount can be reasonably estimated. Additionally, we disclose contingencies for which a material loss is reasonably possible, but not probable. Legal contingencies at June 30, 2008 were not material to our financial condition or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PT Mecoindo is a joint venture in Indonesia between PT Berca and one of the Actaris subsidiaries. PT Berca is the minority shareholder in PT Mecoindo and has sued several Actaris subsidiaries and the successor in interest to another company previously owned by Schlumberger. PT Berca claims that it had preemptive rights in the joint venture and has sought to nullify the transaction in 2001 whereby Schlumberger transferred its ownership interest in PT Mecoindo to an Actaris subsidiary. The plaintiff also seeks to collect damages for the earnings it otherwise would have earned had its alleged preemptive rights been observed. The Indonesian courts have awarded 129.6 billion rupiahs, or approximately $14.1 million, in damages, plus accrued interest at 18% annually, against the defendants and have invalidated the 2001 transfer of the Mecoindo interest to a subsidiary of Actaris. All of the parties have appealed the matter and it is currently pending before the Indonesian Supreme Court. We intend to continue vigorously defending our interest. In addition, Actaris has notified Schlumberger that it will seek to have Schlumberger indemnify Actaris from any damages it may incur as a result of this claim. In any event, we do not believe that an adverse outcome is likely to have a material adverse impact to our financial condition or results of operations.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March 2008, IP Co. LLC filed a complaint in the U.S. District Court for the Eastern District of Texas against Itron, Inc., CenterPoint Energy and Eaton Corp. alleging infringement of a patent owned by IP Co. LLC. The complaint alleges that one U.S. patent, concerning wireless mesh networking systems that optimize data sent across a general area, is being infringed by the defendants. The complaint seeks unspecified damages as well as injunctive relief. We believe these claims are without merit and we intend to vigorously defend our interests. In any event, we do not believe an adverse outcome is likely nor do we believe an adverse outcome will have a material adverse impact to our financial condition or results of operations.</w:t>
      </w:r>
    </w:p>
    <w:p>
      <w:pPr>
        <w:spacing w:after="0" w:line="162" w:lineRule="exact"/>
        <w:rPr>
          <w:sz w:val="20"/>
          <w:szCs w:val="20"/>
          <w:color w:val="auto"/>
        </w:rPr>
      </w:pPr>
    </w:p>
    <w:p>
      <w:pPr>
        <w:spacing w:after="0"/>
        <w:tabs>
          <w:tab w:leader="none" w:pos="700" w:val="left"/>
        </w:tabs>
        <w:rPr>
          <w:sz w:val="20"/>
          <w:szCs w:val="20"/>
          <w:color w:val="auto"/>
        </w:rPr>
      </w:pPr>
      <w:r>
        <w:rPr>
          <w:rFonts w:ascii="Arial" w:cs="Arial" w:eastAsia="Arial" w:hAnsi="Arial"/>
          <w:sz w:val="15"/>
          <w:szCs w:val="15"/>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There were no material changes during the second quarter of 2008 from risk factors as previously disclosed in Item 1A included in our Annual Report on Form 10-K for the fiscal year ended December 31, 2007, which was filed with the SEC on February 26, 2008.</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3"/>
          <w:szCs w:val="13"/>
          <w:b w:val="1"/>
          <w:bCs w:val="1"/>
          <w:color w:val="auto"/>
        </w:rPr>
        <w:t>Submission of Matters to a Vote of Security Holders</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Itron held its annual meeting of shareholders on May 6, 2008. Three directors, Jon E. Eliassen, Charles H. Gaylord, Jr. and Gary E. Pruitt were elected for a term of three years. One director, Ted C. DeMerritt, did not stand for re-election and retired at the end of his term effective on the date of the annual meeting. Michael B. Bracy, Kirby A. Dyess, Graham M. Wilson, Thomas A. Glanville, Sharon L. Nelson and LeRoy D. Nosbaum continued their terms as directors. The following summarizes all matters voted on at the meeting.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80" w:type="dxa"/>
            <w:vAlign w:val="bottom"/>
            <w:gridSpan w:val="2"/>
          </w:tcPr>
          <w:p>
            <w:pPr>
              <w:spacing w:after="0"/>
              <w:rPr>
                <w:sz w:val="20"/>
                <w:szCs w:val="20"/>
                <w:color w:val="auto"/>
              </w:rPr>
            </w:pPr>
            <w:r>
              <w:rPr>
                <w:rFonts w:ascii="Arial" w:cs="Arial" w:eastAsia="Arial" w:hAnsi="Arial"/>
                <w:sz w:val="15"/>
                <w:szCs w:val="15"/>
                <w:color w:val="auto"/>
              </w:rPr>
              <w:t>Matter 1: The vote for the nominated directors was as follows:</w:t>
            </w: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0"/>
        </w:trPr>
        <w:tc>
          <w:tcPr>
            <w:tcW w:w="7880" w:type="dxa"/>
            <w:vAlign w:val="bottom"/>
            <w:gridSpan w:val="2"/>
          </w:tcPr>
          <w:p>
            <w:pPr>
              <w:spacing w:after="0"/>
              <w:rPr>
                <w:sz w:val="20"/>
                <w:szCs w:val="20"/>
                <w:color w:val="auto"/>
              </w:rPr>
            </w:pPr>
            <w:r>
              <w:rPr>
                <w:rFonts w:ascii="Arial" w:cs="Arial" w:eastAsia="Arial" w:hAnsi="Arial"/>
                <w:sz w:val="15"/>
                <w:szCs w:val="15"/>
                <w:b w:val="1"/>
                <w:bCs w:val="1"/>
                <w:color w:val="auto"/>
              </w:rPr>
              <w:t>NOMINEE</w:t>
            </w:r>
          </w:p>
        </w:tc>
        <w:tc>
          <w:tcPr>
            <w:tcW w:w="160" w:type="dxa"/>
            <w:vAlign w:val="bottom"/>
          </w:tcPr>
          <w:p>
            <w:pPr>
              <w:spacing w:after="0"/>
              <w:rPr>
                <w:sz w:val="24"/>
                <w:szCs w:val="24"/>
                <w:color w:val="auto"/>
              </w:rPr>
            </w:pPr>
          </w:p>
        </w:tc>
        <w:tc>
          <w:tcPr>
            <w:tcW w:w="1760" w:type="dxa"/>
            <w:vAlign w:val="bottom"/>
            <w:gridSpan w:val="2"/>
          </w:tcPr>
          <w:p>
            <w:pPr>
              <w:ind w:left="440"/>
              <w:spacing w:after="0"/>
              <w:rPr>
                <w:sz w:val="20"/>
                <w:szCs w:val="20"/>
                <w:color w:val="auto"/>
              </w:rPr>
            </w:pPr>
            <w:r>
              <w:rPr>
                <w:rFonts w:ascii="Arial" w:cs="Arial" w:eastAsia="Arial" w:hAnsi="Arial"/>
                <w:sz w:val="15"/>
                <w:szCs w:val="15"/>
                <w:b w:val="1"/>
                <w:bCs w:val="1"/>
                <w:color w:val="auto"/>
              </w:rPr>
              <w:t>IN FAVOR</w:t>
            </w:r>
          </w:p>
        </w:tc>
        <w:tc>
          <w:tcPr>
            <w:tcW w:w="1660" w:type="dxa"/>
            <w:vAlign w:val="bottom"/>
            <w:gridSpan w:val="2"/>
          </w:tcPr>
          <w:p>
            <w:pPr>
              <w:ind w:left="400"/>
              <w:spacing w:after="0"/>
              <w:rPr>
                <w:sz w:val="20"/>
                <w:szCs w:val="20"/>
                <w:color w:val="auto"/>
              </w:rPr>
            </w:pPr>
            <w:r>
              <w:rPr>
                <w:rFonts w:ascii="Arial" w:cs="Arial" w:eastAsia="Arial" w:hAnsi="Arial"/>
                <w:sz w:val="15"/>
                <w:szCs w:val="15"/>
                <w:b w:val="1"/>
                <w:bCs w:val="1"/>
                <w:color w:val="auto"/>
              </w:rPr>
              <w:t>WITHHELD</w:t>
            </w:r>
          </w:p>
        </w:tc>
      </w:tr>
      <w:tr>
        <w:trPr>
          <w:trHeight w:val="182"/>
        </w:trPr>
        <w:tc>
          <w:tcPr>
            <w:tcW w:w="20" w:type="dxa"/>
            <w:vAlign w:val="bottom"/>
          </w:tcPr>
          <w:p>
            <w:pPr>
              <w:spacing w:after="0"/>
              <w:rPr>
                <w:sz w:val="15"/>
                <w:szCs w:val="15"/>
                <w:color w:val="auto"/>
              </w:rPr>
            </w:pPr>
          </w:p>
        </w:tc>
        <w:tc>
          <w:tcPr>
            <w:tcW w:w="7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Jon E. Eliassen</w:t>
            </w:r>
          </w:p>
        </w:tc>
        <w:tc>
          <w:tcPr>
            <w:tcW w:w="160" w:type="dxa"/>
            <w:vAlign w:val="bottom"/>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22,496,207</w:t>
            </w:r>
          </w:p>
        </w:tc>
        <w:tc>
          <w:tcPr>
            <w:tcW w:w="140" w:type="dxa"/>
            <w:vAlign w:val="bottom"/>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977,615</w:t>
            </w: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860" w:type="dxa"/>
            <w:vAlign w:val="bottom"/>
          </w:tcPr>
          <w:p>
            <w:pPr>
              <w:spacing w:after="0"/>
              <w:rPr>
                <w:sz w:val="20"/>
                <w:szCs w:val="20"/>
                <w:color w:val="auto"/>
              </w:rPr>
            </w:pPr>
            <w:r>
              <w:rPr>
                <w:rFonts w:ascii="Arial" w:cs="Arial" w:eastAsia="Arial" w:hAnsi="Arial"/>
                <w:sz w:val="15"/>
                <w:szCs w:val="15"/>
                <w:color w:val="auto"/>
              </w:rPr>
              <w:t>Charles H. Gaylord, Jr.</w:t>
            </w:r>
          </w:p>
        </w:tc>
        <w:tc>
          <w:tcPr>
            <w:tcW w:w="1920" w:type="dxa"/>
            <w:vAlign w:val="bottom"/>
            <w:gridSpan w:val="3"/>
          </w:tcPr>
          <w:p>
            <w:pPr>
              <w:jc w:val="right"/>
              <w:ind w:right="140"/>
              <w:spacing w:after="0"/>
              <w:rPr>
                <w:sz w:val="20"/>
                <w:szCs w:val="20"/>
                <w:color w:val="auto"/>
              </w:rPr>
            </w:pPr>
            <w:r>
              <w:rPr>
                <w:rFonts w:ascii="Arial" w:cs="Arial" w:eastAsia="Arial" w:hAnsi="Arial"/>
                <w:sz w:val="15"/>
                <w:szCs w:val="15"/>
                <w:color w:val="auto"/>
              </w:rPr>
              <w:t>23,244,639</w:t>
            </w:r>
          </w:p>
        </w:tc>
        <w:tc>
          <w:tcPr>
            <w:tcW w:w="1640" w:type="dxa"/>
            <w:vAlign w:val="bottom"/>
          </w:tcPr>
          <w:p>
            <w:pPr>
              <w:jc w:val="right"/>
              <w:spacing w:after="0"/>
              <w:rPr>
                <w:sz w:val="20"/>
                <w:szCs w:val="20"/>
                <w:color w:val="auto"/>
              </w:rPr>
            </w:pPr>
            <w:r>
              <w:rPr>
                <w:rFonts w:ascii="Arial" w:cs="Arial" w:eastAsia="Arial" w:hAnsi="Arial"/>
                <w:sz w:val="15"/>
                <w:szCs w:val="15"/>
                <w:color w:val="auto"/>
              </w:rPr>
              <w:t>229,183</w:t>
            </w: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5"/>
                <w:szCs w:val="15"/>
                <w:color w:val="auto"/>
              </w:rPr>
              <w:t>Gary E. Pruitt</w:t>
            </w: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23,190,944</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282,878</w:t>
            </w:r>
          </w:p>
        </w:tc>
        <w:tc>
          <w:tcPr>
            <w:tcW w:w="20" w:type="dxa"/>
            <w:vAlign w:val="bottom"/>
          </w:tcPr>
          <w:p>
            <w:pPr>
              <w:spacing w:after="0"/>
              <w:rPr>
                <w:sz w:val="15"/>
                <w:szCs w:val="15"/>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Matter 2: Ratification of the appointment of Ernst &amp; Young LLP as the Company’s independent registered public accounting firm for the 2008 fiscal year.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72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IN FAVOR</w:t>
            </w:r>
          </w:p>
        </w:tc>
        <w:tc>
          <w:tcPr>
            <w:tcW w:w="160" w:type="dxa"/>
            <w:vAlign w:val="bottom"/>
          </w:tcPr>
          <w:p>
            <w:pPr>
              <w:spacing w:after="0"/>
              <w:rPr>
                <w:sz w:val="17"/>
                <w:szCs w:val="17"/>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AGAINST</w:t>
            </w:r>
          </w:p>
        </w:tc>
        <w:tc>
          <w:tcPr>
            <w:tcW w:w="160" w:type="dxa"/>
            <w:vAlign w:val="bottom"/>
          </w:tcPr>
          <w:p>
            <w:pPr>
              <w:spacing w:after="0"/>
              <w:rPr>
                <w:sz w:val="17"/>
                <w:szCs w:val="17"/>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ABSTAIN</w:t>
            </w:r>
          </w:p>
        </w:tc>
        <w:tc>
          <w:tcPr>
            <w:tcW w:w="140" w:type="dxa"/>
            <w:vAlign w:val="bottom"/>
          </w:tcPr>
          <w:p>
            <w:pPr>
              <w:spacing w:after="0"/>
              <w:rPr>
                <w:sz w:val="17"/>
                <w:szCs w:val="17"/>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9"/>
              </w:rPr>
              <w:t>BROKER NON-VOTES</w:t>
            </w:r>
          </w:p>
        </w:tc>
      </w:tr>
      <w:tr>
        <w:trPr>
          <w:trHeight w:val="191"/>
        </w:trPr>
        <w:tc>
          <w:tcPr>
            <w:tcW w:w="2720" w:type="dxa"/>
            <w:vAlign w:val="bottom"/>
          </w:tcPr>
          <w:p>
            <w:pPr>
              <w:jc w:val="right"/>
              <w:ind w:right="924"/>
              <w:spacing w:after="0"/>
              <w:rPr>
                <w:sz w:val="20"/>
                <w:szCs w:val="20"/>
                <w:color w:val="auto"/>
              </w:rPr>
            </w:pPr>
            <w:r>
              <w:rPr>
                <w:rFonts w:ascii="Arial" w:cs="Arial" w:eastAsia="Arial" w:hAnsi="Arial"/>
                <w:sz w:val="15"/>
                <w:szCs w:val="15"/>
                <w:color w:val="auto"/>
              </w:rPr>
              <w:t>23,416,223</w:t>
            </w:r>
          </w:p>
        </w:tc>
        <w:tc>
          <w:tcPr>
            <w:tcW w:w="160" w:type="dxa"/>
            <w:vAlign w:val="bottom"/>
          </w:tcPr>
          <w:p>
            <w:pPr>
              <w:spacing w:after="0"/>
              <w:rPr>
                <w:sz w:val="16"/>
                <w:szCs w:val="16"/>
                <w:color w:val="auto"/>
              </w:rPr>
            </w:pPr>
          </w:p>
        </w:tc>
        <w:tc>
          <w:tcPr>
            <w:tcW w:w="2740" w:type="dxa"/>
            <w:vAlign w:val="bottom"/>
          </w:tcPr>
          <w:p>
            <w:pPr>
              <w:jc w:val="right"/>
              <w:ind w:right="1064"/>
              <w:spacing w:after="0"/>
              <w:rPr>
                <w:sz w:val="20"/>
                <w:szCs w:val="20"/>
                <w:color w:val="auto"/>
              </w:rPr>
            </w:pPr>
            <w:r>
              <w:rPr>
                <w:rFonts w:ascii="Arial" w:cs="Arial" w:eastAsia="Arial" w:hAnsi="Arial"/>
                <w:sz w:val="15"/>
                <w:szCs w:val="15"/>
                <w:color w:val="auto"/>
              </w:rPr>
              <w:t>38,553</w:t>
            </w:r>
          </w:p>
        </w:tc>
        <w:tc>
          <w:tcPr>
            <w:tcW w:w="160" w:type="dxa"/>
            <w:vAlign w:val="bottom"/>
          </w:tcPr>
          <w:p>
            <w:pPr>
              <w:spacing w:after="0"/>
              <w:rPr>
                <w:sz w:val="16"/>
                <w:szCs w:val="16"/>
                <w:color w:val="auto"/>
              </w:rPr>
            </w:pPr>
          </w:p>
        </w:tc>
        <w:tc>
          <w:tcPr>
            <w:tcW w:w="2740" w:type="dxa"/>
            <w:vAlign w:val="bottom"/>
          </w:tcPr>
          <w:p>
            <w:pPr>
              <w:jc w:val="right"/>
              <w:ind w:right="1064"/>
              <w:spacing w:after="0"/>
              <w:rPr>
                <w:sz w:val="20"/>
                <w:szCs w:val="20"/>
                <w:color w:val="auto"/>
              </w:rPr>
            </w:pPr>
            <w:r>
              <w:rPr>
                <w:rFonts w:ascii="Arial" w:cs="Arial" w:eastAsia="Arial" w:hAnsi="Arial"/>
                <w:sz w:val="15"/>
                <w:szCs w:val="15"/>
                <w:color w:val="auto"/>
              </w:rPr>
              <w:t>19,046</w:t>
            </w:r>
          </w:p>
        </w:tc>
        <w:tc>
          <w:tcPr>
            <w:tcW w:w="140" w:type="dxa"/>
            <w:vAlign w:val="bottom"/>
          </w:tcPr>
          <w:p>
            <w:pPr>
              <w:spacing w:after="0"/>
              <w:rPr>
                <w:sz w:val="16"/>
                <w:szCs w:val="16"/>
                <w:color w:val="auto"/>
              </w:rPr>
            </w:pPr>
          </w:p>
        </w:tc>
        <w:tc>
          <w:tcPr>
            <w:tcW w:w="2780" w:type="dxa"/>
            <w:vAlign w:val="bottom"/>
          </w:tcPr>
          <w:p>
            <w:pPr>
              <w:jc w:val="right"/>
              <w:ind w:right="1264"/>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4" w:name="page55"/>
    <w:bookmarkEnd w:id="54"/>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4" w:lineRule="exact"/>
        <w:rPr>
          <w:sz w:val="20"/>
          <w:szCs w:val="20"/>
          <w:color w:val="auto"/>
        </w:rPr>
      </w:pPr>
    </w:p>
    <w:p>
      <w:pPr>
        <w:ind w:left="9"/>
        <w:spacing w:after="0"/>
        <w:tabs>
          <w:tab w:leader="none" w:pos="589" w:val="left"/>
        </w:tabs>
        <w:rPr>
          <w:sz w:val="20"/>
          <w:szCs w:val="20"/>
          <w:color w:val="auto"/>
        </w:rPr>
      </w:pPr>
      <w:r>
        <w:rPr>
          <w:rFonts w:ascii="Arial" w:cs="Arial" w:eastAsia="Arial" w:hAnsi="Arial"/>
          <w:sz w:val="15"/>
          <w:szCs w:val="15"/>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202" w:lineRule="exact"/>
        <w:rPr>
          <w:sz w:val="20"/>
          <w:szCs w:val="20"/>
          <w:color w:val="auto"/>
        </w:rPr>
      </w:pPr>
    </w:p>
    <w:p>
      <w:pPr>
        <w:ind w:left="209" w:hanging="209"/>
        <w:spacing w:after="0"/>
        <w:tabs>
          <w:tab w:leader="none" w:pos="209"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information was required to be disclosed in a report on Form 8-K during the second quarter of 2008 that was not reported.</w:t>
      </w:r>
    </w:p>
    <w:p>
      <w:pPr>
        <w:spacing w:after="0" w:line="213" w:lineRule="exact"/>
        <w:rPr>
          <w:rFonts w:ascii="Arial" w:cs="Arial" w:eastAsia="Arial" w:hAnsi="Arial"/>
          <w:sz w:val="15"/>
          <w:szCs w:val="15"/>
          <w:color w:val="auto"/>
        </w:rPr>
      </w:pPr>
    </w:p>
    <w:p>
      <w:pPr>
        <w:ind w:left="209" w:hanging="209"/>
        <w:spacing w:after="0"/>
        <w:tabs>
          <w:tab w:leader="none" w:pos="209" w:val="left"/>
        </w:tabs>
        <w:numPr>
          <w:ilvl w:val="0"/>
          <w:numId w:val="9"/>
        </w:numPr>
        <w:rPr>
          <w:rFonts w:ascii="Arial" w:cs="Arial" w:eastAsia="Arial" w:hAnsi="Arial"/>
          <w:sz w:val="15"/>
          <w:szCs w:val="15"/>
          <w:color w:val="auto"/>
        </w:rPr>
      </w:pPr>
      <w:r>
        <w:rPr>
          <w:rFonts w:ascii="Arial" w:cs="Arial" w:eastAsia="Arial" w:hAnsi="Arial"/>
          <w:sz w:val="15"/>
          <w:szCs w:val="15"/>
          <w:color w:val="auto"/>
        </w:rPr>
        <w:t>Not applicable.</w:t>
      </w:r>
    </w:p>
    <w:p>
      <w:pPr>
        <w:spacing w:after="0" w:line="210"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1900" w:type="dxa"/>
            <w:vAlign w:val="bottom"/>
            <w:gridSpan w:val="3"/>
          </w:tcPr>
          <w:p>
            <w:pPr>
              <w:spacing w:after="0"/>
              <w:rPr>
                <w:sz w:val="20"/>
                <w:szCs w:val="20"/>
                <w:color w:val="auto"/>
              </w:rPr>
            </w:pPr>
            <w:r>
              <w:rPr>
                <w:rFonts w:ascii="Arial" w:cs="Arial" w:eastAsia="Arial" w:hAnsi="Arial"/>
                <w:sz w:val="15"/>
                <w:szCs w:val="15"/>
                <w:b w:val="1"/>
                <w:bCs w:val="1"/>
                <w:color w:val="auto"/>
              </w:rPr>
              <w:t>Item 6:  Exhibits</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100" w:type="dxa"/>
            <w:vAlign w:val="bottom"/>
          </w:tcPr>
          <w:p>
            <w:pPr>
              <w:spacing w:after="0"/>
              <w:rPr>
                <w:sz w:val="16"/>
                <w:szCs w:val="16"/>
                <w:color w:val="auto"/>
              </w:rPr>
            </w:pPr>
          </w:p>
        </w:tc>
      </w:tr>
      <w:tr>
        <w:trPr>
          <w:trHeight w:val="390"/>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Exhibit Number</w:t>
            </w:r>
          </w:p>
        </w:tc>
        <w:tc>
          <w:tcPr>
            <w:tcW w:w="480" w:type="dxa"/>
            <w:vAlign w:val="bottom"/>
          </w:tcPr>
          <w:p>
            <w:pPr>
              <w:spacing w:after="0"/>
              <w:rPr>
                <w:sz w:val="24"/>
                <w:szCs w:val="24"/>
                <w:color w:val="auto"/>
              </w:rPr>
            </w:pPr>
          </w:p>
        </w:tc>
        <w:tc>
          <w:tcPr>
            <w:tcW w:w="954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Description of Exhibits</w:t>
            </w:r>
          </w:p>
        </w:tc>
      </w:tr>
      <w:tr>
        <w:trPr>
          <w:trHeight w:val="329"/>
        </w:trPr>
        <w:tc>
          <w:tcPr>
            <w:tcW w:w="1120" w:type="dxa"/>
            <w:vAlign w:val="bottom"/>
          </w:tcPr>
          <w:p>
            <w:pPr>
              <w:spacing w:after="0"/>
              <w:rPr>
                <w:sz w:val="24"/>
                <w:szCs w:val="24"/>
                <w:color w:val="auto"/>
              </w:rPr>
            </w:pPr>
          </w:p>
        </w:tc>
        <w:tc>
          <w:tcPr>
            <w:tcW w:w="30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2"/>
              </w:rPr>
              <w:t>10.</w:t>
            </w:r>
            <w:r>
              <w:rPr>
                <w:rFonts w:ascii="Arial" w:cs="Arial" w:eastAsia="Arial" w:hAnsi="Arial"/>
                <w:sz w:val="15"/>
                <w:szCs w:val="15"/>
                <w:u w:val="single" w:color="auto"/>
                <w:color w:val="0000EE"/>
                <w:w w:val="82"/>
              </w:rPr>
              <w:t>1</w:t>
            </w:r>
          </w:p>
        </w:tc>
        <w:tc>
          <w:tcPr>
            <w:tcW w:w="480" w:type="dxa"/>
            <w:vAlign w:val="bottom"/>
          </w:tcPr>
          <w:p>
            <w:pPr>
              <w:spacing w:after="0"/>
              <w:rPr>
                <w:sz w:val="24"/>
                <w:szCs w:val="24"/>
                <w:color w:val="auto"/>
              </w:rPr>
            </w:pPr>
          </w:p>
        </w:tc>
        <w:tc>
          <w:tcPr>
            <w:tcW w:w="1980" w:type="dxa"/>
            <w:vAlign w:val="bottom"/>
            <w:tcBorders>
              <w:bottom w:val="single" w:sz="8" w:color="0000EE"/>
            </w:tcBorders>
          </w:tcPr>
          <w:p>
            <w:pPr>
              <w:ind w:left="20"/>
              <w:spacing w:after="0"/>
              <w:rPr>
                <w:sz w:val="20"/>
                <w:szCs w:val="20"/>
                <w:color w:val="auto"/>
              </w:rPr>
            </w:pPr>
            <w:r>
              <w:rPr>
                <w:rFonts w:ascii="Arial" w:cs="Arial" w:eastAsia="Arial" w:hAnsi="Arial"/>
                <w:sz w:val="15"/>
                <w:szCs w:val="15"/>
                <w:color w:val="0000EE"/>
                <w:w w:val="91"/>
              </w:rPr>
              <w:t>Form of Restricted Stock Award</w:t>
            </w:r>
          </w:p>
        </w:tc>
        <w:tc>
          <w:tcPr>
            <w:tcW w:w="7560" w:type="dxa"/>
            <w:vAlign w:val="bottom"/>
            <w:gridSpan w:val="3"/>
          </w:tcPr>
          <w:p>
            <w:pPr>
              <w:spacing w:after="0"/>
              <w:rPr>
                <w:sz w:val="24"/>
                <w:szCs w:val="24"/>
                <w:color w:val="auto"/>
              </w:rPr>
            </w:pPr>
          </w:p>
        </w:tc>
      </w:tr>
      <w:tr>
        <w:trPr>
          <w:trHeight w:val="343"/>
        </w:trPr>
        <w:tc>
          <w:tcPr>
            <w:tcW w:w="1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0000EE"/>
                <w:w w:val="82"/>
              </w:rPr>
              <w:t>12.</w:t>
            </w:r>
            <w:r>
              <w:rPr>
                <w:rFonts w:ascii="Arial" w:cs="Arial" w:eastAsia="Arial" w:hAnsi="Arial"/>
                <w:sz w:val="15"/>
                <w:szCs w:val="15"/>
                <w:u w:val="single" w:color="auto"/>
                <w:color w:val="0000EE"/>
                <w:w w:val="82"/>
              </w:rPr>
              <w:t>1</w:t>
            </w:r>
          </w:p>
        </w:tc>
        <w:tc>
          <w:tcPr>
            <w:tcW w:w="480" w:type="dxa"/>
            <w:vAlign w:val="bottom"/>
          </w:tcPr>
          <w:p>
            <w:pPr>
              <w:spacing w:after="0"/>
              <w:rPr>
                <w:sz w:val="24"/>
                <w:szCs w:val="24"/>
                <w:color w:val="auto"/>
              </w:rPr>
            </w:pPr>
          </w:p>
        </w:tc>
        <w:tc>
          <w:tcPr>
            <w:tcW w:w="9540" w:type="dxa"/>
            <w:vAlign w:val="bottom"/>
            <w:gridSpan w:val="4"/>
          </w:tcPr>
          <w:p>
            <w:pPr>
              <w:ind w:left="20"/>
              <w:spacing w:after="0"/>
              <w:rPr>
                <w:sz w:val="20"/>
                <w:szCs w:val="20"/>
                <w:color w:val="auto"/>
              </w:rPr>
            </w:pPr>
            <w:r>
              <w:rPr>
                <w:rFonts w:ascii="Arial" w:cs="Arial" w:eastAsia="Arial" w:hAnsi="Arial"/>
                <w:sz w:val="15"/>
                <w:szCs w:val="15"/>
                <w:color w:val="0000EE"/>
              </w:rPr>
              <w:t>Statement re Computation of Ratios.</w:t>
            </w:r>
          </w:p>
        </w:tc>
      </w:tr>
      <w:tr>
        <w:trPr>
          <w:trHeight w:val="20"/>
        </w:trPr>
        <w:tc>
          <w:tcPr>
            <w:tcW w:w="112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343"/>
        </w:trPr>
        <w:tc>
          <w:tcPr>
            <w:tcW w:w="1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0000EE"/>
                <w:w w:val="82"/>
              </w:rPr>
              <w:t>31.</w:t>
            </w:r>
            <w:r>
              <w:rPr>
                <w:rFonts w:ascii="Arial" w:cs="Arial" w:eastAsia="Arial" w:hAnsi="Arial"/>
                <w:sz w:val="15"/>
                <w:szCs w:val="15"/>
                <w:u w:val="single" w:color="auto"/>
                <w:color w:val="0000EE"/>
                <w:w w:val="82"/>
              </w:rPr>
              <w:t>1</w:t>
            </w:r>
          </w:p>
        </w:tc>
        <w:tc>
          <w:tcPr>
            <w:tcW w:w="480" w:type="dxa"/>
            <w:vAlign w:val="bottom"/>
          </w:tcPr>
          <w:p>
            <w:pPr>
              <w:spacing w:after="0"/>
              <w:rPr>
                <w:sz w:val="24"/>
                <w:szCs w:val="24"/>
                <w:color w:val="auto"/>
              </w:rPr>
            </w:pPr>
          </w:p>
        </w:tc>
        <w:tc>
          <w:tcPr>
            <w:tcW w:w="9540" w:type="dxa"/>
            <w:vAlign w:val="bottom"/>
            <w:gridSpan w:val="4"/>
          </w:tcPr>
          <w:p>
            <w:pPr>
              <w:ind w:left="20"/>
              <w:spacing w:after="0"/>
              <w:rPr>
                <w:sz w:val="20"/>
                <w:szCs w:val="20"/>
                <w:color w:val="auto"/>
              </w:rPr>
            </w:pPr>
            <w:r>
              <w:rPr>
                <w:rFonts w:ascii="Arial" w:cs="Arial" w:eastAsia="Arial" w:hAnsi="Arial"/>
                <w:sz w:val="15"/>
                <w:szCs w:val="15"/>
                <w:color w:val="0000EE"/>
              </w:rPr>
              <w:t>Certification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343"/>
        </w:trPr>
        <w:tc>
          <w:tcPr>
            <w:tcW w:w="1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0000EE"/>
                <w:w w:val="82"/>
              </w:rPr>
              <w:t>31.</w:t>
            </w:r>
            <w:r>
              <w:rPr>
                <w:rFonts w:ascii="Arial" w:cs="Arial" w:eastAsia="Arial" w:hAnsi="Arial"/>
                <w:sz w:val="15"/>
                <w:szCs w:val="15"/>
                <w:u w:val="single" w:color="auto"/>
                <w:color w:val="0000EE"/>
                <w:w w:val="82"/>
              </w:rPr>
              <w:t>2</w:t>
            </w:r>
          </w:p>
        </w:tc>
        <w:tc>
          <w:tcPr>
            <w:tcW w:w="480" w:type="dxa"/>
            <w:vAlign w:val="bottom"/>
          </w:tcPr>
          <w:p>
            <w:pPr>
              <w:spacing w:after="0"/>
              <w:rPr>
                <w:sz w:val="24"/>
                <w:szCs w:val="24"/>
                <w:color w:val="auto"/>
              </w:rPr>
            </w:pPr>
          </w:p>
        </w:tc>
        <w:tc>
          <w:tcPr>
            <w:tcW w:w="9540" w:type="dxa"/>
            <w:vAlign w:val="bottom"/>
            <w:gridSpan w:val="4"/>
          </w:tcPr>
          <w:p>
            <w:pPr>
              <w:ind w:left="20"/>
              <w:spacing w:after="0"/>
              <w:rPr>
                <w:sz w:val="20"/>
                <w:szCs w:val="20"/>
                <w:color w:val="auto"/>
              </w:rPr>
            </w:pPr>
            <w:r>
              <w:rPr>
                <w:rFonts w:ascii="Arial" w:cs="Arial" w:eastAsia="Arial" w:hAnsi="Arial"/>
                <w:sz w:val="15"/>
                <w:szCs w:val="15"/>
                <w:color w:val="0000EE"/>
              </w:rPr>
              <w:t>Certification Pursuant to Section 302 of the Sarbanes-Oxley Act of 2002.</w:t>
            </w:r>
          </w:p>
        </w:tc>
      </w:tr>
      <w:tr>
        <w:trPr>
          <w:trHeight w:val="20"/>
        </w:trPr>
        <w:tc>
          <w:tcPr>
            <w:tcW w:w="1420" w:type="dxa"/>
            <w:vAlign w:val="bottom"/>
            <w:tcBorders>
              <w:right w:val="single" w:sz="8" w:color="0000EE"/>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343"/>
        </w:trPr>
        <w:tc>
          <w:tcPr>
            <w:tcW w:w="1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0000EE"/>
                <w:w w:val="82"/>
              </w:rPr>
              <w:t>32.</w:t>
            </w:r>
            <w:r>
              <w:rPr>
                <w:rFonts w:ascii="Arial" w:cs="Arial" w:eastAsia="Arial" w:hAnsi="Arial"/>
                <w:sz w:val="15"/>
                <w:szCs w:val="15"/>
                <w:u w:val="single" w:color="auto"/>
                <w:color w:val="0000EE"/>
                <w:w w:val="82"/>
              </w:rPr>
              <w:t>1</w:t>
            </w:r>
          </w:p>
        </w:tc>
        <w:tc>
          <w:tcPr>
            <w:tcW w:w="480" w:type="dxa"/>
            <w:vAlign w:val="bottom"/>
          </w:tcPr>
          <w:p>
            <w:pPr>
              <w:spacing w:after="0"/>
              <w:rPr>
                <w:sz w:val="24"/>
                <w:szCs w:val="24"/>
                <w:color w:val="auto"/>
              </w:rPr>
            </w:pPr>
          </w:p>
        </w:tc>
        <w:tc>
          <w:tcPr>
            <w:tcW w:w="9540" w:type="dxa"/>
            <w:vAlign w:val="bottom"/>
            <w:gridSpan w:val="4"/>
          </w:tcPr>
          <w:p>
            <w:pPr>
              <w:ind w:left="20"/>
              <w:spacing w:after="0"/>
              <w:rPr>
                <w:sz w:val="20"/>
                <w:szCs w:val="20"/>
                <w:color w:val="auto"/>
              </w:rPr>
            </w:pPr>
            <w:r>
              <w:rPr>
                <w:rFonts w:ascii="Arial" w:cs="Arial" w:eastAsia="Arial" w:hAnsi="Arial"/>
                <w:sz w:val="15"/>
                <w:szCs w:val="15"/>
                <w:color w:val="0000EE"/>
              </w:rPr>
              <w:t>Certification Pursuant to Section 906 of the Sarbanes-Oxley Act of 2002.</w:t>
            </w:r>
          </w:p>
        </w:tc>
      </w:tr>
      <w:tr>
        <w:trPr>
          <w:trHeight w:val="20"/>
        </w:trPr>
        <w:tc>
          <w:tcPr>
            <w:tcW w:w="112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55" w:name="page56"/>
    <w:bookmarkEnd w:id="5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SIGNATURES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Arial" w:cs="Arial" w:eastAsia="Arial" w:hAnsi="Arial"/>
                <w:sz w:val="15"/>
                <w:szCs w:val="15"/>
                <w:color w:val="auto"/>
                <w:w w:val="98"/>
              </w:rPr>
              <w:t>ITRON, INC.</w:t>
            </w:r>
          </w:p>
        </w:tc>
      </w:tr>
      <w:tr>
        <w:trPr>
          <w:trHeight w:val="368"/>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August 4, 2008</w:t>
            </w:r>
          </w:p>
        </w:tc>
        <w:tc>
          <w:tcPr>
            <w:tcW w:w="3260" w:type="dxa"/>
            <w:vAlign w:val="bottom"/>
          </w:tcPr>
          <w:p>
            <w:pPr>
              <w:ind w:left="2720"/>
              <w:spacing w:after="0"/>
              <w:rPr>
                <w:sz w:val="20"/>
                <w:szCs w:val="20"/>
                <w:color w:val="auto"/>
              </w:rPr>
            </w:pPr>
            <w:r>
              <w:rPr>
                <w:rFonts w:ascii="Arial" w:cs="Arial" w:eastAsia="Arial" w:hAnsi="Arial"/>
                <w:sz w:val="15"/>
                <w:szCs w:val="15"/>
                <w:color w:val="auto"/>
              </w:rPr>
              <w:t>By:</w:t>
            </w:r>
          </w:p>
        </w:tc>
        <w:tc>
          <w:tcPr>
            <w:tcW w:w="5460" w:type="dxa"/>
            <w:vAlign w:val="bottom"/>
            <w:tcBorders>
              <w:bottom w:val="single" w:sz="8" w:color="auto"/>
            </w:tcBorders>
          </w:tcPr>
          <w:p>
            <w:pPr>
              <w:ind w:left="1480"/>
              <w:spacing w:after="0"/>
              <w:rPr>
                <w:sz w:val="20"/>
                <w:szCs w:val="20"/>
                <w:color w:val="auto"/>
              </w:rPr>
            </w:pPr>
            <w:r>
              <w:rPr>
                <w:rFonts w:ascii="Arial" w:cs="Arial" w:eastAsia="Arial" w:hAnsi="Arial"/>
                <w:sz w:val="15"/>
                <w:szCs w:val="15"/>
                <w:color w:val="auto"/>
              </w:rPr>
              <w:t>/S/  STEVEN M. HELMBRECHT</w:t>
            </w:r>
          </w:p>
        </w:tc>
      </w:tr>
      <w:tr>
        <w:trPr>
          <w:trHeight w:val="167"/>
        </w:trPr>
        <w:tc>
          <w:tcPr>
            <w:tcW w:w="272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2"/>
              </w:rPr>
              <w:t>Date</w:t>
            </w:r>
          </w:p>
        </w:tc>
        <w:tc>
          <w:tcPr>
            <w:tcW w:w="3260" w:type="dxa"/>
            <w:vAlign w:val="bottom"/>
          </w:tcPr>
          <w:p>
            <w:pPr>
              <w:spacing w:after="0"/>
              <w:rPr>
                <w:sz w:val="14"/>
                <w:szCs w:val="14"/>
                <w:color w:val="auto"/>
              </w:rPr>
            </w:pPr>
          </w:p>
        </w:tc>
        <w:tc>
          <w:tcPr>
            <w:tcW w:w="54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3"/>
              </w:rPr>
              <w:t>Steven M. Helmbrecht</w:t>
            </w:r>
          </w:p>
        </w:tc>
      </w:tr>
      <w:tr>
        <w:trPr>
          <w:trHeight w:val="195"/>
        </w:trPr>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Arial" w:cs="Arial" w:eastAsia="Arial" w:hAnsi="Arial"/>
                <w:sz w:val="15"/>
                <w:szCs w:val="15"/>
                <w:b w:val="1"/>
                <w:bCs w:val="1"/>
                <w:color w:val="auto"/>
                <w:w w:val="91"/>
              </w:rPr>
              <w:t>Sr.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7392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ind w:left="10509"/>
        <w:spacing w:after="0"/>
        <w:rPr>
          <w:sz w:val="20"/>
          <w:szCs w:val="20"/>
          <w:color w:val="auto"/>
        </w:rPr>
      </w:pPr>
      <w:r>
        <w:rPr>
          <w:rFonts w:ascii="Arial" w:cs="Arial" w:eastAsia="Arial" w:hAnsi="Arial"/>
          <w:sz w:val="16"/>
          <w:szCs w:val="16"/>
          <w:b w:val="1"/>
          <w:bCs w:val="1"/>
          <w:color w:val="auto"/>
        </w:rPr>
        <w:t>Exhibit 10.1</w:t>
      </w:r>
    </w:p>
    <w:p>
      <w:pPr>
        <w:spacing w:after="0" w:line="234" w:lineRule="exact"/>
        <w:rPr>
          <w:sz w:val="20"/>
          <w:szCs w:val="20"/>
          <w:color w:val="auto"/>
        </w:rPr>
      </w:pPr>
    </w:p>
    <w:p>
      <w:pPr>
        <w:jc w:val="center"/>
        <w:ind w:right="71"/>
        <w:spacing w:after="0"/>
        <w:rPr>
          <w:sz w:val="20"/>
          <w:szCs w:val="20"/>
          <w:color w:val="auto"/>
        </w:rPr>
      </w:pPr>
      <w:r>
        <w:rPr>
          <w:rFonts w:ascii="Arial" w:cs="Arial" w:eastAsia="Arial" w:hAnsi="Arial"/>
          <w:sz w:val="15"/>
          <w:szCs w:val="15"/>
          <w:b w:val="1"/>
          <w:bCs w:val="1"/>
          <w:color w:val="auto"/>
        </w:rPr>
        <w:t>ITRON, INC.</w:t>
      </w:r>
    </w:p>
    <w:p>
      <w:pPr>
        <w:spacing w:after="0" w:line="22" w:lineRule="exact"/>
        <w:rPr>
          <w:sz w:val="20"/>
          <w:szCs w:val="20"/>
          <w:color w:val="auto"/>
        </w:rPr>
      </w:pPr>
    </w:p>
    <w:p>
      <w:pPr>
        <w:jc w:val="center"/>
        <w:ind w:right="71"/>
        <w:spacing w:after="0"/>
        <w:rPr>
          <w:sz w:val="20"/>
          <w:szCs w:val="20"/>
          <w:color w:val="auto"/>
        </w:rPr>
      </w:pPr>
      <w:r>
        <w:rPr>
          <w:rFonts w:ascii="Arial" w:cs="Arial" w:eastAsia="Arial" w:hAnsi="Arial"/>
          <w:sz w:val="15"/>
          <w:szCs w:val="15"/>
          <w:b w:val="1"/>
          <w:bCs w:val="1"/>
          <w:color w:val="auto"/>
        </w:rPr>
        <w:t>RESTRICTED STOCK UNIT AWARD NOTICE</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5"/>
          <w:szCs w:val="15"/>
          <w:b w:val="1"/>
          <w:bCs w:val="1"/>
          <w:color w:val="auto"/>
        </w:rPr>
        <w:t>AMENDED AND RESTATED 2000 STOCK INCENTIVE PLAN</w:t>
      </w:r>
    </w:p>
    <w:p>
      <w:pPr>
        <w:spacing w:after="0" w:line="204" w:lineRule="exact"/>
        <w:rPr>
          <w:sz w:val="20"/>
          <w:szCs w:val="20"/>
          <w:color w:val="auto"/>
        </w:rPr>
      </w:pPr>
    </w:p>
    <w:p>
      <w:pPr>
        <w:ind w:left="9" w:right="440" w:firstLine="545"/>
        <w:spacing w:after="0" w:line="265" w:lineRule="auto"/>
        <w:rPr>
          <w:sz w:val="20"/>
          <w:szCs w:val="20"/>
          <w:color w:val="auto"/>
        </w:rPr>
      </w:pPr>
      <w:r>
        <w:rPr>
          <w:rFonts w:ascii="Arial" w:cs="Arial" w:eastAsia="Arial" w:hAnsi="Arial"/>
          <w:sz w:val="15"/>
          <w:szCs w:val="15"/>
          <w:color w:val="auto"/>
        </w:rPr>
        <w:t>Itron, Inc. (the "</w:t>
      </w:r>
      <w:r>
        <w:rPr>
          <w:rFonts w:ascii="Arial" w:cs="Arial" w:eastAsia="Arial" w:hAnsi="Arial"/>
          <w:sz w:val="15"/>
          <w:szCs w:val="15"/>
          <w:b w:val="1"/>
          <w:bCs w:val="1"/>
          <w:i w:val="1"/>
          <w:iCs w:val="1"/>
          <w:color w:val="auto"/>
        </w:rPr>
        <w:t>Company</w:t>
      </w:r>
      <w:r>
        <w:rPr>
          <w:rFonts w:ascii="Arial" w:cs="Arial" w:eastAsia="Arial" w:hAnsi="Arial"/>
          <w:sz w:val="15"/>
          <w:szCs w:val="15"/>
          <w:color w:val="auto"/>
        </w:rPr>
        <w:t>") hereby grants to Participant a Restricted Stock Unit Award (the "</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The Award is subject to all the terms and conditions set forth in this Restricted Stock Unit Award Notice (the "</w:t>
      </w:r>
      <w:r>
        <w:rPr>
          <w:rFonts w:ascii="Arial" w:cs="Arial" w:eastAsia="Arial" w:hAnsi="Arial"/>
          <w:sz w:val="15"/>
          <w:szCs w:val="15"/>
          <w:b w:val="1"/>
          <w:bCs w:val="1"/>
          <w:i w:val="1"/>
          <w:iCs w:val="1"/>
          <w:color w:val="auto"/>
        </w:rPr>
        <w:t>Award Notice</w:t>
      </w:r>
      <w:r>
        <w:rPr>
          <w:rFonts w:ascii="Arial" w:cs="Arial" w:eastAsia="Arial" w:hAnsi="Arial"/>
          <w:sz w:val="15"/>
          <w:szCs w:val="15"/>
          <w:color w:val="auto"/>
        </w:rPr>
        <w:t>") and in the Restricted Stock Unit Award Agreement and the Itron, Inc. Amended and Restated 2000 Stock Incentive Plan (the "</w:t>
      </w:r>
      <w:r>
        <w:rPr>
          <w:rFonts w:ascii="Arial" w:cs="Arial" w:eastAsia="Arial" w:hAnsi="Arial"/>
          <w:sz w:val="15"/>
          <w:szCs w:val="15"/>
          <w:b w:val="1"/>
          <w:bCs w:val="1"/>
          <w:i w:val="1"/>
          <w:iCs w:val="1"/>
          <w:color w:val="auto"/>
        </w:rPr>
        <w:t>Plan</w:t>
      </w:r>
      <w:r>
        <w:rPr>
          <w:rFonts w:ascii="Arial" w:cs="Arial" w:eastAsia="Arial" w:hAnsi="Arial"/>
          <w:sz w:val="15"/>
          <w:szCs w:val="15"/>
          <w:color w:val="auto"/>
        </w:rPr>
        <w:t>"), which are incorporated into the Award Notice in their entirety.</w:t>
      </w:r>
    </w:p>
    <w:p>
      <w:pPr>
        <w:spacing w:after="0" w:line="370"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Participant</w:t>
      </w:r>
      <w:r>
        <w:rPr>
          <w:rFonts w:ascii="Arial" w:cs="Arial" w:eastAsia="Arial" w:hAnsi="Arial"/>
          <w:sz w:val="18"/>
          <w:szCs w:val="18"/>
          <w:color w:val="auto"/>
        </w:rPr>
        <w:t>:</w:t>
      </w:r>
    </w:p>
    <w:p>
      <w:pPr>
        <w:spacing w:after="0" w:line="20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Grant Date</w:t>
      </w:r>
      <w:r>
        <w:rPr>
          <w:rFonts w:ascii="Arial" w:cs="Arial" w:eastAsia="Arial" w:hAnsi="Arial"/>
          <w:sz w:val="18"/>
          <w:szCs w:val="18"/>
          <w:color w:val="auto"/>
        </w:rPr>
        <w:t>:</w:t>
      </w:r>
    </w:p>
    <w:p>
      <w:pPr>
        <w:spacing w:after="0" w:line="21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Number of Restricted Stock Units</w:t>
      </w:r>
      <w:r>
        <w:rPr>
          <w:rFonts w:ascii="Arial" w:cs="Arial" w:eastAsia="Arial" w:hAnsi="Arial"/>
          <w:sz w:val="15"/>
          <w:szCs w:val="15"/>
          <w:color w:val="auto"/>
        </w:rPr>
        <w:t>:</w:t>
      </w:r>
    </w:p>
    <w:p>
      <w:pPr>
        <w:spacing w:after="0" w:line="205"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 w:right="80"/>
        <w:spacing w:after="0" w:line="296" w:lineRule="auto"/>
        <w:rPr>
          <w:sz w:val="20"/>
          <w:szCs w:val="20"/>
          <w:color w:val="auto"/>
        </w:rPr>
      </w:pPr>
      <w:r>
        <w:rPr>
          <w:rFonts w:ascii="Arial" w:cs="Arial" w:eastAsia="Arial" w:hAnsi="Arial"/>
          <w:sz w:val="14"/>
          <w:szCs w:val="14"/>
          <w:b w:val="1"/>
          <w:bCs w:val="1"/>
          <w:color w:val="auto"/>
        </w:rPr>
        <w:t>Additional Terms/Acknowledgement</w:t>
      </w:r>
      <w:r>
        <w:rPr>
          <w:rFonts w:ascii="Arial" w:cs="Arial" w:eastAsia="Arial" w:hAnsi="Arial"/>
          <w:sz w:val="14"/>
          <w:szCs w:val="14"/>
          <w:color w:val="auto"/>
        </w:rPr>
        <w:t>: The undersigned Participant acknowledges receipt of, and understands and agrees to, the Award Notice, the Restricted Stock Unit Award</w:t>
      </w:r>
      <w:r>
        <w:rPr>
          <w:rFonts w:ascii="Arial" w:cs="Arial" w:eastAsia="Arial" w:hAnsi="Arial"/>
          <w:sz w:val="14"/>
          <w:szCs w:val="14"/>
          <w:b w:val="1"/>
          <w:bCs w:val="1"/>
          <w:color w:val="auto"/>
        </w:rPr>
        <w:t xml:space="preserve"> </w:t>
      </w:r>
      <w:r>
        <w:rPr>
          <w:rFonts w:ascii="Arial" w:cs="Arial" w:eastAsia="Arial" w:hAnsi="Arial"/>
          <w:sz w:val="14"/>
          <w:szCs w:val="14"/>
          <w:color w:val="auto"/>
        </w:rPr>
        <w:t>Agreement and the Plan Summary for the Plan. Participant further acknowledges that as of the Grant Date, the Award Notice, the Restricted Stock Unit Award Agreement and the Plan set forth the entire understanding between Participant and the Company regarding the Award and supersede all prior oral and written agreements on the subject.</w:t>
      </w:r>
    </w:p>
    <w:p>
      <w:pPr>
        <w:sectPr>
          <w:pgSz w:w="11900" w:h="16838" w:orient="portrait"/>
          <w:cols w:equalWidth="0" w:num="1">
            <w:col w:w="11529"/>
          </w:cols>
          <w:pgMar w:left="231" w:top="116" w:right="1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9"/>
        <w:spacing w:after="0"/>
        <w:rPr>
          <w:sz w:val="20"/>
          <w:szCs w:val="20"/>
          <w:color w:val="auto"/>
        </w:rPr>
      </w:pPr>
      <w:r>
        <w:rPr>
          <w:rFonts w:ascii="Arial" w:cs="Arial" w:eastAsia="Arial" w:hAnsi="Arial"/>
          <w:sz w:val="17"/>
          <w:szCs w:val="17"/>
          <w:color w:val="auto"/>
        </w:rPr>
        <w:t>ITRON,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PARTICIPANT</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_________________________________</w:t>
      </w:r>
    </w:p>
    <w:p>
      <w:pPr>
        <w:spacing w:after="0" w:line="200" w:lineRule="exact"/>
        <w:rPr>
          <w:sz w:val="20"/>
          <w:szCs w:val="20"/>
          <w:color w:val="auto"/>
        </w:rPr>
      </w:pPr>
    </w:p>
    <w:p>
      <w:pPr>
        <w:sectPr>
          <w:pgSz w:w="11900" w:h="16838" w:orient="portrait"/>
          <w:cols w:equalWidth="0" w:num="2">
            <w:col w:w="7549" w:space="720"/>
            <w:col w:w="3260"/>
          </w:cols>
          <w:pgMar w:left="231" w:top="116"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269"/>
        <w:spacing w:after="0"/>
        <w:rPr>
          <w:sz w:val="20"/>
          <w:szCs w:val="20"/>
          <w:color w:val="auto"/>
        </w:rPr>
      </w:pPr>
      <w:r>
        <w:rPr>
          <w:rFonts w:ascii="Arial" w:cs="Arial" w:eastAsia="Arial" w:hAnsi="Arial"/>
          <w:sz w:val="17"/>
          <w:szCs w:val="17"/>
          <w:color w:val="auto"/>
        </w:rPr>
        <w:t>Taxpayer ID:_______________________</w:t>
      </w:r>
    </w:p>
    <w:p>
      <w:pPr>
        <w:spacing w:after="0" w:line="22" w:lineRule="exact"/>
        <w:rPr>
          <w:sz w:val="20"/>
          <w:szCs w:val="20"/>
          <w:color w:val="auto"/>
        </w:rPr>
      </w:pPr>
    </w:p>
    <w:p>
      <w:pPr>
        <w:ind w:left="9"/>
        <w:spacing w:after="0"/>
        <w:rPr>
          <w:sz w:val="20"/>
          <w:szCs w:val="20"/>
          <w:color w:val="auto"/>
        </w:rPr>
      </w:pPr>
      <w:r>
        <w:rPr>
          <w:rFonts w:ascii="Arial" w:cs="Arial" w:eastAsia="Arial" w:hAnsi="Arial"/>
          <w:sz w:val="18"/>
          <w:szCs w:val="18"/>
          <w:color w:val="auto"/>
        </w:rPr>
        <w:t>Chairman and Chief Executive Officer</w:t>
      </w:r>
    </w:p>
    <w:p>
      <w:pPr>
        <w:ind w:left="8449"/>
        <w:spacing w:after="0" w:line="237" w:lineRule="auto"/>
        <w:rPr>
          <w:sz w:val="20"/>
          <w:szCs w:val="20"/>
          <w:color w:val="auto"/>
        </w:rPr>
      </w:pPr>
      <w:r>
        <w:rPr>
          <w:rFonts w:ascii="Arial" w:cs="Arial" w:eastAsia="Arial" w:hAnsi="Arial"/>
          <w:sz w:val="18"/>
          <w:szCs w:val="18"/>
          <w:color w:val="auto"/>
        </w:rPr>
        <w:t>Address:</w:t>
      </w:r>
    </w:p>
    <w:p>
      <w:pPr>
        <w:ind w:left="9"/>
        <w:spacing w:after="0" w:line="237" w:lineRule="auto"/>
        <w:rPr>
          <w:sz w:val="20"/>
          <w:szCs w:val="20"/>
          <w:color w:val="auto"/>
        </w:rPr>
      </w:pPr>
      <w:r>
        <w:rPr>
          <w:rFonts w:ascii="Arial" w:cs="Arial" w:eastAsia="Arial" w:hAnsi="Arial"/>
          <w:sz w:val="18"/>
          <w:szCs w:val="18"/>
          <w:color w:val="auto"/>
        </w:rPr>
        <w:t>_________________________</w:t>
      </w:r>
    </w:p>
    <w:p>
      <w:pPr>
        <w:ind w:left="9269"/>
        <w:spacing w:after="0"/>
        <w:rPr>
          <w:sz w:val="20"/>
          <w:szCs w:val="20"/>
          <w:color w:val="auto"/>
        </w:rPr>
      </w:pPr>
      <w:r>
        <w:rPr>
          <w:rFonts w:ascii="Arial" w:cs="Arial" w:eastAsia="Arial" w:hAnsi="Arial"/>
          <w:sz w:val="16"/>
          <w:szCs w:val="16"/>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Attachments</w:t>
      </w:r>
      <w:r>
        <w:rPr>
          <w:rFonts w:ascii="Arial" w:cs="Arial" w:eastAsia="Arial" w:hAnsi="Arial"/>
          <w:sz w:val="15"/>
          <w:szCs w:val="15"/>
          <w:color w:val="auto"/>
        </w:rPr>
        <w:t>:</w:t>
      </w:r>
    </w:p>
    <w:p>
      <w:pPr>
        <w:spacing w:after="0" w:line="22" w:lineRule="exact"/>
        <w:rPr>
          <w:sz w:val="20"/>
          <w:szCs w:val="20"/>
          <w:color w:val="auto"/>
        </w:rPr>
      </w:pPr>
    </w:p>
    <w:p>
      <w:pPr>
        <w:ind w:left="189" w:hanging="189"/>
        <w:spacing w:after="0"/>
        <w:tabs>
          <w:tab w:leader="none" w:pos="189"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Restricted Stock Unit Award Agreement</w:t>
      </w:r>
    </w:p>
    <w:p>
      <w:pPr>
        <w:spacing w:after="0" w:line="9" w:lineRule="exact"/>
        <w:rPr>
          <w:rFonts w:ascii="Arial" w:cs="Arial" w:eastAsia="Arial" w:hAnsi="Arial"/>
          <w:sz w:val="15"/>
          <w:szCs w:val="15"/>
          <w:color w:val="auto"/>
        </w:rPr>
      </w:pPr>
    </w:p>
    <w:p>
      <w:pPr>
        <w:ind w:left="189" w:right="9120" w:hanging="189"/>
        <w:spacing w:after="0" w:line="291" w:lineRule="auto"/>
        <w:tabs>
          <w:tab w:leader="none" w:pos="189" w:val="left"/>
        </w:tabs>
        <w:numPr>
          <w:ilvl w:val="0"/>
          <w:numId w:val="10"/>
        </w:numPr>
        <w:rPr>
          <w:rFonts w:ascii="Arial" w:cs="Arial" w:eastAsia="Arial" w:hAnsi="Arial"/>
          <w:sz w:val="13"/>
          <w:szCs w:val="13"/>
          <w:color w:val="auto"/>
        </w:rPr>
      </w:pPr>
      <w:r>
        <w:rPr>
          <w:rFonts w:ascii="Arial" w:cs="Arial" w:eastAsia="Arial" w:hAnsi="Arial"/>
          <w:sz w:val="13"/>
          <w:szCs w:val="13"/>
          <w:color w:val="auto"/>
        </w:rPr>
        <w:t>Plan Summary for the Amended and Restated 2000 Stock Incentive Plan</w:t>
      </w:r>
    </w:p>
    <w:p>
      <w:pPr>
        <w:ind w:left="189" w:right="9220" w:hanging="189"/>
        <w:spacing w:after="0" w:line="265" w:lineRule="auto"/>
        <w:tabs>
          <w:tab w:leader="none" w:pos="185"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Amended and Restated 2000 Stock </w:t>
      </w:r>
      <w:r>
        <w:rPr>
          <w:rFonts w:ascii="Arial" w:cs="Arial" w:eastAsia="Arial" w:hAnsi="Arial"/>
          <w:sz w:val="14"/>
          <w:szCs w:val="14"/>
          <w:color w:val="auto"/>
        </w:rPr>
        <w:t>Incentive Plan</w:t>
      </w:r>
    </w:p>
    <w:p>
      <w:pPr>
        <w:sectPr>
          <w:pgSz w:w="11900" w:h="16838" w:orient="portrait"/>
          <w:cols w:equalWidth="0" w:num="1">
            <w:col w:w="11529"/>
          </w:cols>
          <w:pgMar w:left="231" w:top="116" w:right="1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95"/>
        </w:trPr>
        <w:tc>
          <w:tcPr>
            <w:tcW w:w="33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STATEMENT RE COMPUTATION OF RATIOS</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Exhibit 12.1</w:t>
            </w:r>
          </w:p>
        </w:tc>
        <w:tc>
          <w:tcPr>
            <w:tcW w:w="0" w:type="dxa"/>
            <w:vAlign w:val="bottom"/>
          </w:tcPr>
          <w:p>
            <w:pPr>
              <w:spacing w:after="0"/>
              <w:rPr>
                <w:sz w:val="1"/>
                <w:szCs w:val="1"/>
                <w:color w:val="auto"/>
              </w:rPr>
            </w:pPr>
          </w:p>
        </w:tc>
      </w:tr>
      <w:tr>
        <w:trPr>
          <w:trHeight w:val="182"/>
        </w:trPr>
        <w:tc>
          <w:tcPr>
            <w:tcW w:w="33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2"/>
              </w:rPr>
              <w:t>Six Months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Ended</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jc w:val="center"/>
              <w:ind w:left="604"/>
              <w:spacing w:after="0"/>
              <w:rPr>
                <w:sz w:val="20"/>
                <w:szCs w:val="20"/>
                <w:color w:val="auto"/>
              </w:rPr>
            </w:pPr>
            <w:r>
              <w:rPr>
                <w:rFonts w:ascii="Arial" w:cs="Arial" w:eastAsia="Arial" w:hAnsi="Arial"/>
                <w:sz w:val="15"/>
                <w:szCs w:val="15"/>
                <w:b w:val="1"/>
                <w:bCs w:val="1"/>
                <w:color w:val="auto"/>
                <w:w w:val="91"/>
              </w:rPr>
              <w:t>Year Ended December 31,</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0"/>
              </w:rPr>
              <w:t>June 30, 2008</w:t>
            </w:r>
          </w:p>
        </w:tc>
        <w:tc>
          <w:tcPr>
            <w:tcW w:w="240" w:type="dxa"/>
            <w:vAlign w:val="bottom"/>
          </w:tcPr>
          <w:p>
            <w:pPr>
              <w:spacing w:after="0"/>
              <w:rPr>
                <w:sz w:val="16"/>
                <w:szCs w:val="16"/>
                <w:color w:val="auto"/>
              </w:rPr>
            </w:pPr>
          </w:p>
        </w:tc>
        <w:tc>
          <w:tcPr>
            <w:tcW w:w="900" w:type="dxa"/>
            <w:vAlign w:val="bottom"/>
          </w:tcPr>
          <w:p>
            <w:pPr>
              <w:jc w:val="right"/>
              <w:ind w:right="344"/>
              <w:spacing w:after="0"/>
              <w:rPr>
                <w:sz w:val="20"/>
                <w:szCs w:val="20"/>
                <w:color w:val="auto"/>
              </w:rPr>
            </w:pPr>
            <w:r>
              <w:rPr>
                <w:rFonts w:ascii="Arial" w:cs="Arial" w:eastAsia="Arial" w:hAnsi="Arial"/>
                <w:sz w:val="15"/>
                <w:szCs w:val="15"/>
                <w:b w:val="1"/>
                <w:bCs w:val="1"/>
                <w:color w:val="auto"/>
              </w:rPr>
              <w:t>2007</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44"/>
              <w:spacing w:after="0"/>
              <w:rPr>
                <w:sz w:val="20"/>
                <w:szCs w:val="20"/>
                <w:color w:val="auto"/>
              </w:rPr>
            </w:pPr>
            <w:r>
              <w:rPr>
                <w:rFonts w:ascii="Arial" w:cs="Arial" w:eastAsia="Arial" w:hAnsi="Arial"/>
                <w:sz w:val="15"/>
                <w:szCs w:val="15"/>
                <w:b w:val="1"/>
                <w:bCs w:val="1"/>
                <w:color w:val="auto"/>
              </w:rPr>
              <w:t>2006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Arial" w:cs="Arial" w:eastAsia="Arial" w:hAnsi="Arial"/>
                <w:sz w:val="15"/>
                <w:szCs w:val="15"/>
                <w:b w:val="1"/>
                <w:bCs w:val="1"/>
                <w:color w:val="auto"/>
              </w:rPr>
              <w:t>2005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4"/>
              <w:spacing w:after="0"/>
              <w:rPr>
                <w:sz w:val="20"/>
                <w:szCs w:val="20"/>
                <w:color w:val="auto"/>
              </w:rPr>
            </w:pPr>
            <w:r>
              <w:rPr>
                <w:rFonts w:ascii="Arial" w:cs="Arial" w:eastAsia="Arial" w:hAnsi="Arial"/>
                <w:sz w:val="15"/>
                <w:szCs w:val="15"/>
                <w:b w:val="1"/>
                <w:bCs w:val="1"/>
                <w:color w:val="auto"/>
              </w:rPr>
              <w:t>2004</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44"/>
              <w:spacing w:after="0"/>
              <w:rPr>
                <w:sz w:val="20"/>
                <w:szCs w:val="20"/>
                <w:color w:val="auto"/>
              </w:rPr>
            </w:pPr>
            <w:r>
              <w:rPr>
                <w:rFonts w:ascii="Arial" w:cs="Arial" w:eastAsia="Arial" w:hAnsi="Arial"/>
                <w:sz w:val="15"/>
                <w:szCs w:val="15"/>
                <w:b w:val="1"/>
                <w:bCs w:val="1"/>
                <w:color w:val="auto"/>
              </w:rPr>
              <w:t>2003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87"/>
              </w:rPr>
              <w:t>(in thousands,</w:t>
            </w:r>
          </w:p>
        </w:tc>
        <w:tc>
          <w:tcPr>
            <w:tcW w:w="240" w:type="dxa"/>
            <w:vAlign w:val="bottom"/>
          </w:tcPr>
          <w:p>
            <w:pPr>
              <w:spacing w:after="0"/>
              <w:rPr>
                <w:sz w:val="16"/>
                <w:szCs w:val="16"/>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5"/>
                <w:szCs w:val="15"/>
                <w:b w:val="1"/>
                <w:bCs w:val="1"/>
                <w:color w:val="auto"/>
              </w:rPr>
              <w:t>except ratios)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320" w:type="dxa"/>
            <w:vAlign w:val="bottom"/>
            <w:gridSpan w:val="2"/>
          </w:tcPr>
          <w:p>
            <w:pPr>
              <w:spacing w:after="0"/>
              <w:rPr>
                <w:sz w:val="20"/>
                <w:szCs w:val="20"/>
                <w:color w:val="auto"/>
              </w:rPr>
            </w:pPr>
            <w:r>
              <w:rPr>
                <w:rFonts w:ascii="Arial" w:cs="Arial" w:eastAsia="Arial" w:hAnsi="Arial"/>
                <w:sz w:val="15"/>
                <w:szCs w:val="15"/>
                <w:color w:val="auto"/>
              </w:rPr>
              <w:t>Earnings: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20" w:type="dxa"/>
            <w:vAlign w:val="bottom"/>
            <w:gridSpan w:val="2"/>
          </w:tcPr>
          <w:p>
            <w:pPr>
              <w:ind w:left="340"/>
              <w:spacing w:after="0"/>
              <w:rPr>
                <w:sz w:val="20"/>
                <w:szCs w:val="20"/>
                <w:color w:val="auto"/>
              </w:rPr>
            </w:pPr>
            <w:r>
              <w:rPr>
                <w:rFonts w:ascii="Arial" w:cs="Arial" w:eastAsia="Arial" w:hAnsi="Arial"/>
                <w:sz w:val="15"/>
                <w:szCs w:val="15"/>
                <w:color w:val="auto"/>
              </w:rPr>
              <w:t>Pre-tax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16,969</w:t>
            </w:r>
          </w:p>
        </w:tc>
        <w:tc>
          <w:tcPr>
            <w:tcW w:w="2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(32,580)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52,235</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27,528</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(9,406)</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5"/>
                <w:szCs w:val="15"/>
                <w:color w:val="auto"/>
              </w:rPr>
              <w:t>17,899</w:t>
            </w:r>
          </w:p>
        </w:tc>
        <w:tc>
          <w:tcPr>
            <w:tcW w:w="0" w:type="dxa"/>
            <w:vAlign w:val="bottom"/>
          </w:tcPr>
          <w:p>
            <w:pPr>
              <w:spacing w:after="0"/>
              <w:rPr>
                <w:sz w:val="1"/>
                <w:szCs w:val="1"/>
                <w:color w:val="auto"/>
              </w:rPr>
            </w:pPr>
          </w:p>
        </w:tc>
      </w:tr>
      <w:tr>
        <w:trPr>
          <w:trHeight w:val="195"/>
        </w:trPr>
        <w:tc>
          <w:tcPr>
            <w:tcW w:w="3320" w:type="dxa"/>
            <w:vAlign w:val="bottom"/>
            <w:gridSpan w:val="2"/>
          </w:tcPr>
          <w:p>
            <w:pPr>
              <w:ind w:left="340"/>
              <w:spacing w:after="0"/>
              <w:rPr>
                <w:sz w:val="20"/>
                <w:szCs w:val="20"/>
                <w:color w:val="auto"/>
              </w:rPr>
            </w:pPr>
            <w:r>
              <w:rPr>
                <w:rFonts w:ascii="Arial" w:cs="Arial" w:eastAsia="Arial" w:hAnsi="Arial"/>
                <w:sz w:val="15"/>
                <w:szCs w:val="15"/>
                <w:color w:val="auto"/>
              </w:rPr>
              <w:t>Less: income (loss) from equity investees</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5"/>
                <w:szCs w:val="15"/>
                <w:color w:val="auto"/>
              </w:rPr>
              <w:t>(59)</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358</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17,028</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(32,938)</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52,202</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27,446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(9,406)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17,820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3320" w:type="dxa"/>
            <w:vAlign w:val="bottom"/>
            <w:gridSpan w:val="2"/>
          </w:tcPr>
          <w:p>
            <w:pPr>
              <w:spacing w:after="0"/>
              <w:rPr>
                <w:sz w:val="20"/>
                <w:szCs w:val="20"/>
                <w:color w:val="auto"/>
              </w:rPr>
            </w:pPr>
            <w:r>
              <w:rPr>
                <w:rFonts w:ascii="Arial" w:cs="Arial" w:eastAsia="Arial" w:hAnsi="Arial"/>
                <w:sz w:val="15"/>
                <w:szCs w:val="15"/>
                <w:color w:val="auto"/>
              </w:rPr>
              <w:t xml:space="preserve">Fixed charges </w:t>
            </w:r>
            <w:r>
              <w:rPr>
                <w:rFonts w:ascii="Arial" w:cs="Arial" w:eastAsia="Arial" w:hAnsi="Arial"/>
                <w:sz w:val="21"/>
                <w:szCs w:val="21"/>
                <w:color w:val="auto"/>
                <w:vertAlign w:val="superscript"/>
              </w:rPr>
              <w:t>(1)</w:t>
            </w: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320" w:type="dxa"/>
            <w:vAlign w:val="bottom"/>
            <w:gridSpan w:val="2"/>
          </w:tcPr>
          <w:p>
            <w:pPr>
              <w:ind w:left="340"/>
              <w:spacing w:after="0" w:line="194" w:lineRule="exact"/>
              <w:rPr>
                <w:sz w:val="20"/>
                <w:szCs w:val="20"/>
                <w:color w:val="auto"/>
              </w:rPr>
            </w:pPr>
            <w:r>
              <w:rPr>
                <w:rFonts w:ascii="Arial" w:cs="Arial" w:eastAsia="Arial" w:hAnsi="Arial"/>
                <w:sz w:val="15"/>
                <w:szCs w:val="15"/>
                <w:color w:val="auto"/>
              </w:rPr>
              <w:t xml:space="preserve">Interest expense, gross </w:t>
            </w:r>
            <w:r>
              <w:rPr>
                <w:rFonts w:ascii="Arial" w:cs="Arial" w:eastAsia="Arial" w:hAnsi="Arial"/>
                <w:sz w:val="21"/>
                <w:szCs w:val="21"/>
                <w:color w:val="auto"/>
                <w:vertAlign w:val="superscript"/>
              </w:rPr>
              <w:t>(2)</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47,723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89,965</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17,785</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18,944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13,145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20" w:type="dxa"/>
            <w:vAlign w:val="bottom"/>
            <w:gridSpan w:val="2"/>
          </w:tcPr>
          <w:p>
            <w:pPr>
              <w:ind w:left="340"/>
              <w:spacing w:after="0"/>
              <w:rPr>
                <w:sz w:val="20"/>
                <w:szCs w:val="20"/>
                <w:color w:val="auto"/>
              </w:rPr>
            </w:pPr>
            <w:r>
              <w:rPr>
                <w:rFonts w:ascii="Arial" w:cs="Arial" w:eastAsia="Arial" w:hAnsi="Arial"/>
                <w:sz w:val="15"/>
                <w:szCs w:val="15"/>
                <w:color w:val="auto"/>
              </w:rPr>
              <w:t>Interest portion of rent expense</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2,567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4,098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2,241</w:t>
            </w: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2,512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2,696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2"/>
        </w:trPr>
        <w:tc>
          <w:tcPr>
            <w:tcW w:w="3320" w:type="dxa"/>
            <w:vAlign w:val="bottom"/>
            <w:gridSpan w:val="2"/>
          </w:tcPr>
          <w:p>
            <w:pPr>
              <w:spacing w:after="0"/>
              <w:rPr>
                <w:sz w:val="20"/>
                <w:szCs w:val="20"/>
                <w:color w:val="auto"/>
              </w:rPr>
            </w:pPr>
            <w:r>
              <w:rPr>
                <w:rFonts w:ascii="Arial" w:cs="Arial" w:eastAsia="Arial" w:hAnsi="Arial"/>
                <w:sz w:val="15"/>
                <w:szCs w:val="15"/>
                <w:color w:val="auto"/>
              </w:rPr>
              <w:t>a) Fixed charges</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50,290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94,063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20,026</w:t>
            </w:r>
          </w:p>
        </w:tc>
        <w:tc>
          <w:tcPr>
            <w:tcW w:w="24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21,456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15,841</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320" w:type="dxa"/>
            <w:vAlign w:val="bottom"/>
            <w:gridSpan w:val="2"/>
          </w:tcPr>
          <w:p>
            <w:pPr>
              <w:spacing w:after="0"/>
              <w:rPr>
                <w:sz w:val="20"/>
                <w:szCs w:val="20"/>
                <w:color w:val="auto"/>
              </w:rPr>
            </w:pPr>
            <w:r>
              <w:rPr>
                <w:rFonts w:ascii="Arial" w:cs="Arial" w:eastAsia="Arial" w:hAnsi="Arial"/>
                <w:sz w:val="15"/>
                <w:szCs w:val="15"/>
                <w:color w:val="auto"/>
              </w:rPr>
              <w:t xml:space="preserve">b) Earnings for ratio </w:t>
            </w:r>
            <w:r>
              <w:rPr>
                <w:rFonts w:ascii="Arial" w:cs="Arial" w:eastAsia="Arial" w:hAnsi="Arial"/>
                <w:sz w:val="21"/>
                <w:szCs w:val="21"/>
                <w:color w:val="auto"/>
                <w:vertAlign w:val="superscript"/>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67,318</w:t>
            </w:r>
          </w:p>
        </w:tc>
        <w:tc>
          <w:tcPr>
            <w:tcW w:w="240" w:type="dxa"/>
            <w:vAlign w:val="bottom"/>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61,125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72,228</w:t>
            </w: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48,902</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6,435</w:t>
            </w:r>
          </w:p>
        </w:tc>
        <w:tc>
          <w:tcPr>
            <w:tcW w:w="2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23,119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320" w:type="dxa"/>
            <w:vAlign w:val="bottom"/>
            <w:gridSpan w:val="2"/>
          </w:tcPr>
          <w:p>
            <w:pPr>
              <w:spacing w:after="0"/>
              <w:rPr>
                <w:sz w:val="20"/>
                <w:szCs w:val="20"/>
                <w:color w:val="auto"/>
              </w:rPr>
            </w:pPr>
            <w:r>
              <w:rPr>
                <w:rFonts w:ascii="Arial" w:cs="Arial" w:eastAsia="Arial" w:hAnsi="Arial"/>
                <w:sz w:val="15"/>
                <w:szCs w:val="15"/>
                <w:color w:val="auto"/>
              </w:rPr>
              <w:t>Ratios: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320" w:type="dxa"/>
            <w:vAlign w:val="bottom"/>
            <w:gridSpan w:val="2"/>
          </w:tcPr>
          <w:p>
            <w:pPr>
              <w:ind w:left="340"/>
              <w:spacing w:after="0"/>
              <w:rPr>
                <w:sz w:val="20"/>
                <w:szCs w:val="20"/>
                <w:color w:val="auto"/>
              </w:rPr>
            </w:pPr>
            <w:r>
              <w:rPr>
                <w:rFonts w:ascii="Arial" w:cs="Arial" w:eastAsia="Arial" w:hAnsi="Arial"/>
                <w:sz w:val="15"/>
                <w:szCs w:val="15"/>
                <w:color w:val="auto"/>
              </w:rPr>
              <w:t xml:space="preserve">Earnings to fixed charges </w:t>
            </w:r>
            <w:r>
              <w:rPr>
                <w:rFonts w:ascii="Arial" w:cs="Arial" w:eastAsia="Arial" w:hAnsi="Arial"/>
                <w:sz w:val="21"/>
                <w:szCs w:val="21"/>
                <w:color w:val="auto"/>
                <w:vertAlign w:val="superscript"/>
              </w:rPr>
              <w:t>(b/a)</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r>
              <w:rPr>
                <w:rFonts w:ascii="Arial" w:cs="Arial" w:eastAsia="Arial" w:hAnsi="Arial"/>
                <w:sz w:val="10"/>
                <w:szCs w:val="10"/>
                <w:color w:val="auto"/>
              </w:rPr>
              <w:t>(4)</w:t>
            </w:r>
          </w:p>
        </w:tc>
        <w:tc>
          <w:tcPr>
            <w:tcW w:w="220" w:type="dxa"/>
            <w:vAlign w:val="bottom"/>
          </w:tcPr>
          <w:p>
            <w:pPr>
              <w:spacing w:after="0"/>
              <w:rPr>
                <w:sz w:val="23"/>
                <w:szCs w:val="23"/>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rPr>
              <w:t>3.6</w:t>
            </w:r>
          </w:p>
        </w:tc>
        <w:tc>
          <w:tcPr>
            <w:tcW w:w="24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5"/>
                <w:szCs w:val="15"/>
                <w:color w:val="auto"/>
              </w:rPr>
              <w:t>-</w:t>
            </w:r>
            <w:r>
              <w:rPr>
                <w:rFonts w:ascii="Arial" w:cs="Arial" w:eastAsia="Arial" w:hAnsi="Arial"/>
                <w:sz w:val="10"/>
                <w:szCs w:val="10"/>
                <w:color w:val="auto"/>
              </w:rPr>
              <w:t>(4)</w:t>
            </w: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3320" w:type="dxa"/>
            <w:vAlign w:val="bottom"/>
            <w:gridSpan w:val="2"/>
          </w:tcPr>
          <w:p>
            <w:pPr>
              <w:spacing w:after="0"/>
              <w:rPr>
                <w:sz w:val="20"/>
                <w:szCs w:val="20"/>
                <w:color w:val="auto"/>
              </w:rPr>
            </w:pPr>
            <w:r>
              <w:rPr>
                <w:rFonts w:ascii="Arial" w:cs="Arial" w:eastAsia="Arial" w:hAnsi="Arial"/>
                <w:sz w:val="15"/>
                <w:szCs w:val="15"/>
                <w:color w:val="auto"/>
              </w:rPr>
              <w:t>Deficit of earnings to fixed charges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(32,938)</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(9,406)</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(1)Fixed charges consist of interest on indebtedness and amortization of debt issuance costs plus that portion of lease rental expense representative of the interest factor.</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(2)Interest expense, gross includes amortization of prepaid debt fees and discount.</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(3)Earnings consist of income from continuing operations before income taxes plus fixed charges.</w:t>
      </w:r>
    </w:p>
    <w:p>
      <w:pPr>
        <w:spacing w:after="0" w:line="9" w:lineRule="exact"/>
        <w:rPr>
          <w:sz w:val="20"/>
          <w:szCs w:val="20"/>
          <w:color w:val="auto"/>
        </w:rPr>
      </w:pPr>
    </w:p>
    <w:p>
      <w:pPr>
        <w:ind w:left="300" w:right="2260" w:hanging="175"/>
        <w:spacing w:after="0" w:line="265" w:lineRule="auto"/>
        <w:rPr>
          <w:sz w:val="20"/>
          <w:szCs w:val="20"/>
          <w:color w:val="auto"/>
        </w:rPr>
      </w:pPr>
      <w:r>
        <w:rPr>
          <w:rFonts w:ascii="Arial" w:cs="Arial" w:eastAsia="Arial" w:hAnsi="Arial"/>
          <w:sz w:val="15"/>
          <w:szCs w:val="15"/>
          <w:color w:val="auto"/>
        </w:rPr>
        <w:t>(4)Due to Itron's losses in 2007 and 2004, the ratio coverage was less than 1:1. Additional earnings of $32,938 and $9,406 would have been needed to achieve a coverage of 1:1 in each of those respective years.</w:t>
      </w:r>
    </w:p>
    <w:p>
      <w:pPr>
        <w:sectPr>
          <w:pgSz w:w="11900" w:h="16838" w:orient="portrait"/>
          <w:cols w:equalWidth="0" w:num="1">
            <w:col w:w="11320"/>
          </w:cols>
          <w:pgMar w:left="240" w:top="534"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5"/>
          <w:szCs w:val="15"/>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 LeRoy D. Nosbaum, certify that:</w:t>
      </w:r>
    </w:p>
    <w:p>
      <w:pPr>
        <w:spacing w:after="0" w:line="214" w:lineRule="exact"/>
        <w:rPr>
          <w:sz w:val="20"/>
          <w:szCs w:val="20"/>
          <w:color w:val="auto"/>
        </w:rPr>
      </w:pPr>
    </w:p>
    <w:p>
      <w:pPr>
        <w:ind w:left="760" w:hanging="406"/>
        <w:spacing w:after="0"/>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Itron, Inc.;</w:t>
      </w:r>
    </w:p>
    <w:p>
      <w:pPr>
        <w:spacing w:after="0" w:line="213" w:lineRule="exact"/>
        <w:rPr>
          <w:rFonts w:ascii="Arial" w:cs="Arial" w:eastAsia="Arial" w:hAnsi="Arial"/>
          <w:sz w:val="15"/>
          <w:szCs w:val="15"/>
          <w:color w:val="auto"/>
        </w:rPr>
      </w:pPr>
    </w:p>
    <w:p>
      <w:pPr>
        <w:ind w:left="760" w:hanging="406"/>
        <w:spacing w:after="0" w:line="278"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5"/>
          <w:szCs w:val="15"/>
          <w:color w:val="auto"/>
        </w:rPr>
      </w:pPr>
    </w:p>
    <w:p>
      <w:pPr>
        <w:ind w:left="760" w:hanging="406"/>
        <w:spacing w:after="0" w:line="278"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5"/>
          <w:szCs w:val="15"/>
          <w:color w:val="auto"/>
        </w:rPr>
      </w:pPr>
    </w:p>
    <w:p>
      <w:pPr>
        <w:ind w:left="760" w:right="20" w:hanging="406"/>
        <w:spacing w:after="0" w:line="315" w:lineRule="auto"/>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5" w:lineRule="exact"/>
        <w:rPr>
          <w:rFonts w:ascii="Arial" w:cs="Arial" w:eastAsia="Arial" w:hAnsi="Arial"/>
          <w:sz w:val="14"/>
          <w:szCs w:val="14"/>
          <w:color w:val="auto"/>
        </w:rPr>
      </w:pPr>
    </w:p>
    <w:p>
      <w:pPr>
        <w:jc w:val="both"/>
        <w:ind w:left="1600" w:hanging="405"/>
        <w:spacing w:after="0" w:line="265" w:lineRule="auto"/>
        <w:tabs>
          <w:tab w:leader="none" w:pos="160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600" w:hanging="405"/>
        <w:spacing w:after="0" w:line="265" w:lineRule="auto"/>
        <w:tabs>
          <w:tab w:leader="none" w:pos="160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600" w:right="20" w:hanging="405"/>
        <w:spacing w:after="0" w:line="278" w:lineRule="auto"/>
        <w:tabs>
          <w:tab w:leader="none" w:pos="160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5"/>
          <w:szCs w:val="15"/>
          <w:color w:val="auto"/>
        </w:rPr>
      </w:pPr>
    </w:p>
    <w:p>
      <w:pPr>
        <w:jc w:val="both"/>
        <w:ind w:left="1600" w:hanging="405"/>
        <w:spacing w:after="0" w:line="265" w:lineRule="auto"/>
        <w:tabs>
          <w:tab w:leader="none" w:pos="1600" w:val="left"/>
        </w:tabs>
        <w:numPr>
          <w:ilvl w:val="1"/>
          <w:numId w:val="1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760" w:hanging="406"/>
        <w:spacing w:after="0" w:line="278"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5"/>
          <w:szCs w:val="15"/>
          <w:color w:val="auto"/>
        </w:rPr>
      </w:pPr>
    </w:p>
    <w:p>
      <w:pPr>
        <w:ind w:left="1600" w:right="20" w:hanging="405"/>
        <w:spacing w:after="0" w:line="278" w:lineRule="auto"/>
        <w:tabs>
          <w:tab w:leader="none" w:pos="160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5"/>
          <w:szCs w:val="15"/>
          <w:color w:val="auto"/>
        </w:rPr>
      </w:pPr>
    </w:p>
    <w:p>
      <w:pPr>
        <w:ind w:left="1600" w:right="20" w:hanging="405"/>
        <w:spacing w:after="0" w:line="278" w:lineRule="auto"/>
        <w:tabs>
          <w:tab w:leader="none" w:pos="1600" w:val="left"/>
        </w:tabs>
        <w:numPr>
          <w:ilvl w:val="1"/>
          <w:numId w:val="1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740"/>
        <w:spacing w:after="0"/>
        <w:rPr>
          <w:sz w:val="20"/>
          <w:szCs w:val="20"/>
          <w:color w:val="auto"/>
        </w:rPr>
      </w:pPr>
      <w:r>
        <w:rPr>
          <w:rFonts w:ascii="Arial" w:cs="Arial" w:eastAsia="Arial" w:hAnsi="Arial"/>
          <w:sz w:val="15"/>
          <w:szCs w:val="15"/>
          <w:color w:val="auto"/>
        </w:rPr>
        <w:t>ITRON, INC.</w:t>
      </w:r>
    </w:p>
    <w:p>
      <w:pPr>
        <w:spacing w:after="0" w:line="191" w:lineRule="exact"/>
        <w:rPr>
          <w:sz w:val="20"/>
          <w:szCs w:val="20"/>
          <w:color w:val="auto"/>
        </w:rPr>
      </w:pPr>
    </w:p>
    <w:p>
      <w:pPr>
        <w:ind w:left="6860"/>
        <w:spacing w:after="0"/>
        <w:tabs>
          <w:tab w:leader="none" w:pos="84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12700</wp:posOffset>
            </wp:positionV>
            <wp:extent cx="272542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25420" cy="14605"/>
                    </a:xfrm>
                    <a:prstGeom prst="rect">
                      <a:avLst/>
                    </a:prstGeom>
                    <a:noFill/>
                  </pic:spPr>
                </pic:pic>
              </a:graphicData>
            </a:graphic>
          </wp:anchor>
        </w:drawing>
      </w:r>
    </w:p>
    <w:p>
      <w:pPr>
        <w:spacing w:after="0" w:line="8" w:lineRule="exact"/>
        <w:rPr>
          <w:sz w:val="20"/>
          <w:szCs w:val="20"/>
          <w:color w:val="auto"/>
        </w:rPr>
      </w:pPr>
    </w:p>
    <w:p>
      <w:pPr>
        <w:jc w:val="center"/>
        <w:ind w:left="7080"/>
        <w:spacing w:after="0"/>
        <w:rPr>
          <w:sz w:val="20"/>
          <w:szCs w:val="20"/>
          <w:color w:val="auto"/>
        </w:rPr>
      </w:pPr>
      <w:r>
        <w:rPr>
          <w:rFonts w:ascii="Arial" w:cs="Arial" w:eastAsia="Arial" w:hAnsi="Arial"/>
          <w:sz w:val="15"/>
          <w:szCs w:val="15"/>
          <w:b w:val="1"/>
          <w:bCs w:val="1"/>
          <w:color w:val="auto"/>
        </w:rPr>
        <w:t>LeRoy D. Nosbaum</w:t>
      </w:r>
    </w:p>
    <w:p>
      <w:pPr>
        <w:spacing w:after="0" w:line="22" w:lineRule="exact"/>
        <w:rPr>
          <w:sz w:val="20"/>
          <w:szCs w:val="20"/>
          <w:color w:val="auto"/>
        </w:rPr>
      </w:pPr>
    </w:p>
    <w:p>
      <w:pPr>
        <w:jc w:val="center"/>
        <w:ind w:left="7080"/>
        <w:spacing w:after="0"/>
        <w:rPr>
          <w:sz w:val="20"/>
          <w:szCs w:val="20"/>
          <w:color w:val="auto"/>
        </w:rPr>
      </w:pPr>
      <w:r>
        <w:rPr>
          <w:rFonts w:ascii="Arial" w:cs="Arial" w:eastAsia="Arial" w:hAnsi="Arial"/>
          <w:sz w:val="15"/>
          <w:szCs w:val="15"/>
          <w:b w:val="1"/>
          <w:bCs w:val="1"/>
          <w:color w:val="auto"/>
        </w:rPr>
        <w:t>Chairman of the Board and 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Date: August 4, 2008</w:t>
      </w:r>
    </w:p>
    <w:p>
      <w:pPr>
        <w:sectPr>
          <w:pgSz w:w="11900" w:h="16838" w:orient="portrait"/>
          <w:cols w:equalWidth="0" w:num="1">
            <w:col w:w="11440"/>
          </w:cols>
          <w:pgMar w:left="240" w:top="534" w:right="219" w:bottom="1440" w:gutter="0" w:footer="0" w:header="0"/>
        </w:sectPr>
      </w:pPr>
    </w:p>
    <w:bookmarkStart w:id="60" w:name="page61"/>
    <w:bookmarkEnd w:id="60"/>
    <w:p>
      <w:pPr>
        <w:jc w:val="right"/>
        <w:spacing w:after="0"/>
        <w:rPr>
          <w:sz w:val="20"/>
          <w:szCs w:val="20"/>
          <w:color w:val="auto"/>
        </w:rPr>
      </w:pPr>
      <w:r>
        <w:rPr>
          <w:rFonts w:ascii="Arial" w:cs="Arial" w:eastAsia="Arial" w:hAnsi="Arial"/>
          <w:sz w:val="15"/>
          <w:szCs w:val="15"/>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 Steven M. Helmbrecht, certify that:</w:t>
      </w:r>
    </w:p>
    <w:p>
      <w:pPr>
        <w:spacing w:after="0" w:line="214" w:lineRule="exact"/>
        <w:rPr>
          <w:sz w:val="20"/>
          <w:szCs w:val="20"/>
          <w:color w:val="auto"/>
        </w:rPr>
      </w:pPr>
    </w:p>
    <w:p>
      <w:pPr>
        <w:ind w:left="760" w:hanging="406"/>
        <w:spacing w:after="0"/>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Itron, Inc.;</w:t>
      </w:r>
    </w:p>
    <w:p>
      <w:pPr>
        <w:spacing w:after="0" w:line="213" w:lineRule="exact"/>
        <w:rPr>
          <w:rFonts w:ascii="Arial" w:cs="Arial" w:eastAsia="Arial" w:hAnsi="Arial"/>
          <w:sz w:val="15"/>
          <w:szCs w:val="15"/>
          <w:color w:val="auto"/>
        </w:rPr>
      </w:pPr>
    </w:p>
    <w:p>
      <w:pPr>
        <w:ind w:left="760" w:hanging="406"/>
        <w:spacing w:after="0" w:line="278"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5"/>
          <w:szCs w:val="15"/>
          <w:color w:val="auto"/>
        </w:rPr>
      </w:pPr>
    </w:p>
    <w:p>
      <w:pPr>
        <w:ind w:left="760" w:hanging="406"/>
        <w:spacing w:after="0" w:line="278"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5"/>
          <w:szCs w:val="15"/>
          <w:color w:val="auto"/>
        </w:rPr>
      </w:pPr>
    </w:p>
    <w:p>
      <w:pPr>
        <w:ind w:left="760" w:right="20" w:hanging="406"/>
        <w:spacing w:after="0" w:line="315"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5" w:lineRule="exact"/>
        <w:rPr>
          <w:rFonts w:ascii="Arial" w:cs="Arial" w:eastAsia="Arial" w:hAnsi="Arial"/>
          <w:sz w:val="14"/>
          <w:szCs w:val="14"/>
          <w:color w:val="auto"/>
        </w:rPr>
      </w:pPr>
    </w:p>
    <w:p>
      <w:pPr>
        <w:jc w:val="both"/>
        <w:ind w:left="1600" w:hanging="405"/>
        <w:spacing w:after="0" w:line="265" w:lineRule="auto"/>
        <w:tabs>
          <w:tab w:leader="none" w:pos="16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5"/>
          <w:szCs w:val="15"/>
          <w:color w:val="auto"/>
        </w:rPr>
      </w:pPr>
    </w:p>
    <w:p>
      <w:pPr>
        <w:jc w:val="both"/>
        <w:ind w:left="1600" w:hanging="405"/>
        <w:spacing w:after="0" w:line="265" w:lineRule="auto"/>
        <w:tabs>
          <w:tab w:leader="none" w:pos="16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5"/>
          <w:szCs w:val="15"/>
          <w:color w:val="auto"/>
        </w:rPr>
      </w:pPr>
    </w:p>
    <w:p>
      <w:pPr>
        <w:ind w:left="1600" w:right="20" w:hanging="405"/>
        <w:spacing w:after="0" w:line="278" w:lineRule="auto"/>
        <w:tabs>
          <w:tab w:leader="none" w:pos="16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5"/>
          <w:szCs w:val="15"/>
          <w:color w:val="auto"/>
        </w:rPr>
      </w:pPr>
    </w:p>
    <w:p>
      <w:pPr>
        <w:jc w:val="both"/>
        <w:ind w:left="1600" w:hanging="405"/>
        <w:spacing w:after="0" w:line="265" w:lineRule="auto"/>
        <w:tabs>
          <w:tab w:leader="none" w:pos="16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5"/>
          <w:szCs w:val="15"/>
          <w:color w:val="auto"/>
        </w:rPr>
      </w:pPr>
    </w:p>
    <w:p>
      <w:pPr>
        <w:ind w:left="760" w:hanging="406"/>
        <w:spacing w:after="0" w:line="278" w:lineRule="auto"/>
        <w:tabs>
          <w:tab w:leader="none" w:pos="7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5"/>
          <w:szCs w:val="15"/>
          <w:color w:val="auto"/>
        </w:rPr>
      </w:pPr>
    </w:p>
    <w:p>
      <w:pPr>
        <w:ind w:left="1600" w:right="20" w:hanging="405"/>
        <w:spacing w:after="0" w:line="278" w:lineRule="auto"/>
        <w:tabs>
          <w:tab w:leader="none" w:pos="16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5"/>
          <w:szCs w:val="15"/>
          <w:color w:val="auto"/>
        </w:rPr>
      </w:pPr>
    </w:p>
    <w:p>
      <w:pPr>
        <w:ind w:left="1600" w:right="20" w:hanging="405"/>
        <w:spacing w:after="0" w:line="278" w:lineRule="auto"/>
        <w:tabs>
          <w:tab w:leader="none" w:pos="1600" w:val="left"/>
        </w:tabs>
        <w:numPr>
          <w:ilvl w:val="1"/>
          <w:numId w:val="1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ind w:left="8780"/>
        <w:spacing w:after="0"/>
        <w:rPr>
          <w:sz w:val="20"/>
          <w:szCs w:val="20"/>
          <w:color w:val="auto"/>
        </w:rPr>
      </w:pPr>
      <w:r>
        <w:rPr>
          <w:rFonts w:ascii="Arial" w:cs="Arial" w:eastAsia="Arial" w:hAnsi="Arial"/>
          <w:sz w:val="15"/>
          <w:szCs w:val="15"/>
          <w:color w:val="auto"/>
        </w:rPr>
        <w:t>ITRON, INC.</w:t>
      </w:r>
    </w:p>
    <w:p>
      <w:pPr>
        <w:spacing w:after="0" w:line="191" w:lineRule="exact"/>
        <w:rPr>
          <w:sz w:val="20"/>
          <w:szCs w:val="20"/>
          <w:color w:val="auto"/>
        </w:rPr>
      </w:pPr>
    </w:p>
    <w:p>
      <w:pPr>
        <w:ind w:left="6980"/>
        <w:spacing w:after="0"/>
        <w:tabs>
          <w:tab w:leader="none" w:pos="83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12700</wp:posOffset>
            </wp:positionV>
            <wp:extent cx="246634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66340" cy="14605"/>
                    </a:xfrm>
                    <a:prstGeom prst="rect">
                      <a:avLst/>
                    </a:prstGeom>
                    <a:noFill/>
                  </pic:spPr>
                </pic:pic>
              </a:graphicData>
            </a:graphic>
          </wp:anchor>
        </w:drawing>
      </w:r>
    </w:p>
    <w:p>
      <w:pPr>
        <w:spacing w:after="0" w:line="8" w:lineRule="exact"/>
        <w:rPr>
          <w:sz w:val="20"/>
          <w:szCs w:val="20"/>
          <w:color w:val="auto"/>
        </w:rPr>
      </w:pPr>
    </w:p>
    <w:p>
      <w:pPr>
        <w:jc w:val="center"/>
        <w:ind w:left="7220"/>
        <w:spacing w:after="0"/>
        <w:rPr>
          <w:sz w:val="20"/>
          <w:szCs w:val="20"/>
          <w:color w:val="auto"/>
        </w:rPr>
      </w:pPr>
      <w:r>
        <w:rPr>
          <w:rFonts w:ascii="Arial" w:cs="Arial" w:eastAsia="Arial" w:hAnsi="Arial"/>
          <w:sz w:val="15"/>
          <w:szCs w:val="15"/>
          <w:b w:val="1"/>
          <w:bCs w:val="1"/>
          <w:color w:val="auto"/>
        </w:rPr>
        <w:t>Steven M. Helmbrecht</w:t>
      </w:r>
    </w:p>
    <w:p>
      <w:pPr>
        <w:spacing w:after="0" w:line="22" w:lineRule="exact"/>
        <w:rPr>
          <w:sz w:val="20"/>
          <w:szCs w:val="20"/>
          <w:color w:val="auto"/>
        </w:rPr>
      </w:pPr>
    </w:p>
    <w:p>
      <w:pPr>
        <w:jc w:val="center"/>
        <w:ind w:left="7220"/>
        <w:spacing w:after="0"/>
        <w:rPr>
          <w:sz w:val="20"/>
          <w:szCs w:val="20"/>
          <w:color w:val="auto"/>
        </w:rPr>
      </w:pPr>
      <w:r>
        <w:rPr>
          <w:rFonts w:ascii="Arial" w:cs="Arial" w:eastAsia="Arial" w:hAnsi="Arial"/>
          <w:sz w:val="15"/>
          <w:szCs w:val="15"/>
          <w:b w:val="1"/>
          <w:bCs w:val="1"/>
          <w:color w:val="auto"/>
        </w:rPr>
        <w:t>Sr. Vice President and Chief Financial Officer</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Date: August 4, 2008</w:t>
      </w:r>
    </w:p>
    <w:p>
      <w:pPr>
        <w:sectPr>
          <w:pgSz w:w="11900" w:h="16838" w:orient="portrait"/>
          <w:cols w:equalWidth="0" w:num="1">
            <w:col w:w="11440"/>
          </w:cols>
          <w:pgMar w:left="240" w:top="534" w:right="219"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SARBANES-OXLEY ACT OF 2002</w:t>
      </w:r>
    </w:p>
    <w:p>
      <w:pPr>
        <w:spacing w:after="0" w:line="204" w:lineRule="exact"/>
        <w:rPr>
          <w:sz w:val="20"/>
          <w:szCs w:val="20"/>
          <w:color w:val="auto"/>
        </w:rPr>
      </w:pPr>
    </w:p>
    <w:p>
      <w:pPr>
        <w:ind w:right="20"/>
        <w:spacing w:after="0" w:line="358" w:lineRule="auto"/>
        <w:rPr>
          <w:sz w:val="20"/>
          <w:szCs w:val="20"/>
          <w:color w:val="auto"/>
        </w:rPr>
      </w:pPr>
      <w:r>
        <w:rPr>
          <w:rFonts w:ascii="Arial" w:cs="Arial" w:eastAsia="Arial" w:hAnsi="Arial"/>
          <w:sz w:val="13"/>
          <w:szCs w:val="13"/>
          <w:color w:val="auto"/>
        </w:rPr>
        <w:t>The certification set forth below is being submitted in connection with the Quarterly Report of Itron, Inc. (the Company) on Form 10-Q for the quarterly period ended June 30, 2008 (the Report) for the purpose of complying with Rule 13a-14(b) or Rule 15d-14(b) of the Securities Exchange Act of 1934 and Section 1350 of Chapter 63 of Title 18 of the United States Code.</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LeRoy D. Nosbaum, the Chief Executive Officer and Steven M. Helmbrecht, the Chief Financial Officer of the Company, each certifies that to the best of his knowledge:</w:t>
      </w:r>
    </w:p>
    <w:p>
      <w:pPr>
        <w:spacing w:after="0" w:line="214" w:lineRule="exact"/>
        <w:rPr>
          <w:sz w:val="20"/>
          <w:szCs w:val="20"/>
          <w:color w:val="auto"/>
        </w:rPr>
      </w:pPr>
    </w:p>
    <w:p>
      <w:pPr>
        <w:ind w:left="760" w:hanging="406"/>
        <w:spacing w:after="0"/>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13" w:lineRule="exact"/>
        <w:rPr>
          <w:rFonts w:ascii="Arial" w:cs="Arial" w:eastAsia="Arial" w:hAnsi="Arial"/>
          <w:sz w:val="15"/>
          <w:szCs w:val="15"/>
          <w:color w:val="auto"/>
        </w:rPr>
      </w:pPr>
    </w:p>
    <w:p>
      <w:pPr>
        <w:ind w:left="760" w:hanging="406"/>
        <w:spacing w:after="0"/>
        <w:tabs>
          <w:tab w:leader="none" w:pos="7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400"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53809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38095" cy="14605"/>
                    </a:xfrm>
                    <a:prstGeom prst="rect">
                      <a:avLst/>
                    </a:prstGeom>
                    <a:noFill/>
                  </pic:spPr>
                </pic:pic>
              </a:graphicData>
            </a:graphic>
          </wp:anchor>
        </w:drawing>
      </w:r>
    </w:p>
    <w:p>
      <w:pPr>
        <w:spacing w:after="0" w:line="8" w:lineRule="exact"/>
        <w:rPr>
          <w:sz w:val="20"/>
          <w:szCs w:val="20"/>
          <w:color w:val="auto"/>
        </w:rPr>
      </w:pPr>
    </w:p>
    <w:p>
      <w:pPr>
        <w:ind w:left="1360"/>
        <w:spacing w:after="0"/>
        <w:rPr>
          <w:sz w:val="20"/>
          <w:szCs w:val="20"/>
          <w:color w:val="auto"/>
        </w:rPr>
      </w:pPr>
      <w:r>
        <w:rPr>
          <w:rFonts w:ascii="Arial" w:cs="Arial" w:eastAsia="Arial" w:hAnsi="Arial"/>
          <w:sz w:val="15"/>
          <w:szCs w:val="15"/>
          <w:b w:val="1"/>
          <w:bCs w:val="1"/>
          <w:color w:val="auto"/>
        </w:rPr>
        <w:t>LeRoy D. Nosbaum</w:t>
      </w:r>
    </w:p>
    <w:p>
      <w:pPr>
        <w:spacing w:after="0" w:line="22" w:lineRule="exact"/>
        <w:rPr>
          <w:sz w:val="20"/>
          <w:szCs w:val="20"/>
          <w:color w:val="auto"/>
        </w:rPr>
      </w:pPr>
    </w:p>
    <w:p>
      <w:pPr>
        <w:jc w:val="center"/>
        <w:ind w:right="7460"/>
        <w:spacing w:after="0"/>
        <w:rPr>
          <w:sz w:val="20"/>
          <w:szCs w:val="20"/>
          <w:color w:val="auto"/>
        </w:rPr>
      </w:pPr>
      <w:r>
        <w:rPr>
          <w:rFonts w:ascii="Arial" w:cs="Arial" w:eastAsia="Arial" w:hAnsi="Arial"/>
          <w:sz w:val="15"/>
          <w:szCs w:val="15"/>
          <w:b w:val="1"/>
          <w:bCs w:val="1"/>
          <w:color w:val="auto"/>
        </w:rPr>
        <w:t>Chairman of the Board and Chief Executive Officer</w:t>
      </w:r>
    </w:p>
    <w:p>
      <w:pPr>
        <w:spacing w:after="0" w:line="9" w:lineRule="exact"/>
        <w:rPr>
          <w:sz w:val="20"/>
          <w:szCs w:val="20"/>
          <w:color w:val="auto"/>
        </w:rPr>
      </w:pPr>
    </w:p>
    <w:p>
      <w:pPr>
        <w:jc w:val="center"/>
        <w:ind w:right="7460"/>
        <w:spacing w:after="0"/>
        <w:rPr>
          <w:sz w:val="20"/>
          <w:szCs w:val="20"/>
          <w:color w:val="auto"/>
        </w:rPr>
      </w:pPr>
      <w:r>
        <w:rPr>
          <w:rFonts w:ascii="Arial" w:cs="Arial" w:eastAsia="Arial" w:hAnsi="Arial"/>
          <w:sz w:val="15"/>
          <w:szCs w:val="15"/>
          <w:b w:val="1"/>
          <w:bCs w:val="1"/>
          <w:color w:val="auto"/>
        </w:rPr>
        <w:t>August 4, 2008</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5"/>
          <w:szCs w:val="15"/>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253809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38095" cy="14605"/>
                    </a:xfrm>
                    <a:prstGeom prst="rect">
                      <a:avLst/>
                    </a:prstGeom>
                    <a:noFill/>
                  </pic:spPr>
                </pic:pic>
              </a:graphicData>
            </a:graphic>
          </wp:anchor>
        </w:drawing>
      </w:r>
    </w:p>
    <w:p>
      <w:pPr>
        <w:spacing w:after="0" w:line="8"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Steven M. Helmbrecht</w:t>
      </w:r>
    </w:p>
    <w:p>
      <w:pPr>
        <w:spacing w:after="0" w:line="22" w:lineRule="exact"/>
        <w:rPr>
          <w:sz w:val="20"/>
          <w:szCs w:val="20"/>
          <w:color w:val="auto"/>
        </w:rPr>
      </w:pPr>
    </w:p>
    <w:p>
      <w:pPr>
        <w:jc w:val="center"/>
        <w:ind w:right="7460"/>
        <w:spacing w:after="0"/>
        <w:rPr>
          <w:sz w:val="20"/>
          <w:szCs w:val="20"/>
          <w:color w:val="auto"/>
        </w:rPr>
      </w:pPr>
      <w:r>
        <w:rPr>
          <w:rFonts w:ascii="Arial" w:cs="Arial" w:eastAsia="Arial" w:hAnsi="Arial"/>
          <w:sz w:val="15"/>
          <w:szCs w:val="15"/>
          <w:b w:val="1"/>
          <w:bCs w:val="1"/>
          <w:color w:val="auto"/>
        </w:rPr>
        <w:t>Sr. Vice President and Chief Financial Officer</w:t>
      </w:r>
    </w:p>
    <w:p>
      <w:pPr>
        <w:spacing w:after="0" w:line="9" w:lineRule="exact"/>
        <w:rPr>
          <w:sz w:val="20"/>
          <w:szCs w:val="20"/>
          <w:color w:val="auto"/>
        </w:rPr>
      </w:pPr>
    </w:p>
    <w:p>
      <w:pPr>
        <w:jc w:val="center"/>
        <w:ind w:right="7460"/>
        <w:spacing w:after="0"/>
        <w:rPr>
          <w:sz w:val="20"/>
          <w:szCs w:val="20"/>
          <w:color w:val="auto"/>
        </w:rPr>
      </w:pPr>
      <w:r>
        <w:rPr>
          <w:rFonts w:ascii="Arial" w:cs="Arial" w:eastAsia="Arial" w:hAnsi="Arial"/>
          <w:sz w:val="15"/>
          <w:szCs w:val="15"/>
          <w:b w:val="1"/>
          <w:bCs w:val="1"/>
          <w:color w:val="auto"/>
        </w:rPr>
        <w:t>August 4, 2008</w:t>
      </w:r>
    </w:p>
    <w:sectPr>
      <w:pgSz w:w="11900" w:h="16838" w:orient="portrait"/>
      <w:cols w:equalWidth="0" w:num="1">
        <w:col w:w="11440"/>
      </w:cols>
      <w:pgMar w:left="240" w:top="53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o"/>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Letter"/>
      <w:start w:val="1"/>
    </w:lvl>
    <w:lvl w:ilvl="1">
      <w:lvlJc w:val="left"/>
      <w:lvlText w:val="(%2)"/>
      <w:numFmt w:val="lowerLetter"/>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2019-12-13T15:22:34Z</dcterms:created>
  <dcterms:modified xsi:type="dcterms:W3CDTF">2019-12-13T15:22:34Z</dcterms:modified>
</cp:coreProperties>
</file>