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120650</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26035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300" w:type="dxa"/>
        <w:tblCellMar>
          <w:top w:w="0" w:type="dxa"/>
          <w:left w:w="0" w:type="dxa"/>
          <w:bottom w:w="0" w:type="dxa"/>
          <w:right w:w="0" w:type="dxa"/>
        </w:tblCellMar>
      </w:tblPr>
      <w:tr>
        <w:trPr>
          <w:trHeight w:val="241"/>
        </w:trPr>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380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0"/>
              </w:rPr>
              <w:t>000-22418</w:t>
            </w:r>
          </w:p>
        </w:tc>
        <w:tc>
          <w:tcPr>
            <w:tcW w:w="5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6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4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2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2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240" w:type="dxa"/>
            <w:vAlign w:val="bottom"/>
            <w:tcBorders>
              <w:bottom w:val="single" w:sz="8" w:color="auto"/>
            </w:tcBorders>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434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(Address of Principal Executive Offices, Zip Code)</w:t>
            </w:r>
          </w:p>
        </w:tc>
        <w:tc>
          <w:tcPr>
            <w:tcW w:w="3240" w:type="dxa"/>
            <w:vAlign w:val="bottom"/>
          </w:tcPr>
          <w:p>
            <w:pPr>
              <w:spacing w:after="0"/>
              <w:rPr>
                <w:sz w:val="20"/>
                <w:szCs w:val="20"/>
                <w:color w:val="auto"/>
              </w:rPr>
            </w:pPr>
          </w:p>
        </w:tc>
      </w:tr>
      <w:tr>
        <w:trPr>
          <w:trHeight w:val="465"/>
        </w:trPr>
        <w:tc>
          <w:tcPr>
            <w:tcW w:w="3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b w:val="1"/>
                <w:bCs w:val="1"/>
                <w:color w:val="auto"/>
                <w:w w:val="90"/>
              </w:rPr>
              <w:t>(509) 924-9900</w:t>
            </w:r>
          </w:p>
        </w:tc>
        <w:tc>
          <w:tcPr>
            <w:tcW w:w="5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43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(Registrant’s Telephone Number, Including Area Code)</w:t>
            </w:r>
          </w:p>
        </w:tc>
        <w:tc>
          <w:tcPr>
            <w:tcW w:w="32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299720</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72" w:lineRule="exact"/>
        <w:rPr>
          <w:sz w:val="24"/>
          <w:szCs w:val="24"/>
          <w:color w:val="auto"/>
        </w:rPr>
      </w:pPr>
    </w:p>
    <w:p>
      <w:pPr>
        <w:ind w:left="8760"/>
        <w:spacing w:after="0"/>
        <w:rPr>
          <w:sz w:val="20"/>
          <w:szCs w:val="20"/>
          <w:color w:val="auto"/>
        </w:rPr>
      </w:pPr>
      <w:r>
        <w:rPr>
          <w:rFonts w:ascii="Arial" w:cs="Arial" w:eastAsia="Arial" w:hAnsi="Arial"/>
          <w:sz w:val="18"/>
          <w:szCs w:val="18"/>
          <w:color w:val="auto"/>
        </w:rPr>
        <w:t>Emerging growth company</w:t>
      </w:r>
    </w:p>
    <w:p>
      <w:pPr>
        <w:spacing w:after="0" w:line="279" w:lineRule="exact"/>
        <w:rPr>
          <w:sz w:val="24"/>
          <w:szCs w:val="24"/>
          <w:color w:val="auto"/>
        </w:rPr>
      </w:pPr>
    </w:p>
    <w:p>
      <w:pPr>
        <w:ind w:right="100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left="1160" w:right="80"/>
        <w:spacing w:after="0" w:line="277" w:lineRule="auto"/>
        <w:rPr>
          <w:sz w:val="20"/>
          <w:szCs w:val="20"/>
          <w:color w:val="auto"/>
        </w:rPr>
      </w:pPr>
      <w:r>
        <w:rPr>
          <w:rFonts w:ascii="Arial" w:cs="Arial" w:eastAsia="Arial" w:hAnsi="Arial"/>
          <w:sz w:val="18"/>
          <w:szCs w:val="18"/>
          <w:color w:val="auto"/>
        </w:rPr>
        <w:t>On May 14, 2018, Itron Inc. issued a press release announcing its financial results for the three months ended March 31, 2018. A copy of this press release and accompanying financial statements are attached as Exhibit 99.1.</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 Exhibits.</w:t>
      </w:r>
    </w:p>
    <w:p>
      <w:pPr>
        <w:spacing w:after="0" w:line="2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80"/>
        <w:spacing w:after="0"/>
        <w:tabs>
          <w:tab w:leader="none" w:pos="12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8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14, 2018.*</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 This exhibit is intended to be furnished and shall not be deemed "filed" for purposes of the Exchange Act.</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information presented in this Current Report on Form 8-K may contain forward-looking statements within in the meaning of the Private Securities Litigation Reform Act of 1995. These statements relate to our expectations about revenues, operations, financial performance, earnings, earnings per share, cash flows and other financial results.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2016 and other reports on file with the Securities and Exchange Commission. The Company undertakes no obligation to update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ITRON, INC.</w:t>
            </w:r>
          </w:p>
        </w:tc>
      </w:tr>
      <w:tr>
        <w:trPr>
          <w:trHeight w:val="493"/>
        </w:trPr>
        <w:tc>
          <w:tcPr>
            <w:tcW w:w="3620" w:type="dxa"/>
            <w:vAlign w:val="bottom"/>
          </w:tcPr>
          <w:p>
            <w:pPr>
              <w:spacing w:after="0"/>
              <w:rPr>
                <w:sz w:val="20"/>
                <w:szCs w:val="20"/>
                <w:color w:val="auto"/>
              </w:rPr>
            </w:pPr>
            <w:r>
              <w:rPr>
                <w:rFonts w:ascii="Arial" w:cs="Arial" w:eastAsia="Arial" w:hAnsi="Arial"/>
                <w:sz w:val="18"/>
                <w:szCs w:val="18"/>
                <w:color w:val="auto"/>
              </w:rPr>
              <w:t>Dated: May 14, 2018</w:t>
            </w:r>
          </w:p>
        </w:tc>
        <w:tc>
          <w:tcPr>
            <w:tcW w:w="2900" w:type="dxa"/>
            <w:vAlign w:val="bottom"/>
          </w:tcPr>
          <w:p>
            <w:pPr>
              <w:ind w:left="21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Joan S. Hooper</w:t>
            </w:r>
          </w:p>
        </w:tc>
      </w:tr>
      <w:tr>
        <w:trPr>
          <w:trHeight w:val="230"/>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Joan S. Hooper</w:t>
            </w:r>
          </w:p>
        </w:tc>
      </w:tr>
      <w:tr>
        <w:trPr>
          <w:trHeight w:val="242"/>
        </w:trPr>
        <w:tc>
          <w:tcPr>
            <w:tcW w:w="3620" w:type="dxa"/>
            <w:vAlign w:val="bottom"/>
          </w:tcPr>
          <w:p>
            <w:pPr>
              <w:spacing w:after="0"/>
              <w:rPr>
                <w:sz w:val="21"/>
                <w:szCs w:val="21"/>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620" w:type="dxa"/>
            <w:vAlign w:val="bottom"/>
            <w:tcBorders>
              <w:bottom w:val="single" w:sz="8" w:color="9A9A9A"/>
            </w:tcBorders>
          </w:tcPr>
          <w:p>
            <w:pPr>
              <w:spacing w:after="0"/>
              <w:rPr>
                <w:sz w:val="19"/>
                <w:szCs w:val="19"/>
                <w:color w:val="auto"/>
              </w:rPr>
            </w:pPr>
          </w:p>
        </w:tc>
        <w:tc>
          <w:tcPr>
            <w:tcW w:w="2900" w:type="dxa"/>
            <w:vAlign w:val="bottom"/>
            <w:tcBorders>
              <w:bottom w:val="single" w:sz="8" w:color="9A9A9A"/>
            </w:tcBorders>
          </w:tcPr>
          <w:p>
            <w:pPr>
              <w:spacing w:after="0"/>
              <w:rPr>
                <w:sz w:val="19"/>
                <w:szCs w:val="19"/>
                <w:color w:val="auto"/>
              </w:rPr>
            </w:pPr>
          </w:p>
        </w:tc>
        <w:tc>
          <w:tcPr>
            <w:tcW w:w="4900" w:type="dxa"/>
            <w:vAlign w:val="bottom"/>
            <w:tcBorders>
              <w:bottom w:val="single" w:sz="8" w:color="9A9A9A"/>
            </w:tcBorders>
          </w:tcPr>
          <w:p>
            <w:pPr>
              <w:spacing w:after="0"/>
              <w:rPr>
                <w:sz w:val="19"/>
                <w:szCs w:val="19"/>
                <w:color w:val="auto"/>
              </w:rPr>
            </w:pPr>
          </w:p>
        </w:tc>
      </w:tr>
      <w:tr>
        <w:trPr>
          <w:trHeight w:val="21"/>
        </w:trPr>
        <w:tc>
          <w:tcPr>
            <w:tcW w:w="362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c>
          <w:tcPr>
            <w:tcW w:w="4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488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40"/>
        <w:spacing w:after="0"/>
        <w:tabs>
          <w:tab w:leader="none" w:pos="178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140"/>
        <w:spacing w:after="0"/>
        <w:tabs>
          <w:tab w:leader="none" w:pos="178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May 14, 2018.*</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 This exhibit is intended to be furnished and shall not be deemed "filed" for purposes of the Exchange Act.</w:t>
      </w:r>
    </w:p>
    <w:p>
      <w:pPr>
        <w:sectPr>
          <w:pgSz w:w="11900" w:h="16838" w:orient="portrait"/>
          <w:cols w:equalWidth="0" w:num="1">
            <w:col w:w="10219"/>
          </w:cols>
          <w:pgMar w:left="24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First Quarter 2018 Financial Results</w:t>
      </w:r>
    </w:p>
    <w:p>
      <w:pPr>
        <w:spacing w:after="0" w:line="21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LIBERTY LAKE, Wash.--(BUSINESS WIRE)--May 14, 2018--Itron, Inc. (NASDAQ:ITRI) announced today financial results for its first quarter ended March 31, 2018. Highlights in the quarter include:</w:t>
      </w:r>
    </w:p>
    <w:p>
      <w:pPr>
        <w:spacing w:after="0" w:line="173" w:lineRule="exact"/>
        <w:rPr>
          <w:sz w:val="20"/>
          <w:szCs w:val="20"/>
          <w:color w:val="auto"/>
        </w:rPr>
      </w:pPr>
    </w:p>
    <w:p>
      <w:pPr>
        <w:ind w:left="540" w:right="460"/>
        <w:spacing w:after="0" w:line="251" w:lineRule="auto"/>
        <w:rPr>
          <w:sz w:val="20"/>
          <w:szCs w:val="20"/>
          <w:color w:val="auto"/>
        </w:rPr>
      </w:pPr>
      <w:r>
        <w:rPr>
          <w:rFonts w:ascii="Arial" w:cs="Arial" w:eastAsia="Arial" w:hAnsi="Arial"/>
          <w:sz w:val="22"/>
          <w:szCs w:val="22"/>
          <w:color w:val="auto"/>
        </w:rPr>
        <w:t>Completed acquisition of Silver Spring Networks on Jan. 5, 2018, which operates and reports as the new Itron Networks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3440"/>
        <w:spacing w:after="0" w:line="415" w:lineRule="auto"/>
        <w:rPr>
          <w:sz w:val="20"/>
          <w:szCs w:val="20"/>
          <w:color w:val="auto"/>
        </w:rPr>
      </w:pPr>
      <w:r>
        <w:rPr>
          <w:rFonts w:ascii="Arial" w:cs="Arial" w:eastAsia="Arial" w:hAnsi="Arial"/>
          <w:sz w:val="19"/>
          <w:szCs w:val="19"/>
          <w:color w:val="auto"/>
        </w:rPr>
        <w:t>Revenue of $607 million, compared with $478 million in the first quarter of 2017; Gross margin of 29.6 percent, compared with 33.0 percent in the first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-418465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-177800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220"/>
        <w:spacing w:after="0" w:line="386" w:lineRule="auto"/>
        <w:rPr>
          <w:sz w:val="20"/>
          <w:szCs w:val="20"/>
          <w:color w:val="auto"/>
        </w:rPr>
      </w:pPr>
      <w:r>
        <w:rPr>
          <w:rFonts w:ascii="Arial" w:cs="Arial" w:eastAsia="Arial" w:hAnsi="Arial"/>
          <w:sz w:val="21"/>
          <w:szCs w:val="21"/>
          <w:color w:val="auto"/>
        </w:rPr>
        <w:t>GAAP loss per share of $3.74, compared with earnings of 40 cents per diluted share in the first quarter of 2017; Non-GAAP diluted earnings per share (EPS) of 13 cents, compared with 57 cents the first quarter of 2017; Adjusted EBITDA of $40 million, compared with $46 million in the first quarter of 2017; and Total backlog of $3.1 billion, compared with $1.6 billion at the end of the first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-925195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-684530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-444500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-204470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"Itron’s revenue increased by 27 percent in the quarter, driven by increased sales of our smart electric and gas solutions in Europe, accelerated deliveries of our OpenWay® Riva solutions in the Americas and strong performance in the new Networks segment,” said Philip Mezey, Itron president and chief executive officer. “We were very pleased with our revenue performance including the new Networks segment, which delivered 1 million endpoints in the quarter.</w:t>
      </w:r>
    </w:p>
    <w:p>
      <w:pPr>
        <w:spacing w:after="0" w:line="174"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“As anticipated, margins and EPS declined from last year, driven by costs related to our global supply chain transitions, higher component and commodity prices and product mix. We are making progress with operational initiatives to help drive efficiencies later in the year, including the integration of the Networks business, executing our restructuring projects and collaborating with our global supply chain partners,” continued Mezey.</w:t>
      </w:r>
    </w:p>
    <w:p>
      <w:pPr>
        <w:spacing w:after="0" w:line="18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“We continue to see strong customer demand for our expanded portfolio of smart networks, software, services, meters and sensors that helps our customers better manage utility and municipal services. Total backlog has increased to $3.1 billion, including the addition of the acquired Networks segment backlog.”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Summary of First Quarter Consolidated Financial Results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(All comparisons made are against the prior year period unless otherwise noted)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w:t>
      </w:r>
    </w:p>
    <w:p>
      <w:pPr>
        <w:spacing w:after="0" w:line="206"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Total revenue of $607 million increased 27 percent in the first quarter. The increased revenue includes the new Networks segment which added $86 million of revenue. Excluding the addition of the Networks segment, total revenue grew 9 percent.</w:t>
      </w:r>
    </w:p>
    <w:p>
      <w:pPr>
        <w:spacing w:after="0" w:line="105"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color w:val="auto"/>
        </w:rPr>
        <w:t>Electricity revenue increased 6 percent on higher managed services revenue, product revenue growth in the Europe, Middle East and Africa (EMEA) region and strong Riva demand in North America. Gas revenue grew 11 percent primarily driven by smart solution deliveries in EMEA. Water revenue grew by 14 percent driven by increased smart solution deliveries in North America and Asia-Pacific regions and higher residential demand in Latin America. Networks segment revenue was driven by deployments in North America and accelerating international adoption of new solutions.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Gross Margin</w:t>
      </w:r>
    </w:p>
    <w:p>
      <w:pPr>
        <w:spacing w:after="0" w:line="206" w:lineRule="exact"/>
        <w:rPr>
          <w:sz w:val="20"/>
          <w:szCs w:val="20"/>
          <w:color w:val="auto"/>
        </w:rPr>
      </w:pPr>
    </w:p>
    <w:p>
      <w:pPr>
        <w:jc w:val="both"/>
        <w:ind w:right="660"/>
        <w:spacing w:after="0"/>
        <w:rPr>
          <w:sz w:val="20"/>
          <w:szCs w:val="20"/>
          <w:color w:val="auto"/>
        </w:rPr>
      </w:pPr>
      <w:r>
        <w:rPr>
          <w:rFonts w:ascii="Arial" w:cs="Arial" w:eastAsia="Arial" w:hAnsi="Arial"/>
          <w:sz w:val="22"/>
          <w:szCs w:val="22"/>
          <w:color w:val="auto"/>
        </w:rPr>
        <w:t>Consolidated company gross margin of 29.6 percent decreased 340 basis points compared with the first quarter of 2017. The decline was due to higher costs associated with global supply chain transitions, higher component and commodity costs and product mix.</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Operating Expenses and Operating Income (loss)</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GAAP operating expenses for the quarter were $320 million compared with $127 million in the first quarter of 2017. The higher operating expenses were driven by restructuring charges of $88 million, acquisition and integration-related expenses of $63 million, the addition of Networks segment and Distributed Energy Management (DEM) operations and the impact of changes in foreign currency exchange rates. Higher operating expenses drove a GAAP operating loss of $140 million compared with operating income of $31 million in the first quarter of 2017.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Non-GAAP operating expenses of $152 million increased from $119 million in 2017 driven by the addition of acquired operations and the impact of changes in foreign currency exchange rates. Non-GAAP operating income declined to $28 million compared with $39 million in 2017 due to higher expenses.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Income (loss) and Earnings per Share</w:t>
      </w:r>
    </w:p>
    <w:p>
      <w:pPr>
        <w:spacing w:after="0" w:line="206"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Net loss attributable to Itron for the quarter was $146 million, or $3.74 per share, compared with net income of $16 million, or 40 cents per diluted share, in 2017.</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The net loss was driven by the operating loss in the quarter and higher interest expense related to financing for the acquisition.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These impacts were partially offset by a tax benefit in the U.S. on the pre-tax loss.</w:t>
      </w:r>
    </w:p>
    <w:p>
      <w:pPr>
        <w:spacing w:after="0" w:line="188"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Excluding certain charges, including restructuring, acquisition and integration-related expenses and amortization of intangible assets and debt placement fees, non-GAAP net income for the quarter was $5 million, or 13 cents per diluted share, compared with $22 million, or 57 cents per diluted share, in 2017. Compared with last year, non-GAAP net income reflects lower operating income, higher interest expense and a higher non-GAAP effective tax rate due to the timing and mix of taxable income by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Cash Flow</w:t>
      </w:r>
    </w:p>
    <w:p>
      <w:pPr>
        <w:spacing w:after="0" w:line="207"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Net cash used by operating activities was $24 million in the first quarter of 2018 compared with cash provided by operating activities of $63 million in the same quarter of 2017. Free cash flow was negative $42 million in the first quarter compared with positive $54 million in the prior year. The decreases were primarily driven by cash outlays for acquisition and integration-related expenses and timing of working capital.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Measures</w:t>
      </w:r>
    </w:p>
    <w:p>
      <w:pPr>
        <w:spacing w:after="0" w:line="212" w:lineRule="exact"/>
        <w:rPr>
          <w:sz w:val="20"/>
          <w:szCs w:val="20"/>
          <w:color w:val="auto"/>
        </w:rPr>
      </w:pPr>
    </w:p>
    <w:p>
      <w:pPr>
        <w:jc w:val="both"/>
        <w:ind w:right="320"/>
        <w:spacing w:after="0"/>
        <w:rPr>
          <w:sz w:val="20"/>
          <w:szCs w:val="20"/>
          <w:color w:val="auto"/>
        </w:rPr>
      </w:pPr>
      <w:r>
        <w:rPr>
          <w:rFonts w:ascii="Arial" w:cs="Arial" w:eastAsia="Arial" w:hAnsi="Arial"/>
          <w:sz w:val="22"/>
          <w:szCs w:val="22"/>
          <w:color w:val="auto"/>
        </w:rPr>
        <w:t>Total backlog was $3.1 billion and 12 month backlog was $1.4 billion at the end of the quarter, compared with $1.6 billion and $819 million, respectively, in the prior year quarter. Bookings in the quarter totaled $557 million. The Networks segment added $1.4 billion and $337 million to total and 12 month backlog,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 xml:space="preserve">Itron will host a conference call to discuss the financial results and guidance contained in this release at 5 p.m. EDT on May 14, 2018. The call will be webcast in a listen-only mode. Webcast information and conference call materials will be made available 10 minutes before the start of the call and will be accessible on Itron’s website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xml:space="preserve">. A replay of the audio webcast will be made available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xml:space="preserve">. A telephone replay of the conference call will be available through May 20, 2018. To access the telephone replay, dial 888-203-1112 or 719-457-0820, and enter passcode </w:t>
      </w:r>
      <w:r>
        <w:rPr>
          <w:rFonts w:ascii="Arial" w:cs="Arial" w:eastAsia="Arial" w:hAnsi="Arial"/>
          <w:sz w:val="19"/>
          <w:szCs w:val="19"/>
          <w:b w:val="1"/>
          <w:bCs w:val="1"/>
          <w:color w:val="auto"/>
        </w:rPr>
        <w:t>7526899.</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 xml:space="preserve">Itron enables utilities and cities to safely, securely and reliably deliver critical infrastructure services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t>
      </w:r>
      <w:r>
        <w:rPr>
          <w:rFonts w:ascii="Arial" w:cs="Arial" w:eastAsia="Arial" w:hAnsi="Arial"/>
          <w:sz w:val="21"/>
          <w:szCs w:val="21"/>
          <w:u w:val="single" w:color="auto"/>
          <w:color w:val="auto"/>
        </w:rPr>
        <w:t>www.itron.com</w:t>
      </w:r>
      <w:r>
        <w:rPr>
          <w:rFonts w:ascii="Arial" w:cs="Arial" w:eastAsia="Arial" w:hAnsi="Arial"/>
          <w:sz w:val="21"/>
          <w:szCs w:val="21"/>
          <w:color w:val="auto"/>
        </w:rPr>
        <w:t>.</w:t>
      </w:r>
    </w:p>
    <w:p>
      <w:pPr>
        <w:spacing w:after="0" w:line="186" w:lineRule="exact"/>
        <w:rPr>
          <w:sz w:val="20"/>
          <w:szCs w:val="20"/>
          <w:color w:val="auto"/>
        </w:rPr>
      </w:pPr>
    </w:p>
    <w:p>
      <w:pPr>
        <w:ind w:right="280"/>
        <w:spacing w:after="0" w:line="235" w:lineRule="auto"/>
        <w:rPr>
          <w:sz w:val="20"/>
          <w:szCs w:val="20"/>
          <w:color w:val="auto"/>
        </w:rPr>
      </w:pPr>
      <w:r>
        <w:rPr>
          <w:rFonts w:ascii="Arial" w:cs="Arial" w:eastAsia="Arial" w:hAnsi="Arial"/>
          <w:sz w:val="19"/>
          <w:szCs w:val="19"/>
          <w:color w:val="auto"/>
        </w:rPr>
        <w:t>Itron</w:t>
      </w:r>
      <w:r>
        <w:rPr>
          <w:rFonts w:ascii="Arial" w:cs="Arial" w:eastAsia="Arial" w:hAnsi="Arial"/>
          <w:sz w:val="31"/>
          <w:szCs w:val="31"/>
          <w:color w:val="auto"/>
          <w:vertAlign w:val="superscript"/>
        </w:rPr>
        <w:t>®</w:t>
      </w:r>
      <w:r>
        <w:rPr>
          <w:rFonts w:ascii="Arial" w:cs="Arial" w:eastAsia="Arial" w:hAnsi="Arial"/>
          <w:sz w:val="19"/>
          <w:szCs w:val="19"/>
          <w:color w:val="auto"/>
        </w:rPr>
        <w:t xml:space="preserve"> and OpenWay</w:t>
      </w:r>
      <w:r>
        <w:rPr>
          <w:rFonts w:ascii="Arial" w:cs="Arial" w:eastAsia="Arial" w:hAnsi="Arial"/>
          <w:sz w:val="31"/>
          <w:szCs w:val="31"/>
          <w:color w:val="auto"/>
          <w:vertAlign w:val="superscript"/>
        </w:rPr>
        <w:t>®</w:t>
      </w:r>
      <w:r>
        <w:rPr>
          <w:rFonts w:ascii="Arial" w:cs="Arial" w:eastAsia="Arial" w:hAnsi="Arial"/>
          <w:sz w:val="19"/>
          <w:szCs w:val="19"/>
          <w:color w:val="auto"/>
        </w:rPr>
        <w:t xml:space="preserve"> are registered trademarks of Itron, Inc. All third-party trademarks are property of their respective owners and any usage herein does not suggest or imply any relationship between Itron and the third party unless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Forward Looking Statements</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release contains forward-looking statements within in the meaning of the Private Securities Litigation Reform Act of 1995. These statements relate to our expectations about revenues, operations, financial performance, earnings, earnings per share and cash flows.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 31, 2017 and other reports on file with the Securities and Exchange Commission. Itron undertakes no obligation to update or revise any information in this press release.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The company believes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jc w:val="center"/>
        <w:ind w:left="4020"/>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ind w:left="402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(Unaudited, in thousands, except per share data)</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Revenues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Product revenues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Service revenues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Total revenues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Cost of revenues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Product cost of revenues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Service cost of revenues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Total cost of revenues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Gross profit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Operating expenses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Sales and marketing</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Product development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General and administrative</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Amortization of intangible assets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Restructuring</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Total operating expenses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Operating income (loss)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Other income (expense)</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income</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expense</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income (expense), net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Total other income (expense)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Income (loss) before income taxes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Income tax benefit (provision)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 attributable to noncontrolling interests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 attributable to Itron, Inc.</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Earnings (loss) per common share - Basic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Earnings (loss) per common share - Diluted</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common shares outstanding - Basic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common shares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27202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r>
      <w:tr>
        <w:trPr>
          <w:trHeight w:val="339"/>
        </w:trPr>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537,110</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432,365</w:t>
            </w:r>
          </w:p>
        </w:tc>
      </w:tr>
      <w:tr>
        <w:trPr>
          <w:trHeight w:val="181"/>
        </w:trPr>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70,111</w:t>
            </w: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45,227</w:t>
            </w:r>
          </w:p>
        </w:tc>
      </w:tr>
      <w:tr>
        <w:trPr>
          <w:trHeight w:val="176"/>
        </w:trPr>
        <w:tc>
          <w:tcPr>
            <w:tcW w:w="420" w:type="dxa"/>
            <w:vAlign w:val="bottom"/>
          </w:tcPr>
          <w:p>
            <w:pPr>
              <w:spacing w:after="0"/>
              <w:rPr>
                <w:sz w:val="15"/>
                <w:szCs w:val="15"/>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607,221</w:t>
            </w:r>
          </w:p>
        </w:tc>
        <w:tc>
          <w:tcPr>
            <w:tcW w:w="48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477,592</w:t>
            </w:r>
          </w:p>
        </w:tc>
      </w:tr>
      <w:tr>
        <w:trPr>
          <w:trHeight w:val="339"/>
        </w:trPr>
        <w:tc>
          <w:tcPr>
            <w:tcW w:w="420" w:type="dxa"/>
            <w:vAlign w:val="bottom"/>
          </w:tcPr>
          <w:p>
            <w:pPr>
              <w:spacing w:after="0"/>
              <w:rPr>
                <w:sz w:val="24"/>
                <w:szCs w:val="24"/>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382,850</w:t>
            </w:r>
          </w:p>
        </w:tc>
        <w:tc>
          <w:tcPr>
            <w:tcW w:w="48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287,093</w:t>
            </w:r>
          </w:p>
        </w:tc>
      </w:tr>
      <w:tr>
        <w:trPr>
          <w:trHeight w:val="181"/>
        </w:trPr>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44,516</w:t>
            </w: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32,862</w:t>
            </w:r>
          </w:p>
        </w:tc>
      </w:tr>
      <w:tr>
        <w:trPr>
          <w:trHeight w:val="169"/>
        </w:trPr>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427,366</w:t>
            </w: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319,955</w:t>
            </w:r>
          </w:p>
        </w:tc>
      </w:tr>
      <w:tr>
        <w:trPr>
          <w:trHeight w:val="346"/>
        </w:trPr>
        <w:tc>
          <w:tcPr>
            <w:tcW w:w="420" w:type="dxa"/>
            <w:vAlign w:val="bottom"/>
          </w:tcPr>
          <w:p>
            <w:pPr>
              <w:spacing w:after="0"/>
              <w:rPr>
                <w:sz w:val="24"/>
                <w:szCs w:val="24"/>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179,855</w:t>
            </w:r>
          </w:p>
        </w:tc>
        <w:tc>
          <w:tcPr>
            <w:tcW w:w="48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157,637</w:t>
            </w:r>
          </w:p>
        </w:tc>
      </w:tr>
      <w:tr>
        <w:trPr>
          <w:trHeight w:val="520"/>
        </w:trPr>
        <w:tc>
          <w:tcPr>
            <w:tcW w:w="420" w:type="dxa"/>
            <w:vAlign w:val="bottom"/>
          </w:tcPr>
          <w:p>
            <w:pPr>
              <w:spacing w:after="0"/>
              <w:rPr>
                <w:sz w:val="24"/>
                <w:szCs w:val="24"/>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51,921</w:t>
            </w:r>
          </w:p>
        </w:tc>
        <w:tc>
          <w:tcPr>
            <w:tcW w:w="48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41,255</w:t>
            </w:r>
          </w:p>
        </w:tc>
      </w:tr>
      <w:tr>
        <w:trPr>
          <w:trHeight w:val="176"/>
        </w:trPr>
        <w:tc>
          <w:tcPr>
            <w:tcW w:w="420" w:type="dxa"/>
            <w:vAlign w:val="bottom"/>
          </w:tcPr>
          <w:p>
            <w:pPr>
              <w:spacing w:after="0"/>
              <w:rPr>
                <w:sz w:val="15"/>
                <w:szCs w:val="15"/>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60,284</w:t>
            </w:r>
          </w:p>
        </w:tc>
        <w:tc>
          <w:tcPr>
            <w:tcW w:w="48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40,767</w:t>
            </w:r>
          </w:p>
        </w:tc>
      </w:tr>
      <w:tr>
        <w:trPr>
          <w:trHeight w:val="176"/>
        </w:trPr>
        <w:tc>
          <w:tcPr>
            <w:tcW w:w="420" w:type="dxa"/>
            <w:vAlign w:val="bottom"/>
          </w:tcPr>
          <w:p>
            <w:pPr>
              <w:spacing w:after="0"/>
              <w:rPr>
                <w:sz w:val="15"/>
                <w:szCs w:val="15"/>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102,493</w:t>
            </w:r>
          </w:p>
        </w:tc>
        <w:tc>
          <w:tcPr>
            <w:tcW w:w="48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37,187</w:t>
            </w:r>
          </w:p>
        </w:tc>
      </w:tr>
      <w:tr>
        <w:trPr>
          <w:trHeight w:val="176"/>
        </w:trPr>
        <w:tc>
          <w:tcPr>
            <w:tcW w:w="420" w:type="dxa"/>
            <w:vAlign w:val="bottom"/>
          </w:tcPr>
          <w:p>
            <w:pPr>
              <w:spacing w:after="0"/>
              <w:rPr>
                <w:sz w:val="15"/>
                <w:szCs w:val="15"/>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17,740</w:t>
            </w:r>
          </w:p>
        </w:tc>
        <w:tc>
          <w:tcPr>
            <w:tcW w:w="48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4,549</w:t>
            </w:r>
          </w:p>
        </w:tc>
      </w:tr>
      <w:tr>
        <w:trPr>
          <w:trHeight w:val="181"/>
        </w:trPr>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87,865</w:t>
            </w: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3,052</w:t>
            </w:r>
          </w:p>
        </w:tc>
      </w:tr>
      <w:tr>
        <w:trPr>
          <w:trHeight w:val="169"/>
        </w:trPr>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320,303</w:t>
            </w: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126,810</w:t>
            </w:r>
          </w:p>
        </w:tc>
      </w:tr>
      <w:tr>
        <w:trPr>
          <w:trHeight w:val="346"/>
        </w:trPr>
        <w:tc>
          <w:tcPr>
            <w:tcW w:w="420" w:type="dxa"/>
            <w:vAlign w:val="bottom"/>
          </w:tcPr>
          <w:p>
            <w:pPr>
              <w:spacing w:after="0"/>
              <w:rPr>
                <w:sz w:val="24"/>
                <w:szCs w:val="24"/>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(140,448)</w:t>
            </w:r>
          </w:p>
        </w:tc>
        <w:tc>
          <w:tcPr>
            <w:tcW w:w="48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30,827</w:t>
            </w:r>
          </w:p>
        </w:tc>
      </w:tr>
      <w:tr>
        <w:trPr>
          <w:trHeight w:val="344"/>
        </w:trPr>
        <w:tc>
          <w:tcPr>
            <w:tcW w:w="420" w:type="dxa"/>
            <w:vAlign w:val="bottom"/>
          </w:tcPr>
          <w:p>
            <w:pPr>
              <w:spacing w:after="0"/>
              <w:rPr>
                <w:sz w:val="24"/>
                <w:szCs w:val="24"/>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661</w:t>
            </w:r>
          </w:p>
        </w:tc>
        <w:tc>
          <w:tcPr>
            <w:tcW w:w="48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269</w:t>
            </w:r>
          </w:p>
        </w:tc>
      </w:tr>
      <w:tr>
        <w:trPr>
          <w:trHeight w:val="176"/>
        </w:trPr>
        <w:tc>
          <w:tcPr>
            <w:tcW w:w="42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(15,504)</w:t>
            </w:r>
          </w:p>
        </w:tc>
        <w:tc>
          <w:tcPr>
            <w:tcW w:w="48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(3,199)</w:t>
            </w:r>
          </w:p>
        </w:tc>
      </w:tr>
      <w:tr>
        <w:trPr>
          <w:trHeight w:val="181"/>
        </w:trPr>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(1,167)</w:t>
            </w: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(2,836)</w:t>
            </w:r>
          </w:p>
        </w:tc>
      </w:tr>
      <w:tr>
        <w:trPr>
          <w:trHeight w:val="169"/>
        </w:trPr>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(16,010)</w:t>
            </w: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(5,766)</w:t>
            </w:r>
          </w:p>
        </w:tc>
      </w:tr>
      <w:tr>
        <w:trPr>
          <w:trHeight w:val="339"/>
        </w:trPr>
        <w:tc>
          <w:tcPr>
            <w:tcW w:w="420" w:type="dxa"/>
            <w:vAlign w:val="bottom"/>
          </w:tcPr>
          <w:p>
            <w:pPr>
              <w:spacing w:after="0"/>
              <w:rPr>
                <w:sz w:val="24"/>
                <w:szCs w:val="24"/>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(156,458)</w:t>
            </w:r>
          </w:p>
        </w:tc>
        <w:tc>
          <w:tcPr>
            <w:tcW w:w="48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25,061</w:t>
            </w:r>
          </w:p>
        </w:tc>
      </w:tr>
      <w:tr>
        <w:trPr>
          <w:trHeight w:val="181"/>
        </w:trPr>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11,188</w:t>
            </w: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(9,047)</w:t>
            </w:r>
          </w:p>
        </w:tc>
      </w:tr>
      <w:tr>
        <w:trPr>
          <w:trHeight w:val="164"/>
        </w:trPr>
        <w:tc>
          <w:tcPr>
            <w:tcW w:w="42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(145,270)</w:t>
            </w:r>
          </w:p>
        </w:tc>
        <w:tc>
          <w:tcPr>
            <w:tcW w:w="48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16,014</w:t>
            </w:r>
          </w:p>
        </w:tc>
      </w:tr>
      <w:tr>
        <w:trPr>
          <w:trHeight w:val="181"/>
        </w:trPr>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396</w:t>
            </w: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169</w:t>
            </w:r>
          </w:p>
        </w:tc>
      </w:tr>
      <w:tr>
        <w:trPr>
          <w:trHeight w:val="169"/>
        </w:trPr>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(145,666)</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15,845</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7"/>
        </w:trPr>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(3.74)</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0.41</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6"/>
        </w:trPr>
        <w:tc>
          <w:tcPr>
            <w:tcW w:w="420" w:type="dxa"/>
            <w:vAlign w:val="bottom"/>
            <w:tcBorders>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(3.74)</w:t>
            </w:r>
          </w:p>
        </w:tc>
        <w:tc>
          <w:tcPr>
            <w:tcW w:w="480" w:type="dxa"/>
            <w:vAlign w:val="bottom"/>
            <w:tcBorders>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0.40</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26"/>
        </w:trPr>
        <w:tc>
          <w:tcPr>
            <w:tcW w:w="420" w:type="dxa"/>
            <w:vAlign w:val="bottom"/>
          </w:tcPr>
          <w:p>
            <w:pPr>
              <w:spacing w:after="0"/>
              <w:rPr>
                <w:sz w:val="24"/>
                <w:szCs w:val="24"/>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38,945</w:t>
            </w:r>
          </w:p>
        </w:tc>
        <w:tc>
          <w:tcPr>
            <w:tcW w:w="48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38,474</w:t>
            </w:r>
          </w:p>
        </w:tc>
      </w:tr>
      <w:tr>
        <w:trPr>
          <w:trHeight w:val="182"/>
        </w:trPr>
        <w:tc>
          <w:tcPr>
            <w:tcW w:w="420" w:type="dxa"/>
            <w:vAlign w:val="bottom"/>
          </w:tcPr>
          <w:p>
            <w:pPr>
              <w:spacing w:after="0"/>
              <w:rPr>
                <w:sz w:val="15"/>
                <w:szCs w:val="15"/>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38,945</w:t>
            </w:r>
          </w:p>
        </w:tc>
        <w:tc>
          <w:tcPr>
            <w:tcW w:w="48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39,215</w:t>
            </w:r>
          </w:p>
        </w:tc>
      </w:tr>
    </w:tbl>
    <w:p>
      <w:pPr>
        <w:sectPr>
          <w:pgSz w:w="11900" w:h="16838" w:orient="portrait"/>
          <w:cols w:equalWidth="0" w:num="2">
            <w:col w:w="7400" w:space="680"/>
            <w:col w:w="334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20" w:type="dxa"/>
            <w:vAlign w:val="bottom"/>
          </w:tcPr>
          <w:p>
            <w:pPr>
              <w:spacing w:after="0"/>
              <w:rPr>
                <w:sz w:val="20"/>
                <w:szCs w:val="20"/>
                <w:color w:val="auto"/>
              </w:rPr>
            </w:pPr>
            <w:r>
              <w:rPr>
                <w:rFonts w:ascii="Arial" w:cs="Arial" w:eastAsia="Arial" w:hAnsi="Arial"/>
                <w:sz w:val="14"/>
                <w:szCs w:val="14"/>
                <w:color w:val="auto"/>
              </w:rPr>
              <w:t>(Unaudited, in thousands)</w:t>
            </w:r>
          </w:p>
        </w:tc>
        <w:tc>
          <w:tcPr>
            <w:tcW w:w="1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6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12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20" w:type="dxa"/>
            <w:vAlign w:val="bottom"/>
          </w:tcPr>
          <w:p>
            <w:pPr>
              <w:spacing w:after="0"/>
              <w:rPr>
                <w:sz w:val="14"/>
                <w:szCs w:val="14"/>
                <w:color w:val="auto"/>
              </w:rPr>
            </w:pPr>
          </w:p>
        </w:tc>
        <w:tc>
          <w:tcPr>
            <w:tcW w:w="1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6120" w:type="dxa"/>
            <w:vAlign w:val="bottom"/>
          </w:tcPr>
          <w:p>
            <w:pPr>
              <w:spacing w:after="0"/>
              <w:rPr>
                <w:sz w:val="20"/>
                <w:szCs w:val="20"/>
                <w:color w:val="auto"/>
              </w:rPr>
            </w:pPr>
            <w:r>
              <w:rPr>
                <w:rFonts w:ascii="Arial" w:cs="Arial" w:eastAsia="Arial" w:hAnsi="Arial"/>
                <w:sz w:val="14"/>
                <w:szCs w:val="14"/>
                <w:b w:val="1"/>
                <w:bCs w:val="1"/>
                <w:color w:val="auto"/>
              </w:rPr>
              <w:t>Product revenues</w:t>
            </w: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Electricity</w:t>
            </w:r>
          </w:p>
        </w:tc>
        <w:tc>
          <w:tcPr>
            <w:tcW w:w="16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608"/>
              <w:spacing w:after="0"/>
              <w:rPr>
                <w:sz w:val="20"/>
                <w:szCs w:val="20"/>
                <w:color w:val="auto"/>
              </w:rPr>
            </w:pPr>
            <w:r>
              <w:rPr>
                <w:rFonts w:ascii="Arial" w:cs="Arial" w:eastAsia="Arial" w:hAnsi="Arial"/>
                <w:sz w:val="14"/>
                <w:szCs w:val="14"/>
                <w:color w:val="auto"/>
              </w:rPr>
              <w:t>213,877</w:t>
            </w:r>
          </w:p>
        </w:tc>
        <w:tc>
          <w:tcPr>
            <w:tcW w:w="6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205,903</w:t>
            </w: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Gas</w:t>
            </w:r>
          </w:p>
        </w:tc>
        <w:tc>
          <w:tcPr>
            <w:tcW w:w="1640" w:type="dxa"/>
            <w:vAlign w:val="bottom"/>
          </w:tcPr>
          <w:p>
            <w:pPr>
              <w:spacing w:after="0"/>
              <w:rPr>
                <w:sz w:val="15"/>
                <w:szCs w:val="15"/>
                <w:color w:val="auto"/>
              </w:rPr>
            </w:pPr>
          </w:p>
        </w:tc>
        <w:tc>
          <w:tcPr>
            <w:tcW w:w="1380" w:type="dxa"/>
            <w:vAlign w:val="bottom"/>
          </w:tcPr>
          <w:p>
            <w:pPr>
              <w:jc w:val="right"/>
              <w:ind w:right="608"/>
              <w:spacing w:after="0"/>
              <w:rPr>
                <w:sz w:val="20"/>
                <w:szCs w:val="20"/>
                <w:color w:val="auto"/>
              </w:rPr>
            </w:pPr>
            <w:r>
              <w:rPr>
                <w:rFonts w:ascii="Arial" w:cs="Arial" w:eastAsia="Arial" w:hAnsi="Arial"/>
                <w:sz w:val="14"/>
                <w:szCs w:val="14"/>
                <w:color w:val="auto"/>
              </w:rPr>
              <w:t>130,243</w:t>
            </w:r>
          </w:p>
        </w:tc>
        <w:tc>
          <w:tcPr>
            <w:tcW w:w="600" w:type="dxa"/>
            <w:vAlign w:val="bottom"/>
          </w:tcPr>
          <w:p>
            <w:pPr>
              <w:spacing w:after="0"/>
              <w:rPr>
                <w:sz w:val="15"/>
                <w:szCs w:val="15"/>
                <w:color w:val="auto"/>
              </w:rPr>
            </w:pP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117,127</w:t>
            </w: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Water</w:t>
            </w:r>
          </w:p>
        </w:tc>
        <w:tc>
          <w:tcPr>
            <w:tcW w:w="1640" w:type="dxa"/>
            <w:vAlign w:val="bottom"/>
          </w:tcPr>
          <w:p>
            <w:pPr>
              <w:spacing w:after="0"/>
              <w:rPr>
                <w:sz w:val="15"/>
                <w:szCs w:val="15"/>
                <w:color w:val="auto"/>
              </w:rPr>
            </w:pPr>
          </w:p>
        </w:tc>
        <w:tc>
          <w:tcPr>
            <w:tcW w:w="1380" w:type="dxa"/>
            <w:vAlign w:val="bottom"/>
          </w:tcPr>
          <w:p>
            <w:pPr>
              <w:jc w:val="right"/>
              <w:ind w:right="608"/>
              <w:spacing w:after="0"/>
              <w:rPr>
                <w:sz w:val="20"/>
                <w:szCs w:val="20"/>
                <w:color w:val="auto"/>
              </w:rPr>
            </w:pPr>
            <w:r>
              <w:rPr>
                <w:rFonts w:ascii="Arial" w:cs="Arial" w:eastAsia="Arial" w:hAnsi="Arial"/>
                <w:sz w:val="14"/>
                <w:szCs w:val="14"/>
                <w:color w:val="auto"/>
              </w:rPr>
              <w:t>125,587</w:t>
            </w:r>
          </w:p>
        </w:tc>
        <w:tc>
          <w:tcPr>
            <w:tcW w:w="600" w:type="dxa"/>
            <w:vAlign w:val="bottom"/>
          </w:tcPr>
          <w:p>
            <w:pPr>
              <w:spacing w:after="0"/>
              <w:rPr>
                <w:sz w:val="15"/>
                <w:szCs w:val="15"/>
                <w:color w:val="auto"/>
              </w:rPr>
            </w:pP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109,335</w:t>
            </w:r>
          </w:p>
        </w:tc>
        <w:tc>
          <w:tcPr>
            <w:tcW w:w="0" w:type="dxa"/>
            <w:vAlign w:val="bottom"/>
          </w:tcPr>
          <w:p>
            <w:pPr>
              <w:spacing w:after="0"/>
              <w:rPr>
                <w:sz w:val="1"/>
                <w:szCs w:val="1"/>
                <w:color w:val="auto"/>
              </w:rPr>
            </w:pPr>
          </w:p>
        </w:tc>
      </w:tr>
      <w:tr>
        <w:trPr>
          <w:trHeight w:val="181"/>
        </w:trPr>
        <w:tc>
          <w:tcPr>
            <w:tcW w:w="6120" w:type="dxa"/>
            <w:vAlign w:val="bottom"/>
          </w:tcPr>
          <w:p>
            <w:pPr>
              <w:ind w:left="260"/>
              <w:spacing w:after="0"/>
              <w:rPr>
                <w:sz w:val="20"/>
                <w:szCs w:val="20"/>
                <w:color w:val="auto"/>
              </w:rPr>
            </w:pPr>
            <w:r>
              <w:rPr>
                <w:rFonts w:ascii="Arial" w:cs="Arial" w:eastAsia="Arial" w:hAnsi="Arial"/>
                <w:sz w:val="14"/>
                <w:szCs w:val="14"/>
                <w:color w:val="auto"/>
              </w:rPr>
              <w:t>Networks</w:t>
            </w:r>
          </w:p>
        </w:tc>
        <w:tc>
          <w:tcPr>
            <w:tcW w:w="16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67,403</w:t>
            </w:r>
          </w:p>
        </w:tc>
        <w:tc>
          <w:tcPr>
            <w:tcW w:w="6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120" w:type="dxa"/>
            <w:vAlign w:val="bottom"/>
          </w:tcPr>
          <w:p>
            <w:pPr>
              <w:ind w:left="580"/>
              <w:spacing w:after="0"/>
              <w:rPr>
                <w:sz w:val="20"/>
                <w:szCs w:val="20"/>
                <w:color w:val="auto"/>
              </w:rPr>
            </w:pPr>
            <w:r>
              <w:rPr>
                <w:rFonts w:ascii="Arial" w:cs="Arial" w:eastAsia="Arial" w:hAnsi="Arial"/>
                <w:sz w:val="14"/>
                <w:szCs w:val="14"/>
                <w:color w:val="auto"/>
              </w:rPr>
              <w:t>Total Company</w:t>
            </w:r>
          </w:p>
        </w:tc>
        <w:tc>
          <w:tcPr>
            <w:tcW w:w="1640" w:type="dxa"/>
            <w:vAlign w:val="bottom"/>
            <w:tcBorders>
              <w:bottom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537,110</w:t>
            </w:r>
          </w:p>
        </w:tc>
        <w:tc>
          <w:tcPr>
            <w:tcW w:w="6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432,365</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Service revenues</w:t>
            </w: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12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Electricity</w:t>
            </w:r>
          </w:p>
        </w:tc>
        <w:tc>
          <w:tcPr>
            <w:tcW w:w="16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608"/>
              <w:spacing w:after="0"/>
              <w:rPr>
                <w:sz w:val="20"/>
                <w:szCs w:val="20"/>
                <w:color w:val="auto"/>
              </w:rPr>
            </w:pPr>
            <w:r>
              <w:rPr>
                <w:rFonts w:ascii="Arial" w:cs="Arial" w:eastAsia="Arial" w:hAnsi="Arial"/>
                <w:sz w:val="14"/>
                <w:szCs w:val="14"/>
                <w:color w:val="auto"/>
              </w:rPr>
              <w:t>38,528</w:t>
            </w:r>
          </w:p>
        </w:tc>
        <w:tc>
          <w:tcPr>
            <w:tcW w:w="6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32,848</w:t>
            </w: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Gas</w:t>
            </w:r>
          </w:p>
        </w:tc>
        <w:tc>
          <w:tcPr>
            <w:tcW w:w="1640" w:type="dxa"/>
            <w:vAlign w:val="bottom"/>
          </w:tcPr>
          <w:p>
            <w:pPr>
              <w:spacing w:after="0"/>
              <w:rPr>
                <w:sz w:val="15"/>
                <w:szCs w:val="15"/>
                <w:color w:val="auto"/>
              </w:rPr>
            </w:pPr>
          </w:p>
        </w:tc>
        <w:tc>
          <w:tcPr>
            <w:tcW w:w="1380" w:type="dxa"/>
            <w:vAlign w:val="bottom"/>
          </w:tcPr>
          <w:p>
            <w:pPr>
              <w:jc w:val="right"/>
              <w:ind w:right="608"/>
              <w:spacing w:after="0"/>
              <w:rPr>
                <w:sz w:val="20"/>
                <w:szCs w:val="20"/>
                <w:color w:val="auto"/>
              </w:rPr>
            </w:pPr>
            <w:r>
              <w:rPr>
                <w:rFonts w:ascii="Arial" w:cs="Arial" w:eastAsia="Arial" w:hAnsi="Arial"/>
                <w:sz w:val="14"/>
                <w:szCs w:val="14"/>
                <w:color w:val="auto"/>
              </w:rPr>
              <w:t>7,496</w:t>
            </w:r>
          </w:p>
        </w:tc>
        <w:tc>
          <w:tcPr>
            <w:tcW w:w="600" w:type="dxa"/>
            <w:vAlign w:val="bottom"/>
          </w:tcPr>
          <w:p>
            <w:pPr>
              <w:spacing w:after="0"/>
              <w:rPr>
                <w:sz w:val="15"/>
                <w:szCs w:val="15"/>
                <w:color w:val="auto"/>
              </w:rPr>
            </w:pP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7,084</w:t>
            </w: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Water</w:t>
            </w:r>
          </w:p>
        </w:tc>
        <w:tc>
          <w:tcPr>
            <w:tcW w:w="1640" w:type="dxa"/>
            <w:vAlign w:val="bottom"/>
          </w:tcPr>
          <w:p>
            <w:pPr>
              <w:spacing w:after="0"/>
              <w:rPr>
                <w:sz w:val="15"/>
                <w:szCs w:val="15"/>
                <w:color w:val="auto"/>
              </w:rPr>
            </w:pPr>
          </w:p>
        </w:tc>
        <w:tc>
          <w:tcPr>
            <w:tcW w:w="1380" w:type="dxa"/>
            <w:vAlign w:val="bottom"/>
          </w:tcPr>
          <w:p>
            <w:pPr>
              <w:jc w:val="right"/>
              <w:ind w:right="608"/>
              <w:spacing w:after="0"/>
              <w:rPr>
                <w:sz w:val="20"/>
                <w:szCs w:val="20"/>
                <w:color w:val="auto"/>
              </w:rPr>
            </w:pPr>
            <w:r>
              <w:rPr>
                <w:rFonts w:ascii="Arial" w:cs="Arial" w:eastAsia="Arial" w:hAnsi="Arial"/>
                <w:sz w:val="14"/>
                <w:szCs w:val="14"/>
                <w:color w:val="auto"/>
              </w:rPr>
              <w:t>5,607</w:t>
            </w:r>
          </w:p>
        </w:tc>
        <w:tc>
          <w:tcPr>
            <w:tcW w:w="600" w:type="dxa"/>
            <w:vAlign w:val="bottom"/>
          </w:tcPr>
          <w:p>
            <w:pPr>
              <w:spacing w:after="0"/>
              <w:rPr>
                <w:sz w:val="15"/>
                <w:szCs w:val="15"/>
                <w:color w:val="auto"/>
              </w:rPr>
            </w:pP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5,295</w:t>
            </w:r>
          </w:p>
        </w:tc>
        <w:tc>
          <w:tcPr>
            <w:tcW w:w="0" w:type="dxa"/>
            <w:vAlign w:val="bottom"/>
          </w:tcPr>
          <w:p>
            <w:pPr>
              <w:spacing w:after="0"/>
              <w:rPr>
                <w:sz w:val="1"/>
                <w:szCs w:val="1"/>
                <w:color w:val="auto"/>
              </w:rPr>
            </w:pPr>
          </w:p>
        </w:tc>
      </w:tr>
      <w:tr>
        <w:trPr>
          <w:trHeight w:val="181"/>
        </w:trPr>
        <w:tc>
          <w:tcPr>
            <w:tcW w:w="6120" w:type="dxa"/>
            <w:vAlign w:val="bottom"/>
          </w:tcPr>
          <w:p>
            <w:pPr>
              <w:ind w:left="260"/>
              <w:spacing w:after="0"/>
              <w:rPr>
                <w:sz w:val="20"/>
                <w:szCs w:val="20"/>
                <w:color w:val="auto"/>
              </w:rPr>
            </w:pPr>
            <w:r>
              <w:rPr>
                <w:rFonts w:ascii="Arial" w:cs="Arial" w:eastAsia="Arial" w:hAnsi="Arial"/>
                <w:sz w:val="14"/>
                <w:szCs w:val="14"/>
                <w:color w:val="auto"/>
              </w:rPr>
              <w:t>Networks</w:t>
            </w:r>
          </w:p>
        </w:tc>
        <w:tc>
          <w:tcPr>
            <w:tcW w:w="16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18,480</w:t>
            </w:r>
          </w:p>
        </w:tc>
        <w:tc>
          <w:tcPr>
            <w:tcW w:w="6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120" w:type="dxa"/>
            <w:vAlign w:val="bottom"/>
          </w:tcPr>
          <w:p>
            <w:pPr>
              <w:ind w:left="580"/>
              <w:spacing w:after="0"/>
              <w:rPr>
                <w:sz w:val="20"/>
                <w:szCs w:val="20"/>
                <w:color w:val="auto"/>
              </w:rPr>
            </w:pPr>
            <w:r>
              <w:rPr>
                <w:rFonts w:ascii="Arial" w:cs="Arial" w:eastAsia="Arial" w:hAnsi="Arial"/>
                <w:sz w:val="14"/>
                <w:szCs w:val="14"/>
                <w:color w:val="auto"/>
              </w:rPr>
              <w:t>Total Company</w:t>
            </w:r>
          </w:p>
        </w:tc>
        <w:tc>
          <w:tcPr>
            <w:tcW w:w="1640" w:type="dxa"/>
            <w:vAlign w:val="bottom"/>
            <w:tcBorders>
              <w:bottom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70,111</w:t>
            </w:r>
          </w:p>
        </w:tc>
        <w:tc>
          <w:tcPr>
            <w:tcW w:w="6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45,227</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Revenues</w:t>
            </w: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12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Electricity</w:t>
            </w:r>
          </w:p>
        </w:tc>
        <w:tc>
          <w:tcPr>
            <w:tcW w:w="16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608"/>
              <w:spacing w:after="0"/>
              <w:rPr>
                <w:sz w:val="20"/>
                <w:szCs w:val="20"/>
                <w:color w:val="auto"/>
              </w:rPr>
            </w:pPr>
            <w:r>
              <w:rPr>
                <w:rFonts w:ascii="Arial" w:cs="Arial" w:eastAsia="Arial" w:hAnsi="Arial"/>
                <w:sz w:val="14"/>
                <w:szCs w:val="14"/>
                <w:color w:val="auto"/>
              </w:rPr>
              <w:t>252,405</w:t>
            </w:r>
          </w:p>
        </w:tc>
        <w:tc>
          <w:tcPr>
            <w:tcW w:w="6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238,751</w:t>
            </w: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Gas</w:t>
            </w:r>
          </w:p>
        </w:tc>
        <w:tc>
          <w:tcPr>
            <w:tcW w:w="1640" w:type="dxa"/>
            <w:vAlign w:val="bottom"/>
          </w:tcPr>
          <w:p>
            <w:pPr>
              <w:spacing w:after="0"/>
              <w:rPr>
                <w:sz w:val="15"/>
                <w:szCs w:val="15"/>
                <w:color w:val="auto"/>
              </w:rPr>
            </w:pPr>
          </w:p>
        </w:tc>
        <w:tc>
          <w:tcPr>
            <w:tcW w:w="1380" w:type="dxa"/>
            <w:vAlign w:val="bottom"/>
          </w:tcPr>
          <w:p>
            <w:pPr>
              <w:jc w:val="right"/>
              <w:ind w:right="608"/>
              <w:spacing w:after="0"/>
              <w:rPr>
                <w:sz w:val="20"/>
                <w:szCs w:val="20"/>
                <w:color w:val="auto"/>
              </w:rPr>
            </w:pPr>
            <w:r>
              <w:rPr>
                <w:rFonts w:ascii="Arial" w:cs="Arial" w:eastAsia="Arial" w:hAnsi="Arial"/>
                <w:sz w:val="14"/>
                <w:szCs w:val="14"/>
                <w:color w:val="auto"/>
              </w:rPr>
              <w:t>137,739</w:t>
            </w:r>
          </w:p>
        </w:tc>
        <w:tc>
          <w:tcPr>
            <w:tcW w:w="600" w:type="dxa"/>
            <w:vAlign w:val="bottom"/>
          </w:tcPr>
          <w:p>
            <w:pPr>
              <w:spacing w:after="0"/>
              <w:rPr>
                <w:sz w:val="15"/>
                <w:szCs w:val="15"/>
                <w:color w:val="auto"/>
              </w:rPr>
            </w:pP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124,211</w:t>
            </w: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Water</w:t>
            </w:r>
          </w:p>
        </w:tc>
        <w:tc>
          <w:tcPr>
            <w:tcW w:w="1640" w:type="dxa"/>
            <w:vAlign w:val="bottom"/>
          </w:tcPr>
          <w:p>
            <w:pPr>
              <w:spacing w:after="0"/>
              <w:rPr>
                <w:sz w:val="15"/>
                <w:szCs w:val="15"/>
                <w:color w:val="auto"/>
              </w:rPr>
            </w:pPr>
          </w:p>
        </w:tc>
        <w:tc>
          <w:tcPr>
            <w:tcW w:w="1380" w:type="dxa"/>
            <w:vAlign w:val="bottom"/>
          </w:tcPr>
          <w:p>
            <w:pPr>
              <w:jc w:val="right"/>
              <w:ind w:right="608"/>
              <w:spacing w:after="0"/>
              <w:rPr>
                <w:sz w:val="20"/>
                <w:szCs w:val="20"/>
                <w:color w:val="auto"/>
              </w:rPr>
            </w:pPr>
            <w:r>
              <w:rPr>
                <w:rFonts w:ascii="Arial" w:cs="Arial" w:eastAsia="Arial" w:hAnsi="Arial"/>
                <w:sz w:val="14"/>
                <w:szCs w:val="14"/>
                <w:color w:val="auto"/>
              </w:rPr>
              <w:t>131,194</w:t>
            </w:r>
          </w:p>
        </w:tc>
        <w:tc>
          <w:tcPr>
            <w:tcW w:w="600" w:type="dxa"/>
            <w:vAlign w:val="bottom"/>
          </w:tcPr>
          <w:p>
            <w:pPr>
              <w:spacing w:after="0"/>
              <w:rPr>
                <w:sz w:val="15"/>
                <w:szCs w:val="15"/>
                <w:color w:val="auto"/>
              </w:rPr>
            </w:pP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114,630</w:t>
            </w:r>
          </w:p>
        </w:tc>
        <w:tc>
          <w:tcPr>
            <w:tcW w:w="0" w:type="dxa"/>
            <w:vAlign w:val="bottom"/>
          </w:tcPr>
          <w:p>
            <w:pPr>
              <w:spacing w:after="0"/>
              <w:rPr>
                <w:sz w:val="1"/>
                <w:szCs w:val="1"/>
                <w:color w:val="auto"/>
              </w:rPr>
            </w:pPr>
          </w:p>
        </w:tc>
      </w:tr>
      <w:tr>
        <w:trPr>
          <w:trHeight w:val="181"/>
        </w:trPr>
        <w:tc>
          <w:tcPr>
            <w:tcW w:w="6120" w:type="dxa"/>
            <w:vAlign w:val="bottom"/>
          </w:tcPr>
          <w:p>
            <w:pPr>
              <w:ind w:left="260"/>
              <w:spacing w:after="0"/>
              <w:rPr>
                <w:sz w:val="20"/>
                <w:szCs w:val="20"/>
                <w:color w:val="auto"/>
              </w:rPr>
            </w:pPr>
            <w:r>
              <w:rPr>
                <w:rFonts w:ascii="Arial" w:cs="Arial" w:eastAsia="Arial" w:hAnsi="Arial"/>
                <w:sz w:val="14"/>
                <w:szCs w:val="14"/>
                <w:color w:val="auto"/>
              </w:rPr>
              <w:t>Networks</w:t>
            </w:r>
          </w:p>
        </w:tc>
        <w:tc>
          <w:tcPr>
            <w:tcW w:w="16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85,883</w:t>
            </w:r>
          </w:p>
        </w:tc>
        <w:tc>
          <w:tcPr>
            <w:tcW w:w="6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120" w:type="dxa"/>
            <w:vAlign w:val="bottom"/>
          </w:tcPr>
          <w:p>
            <w:pPr>
              <w:ind w:left="580"/>
              <w:spacing w:after="0"/>
              <w:rPr>
                <w:sz w:val="20"/>
                <w:szCs w:val="20"/>
                <w:color w:val="auto"/>
              </w:rPr>
            </w:pPr>
            <w:r>
              <w:rPr>
                <w:rFonts w:ascii="Arial" w:cs="Arial" w:eastAsia="Arial" w:hAnsi="Arial"/>
                <w:sz w:val="14"/>
                <w:szCs w:val="14"/>
                <w:color w:val="auto"/>
              </w:rPr>
              <w:t>Total Company</w:t>
            </w:r>
          </w:p>
        </w:tc>
        <w:tc>
          <w:tcPr>
            <w:tcW w:w="1640" w:type="dxa"/>
            <w:vAlign w:val="bottom"/>
            <w:tcBorders>
              <w:bottom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607,221</w:t>
            </w:r>
          </w:p>
        </w:tc>
        <w:tc>
          <w:tcPr>
            <w:tcW w:w="6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477,592</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12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Electricity</w:t>
            </w:r>
          </w:p>
        </w:tc>
        <w:tc>
          <w:tcPr>
            <w:tcW w:w="16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608"/>
              <w:spacing w:after="0"/>
              <w:rPr>
                <w:sz w:val="20"/>
                <w:szCs w:val="20"/>
                <w:color w:val="auto"/>
              </w:rPr>
            </w:pPr>
            <w:r>
              <w:rPr>
                <w:rFonts w:ascii="Arial" w:cs="Arial" w:eastAsia="Arial" w:hAnsi="Arial"/>
                <w:sz w:val="14"/>
                <w:szCs w:val="14"/>
                <w:color w:val="auto"/>
              </w:rPr>
              <w:t>69,975</w:t>
            </w:r>
          </w:p>
        </w:tc>
        <w:tc>
          <w:tcPr>
            <w:tcW w:w="6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67,250</w:t>
            </w: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Gas</w:t>
            </w:r>
          </w:p>
        </w:tc>
        <w:tc>
          <w:tcPr>
            <w:tcW w:w="1640" w:type="dxa"/>
            <w:vAlign w:val="bottom"/>
          </w:tcPr>
          <w:p>
            <w:pPr>
              <w:spacing w:after="0"/>
              <w:rPr>
                <w:sz w:val="15"/>
                <w:szCs w:val="15"/>
                <w:color w:val="auto"/>
              </w:rPr>
            </w:pPr>
          </w:p>
        </w:tc>
        <w:tc>
          <w:tcPr>
            <w:tcW w:w="1380" w:type="dxa"/>
            <w:vAlign w:val="bottom"/>
          </w:tcPr>
          <w:p>
            <w:pPr>
              <w:jc w:val="right"/>
              <w:ind w:right="608"/>
              <w:spacing w:after="0"/>
              <w:rPr>
                <w:sz w:val="20"/>
                <w:szCs w:val="20"/>
                <w:color w:val="auto"/>
              </w:rPr>
            </w:pPr>
            <w:r>
              <w:rPr>
                <w:rFonts w:ascii="Arial" w:cs="Arial" w:eastAsia="Arial" w:hAnsi="Arial"/>
                <w:sz w:val="14"/>
                <w:szCs w:val="14"/>
                <w:color w:val="auto"/>
              </w:rPr>
              <w:t>43,471</w:t>
            </w:r>
          </w:p>
        </w:tc>
        <w:tc>
          <w:tcPr>
            <w:tcW w:w="600" w:type="dxa"/>
            <w:vAlign w:val="bottom"/>
          </w:tcPr>
          <w:p>
            <w:pPr>
              <w:spacing w:after="0"/>
              <w:rPr>
                <w:sz w:val="15"/>
                <w:szCs w:val="15"/>
                <w:color w:val="auto"/>
              </w:rPr>
            </w:pP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50,815</w:t>
            </w: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Water</w:t>
            </w:r>
          </w:p>
        </w:tc>
        <w:tc>
          <w:tcPr>
            <w:tcW w:w="1640" w:type="dxa"/>
            <w:vAlign w:val="bottom"/>
          </w:tcPr>
          <w:p>
            <w:pPr>
              <w:spacing w:after="0"/>
              <w:rPr>
                <w:sz w:val="15"/>
                <w:szCs w:val="15"/>
                <w:color w:val="auto"/>
              </w:rPr>
            </w:pPr>
          </w:p>
        </w:tc>
        <w:tc>
          <w:tcPr>
            <w:tcW w:w="1380" w:type="dxa"/>
            <w:vAlign w:val="bottom"/>
          </w:tcPr>
          <w:p>
            <w:pPr>
              <w:jc w:val="right"/>
              <w:ind w:right="608"/>
              <w:spacing w:after="0"/>
              <w:rPr>
                <w:sz w:val="20"/>
                <w:szCs w:val="20"/>
                <w:color w:val="auto"/>
              </w:rPr>
            </w:pPr>
            <w:r>
              <w:rPr>
                <w:rFonts w:ascii="Arial" w:cs="Arial" w:eastAsia="Arial" w:hAnsi="Arial"/>
                <w:sz w:val="14"/>
                <w:szCs w:val="14"/>
                <w:color w:val="auto"/>
              </w:rPr>
              <w:t>37,805</w:t>
            </w:r>
          </w:p>
        </w:tc>
        <w:tc>
          <w:tcPr>
            <w:tcW w:w="600" w:type="dxa"/>
            <w:vAlign w:val="bottom"/>
          </w:tcPr>
          <w:p>
            <w:pPr>
              <w:spacing w:after="0"/>
              <w:rPr>
                <w:sz w:val="15"/>
                <w:szCs w:val="15"/>
                <w:color w:val="auto"/>
              </w:rPr>
            </w:pP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39,572</w:t>
            </w:r>
          </w:p>
        </w:tc>
        <w:tc>
          <w:tcPr>
            <w:tcW w:w="0" w:type="dxa"/>
            <w:vAlign w:val="bottom"/>
          </w:tcPr>
          <w:p>
            <w:pPr>
              <w:spacing w:after="0"/>
              <w:rPr>
                <w:sz w:val="1"/>
                <w:szCs w:val="1"/>
                <w:color w:val="auto"/>
              </w:rPr>
            </w:pPr>
          </w:p>
        </w:tc>
      </w:tr>
      <w:tr>
        <w:trPr>
          <w:trHeight w:val="181"/>
        </w:trPr>
        <w:tc>
          <w:tcPr>
            <w:tcW w:w="6120" w:type="dxa"/>
            <w:vAlign w:val="bottom"/>
          </w:tcPr>
          <w:p>
            <w:pPr>
              <w:ind w:left="260"/>
              <w:spacing w:after="0"/>
              <w:rPr>
                <w:sz w:val="20"/>
                <w:szCs w:val="20"/>
                <w:color w:val="auto"/>
              </w:rPr>
            </w:pPr>
            <w:r>
              <w:rPr>
                <w:rFonts w:ascii="Arial" w:cs="Arial" w:eastAsia="Arial" w:hAnsi="Arial"/>
                <w:sz w:val="14"/>
                <w:szCs w:val="14"/>
                <w:color w:val="auto"/>
              </w:rPr>
              <w:t>Networks</w:t>
            </w:r>
          </w:p>
        </w:tc>
        <w:tc>
          <w:tcPr>
            <w:tcW w:w="16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28,604</w:t>
            </w:r>
          </w:p>
        </w:tc>
        <w:tc>
          <w:tcPr>
            <w:tcW w:w="6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120" w:type="dxa"/>
            <w:vAlign w:val="bottom"/>
          </w:tcPr>
          <w:p>
            <w:pPr>
              <w:ind w:left="580"/>
              <w:spacing w:after="0"/>
              <w:rPr>
                <w:sz w:val="20"/>
                <w:szCs w:val="20"/>
                <w:color w:val="auto"/>
              </w:rPr>
            </w:pPr>
            <w:r>
              <w:rPr>
                <w:rFonts w:ascii="Arial" w:cs="Arial" w:eastAsia="Arial" w:hAnsi="Arial"/>
                <w:sz w:val="14"/>
                <w:szCs w:val="14"/>
                <w:color w:val="auto"/>
              </w:rPr>
              <w:t>Total Company</w:t>
            </w:r>
          </w:p>
        </w:tc>
        <w:tc>
          <w:tcPr>
            <w:tcW w:w="1640" w:type="dxa"/>
            <w:vAlign w:val="bottom"/>
            <w:tcBorders>
              <w:bottom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179,855</w:t>
            </w:r>
          </w:p>
        </w:tc>
        <w:tc>
          <w:tcPr>
            <w:tcW w:w="6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157,637</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12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Electricity</w:t>
            </w:r>
          </w:p>
        </w:tc>
        <w:tc>
          <w:tcPr>
            <w:tcW w:w="16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48"/>
              <w:spacing w:after="0"/>
              <w:rPr>
                <w:sz w:val="20"/>
                <w:szCs w:val="20"/>
                <w:color w:val="auto"/>
              </w:rPr>
            </w:pPr>
            <w:r>
              <w:rPr>
                <w:rFonts w:ascii="Arial" w:cs="Arial" w:eastAsia="Arial" w:hAnsi="Arial"/>
                <w:sz w:val="14"/>
                <w:szCs w:val="14"/>
                <w:color w:val="auto"/>
              </w:rPr>
              <w:t>(2,768)</w:t>
            </w:r>
          </w:p>
        </w:tc>
        <w:tc>
          <w:tcPr>
            <w:tcW w:w="6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17,084</w:t>
            </w: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Gas</w:t>
            </w:r>
          </w:p>
        </w:tc>
        <w:tc>
          <w:tcPr>
            <w:tcW w:w="1640" w:type="dxa"/>
            <w:vAlign w:val="bottom"/>
          </w:tcPr>
          <w:p>
            <w:pPr>
              <w:spacing w:after="0"/>
              <w:rPr>
                <w:sz w:val="15"/>
                <w:szCs w:val="15"/>
                <w:color w:val="auto"/>
              </w:rPr>
            </w:pPr>
          </w:p>
        </w:tc>
        <w:tc>
          <w:tcPr>
            <w:tcW w:w="1380" w:type="dxa"/>
            <w:vAlign w:val="bottom"/>
          </w:tcPr>
          <w:p>
            <w:pPr>
              <w:jc w:val="right"/>
              <w:ind w:right="548"/>
              <w:spacing w:after="0"/>
              <w:rPr>
                <w:sz w:val="20"/>
                <w:szCs w:val="20"/>
                <w:color w:val="auto"/>
              </w:rPr>
            </w:pPr>
            <w:r>
              <w:rPr>
                <w:rFonts w:ascii="Arial" w:cs="Arial" w:eastAsia="Arial" w:hAnsi="Arial"/>
                <w:sz w:val="14"/>
                <w:szCs w:val="14"/>
                <w:color w:val="auto"/>
              </w:rPr>
              <w:t>(28,348)</w:t>
            </w:r>
          </w:p>
        </w:tc>
        <w:tc>
          <w:tcPr>
            <w:tcW w:w="600" w:type="dxa"/>
            <w:vAlign w:val="bottom"/>
          </w:tcPr>
          <w:p>
            <w:pPr>
              <w:spacing w:after="0"/>
              <w:rPr>
                <w:sz w:val="15"/>
                <w:szCs w:val="15"/>
                <w:color w:val="auto"/>
              </w:rPr>
            </w:pP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21,731</w:t>
            </w: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Water</w:t>
            </w:r>
          </w:p>
        </w:tc>
        <w:tc>
          <w:tcPr>
            <w:tcW w:w="1640" w:type="dxa"/>
            <w:vAlign w:val="bottom"/>
          </w:tcPr>
          <w:p>
            <w:pPr>
              <w:spacing w:after="0"/>
              <w:rPr>
                <w:sz w:val="15"/>
                <w:szCs w:val="15"/>
                <w:color w:val="auto"/>
              </w:rPr>
            </w:pPr>
          </w:p>
        </w:tc>
        <w:tc>
          <w:tcPr>
            <w:tcW w:w="1380" w:type="dxa"/>
            <w:vAlign w:val="bottom"/>
          </w:tcPr>
          <w:p>
            <w:pPr>
              <w:jc w:val="right"/>
              <w:ind w:right="548"/>
              <w:spacing w:after="0"/>
              <w:rPr>
                <w:sz w:val="20"/>
                <w:szCs w:val="20"/>
                <w:color w:val="auto"/>
              </w:rPr>
            </w:pPr>
            <w:r>
              <w:rPr>
                <w:rFonts w:ascii="Arial" w:cs="Arial" w:eastAsia="Arial" w:hAnsi="Arial"/>
                <w:sz w:val="14"/>
                <w:szCs w:val="14"/>
                <w:color w:val="auto"/>
              </w:rPr>
              <w:t>(11,710)</w:t>
            </w:r>
          </w:p>
        </w:tc>
        <w:tc>
          <w:tcPr>
            <w:tcW w:w="600" w:type="dxa"/>
            <w:vAlign w:val="bottom"/>
          </w:tcPr>
          <w:p>
            <w:pPr>
              <w:spacing w:after="0"/>
              <w:rPr>
                <w:sz w:val="15"/>
                <w:szCs w:val="15"/>
                <w:color w:val="auto"/>
              </w:rPr>
            </w:pP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8,804</w:t>
            </w:r>
          </w:p>
        </w:tc>
        <w:tc>
          <w:tcPr>
            <w:tcW w:w="0" w:type="dxa"/>
            <w:vAlign w:val="bottom"/>
          </w:tcPr>
          <w:p>
            <w:pPr>
              <w:spacing w:after="0"/>
              <w:rPr>
                <w:sz w:val="1"/>
                <w:szCs w:val="1"/>
                <w:color w:val="auto"/>
              </w:rPr>
            </w:pPr>
          </w:p>
        </w:tc>
      </w:tr>
      <w:tr>
        <w:trPr>
          <w:trHeight w:val="176"/>
        </w:trPr>
        <w:tc>
          <w:tcPr>
            <w:tcW w:w="6120" w:type="dxa"/>
            <w:vAlign w:val="bottom"/>
          </w:tcPr>
          <w:p>
            <w:pPr>
              <w:ind w:left="260"/>
              <w:spacing w:after="0"/>
              <w:rPr>
                <w:sz w:val="20"/>
                <w:szCs w:val="20"/>
                <w:color w:val="auto"/>
              </w:rPr>
            </w:pPr>
            <w:r>
              <w:rPr>
                <w:rFonts w:ascii="Arial" w:cs="Arial" w:eastAsia="Arial" w:hAnsi="Arial"/>
                <w:sz w:val="14"/>
                <w:szCs w:val="14"/>
                <w:color w:val="auto"/>
              </w:rPr>
              <w:t>Networks</w:t>
            </w:r>
          </w:p>
        </w:tc>
        <w:tc>
          <w:tcPr>
            <w:tcW w:w="1640" w:type="dxa"/>
            <w:vAlign w:val="bottom"/>
          </w:tcPr>
          <w:p>
            <w:pPr>
              <w:spacing w:after="0"/>
              <w:rPr>
                <w:sz w:val="15"/>
                <w:szCs w:val="15"/>
                <w:color w:val="auto"/>
              </w:rPr>
            </w:pPr>
          </w:p>
        </w:tc>
        <w:tc>
          <w:tcPr>
            <w:tcW w:w="1380" w:type="dxa"/>
            <w:vAlign w:val="bottom"/>
          </w:tcPr>
          <w:p>
            <w:pPr>
              <w:jc w:val="right"/>
              <w:ind w:right="548"/>
              <w:spacing w:after="0"/>
              <w:rPr>
                <w:sz w:val="20"/>
                <w:szCs w:val="20"/>
                <w:color w:val="auto"/>
              </w:rPr>
            </w:pPr>
            <w:r>
              <w:rPr>
                <w:rFonts w:ascii="Arial" w:cs="Arial" w:eastAsia="Arial" w:hAnsi="Arial"/>
                <w:sz w:val="14"/>
                <w:szCs w:val="14"/>
                <w:color w:val="auto"/>
              </w:rPr>
              <w:t>(75,510)</w:t>
            </w:r>
          </w:p>
        </w:tc>
        <w:tc>
          <w:tcPr>
            <w:tcW w:w="600" w:type="dxa"/>
            <w:vAlign w:val="bottom"/>
          </w:tcPr>
          <w:p>
            <w:pPr>
              <w:spacing w:after="0"/>
              <w:rPr>
                <w:sz w:val="15"/>
                <w:szCs w:val="15"/>
                <w:color w:val="auto"/>
              </w:rPr>
            </w:pP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120" w:type="dxa"/>
            <w:vAlign w:val="bottom"/>
          </w:tcPr>
          <w:p>
            <w:pPr>
              <w:ind w:left="260"/>
              <w:spacing w:after="0"/>
              <w:rPr>
                <w:sz w:val="20"/>
                <w:szCs w:val="20"/>
                <w:color w:val="auto"/>
              </w:rPr>
            </w:pPr>
            <w:r>
              <w:rPr>
                <w:rFonts w:ascii="Arial" w:cs="Arial" w:eastAsia="Arial" w:hAnsi="Arial"/>
                <w:sz w:val="14"/>
                <w:szCs w:val="14"/>
                <w:color w:val="auto"/>
              </w:rPr>
              <w:t>Corporate unallocated</w:t>
            </w:r>
          </w:p>
        </w:tc>
        <w:tc>
          <w:tcPr>
            <w:tcW w:w="16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(22,112)</w:t>
            </w:r>
          </w:p>
        </w:tc>
        <w:tc>
          <w:tcPr>
            <w:tcW w:w="6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(16,792)</w:t>
            </w:r>
          </w:p>
        </w:tc>
        <w:tc>
          <w:tcPr>
            <w:tcW w:w="0" w:type="dxa"/>
            <w:vAlign w:val="bottom"/>
          </w:tcPr>
          <w:p>
            <w:pPr>
              <w:spacing w:after="0"/>
              <w:rPr>
                <w:sz w:val="1"/>
                <w:szCs w:val="1"/>
                <w:color w:val="auto"/>
              </w:rPr>
            </w:pPr>
          </w:p>
        </w:tc>
      </w:tr>
      <w:tr>
        <w:trPr>
          <w:trHeight w:val="169"/>
        </w:trPr>
        <w:tc>
          <w:tcPr>
            <w:tcW w:w="6120" w:type="dxa"/>
            <w:vAlign w:val="bottom"/>
          </w:tcPr>
          <w:p>
            <w:pPr>
              <w:ind w:left="580"/>
              <w:spacing w:after="0"/>
              <w:rPr>
                <w:sz w:val="20"/>
                <w:szCs w:val="20"/>
                <w:color w:val="auto"/>
              </w:rPr>
            </w:pPr>
            <w:r>
              <w:rPr>
                <w:rFonts w:ascii="Arial" w:cs="Arial" w:eastAsia="Arial" w:hAnsi="Arial"/>
                <w:sz w:val="14"/>
                <w:szCs w:val="14"/>
                <w:color w:val="auto"/>
              </w:rPr>
              <w:t>Total Company</w:t>
            </w:r>
          </w:p>
        </w:tc>
        <w:tc>
          <w:tcPr>
            <w:tcW w:w="1640" w:type="dxa"/>
            <w:vAlign w:val="bottom"/>
            <w:tcBorders>
              <w:bottom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(140,448)</w:t>
            </w:r>
          </w:p>
        </w:tc>
        <w:tc>
          <w:tcPr>
            <w:tcW w:w="6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30,827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12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METER AND MODULE SUMMARY</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(Units in thousands)</w:t>
      </w:r>
    </w:p>
    <w:tbl>
      <w:tblPr>
        <w:tblLayout w:type="fixed"/>
        <w:tblInd w:w="0" w:type="dxa"/>
        <w:tblCellMar>
          <w:top w:w="0" w:type="dxa"/>
          <w:left w:w="0" w:type="dxa"/>
          <w:bottom w:w="0" w:type="dxa"/>
          <w:right w:w="0" w:type="dxa"/>
        </w:tblCellMar>
      </w:tblPr>
      <w:tr>
        <w:trPr>
          <w:trHeight w:val="159"/>
        </w:trPr>
        <w:tc>
          <w:tcPr>
            <w:tcW w:w="8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jc w:val="right"/>
              <w:ind w:right="8"/>
              <w:spacing w:after="0" w:line="159" w:lineRule="exact"/>
              <w:rPr>
                <w:sz w:val="20"/>
                <w:szCs w:val="20"/>
                <w:color w:val="auto"/>
              </w:rPr>
            </w:pPr>
            <w:r>
              <w:rPr>
                <w:rFonts w:ascii="Arial" w:cs="Arial" w:eastAsia="Arial" w:hAnsi="Arial"/>
                <w:sz w:val="14"/>
                <w:szCs w:val="14"/>
                <w:b w:val="1"/>
                <w:bCs w:val="1"/>
                <w:color w:val="auto"/>
                <w:w w:val="95"/>
              </w:rPr>
              <w:t>Three Months Ended</w:t>
            </w:r>
          </w:p>
        </w:tc>
        <w:tc>
          <w:tcPr>
            <w:tcW w:w="960" w:type="dxa"/>
            <w:vAlign w:val="bottom"/>
          </w:tcPr>
          <w:p>
            <w:pPr>
              <w:spacing w:after="0"/>
              <w:rPr>
                <w:sz w:val="13"/>
                <w:szCs w:val="13"/>
                <w:color w:val="auto"/>
              </w:rPr>
            </w:pPr>
          </w:p>
        </w:tc>
      </w:tr>
      <w:tr>
        <w:trPr>
          <w:trHeight w:val="185"/>
        </w:trPr>
        <w:tc>
          <w:tcPr>
            <w:tcW w:w="80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169"/>
        </w:trPr>
        <w:tc>
          <w:tcPr>
            <w:tcW w:w="80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04"/>
        </w:trPr>
        <w:tc>
          <w:tcPr>
            <w:tcW w:w="9040" w:type="dxa"/>
            <w:vAlign w:val="bottom"/>
            <w:gridSpan w:val="2"/>
          </w:tcPr>
          <w:p>
            <w:pPr>
              <w:spacing w:after="0" w:line="204" w:lineRule="exact"/>
              <w:rPr>
                <w:sz w:val="20"/>
                <w:szCs w:val="20"/>
                <w:color w:val="auto"/>
              </w:rPr>
            </w:pPr>
            <w:r>
              <w:rPr>
                <w:rFonts w:ascii="Arial" w:cs="Arial" w:eastAsia="Arial" w:hAnsi="Arial"/>
                <w:sz w:val="14"/>
                <w:szCs w:val="14"/>
                <w:b w:val="1"/>
                <w:bCs w:val="1"/>
                <w:color w:val="auto"/>
              </w:rPr>
              <w:t xml:space="preserve">Meters </w:t>
            </w:r>
            <w:r>
              <w:rPr>
                <w:rFonts w:ascii="Arial" w:cs="Arial" w:eastAsia="Arial" w:hAnsi="Arial"/>
                <w:sz w:val="23"/>
                <w:szCs w:val="23"/>
                <w:b w:val="1"/>
                <w:bCs w:val="1"/>
                <w:color w:val="auto"/>
                <w:vertAlign w:val="superscript"/>
              </w:rPr>
              <w:t>(1)</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9040" w:type="dxa"/>
            <w:vAlign w:val="bottom"/>
            <w:gridSpan w:val="2"/>
          </w:tcPr>
          <w:p>
            <w:pPr>
              <w:ind w:left="580"/>
              <w:spacing w:after="0"/>
              <w:rPr>
                <w:sz w:val="20"/>
                <w:szCs w:val="20"/>
                <w:color w:val="auto"/>
              </w:rPr>
            </w:pPr>
            <w:r>
              <w:rPr>
                <w:rFonts w:ascii="Arial" w:cs="Arial" w:eastAsia="Arial" w:hAnsi="Arial"/>
                <w:sz w:val="14"/>
                <w:szCs w:val="14"/>
                <w:color w:val="auto"/>
              </w:rPr>
              <w:t>Standard</w:t>
            </w:r>
          </w:p>
        </w:tc>
        <w:tc>
          <w:tcPr>
            <w:tcW w:w="1420" w:type="dxa"/>
            <w:vAlign w:val="bottom"/>
          </w:tcPr>
          <w:p>
            <w:pPr>
              <w:jc w:val="right"/>
              <w:ind w:right="968"/>
              <w:spacing w:after="0"/>
              <w:rPr>
                <w:sz w:val="20"/>
                <w:szCs w:val="20"/>
                <w:color w:val="auto"/>
              </w:rPr>
            </w:pPr>
            <w:r>
              <w:rPr>
                <w:rFonts w:ascii="Arial" w:cs="Arial" w:eastAsia="Arial" w:hAnsi="Arial"/>
                <w:sz w:val="14"/>
                <w:szCs w:val="14"/>
                <w:color w:val="auto"/>
              </w:rPr>
              <w:t>4,140</w:t>
            </w:r>
          </w:p>
        </w:tc>
        <w:tc>
          <w:tcPr>
            <w:tcW w:w="960" w:type="dxa"/>
            <w:vAlign w:val="bottom"/>
          </w:tcPr>
          <w:p>
            <w:pPr>
              <w:jc w:val="right"/>
              <w:spacing w:after="0"/>
              <w:rPr>
                <w:sz w:val="20"/>
                <w:szCs w:val="20"/>
                <w:color w:val="auto"/>
              </w:rPr>
            </w:pPr>
            <w:r>
              <w:rPr>
                <w:rFonts w:ascii="Arial" w:cs="Arial" w:eastAsia="Arial" w:hAnsi="Arial"/>
                <w:sz w:val="14"/>
                <w:szCs w:val="14"/>
                <w:color w:val="auto"/>
              </w:rPr>
              <w:t>4,010</w:t>
            </w:r>
          </w:p>
        </w:tc>
      </w:tr>
      <w:tr>
        <w:trPr>
          <w:trHeight w:val="181"/>
        </w:trPr>
        <w:tc>
          <w:tcPr>
            <w:tcW w:w="9040" w:type="dxa"/>
            <w:vAlign w:val="bottom"/>
            <w:gridSpan w:val="2"/>
          </w:tcPr>
          <w:p>
            <w:pPr>
              <w:ind w:left="580"/>
              <w:spacing w:after="0"/>
              <w:rPr>
                <w:sz w:val="20"/>
                <w:szCs w:val="20"/>
                <w:color w:val="auto"/>
              </w:rPr>
            </w:pPr>
            <w:r>
              <w:rPr>
                <w:rFonts w:ascii="Arial" w:cs="Arial" w:eastAsia="Arial" w:hAnsi="Arial"/>
                <w:sz w:val="14"/>
                <w:szCs w:val="14"/>
                <w:color w:val="auto"/>
              </w:rPr>
              <w:t>Smart</w:t>
            </w:r>
          </w:p>
        </w:tc>
        <w:tc>
          <w:tcPr>
            <w:tcW w:w="1420" w:type="dxa"/>
            <w:vAlign w:val="bottom"/>
          </w:tcPr>
          <w:p>
            <w:pPr>
              <w:jc w:val="right"/>
              <w:ind w:right="968"/>
              <w:spacing w:after="0"/>
              <w:rPr>
                <w:sz w:val="20"/>
                <w:szCs w:val="20"/>
                <w:color w:val="auto"/>
              </w:rPr>
            </w:pPr>
            <w:r>
              <w:rPr>
                <w:rFonts w:ascii="Arial" w:cs="Arial" w:eastAsia="Arial" w:hAnsi="Arial"/>
                <w:sz w:val="14"/>
                <w:szCs w:val="14"/>
                <w:color w:val="auto"/>
              </w:rPr>
              <w:t>3,060</w:t>
            </w:r>
          </w:p>
        </w:tc>
        <w:tc>
          <w:tcPr>
            <w:tcW w:w="960" w:type="dxa"/>
            <w:vAlign w:val="bottom"/>
          </w:tcPr>
          <w:p>
            <w:pPr>
              <w:jc w:val="right"/>
              <w:spacing w:after="0"/>
              <w:rPr>
                <w:sz w:val="20"/>
                <w:szCs w:val="20"/>
                <w:color w:val="auto"/>
              </w:rPr>
            </w:pPr>
            <w:r>
              <w:rPr>
                <w:rFonts w:ascii="Arial" w:cs="Arial" w:eastAsia="Arial" w:hAnsi="Arial"/>
                <w:sz w:val="14"/>
                <w:szCs w:val="14"/>
                <w:color w:val="auto"/>
              </w:rPr>
              <w:t>2,440</w:t>
            </w:r>
          </w:p>
        </w:tc>
      </w:tr>
      <w:tr>
        <w:trPr>
          <w:trHeight w:val="169"/>
        </w:trPr>
        <w:tc>
          <w:tcPr>
            <w:tcW w:w="8040" w:type="dxa"/>
            <w:vAlign w:val="bottom"/>
          </w:tcPr>
          <w:p>
            <w:pPr>
              <w:ind w:left="1200"/>
              <w:spacing w:after="0"/>
              <w:rPr>
                <w:sz w:val="20"/>
                <w:szCs w:val="20"/>
                <w:color w:val="auto"/>
              </w:rPr>
            </w:pPr>
            <w:r>
              <w:rPr>
                <w:rFonts w:ascii="Arial" w:cs="Arial" w:eastAsia="Arial" w:hAnsi="Arial"/>
                <w:sz w:val="14"/>
                <w:szCs w:val="14"/>
                <w:color w:val="auto"/>
              </w:rPr>
              <w:t>Total meters</w:t>
            </w:r>
          </w:p>
        </w:tc>
        <w:tc>
          <w:tcPr>
            <w:tcW w:w="100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968"/>
              <w:spacing w:after="0"/>
              <w:rPr>
                <w:sz w:val="20"/>
                <w:szCs w:val="20"/>
                <w:color w:val="auto"/>
              </w:rPr>
            </w:pPr>
            <w:r>
              <w:rPr>
                <w:rFonts w:ascii="Arial" w:cs="Arial" w:eastAsia="Arial" w:hAnsi="Arial"/>
                <w:sz w:val="14"/>
                <w:szCs w:val="14"/>
                <w:color w:val="auto"/>
              </w:rPr>
              <w:t>7,200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6,450</w:t>
            </w:r>
          </w:p>
        </w:tc>
      </w:tr>
      <w:tr>
        <w:trPr>
          <w:trHeight w:val="20"/>
        </w:trPr>
        <w:tc>
          <w:tcPr>
            <w:tcW w:w="8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67"/>
        </w:trPr>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Stand-alone communication modules and cards </w:t>
            </w:r>
            <w:r>
              <w:rPr>
                <w:rFonts w:ascii="Arial" w:cs="Arial" w:eastAsia="Arial" w:hAnsi="Arial"/>
                <w:sz w:val="23"/>
                <w:szCs w:val="23"/>
                <w:b w:val="1"/>
                <w:bCs w:val="1"/>
                <w:color w:val="auto"/>
                <w:vertAlign w:val="superscript"/>
              </w:rPr>
              <w:t>(2)</w:t>
            </w: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1"/>
        </w:trPr>
        <w:tc>
          <w:tcPr>
            <w:tcW w:w="9040" w:type="dxa"/>
            <w:vAlign w:val="bottom"/>
            <w:gridSpan w:val="2"/>
          </w:tcPr>
          <w:p>
            <w:pPr>
              <w:ind w:left="580"/>
              <w:spacing w:after="0"/>
              <w:rPr>
                <w:sz w:val="20"/>
                <w:szCs w:val="20"/>
                <w:color w:val="auto"/>
              </w:rPr>
            </w:pPr>
            <w:r>
              <w:rPr>
                <w:rFonts w:ascii="Arial" w:cs="Arial" w:eastAsia="Arial" w:hAnsi="Arial"/>
                <w:sz w:val="14"/>
                <w:szCs w:val="14"/>
                <w:color w:val="auto"/>
              </w:rPr>
              <w:t>Smart</w:t>
            </w:r>
          </w:p>
        </w:tc>
        <w:tc>
          <w:tcPr>
            <w:tcW w:w="1420" w:type="dxa"/>
            <w:vAlign w:val="bottom"/>
          </w:tcPr>
          <w:p>
            <w:pPr>
              <w:jc w:val="right"/>
              <w:ind w:right="968"/>
              <w:spacing w:after="0"/>
              <w:rPr>
                <w:sz w:val="20"/>
                <w:szCs w:val="20"/>
                <w:color w:val="auto"/>
              </w:rPr>
            </w:pPr>
            <w:r>
              <w:rPr>
                <w:rFonts w:ascii="Arial" w:cs="Arial" w:eastAsia="Arial" w:hAnsi="Arial"/>
                <w:sz w:val="14"/>
                <w:szCs w:val="14"/>
                <w:color w:val="auto"/>
              </w:rPr>
              <w:t>2,480</w:t>
            </w:r>
          </w:p>
        </w:tc>
        <w:tc>
          <w:tcPr>
            <w:tcW w:w="960" w:type="dxa"/>
            <w:vAlign w:val="bottom"/>
          </w:tcPr>
          <w:p>
            <w:pPr>
              <w:jc w:val="right"/>
              <w:spacing w:after="0"/>
              <w:rPr>
                <w:sz w:val="20"/>
                <w:szCs w:val="20"/>
                <w:color w:val="auto"/>
              </w:rPr>
            </w:pPr>
            <w:r>
              <w:rPr>
                <w:rFonts w:ascii="Arial" w:cs="Arial" w:eastAsia="Arial" w:hAnsi="Arial"/>
                <w:sz w:val="14"/>
                <w:szCs w:val="14"/>
                <w:color w:val="auto"/>
              </w:rPr>
              <w:t>1,400</w:t>
            </w:r>
          </w:p>
        </w:tc>
      </w:tr>
      <w:tr>
        <w:trPr>
          <w:trHeight w:val="20"/>
        </w:trPr>
        <w:tc>
          <w:tcPr>
            <w:tcW w:w="8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80" w:hanging="272"/>
        <w:spacing w:after="0"/>
        <w:tabs>
          <w:tab w:leader="none" w:pos="280" w:val="left"/>
        </w:tabs>
        <w:numPr>
          <w:ilvl w:val="0"/>
          <w:numId w:val="1"/>
        </w:numPr>
        <w:rPr>
          <w:rFonts w:ascii="Arial" w:cs="Arial" w:eastAsia="Arial" w:hAnsi="Arial"/>
          <w:sz w:val="33"/>
          <w:szCs w:val="33"/>
          <w:color w:val="auto"/>
          <w:vertAlign w:val="superscript"/>
        </w:rPr>
      </w:pPr>
      <w:r>
        <w:rPr>
          <w:rFonts w:ascii="Arial" w:cs="Arial" w:eastAsia="Arial" w:hAnsi="Arial"/>
          <w:sz w:val="20"/>
          <w:szCs w:val="20"/>
          <w:color w:val="auto"/>
        </w:rPr>
        <w:t>The Networks segment shipped an immaterial number of meters during the three months ended March 31, 2018.</w:t>
      </w:r>
    </w:p>
    <w:p>
      <w:pPr>
        <w:spacing w:after="0" w:line="40" w:lineRule="exact"/>
        <w:rPr>
          <w:rFonts w:ascii="Arial" w:cs="Arial" w:eastAsia="Arial" w:hAnsi="Arial"/>
          <w:sz w:val="33"/>
          <w:szCs w:val="33"/>
          <w:color w:val="auto"/>
          <w:vertAlign w:val="superscript"/>
        </w:rPr>
      </w:pPr>
    </w:p>
    <w:p>
      <w:pPr>
        <w:ind w:left="280" w:hanging="272"/>
        <w:spacing w:after="0" w:line="184" w:lineRule="auto"/>
        <w:tabs>
          <w:tab w:leader="none" w:pos="28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The Networks segment shipped approximately 990,000 network interface cards during the three months ended March 31, 2018.</w:t>
      </w:r>
    </w:p>
    <w:p>
      <w:pPr>
        <w:spacing w:after="0" w:line="186" w:lineRule="exact"/>
        <w:rPr>
          <w:sz w:val="20"/>
          <w:szCs w:val="20"/>
          <w:color w:val="auto"/>
        </w:rPr>
      </w:pPr>
    </w:p>
    <w:p>
      <w:pPr>
        <w:ind w:right="220"/>
        <w:spacing w:after="0" w:line="274" w:lineRule="auto"/>
        <w:rPr>
          <w:sz w:val="20"/>
          <w:szCs w:val="20"/>
          <w:color w:val="auto"/>
        </w:rPr>
      </w:pPr>
      <w:r>
        <w:rPr>
          <w:rFonts w:ascii="Arial" w:cs="Arial" w:eastAsia="Arial" w:hAnsi="Arial"/>
          <w:sz w:val="21"/>
          <w:szCs w:val="21"/>
          <w:color w:val="auto"/>
        </w:rPr>
        <w:t>The stand-alone communication modules and cards category includes communicating radio modules shipped in Electric, Gas and Water segments and network interface cards, the primary product sold by our Networks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6"/>
        </w:trPr>
        <w:tc>
          <w:tcPr>
            <w:tcW w:w="4220" w:type="dxa"/>
            <w:vAlign w:val="bottom"/>
          </w:tcPr>
          <w:p>
            <w:pPr>
              <w:spacing w:after="0"/>
              <w:rPr>
                <w:sz w:val="15"/>
                <w:szCs w:val="15"/>
                <w:color w:val="auto"/>
              </w:rPr>
            </w:pPr>
          </w:p>
        </w:tc>
        <w:tc>
          <w:tcPr>
            <w:tcW w:w="238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ITRON, INC.</w:t>
            </w:r>
          </w:p>
        </w:tc>
        <w:tc>
          <w:tcPr>
            <w:tcW w:w="1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20" w:type="dxa"/>
            <w:vAlign w:val="bottom"/>
            <w:vMerge w:val="restart"/>
          </w:tcPr>
          <w:p>
            <w:pPr>
              <w:spacing w:after="0"/>
              <w:rPr>
                <w:sz w:val="20"/>
                <w:szCs w:val="20"/>
                <w:color w:val="auto"/>
              </w:rPr>
            </w:pPr>
            <w:r>
              <w:rPr>
                <w:rFonts w:ascii="Arial" w:cs="Arial" w:eastAsia="Arial" w:hAnsi="Arial"/>
                <w:sz w:val="14"/>
                <w:szCs w:val="14"/>
                <w:color w:val="auto"/>
              </w:rPr>
              <w:t>(Unaudited, in thousands)</w:t>
            </w:r>
          </w:p>
        </w:tc>
        <w:tc>
          <w:tcPr>
            <w:tcW w:w="4300" w:type="dxa"/>
            <w:vAlign w:val="bottom"/>
            <w:gridSpan w:val="3"/>
          </w:tcPr>
          <w:p>
            <w:pPr>
              <w:jc w:val="right"/>
              <w:ind w:right="1488"/>
              <w:spacing w:after="0"/>
              <w:rPr>
                <w:sz w:val="20"/>
                <w:szCs w:val="20"/>
                <w:color w:val="auto"/>
              </w:rPr>
            </w:pPr>
            <w:r>
              <w:rPr>
                <w:rFonts w:ascii="Arial" w:cs="Arial" w:eastAsia="Arial" w:hAnsi="Arial"/>
                <w:sz w:val="14"/>
                <w:szCs w:val="14"/>
                <w:b w:val="1"/>
                <w:bCs w:val="1"/>
                <w:color w:val="auto"/>
              </w:rPr>
              <w:t>CONSOLIDATED BALANCE SHEETS</w:t>
            </w:r>
          </w:p>
        </w:tc>
        <w:tc>
          <w:tcPr>
            <w:tcW w:w="6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2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March 31, 2018</w:t>
            </w:r>
          </w:p>
        </w:tc>
        <w:tc>
          <w:tcPr>
            <w:tcW w:w="620" w:type="dxa"/>
            <w:vAlign w:val="bottom"/>
          </w:tcPr>
          <w:p>
            <w:pPr>
              <w:spacing w:after="0"/>
              <w:rPr>
                <w:sz w:val="15"/>
                <w:szCs w:val="15"/>
                <w:color w:val="auto"/>
              </w:rPr>
            </w:pPr>
          </w:p>
        </w:tc>
        <w:tc>
          <w:tcPr>
            <w:tcW w:w="228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4"/>
        </w:trPr>
        <w:tc>
          <w:tcPr>
            <w:tcW w:w="4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220" w:type="dxa"/>
            <w:vAlign w:val="bottom"/>
          </w:tcPr>
          <w:p>
            <w:pPr>
              <w:ind w:left="2800"/>
              <w:spacing w:after="0"/>
              <w:rPr>
                <w:sz w:val="20"/>
                <w:szCs w:val="20"/>
                <w:color w:val="auto"/>
              </w:rPr>
            </w:pPr>
            <w:r>
              <w:rPr>
                <w:rFonts w:ascii="Arial" w:cs="Arial" w:eastAsia="Arial" w:hAnsi="Arial"/>
                <w:sz w:val="14"/>
                <w:szCs w:val="14"/>
                <w:b w:val="1"/>
                <w:bCs w:val="1"/>
                <w:color w:val="auto"/>
              </w:rPr>
              <w:t>ASSETS</w:t>
            </w:r>
          </w:p>
        </w:tc>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Current assets</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2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23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143,951</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176,274</w:t>
            </w:r>
          </w:p>
        </w:tc>
        <w:tc>
          <w:tcPr>
            <w:tcW w:w="0" w:type="dxa"/>
            <w:vAlign w:val="bottom"/>
          </w:tcPr>
          <w:p>
            <w:pPr>
              <w:spacing w:after="0"/>
              <w:rPr>
                <w:sz w:val="1"/>
                <w:szCs w:val="1"/>
                <w:color w:val="auto"/>
              </w:rPr>
            </w:pPr>
          </w:p>
        </w:tc>
      </w:tr>
      <w:tr>
        <w:trPr>
          <w:trHeight w:val="176"/>
        </w:trPr>
        <w:tc>
          <w:tcPr>
            <w:tcW w:w="4220" w:type="dxa"/>
            <w:vAlign w:val="bottom"/>
          </w:tcPr>
          <w:p>
            <w:pPr>
              <w:ind w:left="160"/>
              <w:spacing w:after="0"/>
              <w:rPr>
                <w:sz w:val="20"/>
                <w:szCs w:val="20"/>
                <w:color w:val="auto"/>
              </w:rPr>
            </w:pPr>
            <w:r>
              <w:rPr>
                <w:rFonts w:ascii="Arial" w:cs="Arial" w:eastAsia="Arial" w:hAnsi="Arial"/>
                <w:sz w:val="14"/>
                <w:szCs w:val="14"/>
                <w:color w:val="auto"/>
              </w:rPr>
              <w:t>Accounts receivable, net</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481,389</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398,029</w:t>
            </w:r>
          </w:p>
        </w:tc>
        <w:tc>
          <w:tcPr>
            <w:tcW w:w="0" w:type="dxa"/>
            <w:vAlign w:val="bottom"/>
          </w:tcPr>
          <w:p>
            <w:pPr>
              <w:spacing w:after="0"/>
              <w:rPr>
                <w:sz w:val="1"/>
                <w:szCs w:val="1"/>
                <w:color w:val="auto"/>
              </w:rPr>
            </w:pPr>
          </w:p>
        </w:tc>
      </w:tr>
      <w:tr>
        <w:trPr>
          <w:trHeight w:val="176"/>
        </w:trPr>
        <w:tc>
          <w:tcPr>
            <w:tcW w:w="4220" w:type="dxa"/>
            <w:vAlign w:val="bottom"/>
          </w:tcPr>
          <w:p>
            <w:pPr>
              <w:ind w:left="160"/>
              <w:spacing w:after="0"/>
              <w:rPr>
                <w:sz w:val="20"/>
                <w:szCs w:val="20"/>
                <w:color w:val="auto"/>
              </w:rPr>
            </w:pPr>
            <w:r>
              <w:rPr>
                <w:rFonts w:ascii="Arial" w:cs="Arial" w:eastAsia="Arial" w:hAnsi="Arial"/>
                <w:sz w:val="14"/>
                <w:szCs w:val="14"/>
                <w:color w:val="auto"/>
              </w:rPr>
              <w:t>Inventories</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209,373</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193,835</w:t>
            </w:r>
          </w:p>
        </w:tc>
        <w:tc>
          <w:tcPr>
            <w:tcW w:w="0" w:type="dxa"/>
            <w:vAlign w:val="bottom"/>
          </w:tcPr>
          <w:p>
            <w:pPr>
              <w:spacing w:after="0"/>
              <w:rPr>
                <w:sz w:val="1"/>
                <w:szCs w:val="1"/>
                <w:color w:val="auto"/>
              </w:rPr>
            </w:pPr>
          </w:p>
        </w:tc>
      </w:tr>
      <w:tr>
        <w:trPr>
          <w:trHeight w:val="181"/>
        </w:trPr>
        <w:tc>
          <w:tcPr>
            <w:tcW w:w="4220" w:type="dxa"/>
            <w:vAlign w:val="bottom"/>
          </w:tcPr>
          <w:p>
            <w:pPr>
              <w:ind w:left="160"/>
              <w:spacing w:after="0"/>
              <w:rPr>
                <w:sz w:val="20"/>
                <w:szCs w:val="20"/>
                <w:color w:val="auto"/>
              </w:rPr>
            </w:pPr>
            <w:r>
              <w:rPr>
                <w:rFonts w:ascii="Arial" w:cs="Arial" w:eastAsia="Arial" w:hAnsi="Arial"/>
                <w:sz w:val="14"/>
                <w:szCs w:val="14"/>
                <w:color w:val="auto"/>
              </w:rPr>
              <w:t>Other current assets</w:t>
            </w:r>
          </w:p>
        </w:tc>
        <w:tc>
          <w:tcPr>
            <w:tcW w:w="19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97,925</w:t>
            </w:r>
          </w:p>
        </w:tc>
        <w:tc>
          <w:tcPr>
            <w:tcW w:w="6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81,604</w:t>
            </w:r>
          </w:p>
        </w:tc>
        <w:tc>
          <w:tcPr>
            <w:tcW w:w="0" w:type="dxa"/>
            <w:vAlign w:val="bottom"/>
          </w:tcPr>
          <w:p>
            <w:pPr>
              <w:spacing w:after="0"/>
              <w:rPr>
                <w:sz w:val="1"/>
                <w:szCs w:val="1"/>
                <w:color w:val="auto"/>
              </w:rPr>
            </w:pPr>
          </w:p>
        </w:tc>
      </w:tr>
      <w:tr>
        <w:trPr>
          <w:trHeight w:val="176"/>
        </w:trPr>
        <w:tc>
          <w:tcPr>
            <w:tcW w:w="4220" w:type="dxa"/>
            <w:vAlign w:val="bottom"/>
          </w:tcPr>
          <w:p>
            <w:pPr>
              <w:ind w:left="300"/>
              <w:spacing w:after="0"/>
              <w:rPr>
                <w:sz w:val="20"/>
                <w:szCs w:val="20"/>
                <w:color w:val="auto"/>
              </w:rPr>
            </w:pPr>
            <w:r>
              <w:rPr>
                <w:rFonts w:ascii="Arial" w:cs="Arial" w:eastAsia="Arial" w:hAnsi="Arial"/>
                <w:sz w:val="14"/>
                <w:szCs w:val="14"/>
                <w:color w:val="auto"/>
              </w:rPr>
              <w:t>Total current assets</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932,638</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849,742</w:t>
            </w:r>
          </w:p>
        </w:tc>
        <w:tc>
          <w:tcPr>
            <w:tcW w:w="0" w:type="dxa"/>
            <w:vAlign w:val="bottom"/>
          </w:tcPr>
          <w:p>
            <w:pPr>
              <w:spacing w:after="0"/>
              <w:rPr>
                <w:sz w:val="1"/>
                <w:szCs w:val="1"/>
                <w:color w:val="auto"/>
              </w:rPr>
            </w:pPr>
          </w:p>
        </w:tc>
      </w:tr>
      <w:tr>
        <w:trPr>
          <w:trHeight w:val="339"/>
        </w:trPr>
        <w:tc>
          <w:tcPr>
            <w:tcW w:w="422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234,924</w:t>
            </w:r>
          </w:p>
        </w:tc>
        <w:tc>
          <w:tcPr>
            <w:tcW w:w="620" w:type="dxa"/>
            <w:vAlign w:val="bottom"/>
          </w:tcPr>
          <w:p>
            <w:pPr>
              <w:spacing w:after="0"/>
              <w:rPr>
                <w:sz w:val="24"/>
                <w:szCs w:val="24"/>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200,768</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Deferred tax assets, net</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58,917</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49,971</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Restricted cash</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1,466</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311,010</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Other long-term assets</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46,843</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43,666</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Intangible assets, net</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318,984</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95,228</w:t>
            </w:r>
          </w:p>
        </w:tc>
        <w:tc>
          <w:tcPr>
            <w:tcW w:w="0" w:type="dxa"/>
            <w:vAlign w:val="bottom"/>
          </w:tcPr>
          <w:p>
            <w:pPr>
              <w:spacing w:after="0"/>
              <w:rPr>
                <w:sz w:val="1"/>
                <w:szCs w:val="1"/>
                <w:color w:val="auto"/>
              </w:rPr>
            </w:pPr>
          </w:p>
        </w:tc>
      </w:tr>
      <w:tr>
        <w:trPr>
          <w:trHeight w:val="181"/>
        </w:trPr>
        <w:tc>
          <w:tcPr>
            <w:tcW w:w="4220" w:type="dxa"/>
            <w:vAlign w:val="bottom"/>
          </w:tcPr>
          <w:p>
            <w:pPr>
              <w:spacing w:after="0"/>
              <w:rPr>
                <w:sz w:val="20"/>
                <w:szCs w:val="20"/>
                <w:color w:val="auto"/>
              </w:rPr>
            </w:pPr>
            <w:r>
              <w:rPr>
                <w:rFonts w:ascii="Arial" w:cs="Arial" w:eastAsia="Arial" w:hAnsi="Arial"/>
                <w:sz w:val="14"/>
                <w:szCs w:val="14"/>
                <w:color w:val="auto"/>
              </w:rPr>
              <w:t>Goodwill</w:t>
            </w:r>
          </w:p>
        </w:tc>
        <w:tc>
          <w:tcPr>
            <w:tcW w:w="19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1,142,757</w:t>
            </w:r>
          </w:p>
        </w:tc>
        <w:tc>
          <w:tcPr>
            <w:tcW w:w="6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555,762</w:t>
            </w:r>
          </w:p>
        </w:tc>
        <w:tc>
          <w:tcPr>
            <w:tcW w:w="0" w:type="dxa"/>
            <w:vAlign w:val="bottom"/>
          </w:tcPr>
          <w:p>
            <w:pPr>
              <w:spacing w:after="0"/>
              <w:rPr>
                <w:sz w:val="1"/>
                <w:szCs w:val="1"/>
                <w:color w:val="auto"/>
              </w:rPr>
            </w:pPr>
          </w:p>
        </w:tc>
      </w:tr>
      <w:tr>
        <w:trPr>
          <w:trHeight w:val="169"/>
        </w:trPr>
        <w:tc>
          <w:tcPr>
            <w:tcW w:w="422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1920" w:type="dxa"/>
            <w:vAlign w:val="bottom"/>
          </w:tcPr>
          <w:p>
            <w:pPr>
              <w:spacing w:after="0"/>
              <w:rPr>
                <w:sz w:val="14"/>
                <w:szCs w:val="14"/>
                <w:color w:val="auto"/>
              </w:rPr>
            </w:pPr>
          </w:p>
        </w:tc>
        <w:tc>
          <w:tcPr>
            <w:tcW w:w="4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2,736,529</w:t>
            </w: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2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2,106,147</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LIABILITIES AND EQUITY</w:t>
            </w:r>
          </w:p>
        </w:tc>
        <w:tc>
          <w:tcPr>
            <w:tcW w:w="1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22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Current liabilities</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20" w:type="dxa"/>
            <w:vAlign w:val="bottom"/>
          </w:tcPr>
          <w:p>
            <w:pPr>
              <w:ind w:left="160"/>
              <w:spacing w:after="0"/>
              <w:rPr>
                <w:sz w:val="20"/>
                <w:szCs w:val="20"/>
                <w:color w:val="auto"/>
              </w:rPr>
            </w:pPr>
            <w:r>
              <w:rPr>
                <w:rFonts w:ascii="Arial" w:cs="Arial" w:eastAsia="Arial" w:hAnsi="Arial"/>
                <w:sz w:val="14"/>
                <w:szCs w:val="14"/>
                <w:color w:val="auto"/>
              </w:rPr>
              <w:t>Accounts payable</w:t>
            </w:r>
          </w:p>
        </w:tc>
        <w:tc>
          <w:tcPr>
            <w:tcW w:w="23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275,702</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262,166</w:t>
            </w:r>
          </w:p>
        </w:tc>
        <w:tc>
          <w:tcPr>
            <w:tcW w:w="0" w:type="dxa"/>
            <w:vAlign w:val="bottom"/>
          </w:tcPr>
          <w:p>
            <w:pPr>
              <w:spacing w:after="0"/>
              <w:rPr>
                <w:sz w:val="1"/>
                <w:szCs w:val="1"/>
                <w:color w:val="auto"/>
              </w:rPr>
            </w:pPr>
          </w:p>
        </w:tc>
      </w:tr>
      <w:tr>
        <w:trPr>
          <w:trHeight w:val="176"/>
        </w:trPr>
        <w:tc>
          <w:tcPr>
            <w:tcW w:w="4220" w:type="dxa"/>
            <w:vAlign w:val="bottom"/>
          </w:tcPr>
          <w:p>
            <w:pPr>
              <w:ind w:left="160"/>
              <w:spacing w:after="0"/>
              <w:rPr>
                <w:sz w:val="20"/>
                <w:szCs w:val="20"/>
                <w:color w:val="auto"/>
              </w:rPr>
            </w:pPr>
            <w:r>
              <w:rPr>
                <w:rFonts w:ascii="Arial" w:cs="Arial" w:eastAsia="Arial" w:hAnsi="Arial"/>
                <w:sz w:val="14"/>
                <w:szCs w:val="14"/>
                <w:color w:val="auto"/>
              </w:rPr>
              <w:t>Other current liabilities</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90,259</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56,736</w:t>
            </w:r>
          </w:p>
        </w:tc>
        <w:tc>
          <w:tcPr>
            <w:tcW w:w="0" w:type="dxa"/>
            <w:vAlign w:val="bottom"/>
          </w:tcPr>
          <w:p>
            <w:pPr>
              <w:spacing w:after="0"/>
              <w:rPr>
                <w:sz w:val="1"/>
                <w:szCs w:val="1"/>
                <w:color w:val="auto"/>
              </w:rPr>
            </w:pPr>
          </w:p>
        </w:tc>
      </w:tr>
      <w:tr>
        <w:trPr>
          <w:trHeight w:val="176"/>
        </w:trPr>
        <w:tc>
          <w:tcPr>
            <w:tcW w:w="4220" w:type="dxa"/>
            <w:vAlign w:val="bottom"/>
          </w:tcPr>
          <w:p>
            <w:pPr>
              <w:ind w:left="160"/>
              <w:spacing w:after="0"/>
              <w:rPr>
                <w:sz w:val="20"/>
                <w:szCs w:val="20"/>
                <w:color w:val="auto"/>
              </w:rPr>
            </w:pPr>
            <w:r>
              <w:rPr>
                <w:rFonts w:ascii="Arial" w:cs="Arial" w:eastAsia="Arial" w:hAnsi="Arial"/>
                <w:sz w:val="14"/>
                <w:szCs w:val="14"/>
                <w:color w:val="auto"/>
              </w:rPr>
              <w:t>Wages and benefits payable</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119,312</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90,505</w:t>
            </w:r>
          </w:p>
        </w:tc>
        <w:tc>
          <w:tcPr>
            <w:tcW w:w="0" w:type="dxa"/>
            <w:vAlign w:val="bottom"/>
          </w:tcPr>
          <w:p>
            <w:pPr>
              <w:spacing w:after="0"/>
              <w:rPr>
                <w:sz w:val="1"/>
                <w:szCs w:val="1"/>
                <w:color w:val="auto"/>
              </w:rPr>
            </w:pPr>
          </w:p>
        </w:tc>
      </w:tr>
      <w:tr>
        <w:trPr>
          <w:trHeight w:val="176"/>
        </w:trPr>
        <w:tc>
          <w:tcPr>
            <w:tcW w:w="4220" w:type="dxa"/>
            <w:vAlign w:val="bottom"/>
          </w:tcPr>
          <w:p>
            <w:pPr>
              <w:ind w:left="160"/>
              <w:spacing w:after="0"/>
              <w:rPr>
                <w:sz w:val="20"/>
                <w:szCs w:val="20"/>
                <w:color w:val="auto"/>
              </w:rPr>
            </w:pPr>
            <w:r>
              <w:rPr>
                <w:rFonts w:ascii="Arial" w:cs="Arial" w:eastAsia="Arial" w:hAnsi="Arial"/>
                <w:sz w:val="14"/>
                <w:szCs w:val="14"/>
                <w:color w:val="auto"/>
              </w:rPr>
              <w:t>Taxes payable</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22,659</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16,100</w:t>
            </w:r>
          </w:p>
        </w:tc>
        <w:tc>
          <w:tcPr>
            <w:tcW w:w="0" w:type="dxa"/>
            <w:vAlign w:val="bottom"/>
          </w:tcPr>
          <w:p>
            <w:pPr>
              <w:spacing w:after="0"/>
              <w:rPr>
                <w:sz w:val="1"/>
                <w:szCs w:val="1"/>
                <w:color w:val="auto"/>
              </w:rPr>
            </w:pPr>
          </w:p>
        </w:tc>
      </w:tr>
      <w:tr>
        <w:trPr>
          <w:trHeight w:val="176"/>
        </w:trPr>
        <w:tc>
          <w:tcPr>
            <w:tcW w:w="4220" w:type="dxa"/>
            <w:vAlign w:val="bottom"/>
          </w:tcPr>
          <w:p>
            <w:pPr>
              <w:ind w:left="160"/>
              <w:spacing w:after="0"/>
              <w:rPr>
                <w:sz w:val="20"/>
                <w:szCs w:val="20"/>
                <w:color w:val="auto"/>
              </w:rPr>
            </w:pPr>
            <w:r>
              <w:rPr>
                <w:rFonts w:ascii="Arial" w:cs="Arial" w:eastAsia="Arial" w:hAnsi="Arial"/>
                <w:sz w:val="14"/>
                <w:szCs w:val="14"/>
                <w:color w:val="auto"/>
              </w:rPr>
              <w:t>Current portion of debt</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16,250</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19,688</w:t>
            </w:r>
          </w:p>
        </w:tc>
        <w:tc>
          <w:tcPr>
            <w:tcW w:w="0" w:type="dxa"/>
            <w:vAlign w:val="bottom"/>
          </w:tcPr>
          <w:p>
            <w:pPr>
              <w:spacing w:after="0"/>
              <w:rPr>
                <w:sz w:val="1"/>
                <w:szCs w:val="1"/>
                <w:color w:val="auto"/>
              </w:rPr>
            </w:pPr>
          </w:p>
        </w:tc>
      </w:tr>
      <w:tr>
        <w:trPr>
          <w:trHeight w:val="176"/>
        </w:trPr>
        <w:tc>
          <w:tcPr>
            <w:tcW w:w="4220" w:type="dxa"/>
            <w:vAlign w:val="bottom"/>
          </w:tcPr>
          <w:p>
            <w:pPr>
              <w:ind w:left="160"/>
              <w:spacing w:after="0"/>
              <w:rPr>
                <w:sz w:val="20"/>
                <w:szCs w:val="20"/>
                <w:color w:val="auto"/>
              </w:rPr>
            </w:pPr>
            <w:r>
              <w:rPr>
                <w:rFonts w:ascii="Arial" w:cs="Arial" w:eastAsia="Arial" w:hAnsi="Arial"/>
                <w:sz w:val="14"/>
                <w:szCs w:val="14"/>
                <w:color w:val="auto"/>
              </w:rPr>
              <w:t>Current portion of warranty</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26,533</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21,150</w:t>
            </w:r>
          </w:p>
        </w:tc>
        <w:tc>
          <w:tcPr>
            <w:tcW w:w="0" w:type="dxa"/>
            <w:vAlign w:val="bottom"/>
          </w:tcPr>
          <w:p>
            <w:pPr>
              <w:spacing w:after="0"/>
              <w:rPr>
                <w:sz w:val="1"/>
                <w:szCs w:val="1"/>
                <w:color w:val="auto"/>
              </w:rPr>
            </w:pPr>
          </w:p>
        </w:tc>
      </w:tr>
      <w:tr>
        <w:trPr>
          <w:trHeight w:val="181"/>
        </w:trPr>
        <w:tc>
          <w:tcPr>
            <w:tcW w:w="4220" w:type="dxa"/>
            <w:vAlign w:val="bottom"/>
          </w:tcPr>
          <w:p>
            <w:pPr>
              <w:ind w:left="160"/>
              <w:spacing w:after="0"/>
              <w:rPr>
                <w:sz w:val="20"/>
                <w:szCs w:val="20"/>
                <w:color w:val="auto"/>
              </w:rPr>
            </w:pPr>
            <w:r>
              <w:rPr>
                <w:rFonts w:ascii="Arial" w:cs="Arial" w:eastAsia="Arial" w:hAnsi="Arial"/>
                <w:sz w:val="14"/>
                <w:szCs w:val="14"/>
                <w:color w:val="auto"/>
              </w:rPr>
              <w:t>Unearned revenue</w:t>
            </w:r>
          </w:p>
        </w:tc>
        <w:tc>
          <w:tcPr>
            <w:tcW w:w="19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87,293</w:t>
            </w:r>
          </w:p>
        </w:tc>
        <w:tc>
          <w:tcPr>
            <w:tcW w:w="6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41,438</w:t>
            </w:r>
          </w:p>
        </w:tc>
        <w:tc>
          <w:tcPr>
            <w:tcW w:w="0" w:type="dxa"/>
            <w:vAlign w:val="bottom"/>
          </w:tcPr>
          <w:p>
            <w:pPr>
              <w:spacing w:after="0"/>
              <w:rPr>
                <w:sz w:val="1"/>
                <w:szCs w:val="1"/>
                <w:color w:val="auto"/>
              </w:rPr>
            </w:pPr>
          </w:p>
        </w:tc>
      </w:tr>
      <w:tr>
        <w:trPr>
          <w:trHeight w:val="176"/>
        </w:trPr>
        <w:tc>
          <w:tcPr>
            <w:tcW w:w="4220" w:type="dxa"/>
            <w:vAlign w:val="bottom"/>
          </w:tcPr>
          <w:p>
            <w:pPr>
              <w:ind w:left="300"/>
              <w:spacing w:after="0"/>
              <w:rPr>
                <w:sz w:val="20"/>
                <w:szCs w:val="20"/>
                <w:color w:val="auto"/>
              </w:rPr>
            </w:pPr>
            <w:r>
              <w:rPr>
                <w:rFonts w:ascii="Arial" w:cs="Arial" w:eastAsia="Arial" w:hAnsi="Arial"/>
                <w:sz w:val="14"/>
                <w:szCs w:val="14"/>
                <w:color w:val="auto"/>
              </w:rPr>
              <w:t>Total current liabilities</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638,008</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507,783</w:t>
            </w:r>
          </w:p>
        </w:tc>
        <w:tc>
          <w:tcPr>
            <w:tcW w:w="0" w:type="dxa"/>
            <w:vAlign w:val="bottom"/>
          </w:tcPr>
          <w:p>
            <w:pPr>
              <w:spacing w:after="0"/>
              <w:rPr>
                <w:sz w:val="1"/>
                <w:szCs w:val="1"/>
                <w:color w:val="auto"/>
              </w:rPr>
            </w:pPr>
          </w:p>
        </w:tc>
      </w:tr>
      <w:tr>
        <w:trPr>
          <w:trHeight w:val="339"/>
        </w:trPr>
        <w:tc>
          <w:tcPr>
            <w:tcW w:w="4220" w:type="dxa"/>
            <w:vAlign w:val="bottom"/>
          </w:tcPr>
          <w:p>
            <w:pPr>
              <w:spacing w:after="0"/>
              <w:rPr>
                <w:sz w:val="20"/>
                <w:szCs w:val="20"/>
                <w:color w:val="auto"/>
              </w:rPr>
            </w:pPr>
            <w:r>
              <w:rPr>
                <w:rFonts w:ascii="Arial" w:cs="Arial" w:eastAsia="Arial" w:hAnsi="Arial"/>
                <w:sz w:val="14"/>
                <w:szCs w:val="14"/>
                <w:color w:val="auto"/>
              </w:rPr>
              <w:t>Long-term debt</w:t>
            </w: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1,105,538</w:t>
            </w:r>
          </w:p>
        </w:tc>
        <w:tc>
          <w:tcPr>
            <w:tcW w:w="620" w:type="dxa"/>
            <w:vAlign w:val="bottom"/>
          </w:tcPr>
          <w:p>
            <w:pPr>
              <w:spacing w:after="0"/>
              <w:rPr>
                <w:sz w:val="24"/>
                <w:szCs w:val="24"/>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593,572</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Long-term warranty</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15,446</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13,712</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Pension benefit obligation</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100,045</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95,717</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Deferred tax liabilities, net</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1,571</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1,525</w:t>
            </w:r>
          </w:p>
        </w:tc>
        <w:tc>
          <w:tcPr>
            <w:tcW w:w="0" w:type="dxa"/>
            <w:vAlign w:val="bottom"/>
          </w:tcPr>
          <w:p>
            <w:pPr>
              <w:spacing w:after="0"/>
              <w:rPr>
                <w:sz w:val="1"/>
                <w:szCs w:val="1"/>
                <w:color w:val="auto"/>
              </w:rPr>
            </w:pPr>
          </w:p>
        </w:tc>
      </w:tr>
      <w:tr>
        <w:trPr>
          <w:trHeight w:val="181"/>
        </w:trPr>
        <w:tc>
          <w:tcPr>
            <w:tcW w:w="422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19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171,318</w:t>
            </w:r>
          </w:p>
        </w:tc>
        <w:tc>
          <w:tcPr>
            <w:tcW w:w="6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88,206</w:t>
            </w:r>
          </w:p>
        </w:tc>
        <w:tc>
          <w:tcPr>
            <w:tcW w:w="0" w:type="dxa"/>
            <w:vAlign w:val="bottom"/>
          </w:tcPr>
          <w:p>
            <w:pPr>
              <w:spacing w:after="0"/>
              <w:rPr>
                <w:sz w:val="1"/>
                <w:szCs w:val="1"/>
                <w:color w:val="auto"/>
              </w:rPr>
            </w:pPr>
          </w:p>
        </w:tc>
      </w:tr>
      <w:tr>
        <w:trPr>
          <w:trHeight w:val="176"/>
        </w:trPr>
        <w:tc>
          <w:tcPr>
            <w:tcW w:w="4220" w:type="dxa"/>
            <w:vAlign w:val="bottom"/>
          </w:tcPr>
          <w:p>
            <w:pPr>
              <w:ind w:left="300"/>
              <w:spacing w:after="0"/>
              <w:rPr>
                <w:sz w:val="20"/>
                <w:szCs w:val="20"/>
                <w:color w:val="auto"/>
              </w:rPr>
            </w:pPr>
            <w:r>
              <w:rPr>
                <w:rFonts w:ascii="Arial" w:cs="Arial" w:eastAsia="Arial" w:hAnsi="Arial"/>
                <w:sz w:val="14"/>
                <w:szCs w:val="14"/>
                <w:color w:val="auto"/>
              </w:rPr>
              <w:t>Total liabilities</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2,031,926</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1,300,515</w:t>
            </w:r>
          </w:p>
        </w:tc>
        <w:tc>
          <w:tcPr>
            <w:tcW w:w="0" w:type="dxa"/>
            <w:vAlign w:val="bottom"/>
          </w:tcPr>
          <w:p>
            <w:pPr>
              <w:spacing w:after="0"/>
              <w:rPr>
                <w:sz w:val="1"/>
                <w:szCs w:val="1"/>
                <w:color w:val="auto"/>
              </w:rPr>
            </w:pPr>
          </w:p>
        </w:tc>
      </w:tr>
      <w:tr>
        <w:trPr>
          <w:trHeight w:val="339"/>
        </w:trPr>
        <w:tc>
          <w:tcPr>
            <w:tcW w:w="4220" w:type="dxa"/>
            <w:vAlign w:val="bottom"/>
          </w:tcPr>
          <w:p>
            <w:pPr>
              <w:spacing w:after="0"/>
              <w:rPr>
                <w:sz w:val="20"/>
                <w:szCs w:val="20"/>
                <w:color w:val="auto"/>
              </w:rPr>
            </w:pPr>
            <w:r>
              <w:rPr>
                <w:rFonts w:ascii="Arial" w:cs="Arial" w:eastAsia="Arial" w:hAnsi="Arial"/>
                <w:sz w:val="14"/>
                <w:szCs w:val="14"/>
                <w:color w:val="auto"/>
              </w:rPr>
              <w:t>Equity</w:t>
            </w: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20" w:type="dxa"/>
            <w:vAlign w:val="bottom"/>
          </w:tcPr>
          <w:p>
            <w:pPr>
              <w:ind w:left="160"/>
              <w:spacing w:after="0"/>
              <w:rPr>
                <w:sz w:val="20"/>
                <w:szCs w:val="20"/>
                <w:color w:val="auto"/>
              </w:rPr>
            </w:pPr>
            <w:r>
              <w:rPr>
                <w:rFonts w:ascii="Arial" w:cs="Arial" w:eastAsia="Arial" w:hAnsi="Arial"/>
                <w:sz w:val="14"/>
                <w:szCs w:val="14"/>
                <w:color w:val="auto"/>
              </w:rPr>
              <w:t>Common stock</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1,310,379</w:t>
            </w:r>
          </w:p>
        </w:tc>
        <w:tc>
          <w:tcPr>
            <w:tcW w:w="620" w:type="dxa"/>
            <w:vAlign w:val="bottom"/>
          </w:tcPr>
          <w:p>
            <w:pPr>
              <w:spacing w:after="0"/>
              <w:rPr>
                <w:sz w:val="15"/>
                <w:szCs w:val="15"/>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1,294,767</w:t>
            </w:r>
          </w:p>
        </w:tc>
        <w:tc>
          <w:tcPr>
            <w:tcW w:w="0" w:type="dxa"/>
            <w:vAlign w:val="bottom"/>
          </w:tcPr>
          <w:p>
            <w:pPr>
              <w:spacing w:after="0"/>
              <w:rPr>
                <w:sz w:val="1"/>
                <w:szCs w:val="1"/>
                <w:color w:val="auto"/>
              </w:rPr>
            </w:pPr>
          </w:p>
        </w:tc>
      </w:tr>
      <w:tr>
        <w:trPr>
          <w:trHeight w:val="176"/>
        </w:trPr>
        <w:tc>
          <w:tcPr>
            <w:tcW w:w="4220" w:type="dxa"/>
            <w:vAlign w:val="bottom"/>
          </w:tcPr>
          <w:p>
            <w:pPr>
              <w:ind w:left="160"/>
              <w:spacing w:after="0"/>
              <w:rPr>
                <w:sz w:val="20"/>
                <w:szCs w:val="20"/>
                <w:color w:val="auto"/>
              </w:rPr>
            </w:pPr>
            <w:r>
              <w:rPr>
                <w:rFonts w:ascii="Arial" w:cs="Arial" w:eastAsia="Arial" w:hAnsi="Arial"/>
                <w:sz w:val="14"/>
                <w:szCs w:val="14"/>
                <w:color w:val="auto"/>
              </w:rPr>
              <w:t>Accumulated other comprehensive loss, net</w:t>
            </w: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right"/>
              <w:ind w:right="188"/>
              <w:spacing w:after="0"/>
              <w:rPr>
                <w:sz w:val="20"/>
                <w:szCs w:val="20"/>
                <w:color w:val="auto"/>
              </w:rPr>
            </w:pPr>
            <w:r>
              <w:rPr>
                <w:rFonts w:ascii="Arial" w:cs="Arial" w:eastAsia="Arial" w:hAnsi="Arial"/>
                <w:sz w:val="14"/>
                <w:szCs w:val="14"/>
                <w:color w:val="auto"/>
              </w:rPr>
              <w:t>(152,595)</w:t>
            </w:r>
          </w:p>
        </w:tc>
        <w:tc>
          <w:tcPr>
            <w:tcW w:w="620" w:type="dxa"/>
            <w:vAlign w:val="bottom"/>
          </w:tcPr>
          <w:p>
            <w:pPr>
              <w:spacing w:after="0"/>
              <w:rPr>
                <w:sz w:val="15"/>
                <w:szCs w:val="15"/>
                <w:color w:val="auto"/>
              </w:rPr>
            </w:pPr>
          </w:p>
        </w:tc>
        <w:tc>
          <w:tcPr>
            <w:tcW w:w="2280" w:type="dxa"/>
            <w:vAlign w:val="bottom"/>
          </w:tcPr>
          <w:p>
            <w:pPr>
              <w:jc w:val="right"/>
              <w:ind w:right="168"/>
              <w:spacing w:after="0"/>
              <w:rPr>
                <w:sz w:val="20"/>
                <w:szCs w:val="20"/>
                <w:color w:val="auto"/>
              </w:rPr>
            </w:pPr>
            <w:r>
              <w:rPr>
                <w:rFonts w:ascii="Arial" w:cs="Arial" w:eastAsia="Arial" w:hAnsi="Arial"/>
                <w:sz w:val="14"/>
                <w:szCs w:val="14"/>
                <w:color w:val="auto"/>
              </w:rPr>
              <w:t>(170,478)</w:t>
            </w:r>
          </w:p>
        </w:tc>
        <w:tc>
          <w:tcPr>
            <w:tcW w:w="0" w:type="dxa"/>
            <w:vAlign w:val="bottom"/>
          </w:tcPr>
          <w:p>
            <w:pPr>
              <w:spacing w:after="0"/>
              <w:rPr>
                <w:sz w:val="1"/>
                <w:szCs w:val="1"/>
                <w:color w:val="auto"/>
              </w:rPr>
            </w:pPr>
          </w:p>
        </w:tc>
      </w:tr>
      <w:tr>
        <w:trPr>
          <w:trHeight w:val="181"/>
        </w:trPr>
        <w:tc>
          <w:tcPr>
            <w:tcW w:w="4220" w:type="dxa"/>
            <w:vAlign w:val="bottom"/>
          </w:tcPr>
          <w:p>
            <w:pPr>
              <w:ind w:left="160"/>
              <w:spacing w:after="0"/>
              <w:rPr>
                <w:sz w:val="20"/>
                <w:szCs w:val="20"/>
                <w:color w:val="auto"/>
              </w:rPr>
            </w:pPr>
            <w:r>
              <w:rPr>
                <w:rFonts w:ascii="Arial" w:cs="Arial" w:eastAsia="Arial" w:hAnsi="Arial"/>
                <w:sz w:val="14"/>
                <w:szCs w:val="14"/>
                <w:color w:val="auto"/>
              </w:rPr>
              <w:t>Accumulated deficit</w:t>
            </w:r>
          </w:p>
        </w:tc>
        <w:tc>
          <w:tcPr>
            <w:tcW w:w="19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(471,812)</w:t>
            </w:r>
          </w:p>
        </w:tc>
        <w:tc>
          <w:tcPr>
            <w:tcW w:w="6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(337,873)</w:t>
            </w:r>
          </w:p>
        </w:tc>
        <w:tc>
          <w:tcPr>
            <w:tcW w:w="0" w:type="dxa"/>
            <w:vAlign w:val="bottom"/>
          </w:tcPr>
          <w:p>
            <w:pPr>
              <w:spacing w:after="0"/>
              <w:rPr>
                <w:sz w:val="1"/>
                <w:szCs w:val="1"/>
                <w:color w:val="auto"/>
              </w:rPr>
            </w:pPr>
          </w:p>
        </w:tc>
      </w:tr>
      <w:tr>
        <w:trPr>
          <w:trHeight w:val="164"/>
        </w:trPr>
        <w:tc>
          <w:tcPr>
            <w:tcW w:w="4220" w:type="dxa"/>
            <w:vAlign w:val="bottom"/>
          </w:tcPr>
          <w:p>
            <w:pPr>
              <w:ind w:left="300"/>
              <w:spacing w:after="0"/>
              <w:rPr>
                <w:sz w:val="20"/>
                <w:szCs w:val="20"/>
                <w:color w:val="auto"/>
              </w:rPr>
            </w:pPr>
            <w:r>
              <w:rPr>
                <w:rFonts w:ascii="Arial" w:cs="Arial" w:eastAsia="Arial" w:hAnsi="Arial"/>
                <w:sz w:val="14"/>
                <w:szCs w:val="14"/>
                <w:color w:val="auto"/>
              </w:rPr>
              <w:t>Total Itron, Inc. shareholders' equity</w:t>
            </w:r>
          </w:p>
        </w:tc>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685,972</w:t>
            </w:r>
          </w:p>
        </w:tc>
        <w:tc>
          <w:tcPr>
            <w:tcW w:w="620" w:type="dxa"/>
            <w:vAlign w:val="bottom"/>
          </w:tcPr>
          <w:p>
            <w:pPr>
              <w:spacing w:after="0"/>
              <w:rPr>
                <w:sz w:val="14"/>
                <w:szCs w:val="14"/>
                <w:color w:val="auto"/>
              </w:rPr>
            </w:pPr>
          </w:p>
        </w:tc>
        <w:tc>
          <w:tcPr>
            <w:tcW w:w="2280" w:type="dxa"/>
            <w:vAlign w:val="bottom"/>
          </w:tcPr>
          <w:p>
            <w:pPr>
              <w:jc w:val="right"/>
              <w:ind w:right="228"/>
              <w:spacing w:after="0"/>
              <w:rPr>
                <w:sz w:val="20"/>
                <w:szCs w:val="20"/>
                <w:color w:val="auto"/>
              </w:rPr>
            </w:pPr>
            <w:r>
              <w:rPr>
                <w:rFonts w:ascii="Arial" w:cs="Arial" w:eastAsia="Arial" w:hAnsi="Arial"/>
                <w:sz w:val="14"/>
                <w:szCs w:val="14"/>
                <w:color w:val="auto"/>
              </w:rPr>
              <w:t>786,416</w:t>
            </w:r>
          </w:p>
        </w:tc>
        <w:tc>
          <w:tcPr>
            <w:tcW w:w="0" w:type="dxa"/>
            <w:vAlign w:val="bottom"/>
          </w:tcPr>
          <w:p>
            <w:pPr>
              <w:spacing w:after="0"/>
              <w:rPr>
                <w:sz w:val="1"/>
                <w:szCs w:val="1"/>
                <w:color w:val="auto"/>
              </w:rPr>
            </w:pPr>
          </w:p>
        </w:tc>
      </w:tr>
      <w:tr>
        <w:trPr>
          <w:trHeight w:val="181"/>
        </w:trPr>
        <w:tc>
          <w:tcPr>
            <w:tcW w:w="4220" w:type="dxa"/>
            <w:vAlign w:val="bottom"/>
          </w:tcPr>
          <w:p>
            <w:pPr>
              <w:ind w:left="160"/>
              <w:spacing w:after="0"/>
              <w:rPr>
                <w:sz w:val="20"/>
                <w:szCs w:val="20"/>
                <w:color w:val="auto"/>
              </w:rPr>
            </w:pPr>
            <w:r>
              <w:rPr>
                <w:rFonts w:ascii="Arial" w:cs="Arial" w:eastAsia="Arial" w:hAnsi="Arial"/>
                <w:sz w:val="14"/>
                <w:szCs w:val="14"/>
                <w:color w:val="auto"/>
              </w:rPr>
              <w:t>Non-controlling interests</w:t>
            </w:r>
          </w:p>
        </w:tc>
        <w:tc>
          <w:tcPr>
            <w:tcW w:w="19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18,631</w:t>
            </w:r>
          </w:p>
        </w:tc>
        <w:tc>
          <w:tcPr>
            <w:tcW w:w="6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19,216</w:t>
            </w:r>
          </w:p>
        </w:tc>
        <w:tc>
          <w:tcPr>
            <w:tcW w:w="0" w:type="dxa"/>
            <w:vAlign w:val="bottom"/>
          </w:tcPr>
          <w:p>
            <w:pPr>
              <w:spacing w:after="0"/>
              <w:rPr>
                <w:sz w:val="1"/>
                <w:szCs w:val="1"/>
                <w:color w:val="auto"/>
              </w:rPr>
            </w:pPr>
          </w:p>
        </w:tc>
      </w:tr>
      <w:tr>
        <w:trPr>
          <w:trHeight w:val="169"/>
        </w:trPr>
        <w:tc>
          <w:tcPr>
            <w:tcW w:w="4220" w:type="dxa"/>
            <w:vAlign w:val="bottom"/>
          </w:tcPr>
          <w:p>
            <w:pPr>
              <w:ind w:left="300"/>
              <w:spacing w:after="0"/>
              <w:rPr>
                <w:sz w:val="20"/>
                <w:szCs w:val="20"/>
                <w:color w:val="auto"/>
              </w:rPr>
            </w:pPr>
            <w:r>
              <w:rPr>
                <w:rFonts w:ascii="Arial" w:cs="Arial" w:eastAsia="Arial" w:hAnsi="Arial"/>
                <w:sz w:val="14"/>
                <w:szCs w:val="14"/>
                <w:color w:val="auto"/>
              </w:rPr>
              <w:t>Total equity</w:t>
            </w:r>
          </w:p>
        </w:tc>
        <w:tc>
          <w:tcPr>
            <w:tcW w:w="19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704,603</w:t>
            </w:r>
          </w:p>
        </w:tc>
        <w:tc>
          <w:tcPr>
            <w:tcW w:w="6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805,632</w:t>
            </w:r>
          </w:p>
        </w:tc>
        <w:tc>
          <w:tcPr>
            <w:tcW w:w="0" w:type="dxa"/>
            <w:vAlign w:val="bottom"/>
          </w:tcPr>
          <w:p>
            <w:pPr>
              <w:spacing w:after="0"/>
              <w:rPr>
                <w:sz w:val="1"/>
                <w:szCs w:val="1"/>
                <w:color w:val="auto"/>
              </w:rPr>
            </w:pPr>
          </w:p>
        </w:tc>
      </w:tr>
      <w:tr>
        <w:trPr>
          <w:trHeight w:val="169"/>
        </w:trPr>
        <w:tc>
          <w:tcPr>
            <w:tcW w:w="4220" w:type="dxa"/>
            <w:vAlign w:val="bottom"/>
          </w:tcPr>
          <w:p>
            <w:pPr>
              <w:ind w:left="300"/>
              <w:spacing w:after="0"/>
              <w:rPr>
                <w:sz w:val="20"/>
                <w:szCs w:val="20"/>
                <w:color w:val="auto"/>
              </w:rPr>
            </w:pPr>
            <w:r>
              <w:rPr>
                <w:rFonts w:ascii="Arial" w:cs="Arial" w:eastAsia="Arial" w:hAnsi="Arial"/>
                <w:sz w:val="14"/>
                <w:szCs w:val="14"/>
                <w:color w:val="auto"/>
              </w:rPr>
              <w:t>Total liabilities and equity</w:t>
            </w:r>
          </w:p>
        </w:tc>
        <w:tc>
          <w:tcPr>
            <w:tcW w:w="1920" w:type="dxa"/>
            <w:vAlign w:val="bottom"/>
          </w:tcPr>
          <w:p>
            <w:pPr>
              <w:spacing w:after="0"/>
              <w:rPr>
                <w:sz w:val="14"/>
                <w:szCs w:val="14"/>
                <w:color w:val="auto"/>
              </w:rPr>
            </w:pPr>
          </w:p>
        </w:tc>
        <w:tc>
          <w:tcPr>
            <w:tcW w:w="4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2,736,529</w:t>
            </w: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2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2,106,147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220" w:type="dxa"/>
            <w:vAlign w:val="bottom"/>
            <w:tcBorders>
              <w:bottom w:val="single" w:sz="8" w:color="EEEEEE"/>
            </w:tcBorders>
          </w:tcPr>
          <w:p>
            <w:pPr>
              <w:spacing w:after="0" w:line="20" w:lineRule="exact"/>
              <w:rPr>
                <w:sz w:val="1"/>
                <w:szCs w:val="1"/>
                <w:color w:val="auto"/>
              </w:rPr>
            </w:pPr>
          </w:p>
        </w:tc>
        <w:tc>
          <w:tcPr>
            <w:tcW w:w="19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9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2" w:name="page13"/>
    <w:bookmarkEnd w:id="12"/>
    <w:p>
      <w:pPr>
        <w:jc w:val="center"/>
        <w:ind w:left="3720"/>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ind w:left="37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(Unaudited, in thousands)</w:t>
      </w:r>
    </w:p>
    <w:p>
      <w:pPr>
        <w:spacing w:after="0" w:line="393" w:lineRule="exact"/>
        <w:rPr>
          <w:sz w:val="20"/>
          <w:szCs w:val="20"/>
          <w:color w:val="auto"/>
        </w:rPr>
      </w:pPr>
    </w:p>
    <w:p>
      <w:pPr>
        <w:jc w:val="right"/>
        <w:ind w:right="6560"/>
        <w:spacing w:after="0"/>
        <w:rPr>
          <w:sz w:val="20"/>
          <w:szCs w:val="20"/>
          <w:color w:val="auto"/>
        </w:rPr>
      </w:pPr>
      <w:r>
        <w:rPr>
          <w:rFonts w:ascii="Arial" w:cs="Arial" w:eastAsia="Arial" w:hAnsi="Arial"/>
          <w:sz w:val="13"/>
          <w:szCs w:val="13"/>
          <w:color w:val="auto"/>
        </w:rPr>
        <w:t>Operating activities</w:t>
      </w:r>
    </w:p>
    <w:p>
      <w:pPr>
        <w:spacing w:after="0" w:line="33" w:lineRule="exact"/>
        <w:rPr>
          <w:sz w:val="20"/>
          <w:szCs w:val="20"/>
          <w:color w:val="auto"/>
        </w:rPr>
      </w:pPr>
    </w:p>
    <w:p>
      <w:pPr>
        <w:jc w:val="right"/>
        <w:ind w:right="6580"/>
        <w:spacing w:after="0"/>
        <w:rPr>
          <w:sz w:val="20"/>
          <w:szCs w:val="20"/>
          <w:color w:val="auto"/>
        </w:rPr>
      </w:pPr>
      <w:r>
        <w:rPr>
          <w:rFonts w:ascii="Arial" w:cs="Arial" w:eastAsia="Arial" w:hAnsi="Arial"/>
          <w:sz w:val="14"/>
          <w:szCs w:val="14"/>
          <w:color w:val="auto"/>
        </w:rPr>
        <w:t>Net income (loss)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Depreciation and amortization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Stock-based compensation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Amortization of prepaid debt fees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Deferred taxes, net</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Restructuring, non-cash</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adjustments, net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Changes in operating assets and liabilities, net of acquisitions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Accounts receivable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Inventories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current assets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long-term assets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Accounts payable, other current liabilities, and taxes payable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Wages and benefits payable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Unearned revenue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Warranty</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operating, net</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cash provided by (used in) operating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Acquisitions of property, plant, and equipment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Business acquisitions, net of cash equivalents acquired</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investing, net</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cash used in investing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Proceeds from borrowings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Payments on debt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Issuance of common stock</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Prepaid debt fees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financing, net</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cash provided by (used in) financing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Effect of foreign exchange rate changes on cash, cash equivalents, and restricted cash</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Increase (decrease) in cash, cash equivalents, and restricted cash</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cash equivalents, and restricted cash at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27202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1903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 w:lineRule="exact"/>
        <w:rPr>
          <w:sz w:val="20"/>
          <w:szCs w:val="20"/>
          <w:color w:val="auto"/>
        </w:rPr>
      </w:pPr>
    </w:p>
    <w:p>
      <w:pPr>
        <w:jc w:val="both"/>
        <w:ind w:left="1240"/>
        <w:spacing w:after="0"/>
        <w:tabs>
          <w:tab w:leader="none" w:pos="27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1903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(145,270)</w:t>
            </w:r>
          </w:p>
        </w:tc>
        <w:tc>
          <w:tcPr>
            <w:tcW w:w="5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16,014</w:t>
            </w:r>
          </w:p>
        </w:tc>
      </w:tr>
      <w:tr>
        <w:trPr>
          <w:trHeight w:val="344"/>
        </w:trPr>
        <w:tc>
          <w:tcPr>
            <w:tcW w:w="52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31,072</w:t>
            </w:r>
          </w:p>
        </w:tc>
        <w:tc>
          <w:tcPr>
            <w:tcW w:w="5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14,378</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8,095</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5,211</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3,386</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266</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(16,508)</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882</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2"/>
        </w:trPr>
        <w:tc>
          <w:tcPr>
            <w:tcW w:w="52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946</w:t>
            </w:r>
          </w:p>
        </w:tc>
      </w:tr>
      <w:tr>
        <w:trPr>
          <w:trHeight w:val="344"/>
        </w:trPr>
        <w:tc>
          <w:tcPr>
            <w:tcW w:w="52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(7,768)</w:t>
            </w:r>
          </w:p>
        </w:tc>
        <w:tc>
          <w:tcPr>
            <w:tcW w:w="5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13,119</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5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(11,274)</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(8,849)</w:t>
            </w:r>
          </w:p>
        </w:tc>
        <w:tc>
          <w:tcPr>
            <w:tcW w:w="5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(11,169)</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4,509</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646</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7,826</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28,277</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16,438</w:t>
            </w:r>
          </w:p>
        </w:tc>
        <w:tc>
          <w:tcPr>
            <w:tcW w:w="5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(1,796)</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23,317</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14,020</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663</w:t>
            </w:r>
          </w:p>
        </w:tc>
        <w:tc>
          <w:tcPr>
            <w:tcW w:w="5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(2,303)</w:t>
            </w:r>
          </w:p>
        </w:tc>
      </w:tr>
      <w:tr>
        <w:trPr>
          <w:trHeight w:val="181"/>
        </w:trPr>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58,953</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(3,960)</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(24,448)</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63,257</w:t>
            </w:r>
          </w:p>
        </w:tc>
      </w:tr>
      <w:tr>
        <w:trPr>
          <w:trHeight w:val="515"/>
        </w:trPr>
        <w:tc>
          <w:tcPr>
            <w:tcW w:w="52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(17,433)</w:t>
            </w:r>
          </w:p>
        </w:tc>
        <w:tc>
          <w:tcPr>
            <w:tcW w:w="50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(9,122)</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(802,488)</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1"/>
        </w:trPr>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(819,821)</w:t>
            </w:r>
          </w:p>
        </w:tc>
        <w:tc>
          <w:tcPr>
            <w:tcW w:w="5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(9,200)</w:t>
            </w:r>
          </w:p>
        </w:tc>
      </w:tr>
      <w:tr>
        <w:trPr>
          <w:trHeight w:val="515"/>
        </w:trPr>
        <w:tc>
          <w:tcPr>
            <w:tcW w:w="52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555,938</w:t>
            </w:r>
          </w:p>
        </w:tc>
        <w:tc>
          <w:tcPr>
            <w:tcW w:w="5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(32,395)</w:t>
            </w:r>
          </w:p>
        </w:tc>
        <w:tc>
          <w:tcPr>
            <w:tcW w:w="5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(2,813)</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3,384</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405</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(24,042)</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1"/>
        </w:trPr>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(1,046)</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155</w:t>
            </w:r>
          </w:p>
        </w:tc>
      </w:tr>
      <w:tr>
        <w:trPr>
          <w:trHeight w:val="176"/>
        </w:trPr>
        <w:tc>
          <w:tcPr>
            <w:tcW w:w="5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501,839</w:t>
            </w:r>
          </w:p>
        </w:tc>
        <w:tc>
          <w:tcPr>
            <w:tcW w:w="5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(2,253)</w:t>
            </w:r>
          </w:p>
        </w:tc>
      </w:tr>
      <w:tr>
        <w:trPr>
          <w:trHeight w:val="344"/>
        </w:trPr>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563</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2,559</w:t>
            </w:r>
          </w:p>
        </w:tc>
      </w:tr>
      <w:tr>
        <w:trPr>
          <w:trHeight w:val="164"/>
        </w:trPr>
        <w:tc>
          <w:tcPr>
            <w:tcW w:w="52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(341,867)</w:t>
            </w:r>
          </w:p>
        </w:tc>
        <w:tc>
          <w:tcPr>
            <w:tcW w:w="5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54,363</w:t>
            </w:r>
          </w:p>
        </w:tc>
      </w:tr>
      <w:tr>
        <w:trPr>
          <w:trHeight w:val="181"/>
        </w:trPr>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487,335</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133,565</w:t>
            </w:r>
          </w:p>
        </w:tc>
      </w:tr>
      <w:tr>
        <w:trPr>
          <w:trHeight w:val="169"/>
        </w:trPr>
        <w:tc>
          <w:tcPr>
            <w:tcW w:w="5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145,468</w:t>
            </w:r>
          </w:p>
        </w:tc>
        <w:tc>
          <w:tcPr>
            <w:tcW w:w="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187,928</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00" w:space="720"/>
            <w:col w:w="3000"/>
          </w:cols>
          <w:pgMar w:left="240" w:top="306"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About Non-GAAP Financial Measures</w:t>
      </w:r>
    </w:p>
    <w:p>
      <w:pPr>
        <w:spacing w:after="0" w:line="213"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The accompanying press release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constant currency and free cash flow.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Most Directly Comparable GAAP Financial Measures.”</w:t>
      </w:r>
    </w:p>
    <w:p>
      <w:pPr>
        <w:spacing w:after="0" w:line="15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9"/>
          <w:szCs w:val="19"/>
          <w:u w:val="single" w:color="auto"/>
          <w:color w:val="auto"/>
        </w:rPr>
        <w:t>Non-GAAP operating expenses and non-GAAP operating income</w:t>
      </w:r>
      <w:r>
        <w:rPr>
          <w:rFonts w:ascii="Arial" w:cs="Arial" w:eastAsia="Arial" w:hAnsi="Arial"/>
          <w:sz w:val="19"/>
          <w:szCs w:val="19"/>
          <w:color w:val="auto"/>
        </w:rPr>
        <w:t xml:space="preserve"> - We define non-GAAP operating expenses as operating expenses excluding certain expenses related to the amortization of intangible assets, restructuring, acquisition and integration, and goodwill impairment. We define non-GAAP operating income as operating income excluding the expenses related to the amortization of intangible assets, restructuring, acquisition and integration,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27202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4" w:name="page15"/>
    <w:bookmarkEnd w:id="14"/>
    <w:p>
      <w:pPr>
        <w:ind w:right="60"/>
        <w:spacing w:after="0" w:line="274" w:lineRule="auto"/>
        <w:rPr>
          <w:sz w:val="20"/>
          <w:szCs w:val="20"/>
          <w:color w:val="auto"/>
        </w:rPr>
      </w:pPr>
      <w:r>
        <w:rPr>
          <w:rFonts w:ascii="Arial" w:cs="Arial" w:eastAsia="Arial" w:hAnsi="Arial"/>
          <w:sz w:val="19"/>
          <w:szCs w:val="19"/>
          <w:u w:val="single" w:color="auto"/>
          <w:color w:val="auto"/>
        </w:rPr>
        <w:t>Non-GAAP net income and non-GAAP diluted EPS</w:t>
      </w:r>
      <w:r>
        <w:rPr>
          <w:rFonts w:ascii="Arial" w:cs="Arial" w:eastAsia="Arial" w:hAnsi="Arial"/>
          <w:sz w:val="19"/>
          <w:szCs w:val="19"/>
          <w:color w:val="auto"/>
        </w:rPr>
        <w:t xml:space="preserve"> - We define non-GAAP net income as net income attributable to Itron, Inc. excluding the expenses associated with amortization of intangible assets, restructuring, acquisition and integration, goodwill impairment, amortization of debt placement fees, the transition to the Tax Cuts and Jobs Act,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9"/>
          <w:szCs w:val="19"/>
          <w:u w:val="single" w:color="auto"/>
          <w:color w:val="auto"/>
        </w:rPr>
        <w:t>Adjusted EBITDA</w:t>
      </w:r>
      <w:r>
        <w:rPr>
          <w:rFonts w:ascii="Arial" w:cs="Arial" w:eastAsia="Arial" w:hAnsi="Arial"/>
          <w:sz w:val="19"/>
          <w:szCs w:val="19"/>
          <w:color w:val="auto"/>
        </w:rPr>
        <w:t xml:space="preserve"> - We define adjusted EBITDA as net income (a) minus interest income, (b) plus interest expense, depreciation and amortization, restructuring, acquisition and integration related expense,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53"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u w:val="single" w:color="auto"/>
          <w:color w:val="auto"/>
        </w:rPr>
        <w:t>Free cash flow</w:t>
      </w:r>
      <w:r>
        <w:rPr>
          <w:rFonts w:ascii="Arial" w:cs="Arial" w:eastAsia="Arial" w:hAnsi="Arial"/>
          <w:sz w:val="21"/>
          <w:szCs w:val="21"/>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u w:val="single" w:color="auto"/>
          <w:color w:val="auto"/>
        </w:rPr>
        <w:t>Constant currency</w:t>
      </w:r>
      <w:r>
        <w:rPr>
          <w:rFonts w:ascii="Arial" w:cs="Arial" w:eastAsia="Arial" w:hAnsi="Arial"/>
          <w:sz w:val="19"/>
          <w:szCs w:val="19"/>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51"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7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COMPANY RECONCILIATIONS</w:t>
            </w:r>
          </w:p>
        </w:tc>
        <w:tc>
          <w:tcPr>
            <w:tcW w:w="5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jc w:val="right"/>
              <w:ind w:right="104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7200" w:type="dxa"/>
            <w:vAlign w:val="bottom"/>
          </w:tcPr>
          <w:p>
            <w:pPr>
              <w:ind w:left="140"/>
              <w:spacing w:after="0"/>
              <w:rPr>
                <w:sz w:val="20"/>
                <w:szCs w:val="20"/>
                <w:color w:val="auto"/>
              </w:rPr>
            </w:pPr>
            <w:r>
              <w:rPr>
                <w:rFonts w:ascii="Arial" w:cs="Arial" w:eastAsia="Arial" w:hAnsi="Arial"/>
                <w:sz w:val="14"/>
                <w:szCs w:val="14"/>
                <w:b w:val="1"/>
                <w:bCs w:val="1"/>
                <w:color w:val="auto"/>
              </w:rPr>
              <w:t>NON-GAAP NET INCOME &amp; DILUTED EPS</w:t>
            </w:r>
          </w:p>
        </w:tc>
        <w:tc>
          <w:tcPr>
            <w:tcW w:w="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00" w:type="dxa"/>
            <w:vAlign w:val="bottom"/>
          </w:tcPr>
          <w:p>
            <w:pPr>
              <w:ind w:left="280"/>
              <w:spacing w:after="0"/>
              <w:rPr>
                <w:sz w:val="20"/>
                <w:szCs w:val="20"/>
                <w:color w:val="auto"/>
              </w:rPr>
            </w:pPr>
            <w:r>
              <w:rPr>
                <w:rFonts w:ascii="Arial" w:cs="Arial" w:eastAsia="Arial" w:hAnsi="Arial"/>
                <w:sz w:val="14"/>
                <w:szCs w:val="14"/>
                <w:color w:val="auto"/>
              </w:rPr>
              <w:t>GAAP net income (loss) attributable to Itron, Inc.</w:t>
            </w: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(145,666)</w:t>
            </w:r>
          </w:p>
        </w:tc>
        <w:tc>
          <w:tcPr>
            <w:tcW w:w="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15,845</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540" w:type="dxa"/>
            <w:vAlign w:val="bottom"/>
          </w:tcPr>
          <w:p>
            <w:pPr>
              <w:spacing w:after="0"/>
              <w:rPr>
                <w:sz w:val="15"/>
                <w:szCs w:val="15"/>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color w:val="auto"/>
              </w:rPr>
              <w:t>17,740</w:t>
            </w:r>
          </w:p>
        </w:tc>
        <w:tc>
          <w:tcPr>
            <w:tcW w:w="640" w:type="dxa"/>
            <w:vAlign w:val="bottom"/>
          </w:tcPr>
          <w:p>
            <w:pPr>
              <w:spacing w:after="0"/>
              <w:rPr>
                <w:sz w:val="15"/>
                <w:szCs w:val="15"/>
                <w:color w:val="auto"/>
              </w:rPr>
            </w:pP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4,549</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Amortization of debt placement fees</w:t>
            </w:r>
          </w:p>
        </w:tc>
        <w:tc>
          <w:tcPr>
            <w:tcW w:w="540" w:type="dxa"/>
            <w:vAlign w:val="bottom"/>
          </w:tcPr>
          <w:p>
            <w:pPr>
              <w:spacing w:after="0"/>
              <w:rPr>
                <w:sz w:val="15"/>
                <w:szCs w:val="15"/>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color w:val="auto"/>
              </w:rPr>
              <w:t>3,343</w:t>
            </w:r>
          </w:p>
        </w:tc>
        <w:tc>
          <w:tcPr>
            <w:tcW w:w="640" w:type="dxa"/>
            <w:vAlign w:val="bottom"/>
          </w:tcPr>
          <w:p>
            <w:pPr>
              <w:spacing w:after="0"/>
              <w:rPr>
                <w:sz w:val="15"/>
                <w:szCs w:val="15"/>
                <w:color w:val="auto"/>
              </w:rPr>
            </w:pP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540" w:type="dxa"/>
            <w:vAlign w:val="bottom"/>
          </w:tcPr>
          <w:p>
            <w:pPr>
              <w:spacing w:after="0"/>
              <w:rPr>
                <w:sz w:val="15"/>
                <w:szCs w:val="15"/>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color w:val="auto"/>
              </w:rPr>
              <w:t>87,865</w:t>
            </w:r>
          </w:p>
        </w:tc>
        <w:tc>
          <w:tcPr>
            <w:tcW w:w="640" w:type="dxa"/>
            <w:vAlign w:val="bottom"/>
          </w:tcPr>
          <w:p>
            <w:pPr>
              <w:spacing w:after="0"/>
              <w:rPr>
                <w:sz w:val="15"/>
                <w:szCs w:val="15"/>
                <w:color w:val="auto"/>
              </w:rPr>
            </w:pP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3,052</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Acquisition and integration related expense</w:t>
            </w:r>
          </w:p>
        </w:tc>
        <w:tc>
          <w:tcPr>
            <w:tcW w:w="540" w:type="dxa"/>
            <w:vAlign w:val="bottom"/>
          </w:tcPr>
          <w:p>
            <w:pPr>
              <w:spacing w:after="0"/>
              <w:rPr>
                <w:sz w:val="15"/>
                <w:szCs w:val="15"/>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color w:val="auto"/>
              </w:rPr>
              <w:t>62,647</w:t>
            </w:r>
          </w:p>
        </w:tc>
        <w:tc>
          <w:tcPr>
            <w:tcW w:w="640" w:type="dxa"/>
            <w:vAlign w:val="bottom"/>
          </w:tcPr>
          <w:p>
            <w:pPr>
              <w:spacing w:after="0"/>
              <w:rPr>
                <w:sz w:val="15"/>
                <w:szCs w:val="15"/>
                <w:color w:val="auto"/>
              </w:rPr>
            </w:pP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81"/>
        </w:trPr>
        <w:tc>
          <w:tcPr>
            <w:tcW w:w="7200" w:type="dxa"/>
            <w:vAlign w:val="bottom"/>
          </w:tcPr>
          <w:p>
            <w:pPr>
              <w:ind w:left="420"/>
              <w:spacing w:after="0"/>
              <w:rPr>
                <w:sz w:val="20"/>
                <w:szCs w:val="20"/>
                <w:color w:val="auto"/>
              </w:rPr>
            </w:pPr>
            <w:r>
              <w:rPr>
                <w:rFonts w:ascii="Arial" w:cs="Arial" w:eastAsia="Arial" w:hAnsi="Arial"/>
                <w:sz w:val="14"/>
                <w:szCs w:val="14"/>
                <w:color w:val="auto"/>
              </w:rPr>
              <w:t>Income tax effect of non-GAAP adjustments</w:t>
            </w: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(20,835)</w:t>
            </w:r>
          </w:p>
        </w:tc>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(1,834)</w:t>
            </w:r>
          </w:p>
        </w:tc>
        <w:tc>
          <w:tcPr>
            <w:tcW w:w="0" w:type="dxa"/>
            <w:vAlign w:val="bottom"/>
          </w:tcPr>
          <w:p>
            <w:pPr>
              <w:spacing w:after="0"/>
              <w:rPr>
                <w:sz w:val="1"/>
                <w:szCs w:val="1"/>
                <w:color w:val="auto"/>
              </w:rPr>
            </w:pPr>
          </w:p>
        </w:tc>
      </w:tr>
      <w:tr>
        <w:trPr>
          <w:trHeight w:val="169"/>
        </w:trPr>
        <w:tc>
          <w:tcPr>
            <w:tcW w:w="7200" w:type="dxa"/>
            <w:vAlign w:val="bottom"/>
          </w:tcPr>
          <w:p>
            <w:pPr>
              <w:ind w:left="280"/>
              <w:spacing w:after="0"/>
              <w:rPr>
                <w:sz w:val="20"/>
                <w:szCs w:val="20"/>
                <w:color w:val="auto"/>
              </w:rPr>
            </w:pPr>
            <w:r>
              <w:rPr>
                <w:rFonts w:ascii="Arial" w:cs="Arial" w:eastAsia="Arial" w:hAnsi="Arial"/>
                <w:sz w:val="14"/>
                <w:szCs w:val="14"/>
                <w:color w:val="auto"/>
              </w:rPr>
              <w:t>Non-GAAP net income attributable to Itron, Inc.</w:t>
            </w:r>
          </w:p>
        </w:tc>
        <w:tc>
          <w:tcPr>
            <w:tcW w:w="5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5,094</w:t>
            </w: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22,186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200" w:type="dxa"/>
            <w:vAlign w:val="bottom"/>
          </w:tcPr>
          <w:p>
            <w:pPr>
              <w:ind w:left="280"/>
              <w:spacing w:after="0"/>
              <w:rPr>
                <w:sz w:val="20"/>
                <w:szCs w:val="20"/>
                <w:color w:val="auto"/>
              </w:rPr>
            </w:pPr>
            <w:r>
              <w:rPr>
                <w:rFonts w:ascii="Arial" w:cs="Arial" w:eastAsia="Arial" w:hAnsi="Arial"/>
                <w:sz w:val="14"/>
                <w:szCs w:val="14"/>
                <w:color w:val="auto"/>
              </w:rPr>
              <w:t>Non-GAAP diluted EPS</w:t>
            </w:r>
          </w:p>
        </w:tc>
        <w:tc>
          <w:tcPr>
            <w:tcW w:w="5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0.13</w:t>
            </w: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200" w:type="dxa"/>
            <w:vAlign w:val="bottom"/>
          </w:tcPr>
          <w:p>
            <w:pPr>
              <w:ind w:left="280"/>
              <w:spacing w:after="0"/>
              <w:rPr>
                <w:sz w:val="20"/>
                <w:szCs w:val="20"/>
                <w:color w:val="auto"/>
              </w:rPr>
            </w:pPr>
            <w:r>
              <w:rPr>
                <w:rFonts w:ascii="Arial" w:cs="Arial" w:eastAsia="Arial" w:hAnsi="Arial"/>
                <w:sz w:val="14"/>
                <w:szCs w:val="14"/>
                <w:color w:val="auto"/>
              </w:rPr>
              <w:t>Weighted average common shares outstanding - Diluted</w:t>
            </w: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39,773</w:t>
            </w:r>
          </w:p>
        </w:tc>
        <w:tc>
          <w:tcPr>
            <w:tcW w:w="6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39,215</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ADJUSTED EBITDA</w:t>
            </w: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2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200" w:type="dxa"/>
            <w:vAlign w:val="bottom"/>
          </w:tcPr>
          <w:p>
            <w:pPr>
              <w:ind w:left="280"/>
              <w:spacing w:after="0"/>
              <w:rPr>
                <w:sz w:val="20"/>
                <w:szCs w:val="20"/>
                <w:color w:val="auto"/>
              </w:rPr>
            </w:pPr>
            <w:r>
              <w:rPr>
                <w:rFonts w:ascii="Arial" w:cs="Arial" w:eastAsia="Arial" w:hAnsi="Arial"/>
                <w:sz w:val="14"/>
                <w:szCs w:val="14"/>
                <w:color w:val="auto"/>
              </w:rPr>
              <w:t>GAAP net income (loss) attributable to Itron, Inc.</w:t>
            </w: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(145,666)</w:t>
            </w:r>
          </w:p>
        </w:tc>
        <w:tc>
          <w:tcPr>
            <w:tcW w:w="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15,845</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Interest income</w:t>
            </w:r>
          </w:p>
        </w:tc>
        <w:tc>
          <w:tcPr>
            <w:tcW w:w="540" w:type="dxa"/>
            <w:vAlign w:val="bottom"/>
          </w:tcPr>
          <w:p>
            <w:pPr>
              <w:spacing w:after="0"/>
              <w:rPr>
                <w:sz w:val="15"/>
                <w:szCs w:val="15"/>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(661)</w:t>
            </w:r>
          </w:p>
        </w:tc>
        <w:tc>
          <w:tcPr>
            <w:tcW w:w="640" w:type="dxa"/>
            <w:vAlign w:val="bottom"/>
          </w:tcPr>
          <w:p>
            <w:pPr>
              <w:spacing w:after="0"/>
              <w:rPr>
                <w:sz w:val="15"/>
                <w:szCs w:val="15"/>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Interest expense</w:t>
            </w:r>
          </w:p>
        </w:tc>
        <w:tc>
          <w:tcPr>
            <w:tcW w:w="540" w:type="dxa"/>
            <w:vAlign w:val="bottom"/>
          </w:tcPr>
          <w:p>
            <w:pPr>
              <w:spacing w:after="0"/>
              <w:rPr>
                <w:sz w:val="15"/>
                <w:szCs w:val="15"/>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color w:val="auto"/>
              </w:rPr>
              <w:t>15,504</w:t>
            </w:r>
          </w:p>
        </w:tc>
        <w:tc>
          <w:tcPr>
            <w:tcW w:w="640" w:type="dxa"/>
            <w:vAlign w:val="bottom"/>
          </w:tcPr>
          <w:p>
            <w:pPr>
              <w:spacing w:after="0"/>
              <w:rPr>
                <w:sz w:val="15"/>
                <w:szCs w:val="15"/>
                <w:color w:val="auto"/>
              </w:rPr>
            </w:pP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3,199</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Income tax provision (benefit)</w:t>
            </w:r>
          </w:p>
        </w:tc>
        <w:tc>
          <w:tcPr>
            <w:tcW w:w="540" w:type="dxa"/>
            <w:vAlign w:val="bottom"/>
          </w:tcPr>
          <w:p>
            <w:pPr>
              <w:spacing w:after="0"/>
              <w:rPr>
                <w:sz w:val="15"/>
                <w:szCs w:val="15"/>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(11,188)</w:t>
            </w:r>
          </w:p>
        </w:tc>
        <w:tc>
          <w:tcPr>
            <w:tcW w:w="640" w:type="dxa"/>
            <w:vAlign w:val="bottom"/>
          </w:tcPr>
          <w:p>
            <w:pPr>
              <w:spacing w:after="0"/>
              <w:rPr>
                <w:sz w:val="15"/>
                <w:szCs w:val="15"/>
                <w:color w:val="auto"/>
              </w:rPr>
            </w:pP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9,047</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540" w:type="dxa"/>
            <w:vAlign w:val="bottom"/>
          </w:tcPr>
          <w:p>
            <w:pPr>
              <w:spacing w:after="0"/>
              <w:rPr>
                <w:sz w:val="15"/>
                <w:szCs w:val="15"/>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color w:val="auto"/>
              </w:rPr>
              <w:t>31,072</w:t>
            </w:r>
          </w:p>
        </w:tc>
        <w:tc>
          <w:tcPr>
            <w:tcW w:w="640" w:type="dxa"/>
            <w:vAlign w:val="bottom"/>
          </w:tcPr>
          <w:p>
            <w:pPr>
              <w:spacing w:after="0"/>
              <w:rPr>
                <w:sz w:val="15"/>
                <w:szCs w:val="15"/>
                <w:color w:val="auto"/>
              </w:rPr>
            </w:pP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14,378</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540" w:type="dxa"/>
            <w:vAlign w:val="bottom"/>
          </w:tcPr>
          <w:p>
            <w:pPr>
              <w:spacing w:after="0"/>
              <w:rPr>
                <w:sz w:val="15"/>
                <w:szCs w:val="15"/>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color w:val="auto"/>
              </w:rPr>
              <w:t>87,865</w:t>
            </w:r>
          </w:p>
        </w:tc>
        <w:tc>
          <w:tcPr>
            <w:tcW w:w="640" w:type="dxa"/>
            <w:vAlign w:val="bottom"/>
          </w:tcPr>
          <w:p>
            <w:pPr>
              <w:spacing w:after="0"/>
              <w:rPr>
                <w:sz w:val="15"/>
                <w:szCs w:val="15"/>
                <w:color w:val="auto"/>
              </w:rPr>
            </w:pP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3,052</w:t>
            </w:r>
          </w:p>
        </w:tc>
        <w:tc>
          <w:tcPr>
            <w:tcW w:w="0" w:type="dxa"/>
            <w:vAlign w:val="bottom"/>
          </w:tcPr>
          <w:p>
            <w:pPr>
              <w:spacing w:after="0"/>
              <w:rPr>
                <w:sz w:val="1"/>
                <w:szCs w:val="1"/>
                <w:color w:val="auto"/>
              </w:rPr>
            </w:pPr>
          </w:p>
        </w:tc>
      </w:tr>
      <w:tr>
        <w:trPr>
          <w:trHeight w:val="181"/>
        </w:trPr>
        <w:tc>
          <w:tcPr>
            <w:tcW w:w="7200" w:type="dxa"/>
            <w:vAlign w:val="bottom"/>
          </w:tcPr>
          <w:p>
            <w:pPr>
              <w:ind w:left="420"/>
              <w:spacing w:after="0"/>
              <w:rPr>
                <w:sz w:val="20"/>
                <w:szCs w:val="20"/>
                <w:color w:val="auto"/>
              </w:rPr>
            </w:pPr>
            <w:r>
              <w:rPr>
                <w:rFonts w:ascii="Arial" w:cs="Arial" w:eastAsia="Arial" w:hAnsi="Arial"/>
                <w:sz w:val="14"/>
                <w:szCs w:val="14"/>
                <w:color w:val="auto"/>
              </w:rPr>
              <w:t>Acquisition and integration related expense</w:t>
            </w: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62,647</w:t>
            </w:r>
          </w:p>
        </w:tc>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69"/>
        </w:trPr>
        <w:tc>
          <w:tcPr>
            <w:tcW w:w="7200" w:type="dxa"/>
            <w:vAlign w:val="bottom"/>
          </w:tcPr>
          <w:p>
            <w:pPr>
              <w:ind w:left="280"/>
              <w:spacing w:after="0"/>
              <w:rPr>
                <w:sz w:val="20"/>
                <w:szCs w:val="20"/>
                <w:color w:val="auto"/>
              </w:rPr>
            </w:pPr>
            <w:r>
              <w:rPr>
                <w:rFonts w:ascii="Arial" w:cs="Arial" w:eastAsia="Arial" w:hAnsi="Arial"/>
                <w:sz w:val="14"/>
                <w:szCs w:val="14"/>
                <w:color w:val="auto"/>
              </w:rPr>
              <w:t>Adjusted EBITDA</w:t>
            </w:r>
          </w:p>
        </w:tc>
        <w:tc>
          <w:tcPr>
            <w:tcW w:w="5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39,573</w:t>
            </w: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45,585</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FREE CASH FLOW</w:t>
            </w: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2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Net cash provided (used) by operating activities</w:t>
            </w: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(24,448)</w:t>
            </w:r>
          </w:p>
        </w:tc>
        <w:tc>
          <w:tcPr>
            <w:tcW w:w="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63,257</w:t>
            </w:r>
          </w:p>
        </w:tc>
        <w:tc>
          <w:tcPr>
            <w:tcW w:w="0" w:type="dxa"/>
            <w:vAlign w:val="bottom"/>
          </w:tcPr>
          <w:p>
            <w:pPr>
              <w:spacing w:after="0"/>
              <w:rPr>
                <w:sz w:val="1"/>
                <w:szCs w:val="1"/>
                <w:color w:val="auto"/>
              </w:rPr>
            </w:pPr>
          </w:p>
        </w:tc>
      </w:tr>
      <w:tr>
        <w:trPr>
          <w:trHeight w:val="181"/>
        </w:trPr>
        <w:tc>
          <w:tcPr>
            <w:tcW w:w="7200" w:type="dxa"/>
            <w:vAlign w:val="bottom"/>
          </w:tcPr>
          <w:p>
            <w:pPr>
              <w:ind w:left="420"/>
              <w:spacing w:after="0"/>
              <w:rPr>
                <w:sz w:val="20"/>
                <w:szCs w:val="20"/>
                <w:color w:val="auto"/>
              </w:rPr>
            </w:pPr>
            <w:r>
              <w:rPr>
                <w:rFonts w:ascii="Arial" w:cs="Arial" w:eastAsia="Arial" w:hAnsi="Arial"/>
                <w:sz w:val="14"/>
                <w:szCs w:val="14"/>
                <w:color w:val="auto"/>
              </w:rPr>
              <w:t>Acquisitions of property, plant, and equipment</w:t>
            </w: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(17,433)</w:t>
            </w:r>
          </w:p>
        </w:tc>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(9,122)</w:t>
            </w:r>
          </w:p>
        </w:tc>
        <w:tc>
          <w:tcPr>
            <w:tcW w:w="0" w:type="dxa"/>
            <w:vAlign w:val="bottom"/>
          </w:tcPr>
          <w:p>
            <w:pPr>
              <w:spacing w:after="0"/>
              <w:rPr>
                <w:sz w:val="1"/>
                <w:szCs w:val="1"/>
                <w:color w:val="auto"/>
              </w:rPr>
            </w:pPr>
          </w:p>
        </w:tc>
      </w:tr>
      <w:tr>
        <w:trPr>
          <w:trHeight w:val="169"/>
        </w:trPr>
        <w:tc>
          <w:tcPr>
            <w:tcW w:w="7200" w:type="dxa"/>
            <w:vAlign w:val="bottom"/>
          </w:tcPr>
          <w:p>
            <w:pPr>
              <w:ind w:left="280"/>
              <w:spacing w:after="0"/>
              <w:rPr>
                <w:sz w:val="20"/>
                <w:szCs w:val="20"/>
                <w:color w:val="auto"/>
              </w:rPr>
            </w:pPr>
            <w:r>
              <w:rPr>
                <w:rFonts w:ascii="Arial" w:cs="Arial" w:eastAsia="Arial" w:hAnsi="Arial"/>
                <w:sz w:val="14"/>
                <w:szCs w:val="14"/>
                <w:color w:val="auto"/>
              </w:rPr>
              <w:t>Free Cash Flow</w:t>
            </w:r>
          </w:p>
        </w:tc>
        <w:tc>
          <w:tcPr>
            <w:tcW w:w="5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(41,881)</w:t>
            </w: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54,135</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NON-GAAP OPERATING INCOME</w:t>
            </w: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2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200" w:type="dxa"/>
            <w:vAlign w:val="bottom"/>
          </w:tcPr>
          <w:p>
            <w:pPr>
              <w:ind w:left="280"/>
              <w:spacing w:after="0"/>
              <w:rPr>
                <w:sz w:val="20"/>
                <w:szCs w:val="20"/>
                <w:color w:val="auto"/>
              </w:rPr>
            </w:pPr>
            <w:r>
              <w:rPr>
                <w:rFonts w:ascii="Arial" w:cs="Arial" w:eastAsia="Arial" w:hAnsi="Arial"/>
                <w:sz w:val="14"/>
                <w:szCs w:val="14"/>
                <w:color w:val="auto"/>
              </w:rPr>
              <w:t>GAAP operating income (loss)</w:t>
            </w: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(140,448)</w:t>
            </w:r>
          </w:p>
        </w:tc>
        <w:tc>
          <w:tcPr>
            <w:tcW w:w="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30,827</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540" w:type="dxa"/>
            <w:vAlign w:val="bottom"/>
          </w:tcPr>
          <w:p>
            <w:pPr>
              <w:spacing w:after="0"/>
              <w:rPr>
                <w:sz w:val="15"/>
                <w:szCs w:val="15"/>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color w:val="auto"/>
              </w:rPr>
              <w:t>17,740</w:t>
            </w:r>
          </w:p>
        </w:tc>
        <w:tc>
          <w:tcPr>
            <w:tcW w:w="640" w:type="dxa"/>
            <w:vAlign w:val="bottom"/>
          </w:tcPr>
          <w:p>
            <w:pPr>
              <w:spacing w:after="0"/>
              <w:rPr>
                <w:sz w:val="15"/>
                <w:szCs w:val="15"/>
                <w:color w:val="auto"/>
              </w:rPr>
            </w:pP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4,549</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540" w:type="dxa"/>
            <w:vAlign w:val="bottom"/>
          </w:tcPr>
          <w:p>
            <w:pPr>
              <w:spacing w:after="0"/>
              <w:rPr>
                <w:sz w:val="15"/>
                <w:szCs w:val="15"/>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color w:val="auto"/>
              </w:rPr>
              <w:t>87,865</w:t>
            </w:r>
          </w:p>
        </w:tc>
        <w:tc>
          <w:tcPr>
            <w:tcW w:w="640" w:type="dxa"/>
            <w:vAlign w:val="bottom"/>
          </w:tcPr>
          <w:p>
            <w:pPr>
              <w:spacing w:after="0"/>
              <w:rPr>
                <w:sz w:val="15"/>
                <w:szCs w:val="15"/>
                <w:color w:val="auto"/>
              </w:rPr>
            </w:pP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3,052</w:t>
            </w:r>
          </w:p>
        </w:tc>
        <w:tc>
          <w:tcPr>
            <w:tcW w:w="0" w:type="dxa"/>
            <w:vAlign w:val="bottom"/>
          </w:tcPr>
          <w:p>
            <w:pPr>
              <w:spacing w:after="0"/>
              <w:rPr>
                <w:sz w:val="1"/>
                <w:szCs w:val="1"/>
                <w:color w:val="auto"/>
              </w:rPr>
            </w:pPr>
          </w:p>
        </w:tc>
      </w:tr>
      <w:tr>
        <w:trPr>
          <w:trHeight w:val="181"/>
        </w:trPr>
        <w:tc>
          <w:tcPr>
            <w:tcW w:w="7200" w:type="dxa"/>
            <w:vAlign w:val="bottom"/>
          </w:tcPr>
          <w:p>
            <w:pPr>
              <w:ind w:left="420"/>
              <w:spacing w:after="0"/>
              <w:rPr>
                <w:sz w:val="20"/>
                <w:szCs w:val="20"/>
                <w:color w:val="auto"/>
              </w:rPr>
            </w:pPr>
            <w:r>
              <w:rPr>
                <w:rFonts w:ascii="Arial" w:cs="Arial" w:eastAsia="Arial" w:hAnsi="Arial"/>
                <w:sz w:val="14"/>
                <w:szCs w:val="14"/>
                <w:color w:val="auto"/>
              </w:rPr>
              <w:t>Acquisition and integration related expense</w:t>
            </w: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62,647</w:t>
            </w:r>
          </w:p>
        </w:tc>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69"/>
        </w:trPr>
        <w:tc>
          <w:tcPr>
            <w:tcW w:w="7200" w:type="dxa"/>
            <w:vAlign w:val="bottom"/>
          </w:tcPr>
          <w:p>
            <w:pPr>
              <w:ind w:left="280"/>
              <w:spacing w:after="0"/>
              <w:rPr>
                <w:sz w:val="20"/>
                <w:szCs w:val="20"/>
                <w:color w:val="auto"/>
              </w:rPr>
            </w:pPr>
            <w:r>
              <w:rPr>
                <w:rFonts w:ascii="Arial" w:cs="Arial" w:eastAsia="Arial" w:hAnsi="Arial"/>
                <w:sz w:val="14"/>
                <w:szCs w:val="14"/>
                <w:color w:val="auto"/>
              </w:rPr>
              <w:t>Non-GAAP operating income</w:t>
            </w:r>
          </w:p>
        </w:tc>
        <w:tc>
          <w:tcPr>
            <w:tcW w:w="5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27,804</w:t>
            </w: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38,761</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NON-GAAP OPERATING EXPENSES</w:t>
            </w: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2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200" w:type="dxa"/>
            <w:vAlign w:val="bottom"/>
          </w:tcPr>
          <w:p>
            <w:pPr>
              <w:ind w:left="280"/>
              <w:spacing w:after="0"/>
              <w:rPr>
                <w:sz w:val="20"/>
                <w:szCs w:val="20"/>
                <w:color w:val="auto"/>
              </w:rPr>
            </w:pPr>
            <w:r>
              <w:rPr>
                <w:rFonts w:ascii="Arial" w:cs="Arial" w:eastAsia="Arial" w:hAnsi="Arial"/>
                <w:sz w:val="14"/>
                <w:szCs w:val="14"/>
                <w:color w:val="auto"/>
              </w:rPr>
              <w:t>GAAP operating expenses</w:t>
            </w: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28"/>
              <w:spacing w:after="0"/>
              <w:rPr>
                <w:sz w:val="20"/>
                <w:szCs w:val="20"/>
                <w:color w:val="auto"/>
              </w:rPr>
            </w:pPr>
            <w:r>
              <w:rPr>
                <w:rFonts w:ascii="Arial" w:cs="Arial" w:eastAsia="Arial" w:hAnsi="Arial"/>
                <w:sz w:val="14"/>
                <w:szCs w:val="14"/>
                <w:color w:val="auto"/>
              </w:rPr>
              <w:t>320,303</w:t>
            </w:r>
          </w:p>
        </w:tc>
        <w:tc>
          <w:tcPr>
            <w:tcW w:w="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126,810</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540" w:type="dxa"/>
            <w:vAlign w:val="bottom"/>
          </w:tcPr>
          <w:p>
            <w:pPr>
              <w:spacing w:after="0"/>
              <w:rPr>
                <w:sz w:val="15"/>
                <w:szCs w:val="15"/>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(17,740)</w:t>
            </w:r>
          </w:p>
        </w:tc>
        <w:tc>
          <w:tcPr>
            <w:tcW w:w="640" w:type="dxa"/>
            <w:vAlign w:val="bottom"/>
          </w:tcPr>
          <w:p>
            <w:pPr>
              <w:spacing w:after="0"/>
              <w:rPr>
                <w:sz w:val="15"/>
                <w:szCs w:val="15"/>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(4,549)</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540" w:type="dxa"/>
            <w:vAlign w:val="bottom"/>
          </w:tcPr>
          <w:p>
            <w:pPr>
              <w:spacing w:after="0"/>
              <w:rPr>
                <w:sz w:val="15"/>
                <w:szCs w:val="15"/>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(87,865)</w:t>
            </w:r>
          </w:p>
        </w:tc>
        <w:tc>
          <w:tcPr>
            <w:tcW w:w="640" w:type="dxa"/>
            <w:vAlign w:val="bottom"/>
          </w:tcPr>
          <w:p>
            <w:pPr>
              <w:spacing w:after="0"/>
              <w:rPr>
                <w:sz w:val="15"/>
                <w:szCs w:val="15"/>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(3,052)</w:t>
            </w:r>
          </w:p>
        </w:tc>
        <w:tc>
          <w:tcPr>
            <w:tcW w:w="0" w:type="dxa"/>
            <w:vAlign w:val="bottom"/>
          </w:tcPr>
          <w:p>
            <w:pPr>
              <w:spacing w:after="0"/>
              <w:rPr>
                <w:sz w:val="1"/>
                <w:szCs w:val="1"/>
                <w:color w:val="auto"/>
              </w:rPr>
            </w:pPr>
          </w:p>
        </w:tc>
      </w:tr>
      <w:tr>
        <w:trPr>
          <w:trHeight w:val="181"/>
        </w:trPr>
        <w:tc>
          <w:tcPr>
            <w:tcW w:w="7200" w:type="dxa"/>
            <w:vAlign w:val="bottom"/>
          </w:tcPr>
          <w:p>
            <w:pPr>
              <w:ind w:left="420"/>
              <w:spacing w:after="0"/>
              <w:rPr>
                <w:sz w:val="20"/>
                <w:szCs w:val="20"/>
                <w:color w:val="auto"/>
              </w:rPr>
            </w:pPr>
            <w:r>
              <w:rPr>
                <w:rFonts w:ascii="Arial" w:cs="Arial" w:eastAsia="Arial" w:hAnsi="Arial"/>
                <w:sz w:val="14"/>
                <w:szCs w:val="14"/>
                <w:color w:val="auto"/>
              </w:rPr>
              <w:t>Acquisition and integration related expense</w:t>
            </w: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(62,647)</w:t>
            </w:r>
          </w:p>
        </w:tc>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69"/>
        </w:trPr>
        <w:tc>
          <w:tcPr>
            <w:tcW w:w="7200" w:type="dxa"/>
            <w:vAlign w:val="bottom"/>
          </w:tcPr>
          <w:p>
            <w:pPr>
              <w:ind w:left="280"/>
              <w:spacing w:after="0"/>
              <w:rPr>
                <w:sz w:val="20"/>
                <w:szCs w:val="20"/>
                <w:color w:val="auto"/>
              </w:rPr>
            </w:pPr>
            <w:r>
              <w:rPr>
                <w:rFonts w:ascii="Arial" w:cs="Arial" w:eastAsia="Arial" w:hAnsi="Arial"/>
                <w:sz w:val="14"/>
                <w:szCs w:val="14"/>
                <w:color w:val="auto"/>
              </w:rPr>
              <w:t>Non-GAAP operating expenses</w:t>
            </w:r>
          </w:p>
        </w:tc>
        <w:tc>
          <w:tcPr>
            <w:tcW w:w="5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152,051</w:t>
            </w: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118,876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2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7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 RECONCILIATIONS</w:t>
            </w:r>
          </w:p>
        </w:tc>
        <w:tc>
          <w:tcPr>
            <w:tcW w:w="4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9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7960" w:type="dxa"/>
            <w:vAlign w:val="bottom"/>
          </w:tcPr>
          <w:p>
            <w:pPr>
              <w:ind w:left="120"/>
              <w:spacing w:after="0"/>
              <w:rPr>
                <w:sz w:val="20"/>
                <w:szCs w:val="20"/>
                <w:color w:val="auto"/>
              </w:rPr>
            </w:pPr>
            <w:r>
              <w:rPr>
                <w:rFonts w:ascii="Arial" w:cs="Arial" w:eastAsia="Arial" w:hAnsi="Arial"/>
                <w:sz w:val="14"/>
                <w:szCs w:val="14"/>
                <w:b w:val="1"/>
                <w:bCs w:val="1"/>
                <w:color w:val="auto"/>
              </w:rPr>
              <w:t>NON-GAAP OPERATING INCOME - ELECTRICITY</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60"/>
              <w:spacing w:after="0"/>
              <w:rPr>
                <w:sz w:val="20"/>
                <w:szCs w:val="20"/>
                <w:color w:val="auto"/>
              </w:rPr>
            </w:pPr>
            <w:r>
              <w:rPr>
                <w:rFonts w:ascii="Arial" w:cs="Arial" w:eastAsia="Arial" w:hAnsi="Arial"/>
                <w:sz w:val="14"/>
                <w:szCs w:val="14"/>
                <w:color w:val="auto"/>
              </w:rPr>
              <w:t>Electricity - GAAP operating income (loss)</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(2,768)</w:t>
            </w:r>
          </w:p>
        </w:tc>
        <w:tc>
          <w:tcPr>
            <w:tcW w:w="5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17,084</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Amortization of intangible assets</w:t>
            </w:r>
          </w:p>
        </w:tc>
        <w:tc>
          <w:tcPr>
            <w:tcW w:w="44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2,880</w:t>
            </w:r>
          </w:p>
        </w:tc>
        <w:tc>
          <w:tcPr>
            <w:tcW w:w="540" w:type="dxa"/>
            <w:vAlign w:val="bottom"/>
          </w:tcPr>
          <w:p>
            <w:pPr>
              <w:spacing w:after="0"/>
              <w:rPr>
                <w:sz w:val="15"/>
                <w:szCs w:val="15"/>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2,362</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Restructuring</w:t>
            </w:r>
          </w:p>
        </w:tc>
        <w:tc>
          <w:tcPr>
            <w:tcW w:w="44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19,600</w:t>
            </w:r>
          </w:p>
        </w:tc>
        <w:tc>
          <w:tcPr>
            <w:tcW w:w="540" w:type="dxa"/>
            <w:vAlign w:val="bottom"/>
          </w:tcPr>
          <w:p>
            <w:pPr>
              <w:spacing w:after="0"/>
              <w:rPr>
                <w:sz w:val="15"/>
                <w:szCs w:val="15"/>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81"/>
        </w:trPr>
        <w:tc>
          <w:tcPr>
            <w:tcW w:w="7960" w:type="dxa"/>
            <w:vAlign w:val="bottom"/>
          </w:tcPr>
          <w:p>
            <w:pPr>
              <w:ind w:left="380"/>
              <w:spacing w:after="0"/>
              <w:rPr>
                <w:sz w:val="20"/>
                <w:szCs w:val="20"/>
                <w:color w:val="auto"/>
              </w:rPr>
            </w:pPr>
            <w:r>
              <w:rPr>
                <w:rFonts w:ascii="Arial" w:cs="Arial" w:eastAsia="Arial" w:hAnsi="Arial"/>
                <w:sz w:val="14"/>
                <w:szCs w:val="14"/>
                <w:color w:val="auto"/>
              </w:rPr>
              <w:t>Acquisition and integration related expense</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323</w:t>
            </w: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960" w:type="dxa"/>
            <w:vAlign w:val="bottom"/>
          </w:tcPr>
          <w:p>
            <w:pPr>
              <w:ind w:left="260"/>
              <w:spacing w:after="0"/>
              <w:rPr>
                <w:sz w:val="20"/>
                <w:szCs w:val="20"/>
                <w:color w:val="auto"/>
              </w:rPr>
            </w:pPr>
            <w:r>
              <w:rPr>
                <w:rFonts w:ascii="Arial" w:cs="Arial" w:eastAsia="Arial" w:hAnsi="Arial"/>
                <w:sz w:val="14"/>
                <w:szCs w:val="14"/>
                <w:color w:val="auto"/>
              </w:rPr>
              <w:t>Electricity - Non-GAAP operating income</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20,035</w:t>
            </w: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19,270</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NON-GAAP OPERATING INCOME - GAS</w:t>
            </w: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60"/>
              <w:spacing w:after="0"/>
              <w:rPr>
                <w:sz w:val="20"/>
                <w:szCs w:val="20"/>
                <w:color w:val="auto"/>
              </w:rPr>
            </w:pPr>
            <w:r>
              <w:rPr>
                <w:rFonts w:ascii="Arial" w:cs="Arial" w:eastAsia="Arial" w:hAnsi="Arial"/>
                <w:sz w:val="14"/>
                <w:szCs w:val="14"/>
                <w:color w:val="auto"/>
              </w:rPr>
              <w:t>Gas - GAAP operating income (loss)</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(28,348)</w:t>
            </w:r>
          </w:p>
        </w:tc>
        <w:tc>
          <w:tcPr>
            <w:tcW w:w="5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21,731</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Amortization of intangible assets</w:t>
            </w:r>
          </w:p>
        </w:tc>
        <w:tc>
          <w:tcPr>
            <w:tcW w:w="44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1,124</w:t>
            </w:r>
          </w:p>
        </w:tc>
        <w:tc>
          <w:tcPr>
            <w:tcW w:w="540" w:type="dxa"/>
            <w:vAlign w:val="bottom"/>
          </w:tcPr>
          <w:p>
            <w:pPr>
              <w:spacing w:after="0"/>
              <w:rPr>
                <w:sz w:val="15"/>
                <w:szCs w:val="15"/>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181"/>
        </w:trPr>
        <w:tc>
          <w:tcPr>
            <w:tcW w:w="7960" w:type="dxa"/>
            <w:vAlign w:val="bottom"/>
          </w:tcPr>
          <w:p>
            <w:pPr>
              <w:ind w:left="380"/>
              <w:spacing w:after="0"/>
              <w:rPr>
                <w:sz w:val="20"/>
                <w:szCs w:val="20"/>
                <w:color w:val="auto"/>
              </w:rPr>
            </w:pPr>
            <w:r>
              <w:rPr>
                <w:rFonts w:ascii="Arial" w:cs="Arial" w:eastAsia="Arial" w:hAnsi="Arial"/>
                <w:sz w:val="14"/>
                <w:szCs w:val="14"/>
                <w:color w:val="auto"/>
              </w:rPr>
              <w:t>Restructuring</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43,547</w:t>
            </w: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69"/>
        </w:trPr>
        <w:tc>
          <w:tcPr>
            <w:tcW w:w="7960" w:type="dxa"/>
            <w:vAlign w:val="bottom"/>
          </w:tcPr>
          <w:p>
            <w:pPr>
              <w:ind w:left="260"/>
              <w:spacing w:after="0"/>
              <w:rPr>
                <w:sz w:val="20"/>
                <w:szCs w:val="20"/>
                <w:color w:val="auto"/>
              </w:rPr>
            </w:pPr>
            <w:r>
              <w:rPr>
                <w:rFonts w:ascii="Arial" w:cs="Arial" w:eastAsia="Arial" w:hAnsi="Arial"/>
                <w:sz w:val="14"/>
                <w:szCs w:val="14"/>
                <w:color w:val="auto"/>
              </w:rPr>
              <w:t>Gas - Non-GAAP operating income</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16,323</w:t>
            </w: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24,092</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NON-GAAP OPERATING INCOME - WATER</w:t>
            </w: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60"/>
              <w:spacing w:after="0"/>
              <w:rPr>
                <w:sz w:val="20"/>
                <w:szCs w:val="20"/>
                <w:color w:val="auto"/>
              </w:rPr>
            </w:pPr>
            <w:r>
              <w:rPr>
                <w:rFonts w:ascii="Arial" w:cs="Arial" w:eastAsia="Arial" w:hAnsi="Arial"/>
                <w:sz w:val="14"/>
                <w:szCs w:val="14"/>
                <w:color w:val="auto"/>
              </w:rPr>
              <w:t>Water - GAAP operating income (loss)</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(11,710)</w:t>
            </w:r>
          </w:p>
        </w:tc>
        <w:tc>
          <w:tcPr>
            <w:tcW w:w="5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8,804</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Amortization of intangible assets</w:t>
            </w:r>
          </w:p>
        </w:tc>
        <w:tc>
          <w:tcPr>
            <w:tcW w:w="44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835</w:t>
            </w:r>
          </w:p>
        </w:tc>
        <w:tc>
          <w:tcPr>
            <w:tcW w:w="540" w:type="dxa"/>
            <w:vAlign w:val="bottom"/>
          </w:tcPr>
          <w:p>
            <w:pPr>
              <w:spacing w:after="0"/>
              <w:rPr>
                <w:sz w:val="15"/>
                <w:szCs w:val="15"/>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181"/>
        </w:trPr>
        <w:tc>
          <w:tcPr>
            <w:tcW w:w="7960" w:type="dxa"/>
            <w:vAlign w:val="bottom"/>
          </w:tcPr>
          <w:p>
            <w:pPr>
              <w:ind w:left="380"/>
              <w:spacing w:after="0"/>
              <w:rPr>
                <w:sz w:val="20"/>
                <w:szCs w:val="20"/>
                <w:color w:val="auto"/>
              </w:rPr>
            </w:pPr>
            <w:r>
              <w:rPr>
                <w:rFonts w:ascii="Arial" w:cs="Arial" w:eastAsia="Arial" w:hAnsi="Arial"/>
                <w:sz w:val="14"/>
                <w:szCs w:val="14"/>
                <w:color w:val="auto"/>
              </w:rPr>
              <w:t>Restructuring</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16,714</w:t>
            </w: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69"/>
        </w:trPr>
        <w:tc>
          <w:tcPr>
            <w:tcW w:w="7960" w:type="dxa"/>
            <w:vAlign w:val="bottom"/>
          </w:tcPr>
          <w:p>
            <w:pPr>
              <w:ind w:left="260"/>
              <w:spacing w:after="0"/>
              <w:rPr>
                <w:sz w:val="20"/>
                <w:szCs w:val="20"/>
                <w:color w:val="auto"/>
              </w:rPr>
            </w:pPr>
            <w:r>
              <w:rPr>
                <w:rFonts w:ascii="Arial" w:cs="Arial" w:eastAsia="Arial" w:hAnsi="Arial"/>
                <w:sz w:val="14"/>
                <w:szCs w:val="14"/>
                <w:color w:val="auto"/>
              </w:rPr>
              <w:t>Water - Non-GAAP operating income</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5,839</w:t>
            </w: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10,732</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NON-GAAP OPERATING INCOME - NETWORKS</w:t>
            </w: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60"/>
              <w:spacing w:after="0"/>
              <w:rPr>
                <w:sz w:val="20"/>
                <w:szCs w:val="20"/>
                <w:color w:val="auto"/>
              </w:rPr>
            </w:pPr>
            <w:r>
              <w:rPr>
                <w:rFonts w:ascii="Arial" w:cs="Arial" w:eastAsia="Arial" w:hAnsi="Arial"/>
                <w:sz w:val="14"/>
                <w:szCs w:val="14"/>
                <w:color w:val="auto"/>
              </w:rPr>
              <w:t>Networks - GAAP operating loss</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(75,510)</w:t>
            </w:r>
          </w:p>
        </w:tc>
        <w:tc>
          <w:tcPr>
            <w:tcW w:w="540" w:type="dxa"/>
            <w:vAlign w:val="bottom"/>
          </w:tcPr>
          <w:p>
            <w:pPr>
              <w:spacing w:after="0"/>
              <w:rPr>
                <w:sz w:val="15"/>
                <w:szCs w:val="15"/>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Amortization of intangible assets</w:t>
            </w:r>
          </w:p>
        </w:tc>
        <w:tc>
          <w:tcPr>
            <w:tcW w:w="44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12,901</w:t>
            </w:r>
          </w:p>
        </w:tc>
        <w:tc>
          <w:tcPr>
            <w:tcW w:w="540" w:type="dxa"/>
            <w:vAlign w:val="bottom"/>
          </w:tcPr>
          <w:p>
            <w:pPr>
              <w:spacing w:after="0"/>
              <w:rPr>
                <w:sz w:val="15"/>
                <w:szCs w:val="15"/>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960" w:type="dxa"/>
            <w:vAlign w:val="bottom"/>
          </w:tcPr>
          <w:p>
            <w:pPr>
              <w:ind w:left="380"/>
              <w:spacing w:after="0"/>
              <w:rPr>
                <w:sz w:val="20"/>
                <w:szCs w:val="20"/>
                <w:color w:val="auto"/>
              </w:rPr>
            </w:pPr>
            <w:r>
              <w:rPr>
                <w:rFonts w:ascii="Arial" w:cs="Arial" w:eastAsia="Arial" w:hAnsi="Arial"/>
                <w:sz w:val="14"/>
                <w:szCs w:val="14"/>
                <w:color w:val="auto"/>
              </w:rPr>
              <w:t>Acquisition and integration related expense</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62,448</w:t>
            </w: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960" w:type="dxa"/>
            <w:vAlign w:val="bottom"/>
          </w:tcPr>
          <w:p>
            <w:pPr>
              <w:ind w:left="260"/>
              <w:spacing w:after="0"/>
              <w:rPr>
                <w:sz w:val="20"/>
                <w:szCs w:val="20"/>
                <w:color w:val="auto"/>
              </w:rPr>
            </w:pPr>
            <w:r>
              <w:rPr>
                <w:rFonts w:ascii="Arial" w:cs="Arial" w:eastAsia="Arial" w:hAnsi="Arial"/>
                <w:sz w:val="14"/>
                <w:szCs w:val="14"/>
                <w:color w:val="auto"/>
              </w:rPr>
              <w:t>Networks - Non-GAAP operating loss</w:t>
            </w: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(161)</w:t>
            </w: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NON-GAAP OPERATING INCOME - CORPORATE UNALLOCATED</w:t>
            </w: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60"/>
              <w:spacing w:after="0"/>
              <w:rPr>
                <w:sz w:val="20"/>
                <w:szCs w:val="20"/>
                <w:color w:val="auto"/>
              </w:rPr>
            </w:pPr>
            <w:r>
              <w:rPr>
                <w:rFonts w:ascii="Arial" w:cs="Arial" w:eastAsia="Arial" w:hAnsi="Arial"/>
                <w:sz w:val="14"/>
                <w:szCs w:val="14"/>
                <w:color w:val="auto"/>
              </w:rPr>
              <w:t>Corporate unallocated - GAAP operating loss</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(22,112)</w:t>
            </w:r>
          </w:p>
        </w:tc>
        <w:tc>
          <w:tcPr>
            <w:tcW w:w="5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(16,792)</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Restructuring</w:t>
            </w:r>
          </w:p>
        </w:tc>
        <w:tc>
          <w:tcPr>
            <w:tcW w:w="44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8,004</w:t>
            </w:r>
          </w:p>
        </w:tc>
        <w:tc>
          <w:tcPr>
            <w:tcW w:w="540" w:type="dxa"/>
            <w:vAlign w:val="bottom"/>
          </w:tcPr>
          <w:p>
            <w:pPr>
              <w:spacing w:after="0"/>
              <w:rPr>
                <w:sz w:val="15"/>
                <w:szCs w:val="15"/>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181"/>
        </w:trPr>
        <w:tc>
          <w:tcPr>
            <w:tcW w:w="7960" w:type="dxa"/>
            <w:vAlign w:val="bottom"/>
          </w:tcPr>
          <w:p>
            <w:pPr>
              <w:ind w:left="380"/>
              <w:spacing w:after="0"/>
              <w:rPr>
                <w:sz w:val="20"/>
                <w:szCs w:val="20"/>
                <w:color w:val="auto"/>
              </w:rPr>
            </w:pPr>
            <w:r>
              <w:rPr>
                <w:rFonts w:ascii="Arial" w:cs="Arial" w:eastAsia="Arial" w:hAnsi="Arial"/>
                <w:sz w:val="14"/>
                <w:szCs w:val="14"/>
                <w:color w:val="auto"/>
              </w:rPr>
              <w:t>Acquisition and integration related expense (recovery)</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(124)</w:t>
            </w: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69"/>
        </w:trPr>
        <w:tc>
          <w:tcPr>
            <w:tcW w:w="7960" w:type="dxa"/>
            <w:vAlign w:val="bottom"/>
          </w:tcPr>
          <w:p>
            <w:pPr>
              <w:ind w:left="260"/>
              <w:spacing w:after="0"/>
              <w:rPr>
                <w:sz w:val="20"/>
                <w:szCs w:val="20"/>
                <w:color w:val="auto"/>
              </w:rPr>
            </w:pPr>
            <w:r>
              <w:rPr>
                <w:rFonts w:ascii="Arial" w:cs="Arial" w:eastAsia="Arial" w:hAnsi="Arial"/>
                <w:sz w:val="14"/>
                <w:szCs w:val="14"/>
                <w:color w:val="auto"/>
              </w:rPr>
              <w:t>Corporate unallocated - Non-GAAP operating loss</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(14,232)</w:t>
            </w: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(15,333)</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 509-891-3443</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Rebecca Hussey, 509-891-3574</w:t>
      </w:r>
    </w:p>
    <w:p>
      <w:pPr>
        <w:spacing w:after="0" w:line="231" w:lineRule="auto"/>
        <w:rPr>
          <w:sz w:val="20"/>
          <w:szCs w:val="20"/>
          <w:color w:val="auto"/>
        </w:rPr>
      </w:pPr>
      <w:r>
        <w:rPr>
          <w:rFonts w:ascii="Arial" w:cs="Arial" w:eastAsia="Arial" w:hAnsi="Arial"/>
          <w:sz w:val="22"/>
          <w:szCs w:val="22"/>
          <w:color w:val="auto"/>
        </w:rPr>
        <w:t>Manager,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www.itron.com</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2019-12-28T21:56:29Z</dcterms:created>
  <dcterms:modified xsi:type="dcterms:W3CDTF">2019-12-28T21:56:29Z</dcterms:modified>
</cp:coreProperties>
</file>