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60" w:after="283"/>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000-22418 </w:t>
      </w:r>
    </w:p>
    <w:p>
      <w:pPr>
        <w:pStyle w:val="TextBody"/>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 xml:space="preserve">ITRON, INC.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5575" w:type="dxa"/>
        <w:jc w:val="center"/>
        <w:tblInd w:w="0" w:type="dxa"/>
        <w:tblCellMar>
          <w:top w:w="28" w:type="dxa"/>
          <w:left w:w="28" w:type="dxa"/>
          <w:bottom w:w="28" w:type="dxa"/>
          <w:right w:w="28" w:type="dxa"/>
        </w:tblCellMar>
      </w:tblPr>
      <w:tblGrid>
        <w:gridCol w:w="765"/>
        <w:gridCol w:w="672"/>
        <w:gridCol w:w="677"/>
        <w:gridCol w:w="109"/>
        <w:gridCol w:w="109"/>
        <w:gridCol w:w="109"/>
        <w:gridCol w:w="915"/>
        <w:gridCol w:w="915"/>
        <w:gridCol w:w="1304"/>
      </w:tblGrid>
      <w:tr>
        <w:trPr/>
        <w:tc>
          <w:tcPr>
            <w:tcW w:w="76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91-1011792</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2111 N Molter Road, Liberty Lake, Washington 99019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(509) 924-9900 </w:t>
      </w:r>
    </w:p>
    <w:p>
      <w:pPr>
        <w:pStyle w:val="TextBody"/>
        <w:spacing w:lineRule="auto" w:line="288" w:before="0" w:after="0"/>
        <w:jc w:val="center"/>
        <w:rPr/>
      </w:pPr>
      <w:r>
        <w:rPr>
          <w:rFonts w:ascii="Times New Roman;sans-serif" w:hAnsi="Times New Roman;sans-serif"/>
          <w:b/>
          <w:color w:val="000000"/>
          <w:sz w:val="16"/>
        </w:rPr>
        <w:t>(Address and telephone number of registrant's principal executive offices)</w:t>
      </w:r>
      <w:r>
        <w:rPr>
          <w:color w:val="000000"/>
        </w:rPr>
        <w:t>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617" w:type="dxa"/>
        <w:jc w:val="center"/>
        <w:tblInd w:w="0" w:type="dxa"/>
        <w:tblCellMar>
          <w:top w:w="28" w:type="dxa"/>
          <w:left w:w="28" w:type="dxa"/>
          <w:bottom w:w="28" w:type="dxa"/>
          <w:right w:w="28" w:type="dxa"/>
        </w:tblCellMar>
      </w:tblPr>
      <w:tblGrid>
        <w:gridCol w:w="883"/>
        <w:gridCol w:w="776"/>
        <w:gridCol w:w="785"/>
        <w:gridCol w:w="109"/>
        <w:gridCol w:w="109"/>
        <w:gridCol w:w="109"/>
        <w:gridCol w:w="564"/>
        <w:gridCol w:w="564"/>
        <w:gridCol w:w="566"/>
        <w:gridCol w:w="109"/>
        <w:gridCol w:w="109"/>
        <w:gridCol w:w="109"/>
        <w:gridCol w:w="1118"/>
        <w:gridCol w:w="1118"/>
        <w:gridCol w:w="1589"/>
      </w:tblGrid>
      <w:tr>
        <w:trPr/>
        <w:tc>
          <w:tcPr>
            <w:tcW w:w="88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3"/>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60" w:after="283"/>
              <w:jc w:val="center"/>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80" w:after="283"/>
        <w:jc w:val="both"/>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May 1, 2023, there were outstanding 45,422,809 shares of the registrant's common stock, no par value, which is the only class of common stock of the registrant.</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8970" w:type="dxa"/>
        <w:jc w:val="left"/>
        <w:tblInd w:w="0" w:type="dxa"/>
        <w:tblCellMar>
          <w:top w:w="28" w:type="dxa"/>
          <w:left w:w="28" w:type="dxa"/>
          <w:bottom w:w="28" w:type="dxa"/>
          <w:right w:w="28" w:type="dxa"/>
        </w:tblCellMar>
      </w:tblPr>
      <w:tblGrid>
        <w:gridCol w:w="3042"/>
        <w:gridCol w:w="2672"/>
        <w:gridCol w:w="2685"/>
        <w:gridCol w:w="167"/>
        <w:gridCol w:w="167"/>
        <w:gridCol w:w="237"/>
      </w:tblGrid>
      <w:tr>
        <w:trPr/>
        <w:tc>
          <w:tcPr>
            <w:tcW w:w="3042" w:type="dxa"/>
            <w:tcBorders/>
            <w:shd w:fill="auto" w:val="clear"/>
            <w:vAlign w:val="center"/>
          </w:tcPr>
          <w:p>
            <w:pPr>
              <w:pStyle w:val="TableContents"/>
              <w:spacing w:before="0" w:after="283"/>
              <w:rPr>
                <w:sz w:val="4"/>
                <w:szCs w:val="4"/>
              </w:rPr>
            </w:pPr>
            <w:r>
              <w:rPr>
                <w:sz w:val="4"/>
                <w:szCs w:val="4"/>
              </w:rPr>
            </w:r>
          </w:p>
        </w:tc>
        <w:tc>
          <w:tcPr>
            <w:tcW w:w="2672"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1: </w:t>
            </w:r>
            <w:hyperlink w:anchor="i14e5c4a0769d4ad1bb761563ededb494_13">
              <w:r>
                <w:rPr>
                  <w:rStyle w:val="InternetLink"/>
                  <w:rFonts w:ascii="Times New Roman;sans-serif" w:hAnsi="Times New Roman;sans-serif"/>
                  <w:b w:val="false"/>
                  <w:color w:val="0000FF"/>
                  <w:sz w:val="20"/>
                  <w:u w:val="single"/>
                </w:rPr>
                <w:t>Financial Statements (Unaudited)</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16">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16">
              <w:r>
                <w:rPr>
                  <w:rStyle w:val="InternetLink"/>
                  <w:rFonts w:ascii="Times New Roman;sans-serif" w:hAnsi="Times New Roman;sans-serif"/>
                  <w:b w:val="false"/>
                  <w:color w:val="0000FF"/>
                  <w:sz w:val="20"/>
                  <w:u w:val="single"/>
                </w:rPr>
                <w:t>1</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19">
              <w:r>
                <w:rPr>
                  <w:rStyle w:val="InternetLink"/>
                  <w:rFonts w:ascii="Times New Roman;sans-serif" w:hAnsi="Times New Roman;sans-serif"/>
                  <w:b w:val="false"/>
                  <w:color w:val="0000FF"/>
                  <w:sz w:val="20"/>
                  <w:u w:val="single"/>
                </w:rPr>
                <w:t>Consolidated Statements of Comprehensive Income (Loss)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19">
              <w:r>
                <w:rPr>
                  <w:rStyle w:val="InternetLink"/>
                  <w:rFonts w:ascii="Times New Roman;sans-serif" w:hAnsi="Times New Roman;sans-serif"/>
                  <w:b w:val="false"/>
                  <w:color w:val="0000FF"/>
                  <w:sz w:val="20"/>
                  <w:u w:val="single"/>
                </w:rPr>
                <w:t>2</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22">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2">
              <w:r>
                <w:rPr>
                  <w:rStyle w:val="InternetLink"/>
                  <w:rFonts w:ascii="Times New Roman;sans-serif" w:hAnsi="Times New Roman;sans-serif"/>
                  <w:b w:val="false"/>
                  <w:color w:val="0000FF"/>
                  <w:sz w:val="20"/>
                  <w:u w:val="single"/>
                </w:rPr>
                <w:t>3</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25">
              <w:r>
                <w:rPr>
                  <w:rStyle w:val="InternetLink"/>
                  <w:rFonts w:ascii="Times New Roman;sans-serif" w:hAnsi="Times New Roman;sans-serif"/>
                  <w:b w:val="false"/>
                  <w:color w:val="0000FF"/>
                  <w:sz w:val="20"/>
                  <w:u w:val="single"/>
                </w:rPr>
                <w:t>Consolidated Statements of Equity</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5">
              <w:r>
                <w:rPr>
                  <w:rStyle w:val="InternetLink"/>
                  <w:rFonts w:ascii="Times New Roman;sans-serif" w:hAnsi="Times New Roman;sans-serif"/>
                  <w:b w:val="false"/>
                  <w:color w:val="0000FF"/>
                  <w:sz w:val="20"/>
                  <w:u w:val="single"/>
                </w:rPr>
                <w:t>4</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28">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8">
              <w:r>
                <w:rPr>
                  <w:rStyle w:val="InternetLink"/>
                  <w:rFonts w:ascii="Times New Roman;sans-serif" w:hAnsi="Times New Roman;sans-serif"/>
                  <w:b w:val="false"/>
                  <w:color w:val="0000FF"/>
                  <w:sz w:val="20"/>
                  <w:u w:val="single"/>
                </w:rPr>
                <w:t>5</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31">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31">
              <w:r>
                <w:rPr>
                  <w:rStyle w:val="InternetLink"/>
                  <w:rFonts w:ascii="Times New Roman;sans-serif" w:hAnsi="Times New Roman;sans-serif"/>
                  <w:b w:val="false"/>
                  <w:color w:val="0000FF"/>
                  <w:sz w:val="20"/>
                  <w:u w:val="single"/>
                </w:rPr>
                <w:t>6</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2: </w:t>
            </w:r>
            <w:hyperlink w:anchor="i14e5c4a0769d4ad1bb761563ededb494_12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121">
              <w:r>
                <w:rPr>
                  <w:rStyle w:val="InternetLink"/>
                  <w:rFonts w:ascii="Times New Roman;sans-serif" w:hAnsi="Times New Roman;sans-serif"/>
                  <w:b w:val="false"/>
                  <w:color w:val="0000FF"/>
                  <w:sz w:val="20"/>
                  <w:u w:val="single"/>
                </w:rPr>
                <w:t>25</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3: </w:t>
            </w:r>
            <w:hyperlink w:anchor="i14e5c4a0769d4ad1bb761563ededb494_190">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190">
              <w:r>
                <w:rPr>
                  <w:rStyle w:val="InternetLink"/>
                  <w:rFonts w:ascii="Times New Roman;sans-serif" w:hAnsi="Times New Roman;sans-serif"/>
                  <w:b w:val="false"/>
                  <w:color w:val="0000FF"/>
                  <w:sz w:val="20"/>
                  <w:u w:val="single"/>
                </w:rPr>
                <w:t>41</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4: </w:t>
            </w:r>
            <w:hyperlink w:anchor="i14e5c4a0769d4ad1bb761563ededb494_193">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193">
              <w:r>
                <w:rPr>
                  <w:rStyle w:val="InternetLink"/>
                  <w:rFonts w:ascii="Times New Roman;sans-serif" w:hAnsi="Times New Roman;sans-serif"/>
                  <w:b w:val="false"/>
                  <w:color w:val="0000FF"/>
                  <w:sz w:val="20"/>
                  <w:u w:val="single"/>
                </w:rPr>
                <w:t>42</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196">
              <w:r>
                <w:rPr>
                  <w:rStyle w:val="InternetLink"/>
                  <w:rFonts w:ascii="Times New Roman;sans-serif" w:hAnsi="Times New Roman;sans-serif"/>
                  <w:b/>
                  <w:color w:val="0000FF"/>
                  <w:sz w:val="20"/>
                  <w:u w:val="single"/>
                </w:rPr>
                <w:t>PART II: 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1: </w:t>
            </w:r>
            <w:hyperlink w:anchor="i14e5c4a0769d4ad1bb761563ededb494_199">
              <w:r>
                <w:rPr>
                  <w:rStyle w:val="InternetLink"/>
                  <w:rFonts w:ascii="Times New Roman;sans-serif" w:hAnsi="Times New Roman;sans-serif"/>
                  <w:b w:val="false"/>
                  <w:color w:val="0000FF"/>
                  <w:sz w:val="20"/>
                  <w:u w:val="single"/>
                </w:rPr>
                <w:t>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199">
              <w:r>
                <w:rPr>
                  <w:rStyle w:val="InternetLink"/>
                  <w:rFonts w:ascii="Times New Roman;sans-serif" w:hAnsi="Times New Roman;sans-serif"/>
                  <w:b w:val="false"/>
                  <w:color w:val="0000FF"/>
                  <w:sz w:val="20"/>
                  <w:u w:val="single"/>
                </w:rPr>
                <w:t>43</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1A: </w:t>
            </w:r>
            <w:hyperlink w:anchor="i14e5c4a0769d4ad1bb761563ededb494_202">
              <w:r>
                <w:rPr>
                  <w:rStyle w:val="InternetLink"/>
                  <w:rFonts w:ascii="Times New Roman;sans-serif" w:hAnsi="Times New Roman;sans-serif"/>
                  <w:b w:val="false"/>
                  <w:color w:val="0000FF"/>
                  <w:sz w:val="20"/>
                  <w:u w:val="single"/>
                </w:rPr>
                <w:t>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02">
              <w:r>
                <w:rPr>
                  <w:rStyle w:val="InternetLink"/>
                  <w:rFonts w:ascii="Times New Roman;sans-serif" w:hAnsi="Times New Roman;sans-serif"/>
                  <w:b w:val="false"/>
                  <w:color w:val="0000FF"/>
                  <w:sz w:val="20"/>
                  <w:u w:val="single"/>
                </w:rPr>
                <w:t>43</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2: </w:t>
            </w:r>
            <w:hyperlink w:anchor="i14e5c4a0769d4ad1bb761563ededb494_205">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05">
              <w:r>
                <w:rPr>
                  <w:rStyle w:val="InternetLink"/>
                  <w:rFonts w:ascii="Times New Roman;sans-serif" w:hAnsi="Times New Roman;sans-serif"/>
                  <w:b w:val="false"/>
                  <w:color w:val="0000FF"/>
                  <w:sz w:val="20"/>
                  <w:u w:val="single"/>
                </w:rPr>
                <w:t>43</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5: </w:t>
            </w:r>
            <w:hyperlink w:anchor="i14e5c4a0769d4ad1bb761563ededb494_208">
              <w:r>
                <w:rPr>
                  <w:rStyle w:val="InternetLink"/>
                  <w:rFonts w:ascii="Times New Roman;sans-serif" w:hAnsi="Times New Roman;sans-serif"/>
                  <w:b w:val="false"/>
                  <w:color w:val="0000FF"/>
                  <w:sz w:val="20"/>
                  <w:u w:val="single"/>
                </w:rPr>
                <w:t>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08">
              <w:r>
                <w:rPr>
                  <w:rStyle w:val="InternetLink"/>
                  <w:rFonts w:ascii="Times New Roman;sans-serif" w:hAnsi="Times New Roman;sans-serif"/>
                  <w:b w:val="false"/>
                  <w:color w:val="0000FF"/>
                  <w:sz w:val="20"/>
                  <w:u w:val="single"/>
                </w:rPr>
                <w:t>43</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160" w:after="160"/>
              <w:ind w:left="0" w:right="0" w:firstLine="405"/>
              <w:jc w:val="left"/>
              <w:rPr/>
            </w:pPr>
            <w:r>
              <w:rPr>
                <w:rFonts w:ascii="Times New Roman;sans-serif" w:hAnsi="Times New Roman;sans-serif"/>
                <w:b w:val="false"/>
                <w:color w:val="000000"/>
                <w:sz w:val="20"/>
              </w:rPr>
              <w:t xml:space="preserve">Item 6: </w:t>
            </w:r>
            <w:hyperlink w:anchor="i14e5c4a0769d4ad1bb761563ededb494_211">
              <w:r>
                <w:rPr>
                  <w:rStyle w:val="InternetLink"/>
                  <w:rFonts w:ascii="Times New Roman;sans-serif" w:hAnsi="Times New Roman;sans-serif"/>
                  <w:b w:val="false"/>
                  <w:color w:val="0000FF"/>
                  <w:sz w:val="20"/>
                  <w:u w:val="single"/>
                </w:rPr>
                <w:t>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11">
              <w:r>
                <w:rPr>
                  <w:rStyle w:val="InternetLink"/>
                  <w:rFonts w:ascii="Times New Roman;sans-serif" w:hAnsi="Times New Roman;sans-serif"/>
                  <w:b w:val="false"/>
                  <w:color w:val="0000FF"/>
                  <w:sz w:val="20"/>
                  <w:u w:val="single"/>
                </w:rPr>
                <w:t>44</w:t>
              </w:r>
            </w:hyperlink>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3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14e5c4a0769d4ad1bb761563ededb494_214">
              <w:r>
                <w:rPr>
                  <w:rStyle w:val="InternetLink"/>
                  <w:rFonts w:ascii="Times New Roman;sans-serif" w:hAnsi="Times New Roman;sans-serif"/>
                  <w:b/>
                  <w:color w:val="0000FF"/>
                  <w:sz w:val="20"/>
                  <w:u w:val="single"/>
                </w:rPr>
                <w:t>SIGNATURE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14e5c4a0769d4ad1bb761563ededb494_214">
              <w:r>
                <w:rPr>
                  <w:rStyle w:val="InternetLink"/>
                  <w:rFonts w:ascii="Times New Roman;sans-serif" w:hAnsi="Times New Roman;sans-serif"/>
                  <w:b w:val="false"/>
                  <w:color w:val="0000FF"/>
                  <w:sz w:val="20"/>
                  <w:u w:val="single"/>
                </w:rPr>
                <w:t>45</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980" w:type="dxa"/>
        <w:jc w:val="center"/>
        <w:tblInd w:w="0" w:type="dxa"/>
        <w:tblCellMar>
          <w:top w:w="28" w:type="dxa"/>
          <w:left w:w="28" w:type="dxa"/>
          <w:bottom w:w="28" w:type="dxa"/>
          <w:right w:w="28" w:type="dxa"/>
        </w:tblCellMar>
      </w:tblPr>
      <w:tblGrid>
        <w:gridCol w:w="1689"/>
        <w:gridCol w:w="1483"/>
        <w:gridCol w:w="1493"/>
        <w:gridCol w:w="109"/>
        <w:gridCol w:w="109"/>
        <w:gridCol w:w="206"/>
        <w:gridCol w:w="206"/>
        <w:gridCol w:w="399"/>
        <w:gridCol w:w="1562"/>
        <w:gridCol w:w="206"/>
        <w:gridCol w:w="109"/>
        <w:gridCol w:w="109"/>
        <w:gridCol w:w="109"/>
        <w:gridCol w:w="211"/>
        <w:gridCol w:w="826"/>
        <w:gridCol w:w="154"/>
      </w:tblGrid>
      <w:tr>
        <w:trPr/>
        <w:tc>
          <w:tcPr>
            <w:tcW w:w="1689"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shd w:fill="auto" w:val="clea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416,324 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78,294 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40,907 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338,250 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49,565 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36,609 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Itron,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(11,836)</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w:t>
            </w:r>
          </w:p>
        </w:tc>
        <w:tc>
          <w:tcPr>
            <w:tcW w:w="20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598"/>
        <w:gridCol w:w="2277"/>
        <w:gridCol w:w="2279"/>
        <w:gridCol w:w="218"/>
        <w:gridCol w:w="821"/>
        <w:gridCol w:w="112"/>
        <w:gridCol w:w="112"/>
        <w:gridCol w:w="112"/>
        <w:gridCol w:w="112"/>
        <w:gridCol w:w="218"/>
        <w:gridCol w:w="747"/>
        <w:gridCol w:w="112"/>
        <w:gridCol w:w="109"/>
        <w:gridCol w:w="109"/>
        <w:gridCol w:w="109"/>
        <w:gridCol w:w="160"/>
      </w:tblGrid>
      <w:tr>
        <w:trPr/>
        <w:tc>
          <w:tcPr>
            <w:tcW w:w="2598"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27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1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(12,037)</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(6,891)</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reclassified to net income (loss) on sale of business</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 obligation adjustment</w:t>
            </w:r>
          </w:p>
        </w:tc>
        <w:tc>
          <w:tcPr>
            <w:tcW w:w="10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 of tax</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ind w:left="0" w:right="0" w:hanging="180"/>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attributable to noncontrolling interests, net of tax</w:t>
            </w:r>
          </w:p>
        </w:tc>
        <w:tc>
          <w:tcPr>
            <w:tcW w:w="10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Itron, Inc.</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CellMar>
          <w:top w:w="28" w:type="dxa"/>
          <w:left w:w="28" w:type="dxa"/>
          <w:bottom w:w="28" w:type="dxa"/>
          <w:right w:w="28" w:type="dxa"/>
        </w:tblCellMar>
      </w:tblPr>
      <w:tblGrid>
        <w:gridCol w:w="2535"/>
        <w:gridCol w:w="2133"/>
        <w:gridCol w:w="2144"/>
        <w:gridCol w:w="228"/>
        <w:gridCol w:w="1057"/>
        <w:gridCol w:w="117"/>
        <w:gridCol w:w="109"/>
        <w:gridCol w:w="109"/>
        <w:gridCol w:w="109"/>
        <w:gridCol w:w="261"/>
        <w:gridCol w:w="1209"/>
        <w:gridCol w:w="194"/>
      </w:tblGrid>
      <w:tr>
        <w:trPr/>
        <w:tc>
          <w:tcPr>
            <w:tcW w:w="2535"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2144"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68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4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196,013 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202,007 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305,275 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280,435 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265,122 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228,701 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135,646 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118,441 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902,056 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829,584 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140,123 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215,745 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211,982 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39,901 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52,826 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60,052 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1,044,661 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1,038,721 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2,445,915 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2,378,078 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237,178 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44,096 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42,869 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Wages and benefits payable</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77,165 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15,324 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131,164 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95,567 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498,572 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453,094 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452,526 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warranty</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7,495 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 obligation</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59,127 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154,851 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124,887 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1,251,772 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1,186,522 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6812" w:type="dxa"/>
            <w:gridSpan w:val="3"/>
            <w:tcBorders/>
            <w:shd w:fill="auto" w:val="clear"/>
            <w:vAlign w:val="center"/>
          </w:tcPr>
          <w:p>
            <w:pPr>
              <w:pStyle w:val="TableContents"/>
              <w:spacing w:before="0" w:after="283"/>
              <w:rPr>
                <w:sz w:val="4"/>
                <w:szCs w:val="4"/>
              </w:rPr>
            </w:pPr>
            <w:r>
              <w:rPr>
                <w:sz w:val="4"/>
                <w:szCs w:val="4"/>
              </w:rPr>
            </w:r>
          </w:p>
        </w:tc>
        <w:tc>
          <w:tcPr>
            <w:tcW w:w="14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4" w:type="dxa"/>
            <w:gridSpan w:val="3"/>
            <w:tcBorders/>
            <w:shd w:fill="auto" w:val="cle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10,000 shares authorized, no shares issued or outstanding</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75,000 shares authorized, 45,405 and 45,186 shares issued and outstanding</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1,796,005 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1,788,479 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w:t>
            </w:r>
          </w:p>
        </w:tc>
        <w:tc>
          <w:tcPr>
            <w:tcW w:w="12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(94,674)</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(537,168)</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(525,332)</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Itron, Inc. shareholders' equity</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1,171,282 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1,168,473 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23,083 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2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1,194,143 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1,191,556 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2,445,915 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2,378,078 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1021" w:type="dxa"/>
        <w:jc w:val="center"/>
        <w:tblInd w:w="0" w:type="dxa"/>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46"/>
        <w:gridCol w:w="832"/>
        <w:gridCol w:w="138"/>
        <w:gridCol w:w="109"/>
        <w:gridCol w:w="109"/>
        <w:gridCol w:w="109"/>
        <w:gridCol w:w="196"/>
        <w:gridCol w:w="751"/>
        <w:gridCol w:w="109"/>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Itron, Inc. 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January 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(94,674)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1,168,473 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stock issued and repurchased</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March 31, 2023</w:t>
            </w:r>
          </w:p>
        </w:tc>
        <w:tc>
          <w:tcPr>
            <w:tcW w:w="8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45,405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1,796,005 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(87,555)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(537,168)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1,171,282 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22,861 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1,194,143 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1021" w:type="dxa"/>
        <w:jc w:val="center"/>
        <w:tblInd w:w="0" w:type="dxa"/>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25"/>
        <w:gridCol w:w="864"/>
        <w:gridCol w:w="127"/>
        <w:gridCol w:w="109"/>
        <w:gridCol w:w="109"/>
        <w:gridCol w:w="109"/>
        <w:gridCol w:w="196"/>
        <w:gridCol w:w="751"/>
        <w:gridCol w:w="109"/>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Itron, Inc. 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January 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(148,098)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26,682 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52,815 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stock issued and repurchased</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repurchased program</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(16,629)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March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45,037 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(95,283)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(514,694)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1,160,080 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26,672 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1,186,752 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88" w:type="dxa"/>
        <w:jc w:val="center"/>
        <w:tblInd w:w="0" w:type="dxa"/>
        <w:tblCellMar>
          <w:top w:w="28" w:type="dxa"/>
          <w:left w:w="28" w:type="dxa"/>
          <w:bottom w:w="28" w:type="dxa"/>
          <w:right w:w="28" w:type="dxa"/>
        </w:tblCellMar>
      </w:tblPr>
      <w:tblGrid>
        <w:gridCol w:w="2219"/>
        <w:gridCol w:w="1953"/>
        <w:gridCol w:w="1962"/>
        <w:gridCol w:w="196"/>
        <w:gridCol w:w="736"/>
        <w:gridCol w:w="109"/>
        <w:gridCol w:w="109"/>
        <w:gridCol w:w="109"/>
        <w:gridCol w:w="109"/>
        <w:gridCol w:w="196"/>
        <w:gridCol w:w="736"/>
        <w:gridCol w:w="154"/>
      </w:tblGrid>
      <w:tr>
        <w:trPr/>
        <w:tc>
          <w:tcPr>
            <w:tcW w:w="221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prepaid debt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non-cash</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 and sale of business: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other current liabilities, and taxes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Wages and benefits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Unearned revenue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(13,167)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(payments) related to the sale of business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and cash equivalents acquired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debt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Supplemental disclosure of cash flow information: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this Quarterly Report on Form 10-Q, the terms "we", "us", "our", "Itron", and the "Company" refer to Itron, Inc. and its subsidiaries.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 Preparation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presented in this Quarterly Report on Form 10-Q are unaudited and reflect entries necessary for the fair presentation of the Consolidated Statements of Operations and the Consolidated Statements of Comprehensive Income (Loss) for the three months ended March 31, 2023 and 2022, Consolidated Statements of Equity for the three months ended March 31, 2023 and 2022, the Consolidated Statements of Cash Flows for the three months ended March 31, 2023 and 2022, and the Consolidated Balance Sheets as of March 31, 2023 and December 31, 2022, of Itron, Inc. and its subsidiaries. All entries required for the fair presentation of the financial statements are of a normal recurring nature, except as disclosed. The results of operations for the three months ended March 31, 2023 are not necessarily indicative of the results expected for the full year or for any other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and notes normally included in financial statements prepared in accordance with U.S. generally accepted accounting principles (GAAP) have been partially or completely omitted pursuant to the rules and regulations of the U.S. Securities and Exchange Commission (SEC) regarding interim results. These consolidated financial statements should be read in conjunction with the consolidated financial statements and the notes thereto for the fiscal year ended December 31, 2022 filed with the SEC in our Annual Report on Form 10-K on February 27, 2023 (2022 Annual Report). There have been no significant changes in financial statement preparation or significant accounting policies since December 31, 2022.</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and Uncertainties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pandemic has resulted in global economic impacts including disrupting customer demand and global supply chains, resulting in market volatility, which our management continues to monitor.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revenues originally forecasted in prior periods shifting to future periods.</w:t>
      </w:r>
    </w:p>
    <w:p>
      <w:pPr>
        <w:pStyle w:val="TextBody"/>
        <w:spacing w:before="0" w:after="0"/>
        <w:ind w:left="0" w:right="0" w:firstLine="225"/>
        <w:jc w:val="both"/>
        <w:rPr/>
      </w:pPr>
      <w:r>
        <w:rPr/>
      </w:r>
    </w:p>
    <w:p>
      <w:pPr>
        <w:pStyle w:val="TextBody"/>
        <w:spacing w:lineRule="auto" w:line="288" w:before="0" w:after="0"/>
        <w:jc w:val="both"/>
        <w:rPr/>
      </w:pPr>
      <w:r>
        <w:rPr>
          <w:rFonts w:ascii="Times New Roman;sans-serif" w:hAnsi="Times New Roman;sans-serif"/>
          <w:b w:val="false"/>
          <w:color w:val="000000"/>
          <w:sz w:val="20"/>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Times New Roman;sans-serif" w:hAnsi="Times New Roman;sans-serif"/>
          <w:b w:val="false"/>
          <w:color w:val="333333"/>
          <w:sz w:val="20"/>
          <w:highlight w:val="white"/>
        </w:rPr>
        <w: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Consolidated Statements of Cash Flows, the following reclassifications have been made to prior year amounts to conform to current year presentation of restructuring liabilities: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956"/>
        <w:gridCol w:w="1698"/>
        <w:gridCol w:w="1709"/>
        <w:gridCol w:w="370"/>
        <w:gridCol w:w="1224"/>
        <w:gridCol w:w="206"/>
        <w:gridCol w:w="109"/>
        <w:gridCol w:w="109"/>
        <w:gridCol w:w="109"/>
        <w:gridCol w:w="252"/>
        <w:gridCol w:w="717"/>
        <w:gridCol w:w="142"/>
        <w:gridCol w:w="109"/>
        <w:gridCol w:w="109"/>
        <w:gridCol w:w="109"/>
        <w:gridCol w:w="249"/>
        <w:gridCol w:w="826"/>
        <w:gridCol w:w="202"/>
      </w:tblGrid>
      <w:tr>
        <w:trPr/>
        <w:tc>
          <w:tcPr>
            <w:tcW w:w="1956" w:type="dxa"/>
            <w:tcBorders/>
            <w:shd w:fill="auto" w:val="clear"/>
            <w:vAlign w:val="center"/>
          </w:tcPr>
          <w:p>
            <w:pPr>
              <w:pStyle w:val="TableContents"/>
              <w:spacing w:before="0" w:after="283"/>
              <w:rPr>
                <w:sz w:val="4"/>
                <w:szCs w:val="4"/>
              </w:rPr>
            </w:pPr>
            <w:r>
              <w:rPr>
                <w:sz w:val="4"/>
                <w:szCs w:val="4"/>
              </w:rPr>
            </w:r>
          </w:p>
        </w:tc>
        <w:tc>
          <w:tcPr>
            <w:tcW w:w="1698"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5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53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Reclassified</w:t>
            </w:r>
          </w:p>
        </w:tc>
      </w:tr>
      <w:tr>
        <w:trPr/>
        <w:tc>
          <w:tcPr>
            <w:tcW w:w="5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acquisitions and sale of business:</w:t>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other current liabilities, and taxes payable</w:t>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17,778 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15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net</w:t>
            </w:r>
          </w:p>
        </w:tc>
        <w:tc>
          <w:tcPr>
            <w:tcW w:w="15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(11,932)</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9,454 </w:t>
            </w:r>
          </w:p>
        </w:tc>
        <w:tc>
          <w:tcPr>
            <w:tcW w:w="1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w:t>
      </w:r>
    </w:p>
    <w:p>
      <w:pPr>
        <w:pStyle w:val="TextBody"/>
        <w:spacing w:lineRule="auto" w:line="288" w:before="0" w:after="0"/>
        <w:jc w:val="both"/>
        <w:rPr/>
      </w:pPr>
      <w:r>
        <w:rPr>
          <w:rFonts w:ascii="Times New Roman;sans-serif" w:hAnsi="Times New Roman;sans-serif"/>
          <w:b w:val="false"/>
          <w:color w:val="000000"/>
          <w:sz w:val="20"/>
        </w:rPr>
        <w:t xml:space="preserve">In October 2021, the Financial Accounting Standards Board (FASB) issued Accounting Standards Update (ASU) 2021-08 amending </w:t>
      </w:r>
      <w:r>
        <w:rPr>
          <w:rFonts w:ascii="Times New Roman;sans-serif" w:hAnsi="Times New Roman;sans-serif"/>
          <w:b w:val="false"/>
          <w:i/>
          <w:color w:val="000000"/>
          <w:sz w:val="20"/>
        </w:rPr>
        <w:t xml:space="preserve">Business Combination: </w:t>
      </w:r>
      <w:r>
        <w:rPr>
          <w:rFonts w:ascii="Times New Roman;sans-serif" w:hAnsi="Times New Roman;sans-serif"/>
          <w:b w:val="false"/>
          <w:color w:val="000000"/>
          <w:sz w:val="20"/>
        </w:rPr>
        <w:t>(</w:t>
      </w:r>
      <w:r>
        <w:rPr>
          <w:rFonts w:ascii="Times New Roman;sans-serif" w:hAnsi="Times New Roman;sans-serif"/>
          <w:b w:val="false"/>
          <w:i/>
          <w:color w:val="000000"/>
          <w:sz w:val="20"/>
        </w:rPr>
        <w:t>Topic 805),</w:t>
      </w:r>
      <w:r>
        <w:rPr>
          <w:color w:val="000000"/>
        </w:rPr>
        <w:t xml:space="preserve"> </w:t>
      </w:r>
      <w:r>
        <w:rPr>
          <w:rFonts w:ascii="Times New Roman;sans-serif" w:hAnsi="Times New Roman;sans-serif"/>
          <w:b w:val="false"/>
          <w:color w:val="000000"/>
          <w:sz w:val="20"/>
        </w:rPr>
        <w:t xml:space="preserve">which was necessary due to 2014-09, </w:t>
      </w:r>
      <w:r>
        <w:rPr>
          <w:rFonts w:ascii="Times New Roman;sans-serif" w:hAnsi="Times New Roman;sans-serif"/>
          <w:b w:val="false"/>
          <w:i/>
          <w:color w:val="000000"/>
          <w:sz w:val="20"/>
        </w:rPr>
        <w:t xml:space="preserve">Revenue from Contracts with Customers (Topic 606). </w:t>
      </w:r>
      <w:r>
        <w:rPr>
          <w:rFonts w:ascii="Times New Roman;sans-serif" w:hAnsi="Times New Roman;sans-serif"/>
          <w:b w:val="false"/>
          <w:color w:val="000000"/>
          <w:sz w:val="20"/>
        </w:rPr>
        <w:t xml:space="preserve">The FASB issued this Update to improve the accounting for acquired revenue contracts with customers in a business combination by addressing diversity in practice and inconsistency related to (1) recognition of an acquired contract liability and (2) payment terms and their effect on subsequent revenue recognized by the acquirer. </w:t>
      </w:r>
      <w:r>
        <w:rPr>
          <w:rFonts w:ascii="Times New Roman;sans-serif" w:hAnsi="Times New Roman;sans-serif"/>
          <w:b w:val="false"/>
          <w:color w:val="000000"/>
          <w:sz w:val="20"/>
          <w:highlight w:val="white"/>
        </w:rPr>
        <w:t xml:space="preserve">We adopted this amendment as of the effective date of January 1, 2023. </w:t>
      </w:r>
      <w:r>
        <w:rPr>
          <w:rFonts w:ascii="Times New Roman;sans-serif" w:hAnsi="Times New Roman;sans-serif"/>
          <w:b w:val="false"/>
          <w:color w:val="000000"/>
          <w:sz w:val="20"/>
        </w:rPr>
        <w:t>These amendments are to be applied prospectively to business combinations occurring on or after the effective date of the amendments. We currently plan to apply the practical expedients as needed for any future acquisitions. The practical expedients cover contracts that were modified prior to acquisition date as well as determining which date an acquirer would have to determine the standalone selling price of each performance obligation in an acquired contract.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Earnings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per share (EPS):</w:t>
      </w:r>
    </w:p>
    <w:tbl>
      <w:tblPr>
        <w:tblW w:w="8019" w:type="dxa"/>
        <w:jc w:val="left"/>
        <w:tblInd w:w="0" w:type="dxa"/>
        <w:tblCellMar>
          <w:top w:w="28" w:type="dxa"/>
          <w:left w:w="28" w:type="dxa"/>
          <w:bottom w:w="28" w:type="dxa"/>
          <w:right w:w="28" w:type="dxa"/>
        </w:tblCellMar>
      </w:tblPr>
      <w:tblGrid>
        <w:gridCol w:w="1477"/>
        <w:gridCol w:w="1299"/>
        <w:gridCol w:w="1303"/>
        <w:gridCol w:w="109"/>
        <w:gridCol w:w="109"/>
        <w:gridCol w:w="226"/>
        <w:gridCol w:w="226"/>
        <w:gridCol w:w="406"/>
        <w:gridCol w:w="1495"/>
        <w:gridCol w:w="226"/>
        <w:gridCol w:w="109"/>
        <w:gridCol w:w="109"/>
        <w:gridCol w:w="109"/>
        <w:gridCol w:w="196"/>
        <w:gridCol w:w="466"/>
        <w:gridCol w:w="154"/>
      </w:tblGrid>
      <w:tr>
        <w:trPr/>
        <w:tc>
          <w:tcPr>
            <w:tcW w:w="1477"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143" w:type="dxa"/>
            <w:gridSpan w:val="6"/>
            <w:tcBorders/>
            <w:shd w:fill="auto" w:val="clea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common shareholders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stock-based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convertible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25"/>
        <w:rPr/>
      </w:pPr>
      <w:r>
        <w:rPr/>
      </w:r>
    </w:p>
    <w:p>
      <w:pPr>
        <w:pStyle w:val="TextBody"/>
        <w:spacing w:lineRule="auto" w:line="288" w:before="0" w:after="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Stock-based Awards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0.7 million and 0.4 million stock-based awards were excluded from the calculation of diluted EPS for the three months ended March 31, 2023 and 2022 because they were anti-dilutive. These stock-based awards could be dilutive in future periods.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Convertible Notes and Warrants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closing prices of our common stock for the quarter ended March 31, 2023 were used as the basis for determining the dilutive effect on EPS. The quarterly average closing prices for our common stock did not exceed the conversion price of $126.00, and therefore all associated shares were anti-dilutive.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three months ended March 31, 2023, the quarterly average closing prices of our common stock did not exceed the warrant strike price and therefore 3.7 million shares were considered anti-dilutive.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 Hedge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Certain Balance Sheet Components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accounts receivable from contracts with customers is as follows:</w:t>
      </w:r>
    </w:p>
    <w:tbl>
      <w:tblPr>
        <w:tblW w:w="7452" w:type="dxa"/>
        <w:jc w:val="left"/>
        <w:tblInd w:w="0" w:type="dxa"/>
        <w:tblCellMar>
          <w:top w:w="28" w:type="dxa"/>
          <w:left w:w="28" w:type="dxa"/>
          <w:bottom w:w="28" w:type="dxa"/>
          <w:right w:w="28" w:type="dxa"/>
        </w:tblCellMar>
      </w:tblPr>
      <w:tblGrid>
        <w:gridCol w:w="1539"/>
        <w:gridCol w:w="1351"/>
        <w:gridCol w:w="1355"/>
        <w:gridCol w:w="243"/>
        <w:gridCol w:w="912"/>
        <w:gridCol w:w="135"/>
        <w:gridCol w:w="109"/>
        <w:gridCol w:w="109"/>
        <w:gridCol w:w="109"/>
        <w:gridCol w:w="287"/>
        <w:gridCol w:w="1078"/>
        <w:gridCol w:w="225"/>
      </w:tblGrid>
      <w:tr>
        <w:trPr/>
        <w:tc>
          <w:tcPr>
            <w:tcW w:w="1539"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Accounts receivable, net</w:t>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2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 of allowance of $4,782 and $4,863)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259,587 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249,771 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305,275 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280,435 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tbl>
      <w:tblPr>
        <w:tblW w:w="7538" w:type="dxa"/>
        <w:jc w:val="left"/>
        <w:tblInd w:w="0" w:type="dxa"/>
        <w:tblCellMar>
          <w:top w:w="28" w:type="dxa"/>
          <w:left w:w="28" w:type="dxa"/>
          <w:bottom w:w="28" w:type="dxa"/>
          <w:right w:w="28" w:type="dxa"/>
        </w:tblCellMar>
      </w:tblPr>
      <w:tblGrid>
        <w:gridCol w:w="1271"/>
        <w:gridCol w:w="1115"/>
        <w:gridCol w:w="1124"/>
        <w:gridCol w:w="109"/>
        <w:gridCol w:w="109"/>
        <w:gridCol w:w="260"/>
        <w:gridCol w:w="260"/>
        <w:gridCol w:w="468"/>
        <w:gridCol w:w="1329"/>
        <w:gridCol w:w="260"/>
        <w:gridCol w:w="109"/>
        <w:gridCol w:w="109"/>
        <w:gridCol w:w="109"/>
        <w:gridCol w:w="196"/>
        <w:gridCol w:w="556"/>
        <w:gridCol w:w="154"/>
      </w:tblGrid>
      <w:tr>
        <w:trPr/>
        <w:tc>
          <w:tcPr>
            <w:tcW w:w="1271"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Allowance for credit losses account activity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(release of) doubtful accounts,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recovered (written-off),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4,782 </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rPr/>
      </w:pPr>
      <w:r>
        <w:rPr/>
      </w:r>
    </w:p>
    <w:tbl>
      <w:tblPr>
        <w:tblW w:w="4512" w:type="dxa"/>
        <w:jc w:val="left"/>
        <w:tblInd w:w="0" w:type="dxa"/>
        <w:tblCellMar>
          <w:top w:w="28" w:type="dxa"/>
          <w:left w:w="28" w:type="dxa"/>
          <w:bottom w:w="28" w:type="dxa"/>
          <w:right w:w="28" w:type="dxa"/>
        </w:tblCellMar>
      </w:tblPr>
      <w:tblGrid>
        <w:gridCol w:w="472"/>
        <w:gridCol w:w="415"/>
        <w:gridCol w:w="418"/>
        <w:gridCol w:w="243"/>
        <w:gridCol w:w="912"/>
        <w:gridCol w:w="135"/>
        <w:gridCol w:w="109"/>
        <w:gridCol w:w="109"/>
        <w:gridCol w:w="109"/>
        <w:gridCol w:w="287"/>
        <w:gridCol w:w="1078"/>
        <w:gridCol w:w="225"/>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Inventories</w:t>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215,203 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9,239 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38,197 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265,122 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228,701 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tbl>
      <w:tblPr>
        <w:tblW w:w="7377" w:type="dxa"/>
        <w:jc w:val="left"/>
        <w:tblInd w:w="0" w:type="dxa"/>
        <w:tblCellMar>
          <w:top w:w="28" w:type="dxa"/>
          <w:left w:w="28" w:type="dxa"/>
          <w:bottom w:w="28" w:type="dxa"/>
          <w:right w:w="28" w:type="dxa"/>
        </w:tblCellMar>
      </w:tblPr>
      <w:tblGrid>
        <w:gridCol w:w="1509"/>
        <w:gridCol w:w="1328"/>
        <w:gridCol w:w="1333"/>
        <w:gridCol w:w="243"/>
        <w:gridCol w:w="912"/>
        <w:gridCol w:w="135"/>
        <w:gridCol w:w="109"/>
        <w:gridCol w:w="109"/>
        <w:gridCol w:w="109"/>
        <w:gridCol w:w="287"/>
        <w:gridCol w:w="1078"/>
        <w:gridCol w:w="225"/>
      </w:tblGrid>
      <w:tr>
        <w:trPr/>
        <w:tc>
          <w:tcPr>
            <w:tcW w:w="1509"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Property, plant, and equipment, net</w:t>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312,339 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306,699 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software</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120,498 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119,670 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furniture, and improvements</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130,957 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130,301 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 including purchased equipment</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19,403 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590,694 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584,639 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(454,297)</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(444,516)</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136,397 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140,123 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60"/>
        <w:jc w:val="both"/>
        <w:rPr/>
      </w:pPr>
      <w:r>
        <w:rPr/>
      </w:r>
    </w:p>
    <w:tbl>
      <w:tblPr>
        <w:tblW w:w="5767" w:type="dxa"/>
        <w:jc w:val="left"/>
        <w:tblInd w:w="0" w:type="dxa"/>
        <w:tblCellMar>
          <w:top w:w="28" w:type="dxa"/>
          <w:left w:w="28" w:type="dxa"/>
          <w:bottom w:w="28" w:type="dxa"/>
          <w:right w:w="28" w:type="dxa"/>
        </w:tblCellMar>
      </w:tblPr>
      <w:tblGrid>
        <w:gridCol w:w="598"/>
        <w:gridCol w:w="524"/>
        <w:gridCol w:w="527"/>
        <w:gridCol w:w="109"/>
        <w:gridCol w:w="109"/>
        <w:gridCol w:w="260"/>
        <w:gridCol w:w="260"/>
        <w:gridCol w:w="468"/>
        <w:gridCol w:w="1329"/>
        <w:gridCol w:w="260"/>
        <w:gridCol w:w="109"/>
        <w:gridCol w:w="109"/>
        <w:gridCol w:w="109"/>
        <w:gridCol w:w="196"/>
        <w:gridCol w:w="646"/>
        <w:gridCol w:w="154"/>
      </w:tblGrid>
      <w:tr>
        <w:trPr/>
        <w:tc>
          <w:tcPr>
            <w:tcW w:w="59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Depreciation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Intangible Assets and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and accumulated amortization (accretion) of our intangible assets and liabilities, other than goodwill, were as follows:</w:t>
      </w:r>
    </w:p>
    <w:tbl>
      <w:tblPr>
        <w:tblW w:w="10205" w:type="dxa"/>
        <w:jc w:val="left"/>
        <w:tblInd w:w="0" w:type="dxa"/>
        <w:tblCellMar>
          <w:top w:w="28" w:type="dxa"/>
          <w:left w:w="28" w:type="dxa"/>
          <w:bottom w:w="28" w:type="dxa"/>
          <w:right w:w="28" w:type="dxa"/>
        </w:tblCellMar>
      </w:tblPr>
      <w:tblGrid>
        <w:gridCol w:w="649"/>
        <w:gridCol w:w="556"/>
        <w:gridCol w:w="432"/>
        <w:gridCol w:w="196"/>
        <w:gridCol w:w="736"/>
        <w:gridCol w:w="109"/>
        <w:gridCol w:w="109"/>
        <w:gridCol w:w="109"/>
        <w:gridCol w:w="109"/>
        <w:gridCol w:w="269"/>
        <w:gridCol w:w="1032"/>
        <w:gridCol w:w="150"/>
        <w:gridCol w:w="109"/>
        <w:gridCol w:w="109"/>
        <w:gridCol w:w="109"/>
        <w:gridCol w:w="196"/>
        <w:gridCol w:w="646"/>
        <w:gridCol w:w="109"/>
        <w:gridCol w:w="109"/>
        <w:gridCol w:w="109"/>
        <w:gridCol w:w="109"/>
        <w:gridCol w:w="196"/>
        <w:gridCol w:w="736"/>
        <w:gridCol w:w="109"/>
        <w:gridCol w:w="109"/>
        <w:gridCol w:w="109"/>
        <w:gridCol w:w="109"/>
        <w:gridCol w:w="269"/>
        <w:gridCol w:w="1032"/>
        <w:gridCol w:w="150"/>
        <w:gridCol w:w="109"/>
        <w:gridCol w:w="109"/>
        <w:gridCol w:w="109"/>
        <w:gridCol w:w="196"/>
        <w:gridCol w:w="646"/>
        <w:gridCol w:w="156"/>
      </w:tblGrid>
      <w:tr>
        <w:trPr/>
        <w:tc>
          <w:tcPr>
            <w:tcW w:w="64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6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6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 Accretion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 Accretion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63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Assets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Core-developed technology</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(495,338)</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(492,782)</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 and relationships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(272,107)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(265,503)</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(70,727)</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(70,101)</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(11,839)</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(11,807)</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163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8" w:type="dxa"/>
            <w:gridSpan w:val="3"/>
            <w:tcBorders/>
            <w:shd w:fill="auto" w:val="clear"/>
            <w:vAlign w:val="center"/>
          </w:tcPr>
          <w:p>
            <w:pPr>
              <w:pStyle w:val="TableContents"/>
              <w:spacing w:before="0" w:after="283"/>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(850,011)</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(840,193)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 and relationships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23,900 </w:t>
            </w:r>
          </w:p>
        </w:tc>
        <w:tc>
          <w:tcPr>
            <w:tcW w:w="15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23,900 </w:t>
            </w:r>
          </w:p>
        </w:tc>
        <w:tc>
          <w:tcPr>
            <w:tcW w:w="15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intangible assets and liabilities activity is as follows:</w:t>
      </w:r>
    </w:p>
    <w:tbl>
      <w:tblPr>
        <w:tblW w:w="5919" w:type="dxa"/>
        <w:jc w:val="left"/>
        <w:tblInd w:w="0" w:type="dxa"/>
        <w:tblCellMar>
          <w:top w:w="28" w:type="dxa"/>
          <w:left w:w="28" w:type="dxa"/>
          <w:bottom w:w="28" w:type="dxa"/>
          <w:right w:w="28" w:type="dxa"/>
        </w:tblCellMar>
      </w:tblPr>
      <w:tblGrid>
        <w:gridCol w:w="1195"/>
        <w:gridCol w:w="1047"/>
        <w:gridCol w:w="1057"/>
        <w:gridCol w:w="209"/>
        <w:gridCol w:w="787"/>
        <w:gridCol w:w="116"/>
        <w:gridCol w:w="116"/>
        <w:gridCol w:w="116"/>
        <w:gridCol w:w="116"/>
        <w:gridCol w:w="209"/>
        <w:gridCol w:w="787"/>
        <w:gridCol w:w="164"/>
      </w:tblGrid>
      <w:tr>
        <w:trPr/>
        <w:tc>
          <w:tcPr>
            <w:tcW w:w="1195"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gross beginning balance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905,134 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928,422 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4,929 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gross ending balance</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910,063 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922,844 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gross beginning balance</w:t>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gross ending balance</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Assumed intangible liabilities reflect the present value of the projected cash outflows for an existing contract where remaining costs are expected to exceed projected revenues.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is as follows:</w:t>
      </w:r>
    </w:p>
    <w:tbl>
      <w:tblPr>
        <w:tblW w:w="6701" w:type="dxa"/>
        <w:jc w:val="left"/>
        <w:tblInd w:w="0" w:type="dxa"/>
        <w:tblCellMar>
          <w:top w:w="28" w:type="dxa"/>
          <w:left w:w="28" w:type="dxa"/>
          <w:bottom w:w="28" w:type="dxa"/>
          <w:right w:w="28" w:type="dxa"/>
        </w:tblCellMar>
      </w:tblPr>
      <w:tblGrid>
        <w:gridCol w:w="1198"/>
        <w:gridCol w:w="1056"/>
        <w:gridCol w:w="1060"/>
        <w:gridCol w:w="109"/>
        <w:gridCol w:w="109"/>
        <w:gridCol w:w="109"/>
        <w:gridCol w:w="531"/>
        <w:gridCol w:w="1751"/>
        <w:gridCol w:w="297"/>
        <w:gridCol w:w="109"/>
        <w:gridCol w:w="109"/>
        <w:gridCol w:w="109"/>
        <w:gridCol w:w="154"/>
      </w:tblGrid>
      <w:tr>
        <w:trPr/>
        <w:tc>
          <w:tcPr>
            <w:tcW w:w="119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Annual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(amount remaining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13,955 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15,080 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14,342 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10,329 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5,630 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804"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gridSpan w:val="10"/>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40" w:after="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changes in the carrying amount of goodwill for the three months ended March 31, 2023:</w:t>
      </w:r>
    </w:p>
    <w:tbl>
      <w:tblPr>
        <w:tblW w:w="9189" w:type="dxa"/>
        <w:jc w:val="left"/>
        <w:tblInd w:w="0" w:type="dxa"/>
        <w:tblCellMar>
          <w:top w:w="28" w:type="dxa"/>
          <w:left w:w="28" w:type="dxa"/>
          <w:bottom w:w="28" w:type="dxa"/>
          <w:right w:w="28" w:type="dxa"/>
        </w:tblCellMar>
      </w:tblPr>
      <w:tblGrid>
        <w:gridCol w:w="983"/>
        <w:gridCol w:w="862"/>
        <w:gridCol w:w="869"/>
        <w:gridCol w:w="375"/>
        <w:gridCol w:w="778"/>
        <w:gridCol w:w="211"/>
        <w:gridCol w:w="109"/>
        <w:gridCol w:w="109"/>
        <w:gridCol w:w="109"/>
        <w:gridCol w:w="324"/>
        <w:gridCol w:w="1220"/>
        <w:gridCol w:w="180"/>
        <w:gridCol w:w="109"/>
        <w:gridCol w:w="109"/>
        <w:gridCol w:w="109"/>
        <w:gridCol w:w="196"/>
        <w:gridCol w:w="736"/>
        <w:gridCol w:w="109"/>
        <w:gridCol w:w="109"/>
        <w:gridCol w:w="109"/>
        <w:gridCol w:w="109"/>
        <w:gridCol w:w="219"/>
        <w:gridCol w:w="974"/>
        <w:gridCol w:w="172"/>
      </w:tblGrid>
      <w:tr>
        <w:trPr/>
        <w:tc>
          <w:tcPr>
            <w:tcW w:w="983"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Device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Networked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Outcomes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Company</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January 1, 2023</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899,887 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1,038,721 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March 31, 2023</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905,042 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1,044,661 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Debt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borrowings were as follows:</w:t>
      </w:r>
    </w:p>
    <w:tbl>
      <w:tblPr>
        <w:tblW w:w="7211" w:type="dxa"/>
        <w:jc w:val="left"/>
        <w:tblInd w:w="0" w:type="dxa"/>
        <w:tblCellMar>
          <w:top w:w="28" w:type="dxa"/>
          <w:left w:w="28" w:type="dxa"/>
          <w:bottom w:w="28" w:type="dxa"/>
          <w:right w:w="28" w:type="dxa"/>
        </w:tblCellMar>
      </w:tblPr>
      <w:tblGrid>
        <w:gridCol w:w="1447"/>
        <w:gridCol w:w="1270"/>
        <w:gridCol w:w="1287"/>
        <w:gridCol w:w="243"/>
        <w:gridCol w:w="912"/>
        <w:gridCol w:w="135"/>
        <w:gridCol w:w="109"/>
        <w:gridCol w:w="109"/>
        <w:gridCol w:w="109"/>
        <w:gridCol w:w="287"/>
        <w:gridCol w:w="1078"/>
        <w:gridCol w:w="225"/>
      </w:tblGrid>
      <w:tr>
        <w:trPr/>
        <w:tc>
          <w:tcPr>
            <w:tcW w:w="144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2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ind w:left="0" w:right="0" w:firstLine="540"/>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prepaid debt fees - convertible notes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debt, net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453,094 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452,526 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25"/>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credit facility, initially entered on January 5, 2018 (as amended, the 2018 credit facility), originally provided for committed credit facilities in the amount of $1.2 billion U.S. dollars. This facility now consists of a multicurrency revolving line of credit (the revolver) with a principal amount of up to $500 million. The revolver also contains a $300 million standby letter of credit sub-facility and a $50 million swingline sub-facility. The $650 million U.S. dollar term loan included in the original facility was fully repaid in August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2018 credit facility permits us and certain of our foreign subsidiaries to borrow in U.S. dollars, euros,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one-month LIBOR plus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1.00%. The cessation of LIBOR will occur in June 2023</w:t>
      </w:r>
      <w:r>
        <w:rPr>
          <w:rFonts w:ascii="Cambria;sans-serif" w:hAnsi="Cambria;sans-serif"/>
          <w:b w:val="false"/>
          <w:color w:val="1F497D"/>
          <w:sz w:val="22"/>
        </w:rPr>
        <w:t>.</w:t>
      </w:r>
      <w:r>
        <w:rPr>
          <w:color w:val="000000"/>
        </w:rPr>
        <w:t xml:space="preserve"> </w:t>
      </w:r>
      <w:r>
        <w:rPr>
          <w:rFonts w:ascii="Times New Roman;sans-serif" w:hAnsi="Times New Roman;sans-serif"/>
          <w:b w:val="false"/>
          <w:color w:val="000000"/>
          <w:sz w:val="20"/>
        </w:rPr>
        <w:t>On November 23, 2022, we amended the 2018 credit facility to replace the LIBOR rate with the Term Secured Overnight Financing Rate (SOFR) as the base interest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2023, we entered into a sixth amendment to the 2018 credit facility. This amendment modifies provisions to allow for the addback for debt covenant calculations of non-recurring cash expenses related to restructuring charges to be incurred during the quarter ended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were no outstanding loan balances under the credit facility, and $62.1 million was utilized by outstanding standby letters of credit, resulting in $437.9 million available for additional borrowings or standby letters of credit within the revolver. At March 31, 2023, $237.9 million was available for additional standby letters of credit under the letter of credit sub-facility, and no amounts were outstanding under the swingline sub-facility.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Maturities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required minimum principal payments on our long-term debt in aggregate over the next five years is as follows:</w:t>
      </w:r>
    </w:p>
    <w:tbl>
      <w:tblPr>
        <w:tblW w:w="4980" w:type="dxa"/>
        <w:jc w:val="left"/>
        <w:tblInd w:w="0" w:type="dxa"/>
        <w:tblCellMar>
          <w:top w:w="28" w:type="dxa"/>
          <w:left w:w="28" w:type="dxa"/>
          <w:bottom w:w="28" w:type="dxa"/>
          <w:right w:w="28" w:type="dxa"/>
        </w:tblCellMar>
      </w:tblPr>
      <w:tblGrid>
        <w:gridCol w:w="1184"/>
        <w:gridCol w:w="1041"/>
        <w:gridCol w:w="1044"/>
        <w:gridCol w:w="308"/>
        <w:gridCol w:w="1159"/>
        <w:gridCol w:w="244"/>
      </w:tblGrid>
      <w:tr>
        <w:trPr/>
        <w:tc>
          <w:tcPr>
            <w:tcW w:w="118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32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 (amount remaining at March 31, 2023)</w:t>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4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payments on debt</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strategy, we use derivative instruments to hedge certain foreign currencies. Refer to Note 13: Shareholders' Equity and Note 14: Fair Value of Financial Instruments for additional disclosures on our derivative instruments.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Relationships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2023, a total of 38 contracts were offsetting our exposures from the euro, pound sterling, Indonesian rupiah, Canadian dollar, Australian dollar and various other currencies, with notional amounts ranging from $115,000 to $47.0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assess our interest rate and foreign exchange risk and may institute additional derivative instruments to manage such risk in the future.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Defined Benefit Pension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on the Consolidated Balance Sheets consist of:</w:t>
      </w:r>
    </w:p>
    <w:tbl>
      <w:tblPr>
        <w:tblW w:w="8650" w:type="dxa"/>
        <w:jc w:val="left"/>
        <w:tblInd w:w="0" w:type="dxa"/>
        <w:tblCellMar>
          <w:top w:w="28" w:type="dxa"/>
          <w:left w:w="28" w:type="dxa"/>
          <w:bottom w:w="28" w:type="dxa"/>
          <w:right w:w="28" w:type="dxa"/>
        </w:tblCellMar>
      </w:tblPr>
      <w:tblGrid>
        <w:gridCol w:w="1973"/>
        <w:gridCol w:w="1728"/>
        <w:gridCol w:w="1744"/>
        <w:gridCol w:w="266"/>
        <w:gridCol w:w="876"/>
        <w:gridCol w:w="147"/>
        <w:gridCol w:w="109"/>
        <w:gridCol w:w="109"/>
        <w:gridCol w:w="109"/>
        <w:gridCol w:w="313"/>
        <w:gridCol w:w="1031"/>
        <w:gridCol w:w="245"/>
      </w:tblGrid>
      <w:tr>
        <w:trPr/>
        <w:tc>
          <w:tcPr>
            <w:tcW w:w="1973"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assets in other long-term assets</w:t>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2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pension benefit obligation in wages and benefits payable</w:t>
            </w:r>
          </w:p>
        </w:tc>
        <w:tc>
          <w:tcPr>
            <w:tcW w:w="26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pension benefit obligation</w:t>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59,127 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57,839 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benefit obligation, net</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62,522 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61,077 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asset investment strategy focuses on maintaining a portfolio using primarily insurance funds, which are accounted for as investments and measured at fair value, in order to achieve our long-term investment objectives on a risk-adjusted basis. Our general funding policy for these qualified pension plans is to contribute amounts sufficient to satisfy regulatory funding standards of the respective countries for each plan.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cost for our plans includes the following components:</w:t>
      </w:r>
    </w:p>
    <w:tbl>
      <w:tblPr>
        <w:tblW w:w="6716" w:type="dxa"/>
        <w:jc w:val="left"/>
        <w:tblInd w:w="0" w:type="dxa"/>
        <w:tblCellMar>
          <w:top w:w="28" w:type="dxa"/>
          <w:left w:w="28" w:type="dxa"/>
          <w:bottom w:w="28" w:type="dxa"/>
          <w:right w:w="28" w:type="dxa"/>
        </w:tblCellMar>
      </w:tblPr>
      <w:tblGrid>
        <w:gridCol w:w="934"/>
        <w:gridCol w:w="819"/>
        <w:gridCol w:w="826"/>
        <w:gridCol w:w="109"/>
        <w:gridCol w:w="109"/>
        <w:gridCol w:w="109"/>
        <w:gridCol w:w="260"/>
        <w:gridCol w:w="260"/>
        <w:gridCol w:w="468"/>
        <w:gridCol w:w="1329"/>
        <w:gridCol w:w="260"/>
        <w:gridCol w:w="109"/>
        <w:gridCol w:w="109"/>
        <w:gridCol w:w="109"/>
        <w:gridCol w:w="196"/>
        <w:gridCol w:w="556"/>
        <w:gridCol w:w="154"/>
      </w:tblGrid>
      <w:tr>
        <w:trPr/>
        <w:tc>
          <w:tcPr>
            <w:tcW w:w="934"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benefit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 other than the service cost component, are included in total other income (expense) on the Consolidated Statements of Operations.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12,623,538 shares of common stock reserved and authorized for issuance subject to stock splits, dividends, and other similar events, and at March 31, 2023, 3,969,520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award phantom stock units, which are settled in cash upon vesting and accounted for as liability-based awards, with no impact to the shares available for grant.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maintain the Employee Stock Purchase Plan (ESPP), for which 58,633 shares of common stock were available for future issuance at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and stock-based grants other than stock options and restricted stock units were not significant for the three months ended March 31, 2023 and 2022.</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 and the related tax benefit were as follows:</w:t>
      </w:r>
    </w:p>
    <w:tbl>
      <w:tblPr>
        <w:tblW w:w="6412" w:type="dxa"/>
        <w:jc w:val="left"/>
        <w:tblInd w:w="0" w:type="dxa"/>
        <w:tblCellMar>
          <w:top w:w="28" w:type="dxa"/>
          <w:left w:w="28" w:type="dxa"/>
          <w:bottom w:w="28" w:type="dxa"/>
          <w:right w:w="28" w:type="dxa"/>
        </w:tblCellMar>
      </w:tblPr>
      <w:tblGrid>
        <w:gridCol w:w="865"/>
        <w:gridCol w:w="755"/>
        <w:gridCol w:w="764"/>
        <w:gridCol w:w="109"/>
        <w:gridCol w:w="109"/>
        <w:gridCol w:w="260"/>
        <w:gridCol w:w="260"/>
        <w:gridCol w:w="468"/>
        <w:gridCol w:w="1329"/>
        <w:gridCol w:w="260"/>
        <w:gridCol w:w="109"/>
        <w:gridCol w:w="109"/>
        <w:gridCol w:w="109"/>
        <w:gridCol w:w="196"/>
        <w:gridCol w:w="556"/>
        <w:gridCol w:w="154"/>
      </w:tblGrid>
      <w:tr>
        <w:trPr/>
        <w:tc>
          <w:tcPr>
            <w:tcW w:w="86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6,583 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Phantom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7,696 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05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2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1,703 </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is as follows:</w:t>
      </w:r>
    </w:p>
    <w:tbl>
      <w:tblPr>
        <w:tblW w:w="10117" w:type="dxa"/>
        <w:jc w:val="left"/>
        <w:tblInd w:w="0" w:type="dxa"/>
        <w:tblCellMar>
          <w:top w:w="28" w:type="dxa"/>
          <w:left w:w="28" w:type="dxa"/>
          <w:bottom w:w="28" w:type="dxa"/>
          <w:right w:w="28" w:type="dxa"/>
        </w:tblCellMar>
      </w:tblPr>
      <w:tblGrid>
        <w:gridCol w:w="803"/>
        <w:gridCol w:w="707"/>
        <w:gridCol w:w="709"/>
        <w:gridCol w:w="344"/>
        <w:gridCol w:w="344"/>
        <w:gridCol w:w="348"/>
        <w:gridCol w:w="109"/>
        <w:gridCol w:w="109"/>
        <w:gridCol w:w="109"/>
        <w:gridCol w:w="321"/>
        <w:gridCol w:w="911"/>
        <w:gridCol w:w="179"/>
        <w:gridCol w:w="109"/>
        <w:gridCol w:w="109"/>
        <w:gridCol w:w="109"/>
        <w:gridCol w:w="505"/>
        <w:gridCol w:w="505"/>
        <w:gridCol w:w="506"/>
        <w:gridCol w:w="109"/>
        <w:gridCol w:w="109"/>
        <w:gridCol w:w="109"/>
        <w:gridCol w:w="287"/>
        <w:gridCol w:w="814"/>
        <w:gridCol w:w="160"/>
        <w:gridCol w:w="109"/>
        <w:gridCol w:w="109"/>
        <w:gridCol w:w="109"/>
        <w:gridCol w:w="354"/>
        <w:gridCol w:w="733"/>
        <w:gridCol w:w="279"/>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Exercise</w:t>
              <w:br/>
              <w:t>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w:t>
              <w:br/>
              <w:t>Remaining</w:t>
              <w:br/>
              <w:t>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2022</w:t>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2022</w:t>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2023</w:t>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6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6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2023</w:t>
            </w:r>
          </w:p>
        </w:tc>
        <w:tc>
          <w:tcPr>
            <w:tcW w:w="6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3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March 31, 2023</w:t>
            </w:r>
          </w:p>
        </w:tc>
        <w:tc>
          <w:tcPr>
            <w:tcW w:w="68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34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60.60 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2,549 </w:t>
            </w:r>
          </w:p>
        </w:tc>
        <w:tc>
          <w:tcPr>
            <w:tcW w:w="160"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total unrecognized stock-based compensation expense related to nonvested stock options was $42,000, which is expected to be recognized over a weighted average period of approximately 0.6 years.</w:t>
      </w:r>
    </w:p>
    <w:p>
      <w:pPr>
        <w:pStyle w:val="TextBody"/>
        <w:spacing w:before="0" w:after="0"/>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w:t>
      </w:r>
    </w:p>
    <w:tbl>
      <w:tblPr>
        <w:tblW w:w="8111" w:type="dxa"/>
        <w:jc w:val="left"/>
        <w:tblInd w:w="0" w:type="dxa"/>
        <w:tblCellMar>
          <w:top w:w="28" w:type="dxa"/>
          <w:left w:w="28" w:type="dxa"/>
          <w:bottom w:w="28" w:type="dxa"/>
          <w:right w:w="28" w:type="dxa"/>
        </w:tblCellMar>
      </w:tblPr>
      <w:tblGrid>
        <w:gridCol w:w="1085"/>
        <w:gridCol w:w="956"/>
        <w:gridCol w:w="958"/>
        <w:gridCol w:w="610"/>
        <w:gridCol w:w="610"/>
        <w:gridCol w:w="611"/>
        <w:gridCol w:w="109"/>
        <w:gridCol w:w="109"/>
        <w:gridCol w:w="109"/>
        <w:gridCol w:w="300"/>
        <w:gridCol w:w="853"/>
        <w:gridCol w:w="168"/>
        <w:gridCol w:w="109"/>
        <w:gridCol w:w="109"/>
        <w:gridCol w:w="109"/>
        <w:gridCol w:w="257"/>
        <w:gridCol w:w="847"/>
        <w:gridCol w:w="202"/>
      </w:tblGrid>
      <w:tr>
        <w:trPr/>
        <w:tc>
          <w:tcPr>
            <w:tcW w:w="108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fair value</w:t>
            </w:r>
          </w:p>
        </w:tc>
        <w:tc>
          <w:tcPr>
            <w:tcW w:w="18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w:t>
              <w:b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 Value</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2022</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2022</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2023</w:t>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2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6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14,897 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2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March 31, 2023</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but not released, March 31, 2023</w:t>
            </w:r>
          </w:p>
        </w:tc>
        <w:tc>
          <w:tcPr>
            <w:tcW w:w="122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61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20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pPr>
      <w:r>
        <w:rPr>
          <w:rFonts w:ascii="Times New Roman;sans-serif" w:hAnsi="Times New Roman;sans-serif"/>
          <w:b w:val="false"/>
          <w:color w:val="000000"/>
          <w:sz w:val="12"/>
        </w:rPr>
        <w:t>(1)</w:t>
      </w:r>
      <w:r>
        <w:rPr>
          <w:color w:val="000000"/>
        </w:rPr>
        <w:t>    </w:t>
      </w:r>
      <w:r>
        <w:rPr>
          <w:rFonts w:ascii="Times New Roman;sans-serif" w:hAnsi="Times New Roman;sans-serif"/>
          <w:b w:val="false"/>
          <w:color w:val="000000"/>
          <w:sz w:val="18"/>
        </w:rPr>
        <w:t>Shares released is presented as gross shares and does not reflect shares withheld by us for employee payroll tax obligations.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total unrecognized compensation expense on restricted stock units was $47.9 million, which is expected to be recognized over a weighted average period of approximately 2.0 years.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estimate the fair value of performance-based restricted stock units granted with a service and market condition and the resulting weighted average fair value are as follows:</w:t>
      </w:r>
    </w:p>
    <w:tbl>
      <w:tblPr>
        <w:tblW w:w="6260" w:type="dxa"/>
        <w:jc w:val="left"/>
        <w:tblInd w:w="0" w:type="dxa"/>
        <w:tblCellMar>
          <w:top w:w="28" w:type="dxa"/>
          <w:left w:w="28" w:type="dxa"/>
          <w:bottom w:w="28" w:type="dxa"/>
          <w:right w:w="28" w:type="dxa"/>
        </w:tblCellMar>
      </w:tblPr>
      <w:tblGrid>
        <w:gridCol w:w="754"/>
        <w:gridCol w:w="664"/>
        <w:gridCol w:w="666"/>
        <w:gridCol w:w="109"/>
        <w:gridCol w:w="109"/>
        <w:gridCol w:w="229"/>
        <w:gridCol w:w="229"/>
        <w:gridCol w:w="412"/>
        <w:gridCol w:w="1170"/>
        <w:gridCol w:w="538"/>
        <w:gridCol w:w="109"/>
        <w:gridCol w:w="109"/>
        <w:gridCol w:w="109"/>
        <w:gridCol w:w="196"/>
        <w:gridCol w:w="556"/>
        <w:gridCol w:w="301"/>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80" w:type="dxa"/>
            <w:gridSpan w:val="6"/>
            <w:tcBorders/>
            <w:shd w:fill="auto" w:val="clea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1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1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12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1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fair value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59.22 </w:t>
            </w:r>
          </w:p>
        </w:tc>
        <w:tc>
          <w:tcPr>
            <w:tcW w:w="5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57.88 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interim tax benefit (provision) by applying an estimate of the annual effective tax rate to the year-to-date pretax book income (loss) and adjusting for discrete items during the reporting period, if any. Tax jurisdictions with losses for which tax benefits cannot be realized, as well as significant unusual or infrequently occurring items that are separately reported, are excluded from the annual effective tax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tax rate for the three months ended March 31, 2023 of 1%, differed from the federal statutory rate of 21% due to the impact of valuation allowances on deferred tax assets, the forecasted mix of earnings in domestic and international jurisdictions, U.S. taxation of foreign earnings including GILTI (Global Intangible Low Taxed Income) tax, net of Section 250 deduction (largely driven by research and development capitalization), Subpart F income, an expense related to stock-based compensation, tax credits, and uncertain tax 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tax rate for the three months ended March 31, 2022 of 81%, differed from the federal statutory rate of 21% due to losses in jurisdictions for which no benefit is recognized because of valuation allowances on deferred tax assets, the forecasted mix of earnings in domestic and international jurisdictions, GILTI tax, net of Section 250 deduction (largely driven by research and development capitalization), discrete tax expense related to the Dresser Utility Solutions (Dresser) divestiture, an expense related to stock-based compensation, and uncertain tax 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w:t>
      </w:r>
      <w:r>
        <w:rPr>
          <w:color w:val="000000"/>
        </w:rPr>
        <w:t xml:space="preserve"> </w:t>
      </w:r>
      <w:r>
        <w:rPr>
          <w:rFonts w:ascii="Times New Roman;sans-serif" w:hAnsi="Times New Roman;sans-serif"/>
          <w:b w:val="false"/>
          <w:color w:val="000000"/>
          <w:sz w:val="20"/>
        </w:rPr>
        <w:t>We are subject to the new 1% excise tax beginning January 1, 2023, but the amount will vary depending upon various factors.</w:t>
      </w:r>
      <w:r>
        <w:rPr>
          <w:color w:val="000000"/>
        </w:rPr>
        <w:t xml:space="preserve"> </w:t>
      </w:r>
      <w:r>
        <w:rPr>
          <w:rFonts w:ascii="Times New Roman;sans-serif" w:hAnsi="Times New Roman;sans-serif"/>
          <w:b w:val="false"/>
          <w:color w:val="000000"/>
          <w:sz w:val="20"/>
        </w:rPr>
        <w:t>The 15% minimum tax only applies to corporations with average book income in excess of $1 billion, therefore it is not currently applicable.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Pillar 2 global minimum tax rules are intended to apply for tax years beginning in 2024. On February 1, 2023, the FASB staff noted that they believe that the Pillar 2 tax would be an alternative minimum tax and therefore deferred tax assets would not need to be recognized related to this parallel taxing system. On February 2, 2023, the OECD issued administrative guidance providing transition and safe harbor rules around the implementation of the Pillar 2 global minimum tax. The Company is closely monitoring developments and evaluating the impacts these new rules will have on our tax rate, including eligibility to qualify for these safe harbor rules.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expense and penalties related to unrecognized tax liabilities and interest income on tax overpayments as components of income tax expense. The net interest and penalties expense amounts recognized were as follows:</w:t>
      </w:r>
    </w:p>
    <w:tbl>
      <w:tblPr>
        <w:tblW w:w="6400" w:type="dxa"/>
        <w:jc w:val="left"/>
        <w:tblInd w:w="0" w:type="dxa"/>
        <w:tblCellMar>
          <w:top w:w="28" w:type="dxa"/>
          <w:left w:w="28" w:type="dxa"/>
          <w:bottom w:w="28" w:type="dxa"/>
          <w:right w:w="28" w:type="dxa"/>
        </w:tblCellMar>
      </w:tblPr>
      <w:tblGrid>
        <w:gridCol w:w="907"/>
        <w:gridCol w:w="795"/>
        <w:gridCol w:w="802"/>
        <w:gridCol w:w="109"/>
        <w:gridCol w:w="109"/>
        <w:gridCol w:w="298"/>
        <w:gridCol w:w="298"/>
        <w:gridCol w:w="535"/>
        <w:gridCol w:w="1151"/>
        <w:gridCol w:w="298"/>
        <w:gridCol w:w="109"/>
        <w:gridCol w:w="109"/>
        <w:gridCol w:w="109"/>
        <w:gridCol w:w="196"/>
        <w:gridCol w:w="421"/>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and penalties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Accrued interest and penalties recognized were as follows:</w:t>
      </w:r>
    </w:p>
    <w:tbl>
      <w:tblPr>
        <w:tblW w:w="4584" w:type="dxa"/>
        <w:jc w:val="left"/>
        <w:tblInd w:w="0" w:type="dxa"/>
        <w:tblCellMar>
          <w:top w:w="28" w:type="dxa"/>
          <w:left w:w="28" w:type="dxa"/>
          <w:bottom w:w="28" w:type="dxa"/>
          <w:right w:w="28" w:type="dxa"/>
        </w:tblCellMar>
      </w:tblPr>
      <w:tblGrid>
        <w:gridCol w:w="500"/>
        <w:gridCol w:w="438"/>
        <w:gridCol w:w="441"/>
        <w:gridCol w:w="293"/>
        <w:gridCol w:w="833"/>
        <w:gridCol w:w="163"/>
        <w:gridCol w:w="109"/>
        <w:gridCol w:w="109"/>
        <w:gridCol w:w="109"/>
        <w:gridCol w:w="343"/>
        <w:gridCol w:w="976"/>
        <w:gridCol w:w="270"/>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7,575 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penalties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Unrecognized tax benefits related to uncertain tax positions and the amount of unrecognized tax benefits that, if recognized, would affect our effective tax rate were as follows:</w:t>
      </w:r>
    </w:p>
    <w:tbl>
      <w:tblPr>
        <w:tblW w:w="9972" w:type="dxa"/>
        <w:jc w:val="left"/>
        <w:tblInd w:w="0" w:type="dxa"/>
        <w:tblCellMar>
          <w:top w:w="28" w:type="dxa"/>
          <w:left w:w="28" w:type="dxa"/>
          <w:bottom w:w="28" w:type="dxa"/>
          <w:right w:w="28" w:type="dxa"/>
        </w:tblCellMar>
      </w:tblPr>
      <w:tblGrid>
        <w:gridCol w:w="2448"/>
        <w:gridCol w:w="2150"/>
        <w:gridCol w:w="2167"/>
        <w:gridCol w:w="243"/>
        <w:gridCol w:w="912"/>
        <w:gridCol w:w="135"/>
        <w:gridCol w:w="109"/>
        <w:gridCol w:w="109"/>
        <w:gridCol w:w="109"/>
        <w:gridCol w:w="287"/>
        <w:gridCol w:w="1078"/>
        <w:gridCol w:w="225"/>
      </w:tblGrid>
      <w:tr>
        <w:trPr/>
        <w:tc>
          <w:tcPr>
            <w:tcW w:w="2448"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6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7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related to uncertain tax positions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130,144 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The amount of unrecognized tax benefits that, if recognized, would affect our effective tax rate</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124,915 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are under examination by certain tax authorities. During the first quarter 2023, we settled a French tax audit on years 2019-2020 with minimal impact to the financial statements or cash taxes.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12 months. However, at this time, an estimate of the range of reasonably possible adjustments to the balance of unrecognized tax benefits cannot be made.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file income tax returns in various jurisdictions. The material jurisdictions where we are subject to examination include, among others, the United States, France, Germany, Italy, Indonesia, and the United Kingdom.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Commitments and Contingencies</w:t>
      </w:r>
    </w:p>
    <w:p>
      <w:pPr>
        <w:pStyle w:val="TextBody"/>
        <w:spacing w:before="0" w:after="0"/>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Guarantees and Indemnifications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available lines of credit, outstanding standby LOCs, and bonds were as follows:</w:t>
      </w:r>
    </w:p>
    <w:tbl>
      <w:tblPr>
        <w:tblW w:w="9477" w:type="dxa"/>
        <w:jc w:val="left"/>
        <w:tblInd w:w="0" w:type="dxa"/>
        <w:tblCellMar>
          <w:top w:w="28" w:type="dxa"/>
          <w:left w:w="28" w:type="dxa"/>
          <w:bottom w:w="28" w:type="dxa"/>
          <w:right w:w="28" w:type="dxa"/>
        </w:tblCellMar>
      </w:tblPr>
      <w:tblGrid>
        <w:gridCol w:w="2266"/>
        <w:gridCol w:w="1989"/>
        <w:gridCol w:w="2015"/>
        <w:gridCol w:w="243"/>
        <w:gridCol w:w="912"/>
        <w:gridCol w:w="135"/>
        <w:gridCol w:w="109"/>
        <w:gridCol w:w="109"/>
        <w:gridCol w:w="109"/>
        <w:gridCol w:w="287"/>
        <w:gridCol w:w="1078"/>
        <w:gridCol w:w="225"/>
      </w:tblGrid>
      <w:tr>
        <w:trPr/>
        <w:tc>
          <w:tcPr>
            <w:tcW w:w="2266"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2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2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LOCs issued and outstanding</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(62,058)</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(55,990)</w:t>
            </w:r>
          </w:p>
        </w:tc>
        <w:tc>
          <w:tcPr>
            <w:tcW w:w="22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borrowings under the multicurrency revolving line of credit</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437,942 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standby LOCs under sub-facility</w:t>
            </w:r>
          </w:p>
        </w:tc>
        <w:tc>
          <w:tcPr>
            <w:tcW w:w="24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237,942 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244,010 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Unsecured multicurrency revolving lines of credit with various financial institutions</w:t>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lines of credit</w:t>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83,732 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81,781 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LOCs issued and outstanding</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(22,742)</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(22,530)</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borrowings and LOCs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59,251 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surety bonds in force</w:t>
            </w:r>
          </w:p>
        </w:tc>
        <w:tc>
          <w:tcPr>
            <w:tcW w:w="243"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271,202 </w:t>
            </w:r>
          </w:p>
        </w:tc>
        <w:tc>
          <w:tcPr>
            <w:tcW w:w="13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285,754 </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any such standby LOC or bond is called, we would be obligated to reimburse the issuer of the standby LOC or bond; however, as of May 4, 2023, we do not believe any outstanding standby LOCs or bonds will be called.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warranty accrual account activity is as follows:</w:t>
      </w:r>
    </w:p>
    <w:tbl>
      <w:tblPr>
        <w:tblW w:w="6954" w:type="dxa"/>
        <w:jc w:val="left"/>
        <w:tblInd w:w="0" w:type="dxa"/>
        <w:tblCellMar>
          <w:top w:w="28" w:type="dxa"/>
          <w:left w:w="28" w:type="dxa"/>
          <w:bottom w:w="28" w:type="dxa"/>
          <w:right w:w="28" w:type="dxa"/>
        </w:tblCellMar>
      </w:tblPr>
      <w:tblGrid>
        <w:gridCol w:w="1027"/>
        <w:gridCol w:w="900"/>
        <w:gridCol w:w="908"/>
        <w:gridCol w:w="109"/>
        <w:gridCol w:w="109"/>
        <w:gridCol w:w="240"/>
        <w:gridCol w:w="240"/>
        <w:gridCol w:w="432"/>
        <w:gridCol w:w="1426"/>
        <w:gridCol w:w="240"/>
        <w:gridCol w:w="109"/>
        <w:gridCol w:w="109"/>
        <w:gridCol w:w="109"/>
        <w:gridCol w:w="196"/>
        <w:gridCol w:w="646"/>
        <w:gridCol w:w="154"/>
      </w:tblGrid>
      <w:tr>
        <w:trPr/>
        <w:tc>
          <w:tcPr>
            <w:tcW w:w="102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25,698 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0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product warranties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and expirations,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Claims activity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17,829 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warranty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warranty expense is classified within cost of revenues and consists of new product warranties issued, costs related to insurance and supplier recoveries, other changes and adjustments to warranties, and customer claims. Warranty expense was as follows:</w:t>
      </w:r>
    </w:p>
    <w:tbl>
      <w:tblPr>
        <w:tblW w:w="5801" w:type="dxa"/>
        <w:jc w:val="left"/>
        <w:tblInd w:w="0" w:type="dxa"/>
        <w:tblCellMar>
          <w:top w:w="28" w:type="dxa"/>
          <w:left w:w="28" w:type="dxa"/>
          <w:bottom w:w="28" w:type="dxa"/>
          <w:right w:w="28" w:type="dxa"/>
        </w:tblCellMar>
      </w:tblPr>
      <w:tblGrid>
        <w:gridCol w:w="641"/>
        <w:gridCol w:w="562"/>
        <w:gridCol w:w="567"/>
        <w:gridCol w:w="109"/>
        <w:gridCol w:w="109"/>
        <w:gridCol w:w="298"/>
        <w:gridCol w:w="298"/>
        <w:gridCol w:w="535"/>
        <w:gridCol w:w="1151"/>
        <w:gridCol w:w="298"/>
        <w:gridCol w:w="109"/>
        <w:gridCol w:w="109"/>
        <w:gridCol w:w="109"/>
        <w:gridCol w:w="196"/>
        <w:gridCol w:w="556"/>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warranty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Restructuring</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Projects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to be substantially complete by early 2025.</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restructuring costs, the restructuring costs recognized, and the remaining expected restructuring costs related to the 2023 Projects were as follows:</w:t>
      </w:r>
    </w:p>
    <w:p>
      <w:pPr>
        <w:pStyle w:val="TextBody"/>
        <w:spacing w:before="0" w:after="0"/>
        <w:ind w:left="0" w:right="0" w:firstLine="270"/>
        <w:jc w:val="both"/>
        <w:rPr/>
      </w:pPr>
      <w:r>
        <w:rPr/>
      </w:r>
    </w:p>
    <w:tbl>
      <w:tblPr>
        <w:tblW w:w="10205" w:type="dxa"/>
        <w:jc w:val="left"/>
        <w:tblInd w:w="0" w:type="dxa"/>
        <w:tblCellMar>
          <w:top w:w="28" w:type="dxa"/>
          <w:left w:w="28" w:type="dxa"/>
          <w:bottom w:w="28" w:type="dxa"/>
          <w:right w:w="28" w:type="dxa"/>
        </w:tblCellMar>
      </w:tblPr>
      <w:tblGrid>
        <w:gridCol w:w="752"/>
        <w:gridCol w:w="556"/>
        <w:gridCol w:w="560"/>
        <w:gridCol w:w="324"/>
        <w:gridCol w:w="1069"/>
        <w:gridCol w:w="180"/>
        <w:gridCol w:w="109"/>
        <w:gridCol w:w="109"/>
        <w:gridCol w:w="109"/>
        <w:gridCol w:w="402"/>
        <w:gridCol w:w="834"/>
        <w:gridCol w:w="224"/>
        <w:gridCol w:w="109"/>
        <w:gridCol w:w="109"/>
        <w:gridCol w:w="109"/>
        <w:gridCol w:w="449"/>
        <w:gridCol w:w="1481"/>
        <w:gridCol w:w="252"/>
        <w:gridCol w:w="109"/>
        <w:gridCol w:w="109"/>
        <w:gridCol w:w="109"/>
        <w:gridCol w:w="460"/>
        <w:gridCol w:w="1309"/>
        <w:gridCol w:w="372"/>
      </w:tblGrid>
      <w:tr>
        <w:trPr/>
        <w:tc>
          <w:tcPr>
            <w:tcW w:w="75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48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Expected Costs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in Prior Periods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During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Remaining Costs to be Recognized at March 31, 2023</w:t>
            </w:r>
          </w:p>
        </w:tc>
      </w:tr>
      <w:tr>
        <w:trPr/>
        <w:tc>
          <w:tcPr>
            <w:tcW w:w="18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severance costs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36,625 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&amp; net loss (gain) on sale or disposal</w:t>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2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restructuring costs</w:t>
            </w:r>
          </w:p>
        </w:tc>
        <w:tc>
          <w:tcPr>
            <w:tcW w:w="13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6,182 </w:t>
            </w:r>
          </w:p>
        </w:tc>
        <w:tc>
          <w:tcPr>
            <w:tcW w:w="3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44,195 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38,013 </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r>
        <w:trPr/>
        <w:tc>
          <w:tcPr>
            <w:tcW w:w="1868" w:type="dxa"/>
            <w:gridSpan w:val="3"/>
            <w:tcBorders/>
            <w:shd w:fill="auto" w:val="clear"/>
            <w:vAlign w:val="center"/>
          </w:tcPr>
          <w:p>
            <w:pPr>
              <w:pStyle w:val="TableContents"/>
              <w:spacing w:before="0" w:after="283"/>
              <w:rPr>
                <w:sz w:val="4"/>
                <w:szCs w:val="4"/>
              </w:rPr>
            </w:pPr>
            <w:r>
              <w:rPr>
                <w:sz w:val="4"/>
                <w:szCs w:val="4"/>
              </w:rPr>
            </w:r>
          </w:p>
        </w:tc>
        <w:tc>
          <w:tcPr>
            <w:tcW w:w="15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Projects</w:t>
      </w:r>
    </w:p>
    <w:p>
      <w:pPr>
        <w:pStyle w:val="TextBody"/>
        <w:spacing w:lineRule="auto" w:line="288" w:before="0" w:after="0"/>
        <w:jc w:val="both"/>
        <w:rPr/>
      </w:pPr>
      <w:r>
        <w:rPr>
          <w:rFonts w:ascii="Times New Roman;sans-serif" w:hAnsi="Times New Roman;sans-serif"/>
          <w:b w:val="false"/>
          <w:color w:val="000000"/>
          <w:sz w:val="20"/>
        </w:rPr>
        <w:t xml:space="preserve">On October 29, 2021, our Board of Directors approved a restructuring plan (the 2021 Projects), which in conjunction with the </w:t>
      </w:r>
      <w:r>
        <w:rPr>
          <w:rFonts w:ascii="Times New Roman;sans-serif" w:hAnsi="Times New Roman;sans-serif"/>
          <w:b w:val="false"/>
          <w:color w:val="000000"/>
          <w:sz w:val="20"/>
          <w:highlight w:val="white"/>
        </w:rPr>
        <w:t>announcement of the sale of certain Gas product lines from our Device Solutions manufacturing and business operations in Europe and North America to Dresser, includes activities to drive reductions in certain locations and functional support areas. These projects are expected to be substantially complete by the end of 2024.</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restructuring costs, the restructuring costs recognized, and the remaining expected restructuring costs related to the 2021 Projects were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36"/>
        <w:gridCol w:w="539"/>
        <w:gridCol w:w="543"/>
        <w:gridCol w:w="316"/>
        <w:gridCol w:w="1044"/>
        <w:gridCol w:w="176"/>
        <w:gridCol w:w="109"/>
        <w:gridCol w:w="109"/>
        <w:gridCol w:w="109"/>
        <w:gridCol w:w="295"/>
        <w:gridCol w:w="972"/>
        <w:gridCol w:w="165"/>
        <w:gridCol w:w="109"/>
        <w:gridCol w:w="109"/>
        <w:gridCol w:w="109"/>
        <w:gridCol w:w="623"/>
        <w:gridCol w:w="1389"/>
        <w:gridCol w:w="350"/>
        <w:gridCol w:w="109"/>
        <w:gridCol w:w="109"/>
        <w:gridCol w:w="109"/>
        <w:gridCol w:w="446"/>
        <w:gridCol w:w="1269"/>
        <w:gridCol w:w="361"/>
      </w:tblGrid>
      <w:tr>
        <w:trPr/>
        <w:tc>
          <w:tcPr>
            <w:tcW w:w="73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Expected Costs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in Prior Periods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 Recognized During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Remaining Costs to be Recognized at March 31, 2023</w:t>
            </w:r>
          </w:p>
        </w:tc>
      </w:tr>
      <w:tr>
        <w:trPr/>
        <w:tc>
          <w:tcPr>
            <w:tcW w:w="18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severance costs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&amp; net loss (gain) on sale or disposal</w:t>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restructuring costs</w:t>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3,084 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3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51,711 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2,400 </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Projects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restructuring costs, the restructuring costs recognized, and the remaining expected restructuring costs related to the 2020 Projects were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736"/>
        <w:gridCol w:w="539"/>
        <w:gridCol w:w="543"/>
        <w:gridCol w:w="316"/>
        <w:gridCol w:w="1044"/>
        <w:gridCol w:w="176"/>
        <w:gridCol w:w="109"/>
        <w:gridCol w:w="109"/>
        <w:gridCol w:w="109"/>
        <w:gridCol w:w="295"/>
        <w:gridCol w:w="972"/>
        <w:gridCol w:w="165"/>
        <w:gridCol w:w="109"/>
        <w:gridCol w:w="109"/>
        <w:gridCol w:w="109"/>
        <w:gridCol w:w="623"/>
        <w:gridCol w:w="1389"/>
        <w:gridCol w:w="350"/>
        <w:gridCol w:w="109"/>
        <w:gridCol w:w="109"/>
        <w:gridCol w:w="109"/>
        <w:gridCol w:w="525"/>
        <w:gridCol w:w="1129"/>
        <w:gridCol w:w="422"/>
      </w:tblGrid>
      <w:tr>
        <w:trPr/>
        <w:tc>
          <w:tcPr>
            <w:tcW w:w="736"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Expected Costs at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in Prior Periods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Adjustments Recognized During the 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Remaining Costs to be Recognized at March 31, 2023</w:t>
            </w:r>
          </w:p>
        </w:tc>
      </w:tr>
      <w:tr>
        <w:trPr/>
        <w:tc>
          <w:tcPr>
            <w:tcW w:w="18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severance costs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&amp; net loss (gain) on sale or disposal</w:t>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restructuring costs</w:t>
            </w:r>
          </w:p>
        </w:tc>
        <w:tc>
          <w:tcPr>
            <w:tcW w:w="13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3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33,990 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34,188 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r>
        <w:trPr/>
        <w:tc>
          <w:tcPr>
            <w:tcW w:w="1818" w:type="dxa"/>
            <w:gridSpan w:val="3"/>
            <w:tcBorders/>
            <w:shd w:fill="auto" w:val="clear"/>
            <w:vAlign w:val="center"/>
          </w:tcPr>
          <w:p>
            <w:pPr>
              <w:pStyle w:val="TableContents"/>
              <w:spacing w:before="0" w:after="283"/>
              <w:rPr>
                <w:sz w:val="4"/>
                <w:szCs w:val="4"/>
              </w:rPr>
            </w:pPr>
            <w:r>
              <w:rPr>
                <w:sz w:val="4"/>
                <w:szCs w:val="4"/>
              </w:rPr>
            </w:r>
          </w:p>
        </w:tc>
        <w:tc>
          <w:tcPr>
            <w:tcW w:w="15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within the restructuring related balance sheet accounts for the 2023 Projects, the 2021 Projects, and the 2020 Projects during the three months ended March 31, 2023:</w:t>
      </w:r>
    </w:p>
    <w:tbl>
      <w:tblPr>
        <w:tblW w:w="10205" w:type="dxa"/>
        <w:jc w:val="left"/>
        <w:tblInd w:w="0" w:type="dxa"/>
        <w:tblCellMar>
          <w:top w:w="28" w:type="dxa"/>
          <w:left w:w="28" w:type="dxa"/>
          <w:bottom w:w="28" w:type="dxa"/>
          <w:right w:w="28" w:type="dxa"/>
        </w:tblCellMar>
      </w:tblPr>
      <w:tblGrid>
        <w:gridCol w:w="688"/>
        <w:gridCol w:w="598"/>
        <w:gridCol w:w="603"/>
        <w:gridCol w:w="361"/>
        <w:gridCol w:w="1191"/>
        <w:gridCol w:w="200"/>
        <w:gridCol w:w="109"/>
        <w:gridCol w:w="109"/>
        <w:gridCol w:w="109"/>
        <w:gridCol w:w="846"/>
        <w:gridCol w:w="1753"/>
        <w:gridCol w:w="472"/>
        <w:gridCol w:w="109"/>
        <w:gridCol w:w="109"/>
        <w:gridCol w:w="109"/>
        <w:gridCol w:w="307"/>
        <w:gridCol w:w="874"/>
        <w:gridCol w:w="171"/>
        <w:gridCol w:w="109"/>
        <w:gridCol w:w="109"/>
        <w:gridCol w:w="109"/>
        <w:gridCol w:w="196"/>
        <w:gridCol w:w="646"/>
        <w:gridCol w:w="318"/>
      </w:tblGrid>
      <w:tr>
        <w:trPr/>
        <w:tc>
          <w:tcPr>
            <w:tcW w:w="688"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753"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Accrued Employee Severance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Impairments &amp; Net Loss (Gain) on Sale or Disposal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Accrued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January 1, 2023</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42,444 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Costs charged to expense</w:t>
            </w:r>
          </w:p>
        </w:tc>
        <w:tc>
          <w:tcPr>
            <w:tcW w:w="1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35,066 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36,609 </w:t>
            </w:r>
          </w:p>
        </w:tc>
        <w:tc>
          <w:tcPr>
            <w:tcW w:w="318" w:type="dxa"/>
            <w:tcBorders/>
            <w:shd w:fill="FFFF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1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(3,112)</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auto" w:val="clear"/>
            <w:vAlign w:val="center"/>
          </w:tcPr>
          <w:p>
            <w:pPr>
              <w:pStyle w:val="TableContents"/>
              <w:spacing w:before="0" w:after="283"/>
              <w:rPr>
                <w:sz w:val="4"/>
                <w:szCs w:val="4"/>
              </w:rPr>
            </w:pPr>
            <w:r>
              <w:rPr>
                <w:sz w:val="4"/>
                <w:szCs w:val="4"/>
              </w:rPr>
            </w:r>
          </w:p>
        </w:tc>
        <w:tc>
          <w:tcPr>
            <w:tcW w:w="17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disposed and impaired</w:t>
            </w:r>
          </w:p>
        </w:tc>
        <w:tc>
          <w:tcPr>
            <w:tcW w:w="15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4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5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3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March 31, 2023</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72,522 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75,698 </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impairments are determined at the asset group level. Revenues and net operating income from the activities we have exited or will exit under the restructuring projects are not material to our operating segments or consolidated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Itron's employees are represented by unions or works councils, which requires consultation, and potential restructuring projects may be subject to regulatory approval, both of which could impact the timing of planned savings in certain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portions of restructuring liabilities were $14.3 million and $14.5 million as of March 31, 2023 and December 31, 2022 and are classified within other current liabilities on the Consolidated Balance Sheets. The long-term portions of restructuring liabilities were $61.4 million and $27.9 million as of March 31, 2023 and December 31, 2022. The long-term portions of restructuring liabilities are classified within other long-term obligations on the Consolidated Balance Sheets and include severance accruals and facility exit costs.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Shareholders' Equity</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March 31, 2023 or December 31, 2022.</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 Hedge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the convertible note hedge transactions. The convertible note hedge transactions meet the criteria in Accounting Standards Codification (ASC) 815-40 to be classified within Stockholders' Equity, and therefore the convertible note hedge transactions are not revalued after their issuance.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notes, and results in a $20.6 million deferred tax asset recognized through equity. </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pStyle w:val="TextBody"/>
        <w:spacing w:before="0" w:after="0"/>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Income (Loss) (AOCI)</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were as follows:</w:t>
      </w:r>
    </w:p>
    <w:tbl>
      <w:tblPr>
        <w:tblW w:w="10205" w:type="dxa"/>
        <w:jc w:val="left"/>
        <w:tblInd w:w="0" w:type="dxa"/>
        <w:tblCellMar>
          <w:top w:w="28" w:type="dxa"/>
          <w:left w:w="28" w:type="dxa"/>
          <w:bottom w:w="28" w:type="dxa"/>
          <w:right w:w="28" w:type="dxa"/>
        </w:tblCellMar>
      </w:tblPr>
      <w:tblGrid>
        <w:gridCol w:w="745"/>
        <w:gridCol w:w="352"/>
        <w:gridCol w:w="355"/>
        <w:gridCol w:w="244"/>
        <w:gridCol w:w="1008"/>
        <w:gridCol w:w="136"/>
        <w:gridCol w:w="109"/>
        <w:gridCol w:w="109"/>
        <w:gridCol w:w="109"/>
        <w:gridCol w:w="380"/>
        <w:gridCol w:w="849"/>
        <w:gridCol w:w="213"/>
        <w:gridCol w:w="109"/>
        <w:gridCol w:w="109"/>
        <w:gridCol w:w="109"/>
        <w:gridCol w:w="320"/>
        <w:gridCol w:w="1083"/>
        <w:gridCol w:w="180"/>
        <w:gridCol w:w="109"/>
        <w:gridCol w:w="109"/>
        <w:gridCol w:w="109"/>
        <w:gridCol w:w="274"/>
        <w:gridCol w:w="928"/>
        <w:gridCol w:w="153"/>
        <w:gridCol w:w="109"/>
        <w:gridCol w:w="109"/>
        <w:gridCol w:w="109"/>
        <w:gridCol w:w="296"/>
        <w:gridCol w:w="1138"/>
        <w:gridCol w:w="243"/>
      </w:tblGrid>
      <w:tr>
        <w:trPr/>
        <w:tc>
          <w:tcPr>
            <w:tcW w:w="7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1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 (Loss) on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 (Loss) on Nonderivative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 Obligation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r>
      <w:tr>
        <w:trPr/>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2022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(148,098)</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55,510 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48,545 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2022</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(63,221)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(95,283)</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2023</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(83,193)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(94,674)</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7,225 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7,225 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March 31, 2023</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(75,968)</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(87,555)</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before-tax, income tax (provision) benefit, and net-of-tax amounts related to each component of other comprehensive income (OCI) were as follows:</w:t>
      </w:r>
    </w:p>
    <w:tbl>
      <w:tblPr>
        <w:tblW w:w="10205" w:type="dxa"/>
        <w:jc w:val="left"/>
        <w:tblInd w:w="0" w:type="dxa"/>
        <w:tblCellMar>
          <w:top w:w="28" w:type="dxa"/>
          <w:left w:w="28" w:type="dxa"/>
          <w:bottom w:w="28" w:type="dxa"/>
          <w:right w:w="28" w:type="dxa"/>
        </w:tblCellMar>
      </w:tblPr>
      <w:tblGrid>
        <w:gridCol w:w="2265"/>
        <w:gridCol w:w="1959"/>
        <w:gridCol w:w="1975"/>
        <w:gridCol w:w="109"/>
        <w:gridCol w:w="109"/>
        <w:gridCol w:w="248"/>
        <w:gridCol w:w="248"/>
        <w:gridCol w:w="447"/>
        <w:gridCol w:w="1270"/>
        <w:gridCol w:w="248"/>
        <w:gridCol w:w="109"/>
        <w:gridCol w:w="109"/>
        <w:gridCol w:w="109"/>
        <w:gridCol w:w="196"/>
        <w:gridCol w:w="646"/>
        <w:gridCol w:w="158"/>
      </w:tblGrid>
      <w:tr>
        <w:trPr/>
        <w:tc>
          <w:tcPr>
            <w:tcW w:w="2265" w:type="dxa"/>
            <w:tcBorders/>
            <w:shd w:fill="auto" w:val="clear"/>
            <w:vAlign w:val="center"/>
          </w:tcPr>
          <w:p>
            <w:pPr>
              <w:pStyle w:val="TableContents"/>
              <w:spacing w:before="0" w:after="283"/>
              <w:rPr>
                <w:sz w:val="4"/>
                <w:szCs w:val="4"/>
              </w:rPr>
            </w:pPr>
            <w:r>
              <w:rPr>
                <w:sz w:val="4"/>
                <w:szCs w:val="4"/>
              </w:rPr>
            </w:r>
          </w:p>
        </w:tc>
        <w:tc>
          <w:tcPr>
            <w:tcW w:w="1959" w:type="dxa"/>
            <w:tcBorders/>
            <w:shd w:fill="auto" w:val="clear"/>
            <w:vAlign w:val="center"/>
          </w:tcPr>
          <w:p>
            <w:pPr>
              <w:pStyle w:val="TableContents"/>
              <w:spacing w:before="0" w:after="283"/>
              <w:rPr>
                <w:sz w:val="4"/>
                <w:szCs w:val="4"/>
              </w:rPr>
            </w:pPr>
            <w:r>
              <w:rPr>
                <w:sz w:val="4"/>
                <w:szCs w:val="4"/>
              </w:rPr>
            </w:r>
          </w:p>
        </w:tc>
        <w:tc>
          <w:tcPr>
            <w:tcW w:w="19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7" w:type="dxa"/>
            <w:gridSpan w:val="6"/>
            <w:tcBorders/>
            <w:shd w:fill="auto" w:val="clear"/>
          </w:tcPr>
          <w:p>
            <w:pPr>
              <w:pStyle w:val="TableContents"/>
              <w:spacing w:before="0" w:after="283"/>
              <w:rPr>
                <w:sz w:val="4"/>
                <w:szCs w:val="4"/>
              </w:rPr>
            </w:pPr>
            <w:r>
              <w:rPr>
                <w:sz w:val="4"/>
                <w:szCs w:val="4"/>
              </w:rPr>
            </w:r>
          </w:p>
        </w:tc>
      </w:tr>
      <w:tr>
        <w:trPr/>
        <w:tc>
          <w:tcPr>
            <w:tcW w:w="61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Before-tax 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7,227 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reclassified to net income (loss)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defined benefit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4,205 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before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7,121 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52,865 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reclassified to net income (loss)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defined benefit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Net-of-tax amount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7,225 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(6,891)</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reclassified to net income (loss)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55,436 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defined benefit plans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4,196 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7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2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7,119 </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Fair Value of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at March 31, 2023 and December 31, 2022 do not reflect subsequent changes in the economy, interest rates, tax rates, and other variables that may affect the determination of fair value.</w:t>
      </w:r>
    </w:p>
    <w:tbl>
      <w:tblPr>
        <w:tblW w:w="7213" w:type="dxa"/>
        <w:jc w:val="left"/>
        <w:tblInd w:w="0" w:type="dxa"/>
        <w:tblCellMar>
          <w:top w:w="28" w:type="dxa"/>
          <w:left w:w="28" w:type="dxa"/>
          <w:bottom w:w="28" w:type="dxa"/>
          <w:right w:w="28" w:type="dxa"/>
        </w:tblCellMar>
      </w:tblPr>
      <w:tblGrid>
        <w:gridCol w:w="1003"/>
        <w:gridCol w:w="880"/>
        <w:gridCol w:w="892"/>
        <w:gridCol w:w="239"/>
        <w:gridCol w:w="497"/>
        <w:gridCol w:w="125"/>
        <w:gridCol w:w="109"/>
        <w:gridCol w:w="109"/>
        <w:gridCol w:w="109"/>
        <w:gridCol w:w="239"/>
        <w:gridCol w:w="497"/>
        <w:gridCol w:w="109"/>
        <w:gridCol w:w="109"/>
        <w:gridCol w:w="109"/>
        <w:gridCol w:w="109"/>
        <w:gridCol w:w="239"/>
        <w:gridCol w:w="497"/>
        <w:gridCol w:w="125"/>
        <w:gridCol w:w="109"/>
        <w:gridCol w:w="109"/>
        <w:gridCol w:w="109"/>
        <w:gridCol w:w="239"/>
        <w:gridCol w:w="497"/>
        <w:gridCol w:w="154"/>
      </w:tblGrid>
      <w:tr>
        <w:trPr/>
        <w:tc>
          <w:tcPr>
            <w:tcW w:w="100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w:t>
              <w:br/>
              <w:t>Value</w:t>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w:t>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453,094 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452,526 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r>
        <w:trPr/>
        <w:tc>
          <w:tcPr>
            <w:tcW w:w="2775"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in estimating fair values: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Due to the liquid nature of these instruments, the carrying amount approximates fair value (Level 1).</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Credit facility - multicurrency revolving line of credit: </w:t>
      </w:r>
      <w:r>
        <w:rPr>
          <w:rFonts w:ascii="Times New Roman;sans-serif" w:hAnsi="Times New Roman;sans-serif"/>
          <w:b w:val="false"/>
          <w:color w:val="000000"/>
          <w:sz w:val="20"/>
        </w:rPr>
        <w:t>The revolver is not traded publicly. The fair values, which are 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Convertible notes:</w:t>
      </w:r>
      <w:r>
        <w:rPr>
          <w:color w:val="000000"/>
        </w:rPr>
        <w:t xml:space="preserve"> </w:t>
      </w:r>
      <w:r>
        <w:rPr>
          <w:rFonts w:ascii="Times New Roman;sans-serif" w:hAnsi="Times New Roman;sans-serif"/>
          <w:b w:val="false"/>
          <w:color w:val="000000"/>
          <w:sz w:val="20"/>
        </w:rPr>
        <w:t>The convertible notes are not listed on any securities exchange but may be actively traded. The fair value is estimated using Level 1 inputs, as it is based on quoted prices for these instruments in active markets.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color w:val="000000"/>
          <w:sz w:val="20"/>
        </w:rPr>
        <w:t xml:space="preserve">Each derivative asset and liability has a carrying value equal to fair value. The fair values of our derivative instruments are determined using the income approach and significant other observable inputs (and are classified as "Level 2" in the fair value hierarchy). We have used observable market inputs based on the type of derivative and the nature of the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underlying instrument. The key inputs include foreign exchange spot and forward rates, all of which are available in an active mar</w:t>
      </w:r>
      <w:r>
        <w:rPr>
          <w:rFonts w:ascii="Times New Roman;sans-serif" w:hAnsi="Times New Roman;sans-serif"/>
          <w:b w:val="false"/>
          <w:color w:val="000000"/>
          <w:sz w:val="20"/>
          <w:highlight w:val="white"/>
        </w:rPr>
        <w:t>ket. We have utilized the mid-market pricing convention for these inputs.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Segment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under the Itron brand worldwide and manage and report under three operating segments: Device Solutions, Networked Solutions, and Outcomes.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Goodwill impairment charges are recognized in Corporate unallocated. In addition, we allocate only certain production assets and intangible assets to our operating segments. We do not manage the performance of the segments on a balance sheet basis.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Segment Products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Device Solutions</w:t>
      </w:r>
      <w:r>
        <w:rPr>
          <w:color w:val="000000"/>
        </w:rPr>
        <w:t xml:space="preserve"> – </w:t>
      </w:r>
      <w:r>
        <w:rPr>
          <w:rFonts w:ascii="Times New Roman;sans-serif" w:hAnsi="Times New Roman;sans-serif"/>
          <w:b w:val="false"/>
          <w:color w:val="000000"/>
          <w:sz w:val="20"/>
        </w:rPr>
        <w:t>This segment primarily includes hardware products used for measurement, control, or sensing that do not have communications 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Networked Solutions</w:t>
      </w:r>
      <w:r>
        <w:rPr>
          <w:color w:val="000000"/>
        </w:rPr>
        <w:t xml:space="preserve"> – </w:t>
      </w:r>
      <w:r>
        <w:rPr>
          <w:rFonts w:ascii="Times New Roman;sans-serif" w:hAnsi="Times New Roman;sans-serif"/>
          <w:b w:val="false"/>
          <w:color w:val="000000"/>
          <w:sz w:val="20"/>
        </w:rPr>
        <w:t>This segment primarily includes a combination of communicating devices (e.g., smart meters, modules, endpoints, and 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Outcomes</w:t>
      </w:r>
      <w:r>
        <w:rPr>
          <w:color w:val="000000"/>
        </w:rPr>
        <w:t xml:space="preserve"> – </w:t>
      </w:r>
      <w:r>
        <w:rPr>
          <w:rFonts w:ascii="Times New Roman;sans-serif" w:hAnsi="Times New Roman;sans-serif"/>
          <w:b w:val="false"/>
          <w:color w:val="000000"/>
          <w:sz w:val="20"/>
        </w:rPr>
        <w:t>This segment primarily includes our value-added, enhanced software and services in which we manage, organize, analyze, and interpret raw, 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gross profit, and operating income (loss) associated with our operating segments were as follows:</w:t>
      </w:r>
    </w:p>
    <w:tbl>
      <w:tblPr>
        <w:tblW w:w="6758" w:type="dxa"/>
        <w:jc w:val="left"/>
        <w:tblInd w:w="0" w:type="dxa"/>
        <w:tblCellMar>
          <w:top w:w="28" w:type="dxa"/>
          <w:left w:w="28" w:type="dxa"/>
          <w:bottom w:w="28" w:type="dxa"/>
          <w:right w:w="28" w:type="dxa"/>
        </w:tblCellMar>
      </w:tblPr>
      <w:tblGrid>
        <w:gridCol w:w="924"/>
        <w:gridCol w:w="809"/>
        <w:gridCol w:w="816"/>
        <w:gridCol w:w="109"/>
        <w:gridCol w:w="109"/>
        <w:gridCol w:w="223"/>
        <w:gridCol w:w="223"/>
        <w:gridCol w:w="401"/>
        <w:gridCol w:w="1508"/>
        <w:gridCol w:w="223"/>
        <w:gridCol w:w="109"/>
        <w:gridCol w:w="109"/>
        <w:gridCol w:w="109"/>
        <w:gridCol w:w="196"/>
        <w:gridCol w:w="736"/>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117,451 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281,470 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17,403 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416,324 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Service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31,998 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45,493 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78,294 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118,254 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313,468 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494,618 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105,776 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26,879 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156,368 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74,956 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(112,338)</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(74,107)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(10,393)</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(12,107)</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no single customer represented more than 10% of total company revenue.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region were as follows:</w:t>
      </w:r>
    </w:p>
    <w:tbl>
      <w:tblPr>
        <w:tblW w:w="6624" w:type="dxa"/>
        <w:jc w:val="left"/>
        <w:tblInd w:w="0" w:type="dxa"/>
        <w:tblCellMar>
          <w:top w:w="28" w:type="dxa"/>
          <w:left w:w="28" w:type="dxa"/>
          <w:bottom w:w="28" w:type="dxa"/>
          <w:right w:w="28" w:type="dxa"/>
        </w:tblCellMar>
      </w:tblPr>
      <w:tblGrid>
        <w:gridCol w:w="875"/>
        <w:gridCol w:w="766"/>
        <w:gridCol w:w="774"/>
        <w:gridCol w:w="109"/>
        <w:gridCol w:w="109"/>
        <w:gridCol w:w="223"/>
        <w:gridCol w:w="223"/>
        <w:gridCol w:w="401"/>
        <w:gridCol w:w="1508"/>
        <w:gridCol w:w="223"/>
        <w:gridCol w:w="109"/>
        <w:gridCol w:w="109"/>
        <w:gridCol w:w="109"/>
        <w:gridCol w:w="196"/>
        <w:gridCol w:w="736"/>
        <w:gridCol w:w="154"/>
      </w:tblGrid>
      <w:tr>
        <w:trPr/>
        <w:tc>
          <w:tcPr>
            <w:tcW w:w="87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13" w:type="dxa"/>
            <w:gridSpan w:val="6"/>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and Canada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372,842 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98,744 </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23,032 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494,618 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is allocated to the operating segments based upon each segment's use of the assets. All amortization expense is recognized within Corporate unallocated. Depreciation and amortization of intangible assets expense associated with our operating segments was as follows:</w:t>
      </w:r>
    </w:p>
    <w:tbl>
      <w:tblPr>
        <w:tblW w:w="5784" w:type="dxa"/>
        <w:jc w:val="left"/>
        <w:tblInd w:w="0" w:type="dxa"/>
        <w:tblCellMar>
          <w:top w:w="28" w:type="dxa"/>
          <w:left w:w="28" w:type="dxa"/>
          <w:bottom w:w="28" w:type="dxa"/>
          <w:right w:w="28" w:type="dxa"/>
        </w:tblCellMar>
      </w:tblPr>
      <w:tblGrid>
        <w:gridCol w:w="603"/>
        <w:gridCol w:w="529"/>
        <w:gridCol w:w="533"/>
        <w:gridCol w:w="109"/>
        <w:gridCol w:w="109"/>
        <w:gridCol w:w="240"/>
        <w:gridCol w:w="240"/>
        <w:gridCol w:w="432"/>
        <w:gridCol w:w="1426"/>
        <w:gridCol w:w="240"/>
        <w:gridCol w:w="109"/>
        <w:gridCol w:w="109"/>
        <w:gridCol w:w="109"/>
        <w:gridCol w:w="196"/>
        <w:gridCol w:w="646"/>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8" w:type="dxa"/>
            <w:gridSpan w:val="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23" w:type="dxa"/>
            <w:gridSpan w:val="6"/>
            <w:tcBorders/>
            <w:shd w:fill="auto" w:val="clea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09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4,131 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85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5,816 </w:t>
            </w:r>
          </w:p>
        </w:tc>
        <w:tc>
          <w:tcPr>
            <w:tcW w:w="2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7,554 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14,463 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Revenues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significant net changes in the contract assets and the contract liabilities balances during the period is as follows:</w:t>
      </w:r>
    </w:p>
    <w:tbl>
      <w:tblPr>
        <w:tblW w:w="7274" w:type="dxa"/>
        <w:jc w:val="left"/>
        <w:tblInd w:w="0" w:type="dxa"/>
        <w:tblCellMar>
          <w:top w:w="28" w:type="dxa"/>
          <w:left w:w="28" w:type="dxa"/>
          <w:bottom w:w="28" w:type="dxa"/>
          <w:right w:w="28" w:type="dxa"/>
        </w:tblCellMar>
      </w:tblPr>
      <w:tblGrid>
        <w:gridCol w:w="1424"/>
        <w:gridCol w:w="1248"/>
        <w:gridCol w:w="1258"/>
        <w:gridCol w:w="603"/>
        <w:gridCol w:w="2267"/>
        <w:gridCol w:w="474"/>
      </w:tblGrid>
      <w:tr>
        <w:trPr/>
        <w:tc>
          <w:tcPr>
            <w:tcW w:w="1424"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226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Liabilities, Less Contract Assets</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January 1, 2023</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75,958 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from beginning contract liability</w:t>
            </w:r>
          </w:p>
        </w:tc>
        <w:tc>
          <w:tcPr>
            <w:tcW w:w="2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(52,304)</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catch-up adjustments</w:t>
            </w:r>
          </w:p>
        </w:tc>
        <w:tc>
          <w:tcPr>
            <w:tcW w:w="2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due to amounts collected or due</w:t>
            </w:r>
          </w:p>
        </w:tc>
        <w:tc>
          <w:tcPr>
            <w:tcW w:w="2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107,038 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from current period increases</w:t>
            </w:r>
          </w:p>
        </w:tc>
        <w:tc>
          <w:tcPr>
            <w:tcW w:w="28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(27,804)</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8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March 31, 2023</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107,169 </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3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2023, total contract assets were $57.0 million and total contract liabilities were $133.0 million. On March 31, 2023, total contract assets were $61.3 million and total contract liabilities were $168.5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pStyle w:val="TextBody"/>
        <w:spacing w:before="0" w:after="0"/>
        <w:rPr/>
      </w:pPr>
      <w:r>
        <w:rPr/>
      </w:r>
    </w:p>
    <w:p>
      <w:pPr>
        <w:pStyle w:val="TextBody"/>
        <w:spacing w:lineRule="auto" w:line="288" w:before="0" w:after="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allocated to the remaining performance obligations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transaction price allocated to remaining performance obligations related to contracts is approximately $1.7 billion for the next 12 months and approximately $1.8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over the warranty period, and hardware, which is recognized as units are delivered. The estimate of when remaining performance obligations will be recognized requires significant judgment.</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to obtain a contract and cost to fulfill a contract with a customer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15: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should be read in conjunction with the unaudited consolidated financial statements and notes included in this report and with the consolidated financial statements and the notes thereto for the fiscal year ended December 31, 2022 filed with the Securities and Exchange Commission (SEC) in our Annual Report on Form 10-K on February 27, 2023 (2022 Annual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Documents we provide to the SEC are available free of charge under the Investors section of our website at </w:t>
      </w:r>
      <w:r>
        <w:rPr>
          <w:rFonts w:ascii="Times New Roman;sans-serif" w:hAnsi="Times New Roman;sans-serif"/>
          <w:b w:val="false"/>
          <w:i/>
          <w:color w:val="000000"/>
          <w:sz w:val="20"/>
        </w:rPr>
        <w:t>www.itron.com</w:t>
      </w:r>
      <w:r>
        <w:rPr>
          <w:color w:val="000000"/>
        </w:rPr>
        <w:t xml:space="preserve"> </w:t>
      </w:r>
      <w:r>
        <w:rPr>
          <w:rFonts w:ascii="Times New Roman;sans-serif" w:hAnsi="Times New Roman;sans-serif"/>
          <w:b w:val="false"/>
          <w:color w:val="000000"/>
          <w:sz w:val="20"/>
        </w:rPr>
        <w:t>as soon as practicable after they are filed with or furnished to the SEC. In addition, these documents are available at the SEC's website (http://</w:t>
      </w:r>
      <w:r>
        <w:rPr>
          <w:rFonts w:ascii="Times New Roman;sans-serif" w:hAnsi="Times New Roman;sans-serif"/>
          <w:b w:val="false"/>
          <w:i/>
          <w:color w:val="000000"/>
          <w:sz w:val="20"/>
        </w:rPr>
        <w:t>www.sec.gov</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Certain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22222"/>
          <w:sz w:val="20"/>
        </w:rPr>
      </w:pPr>
      <w:r>
        <w:rPr>
          <w:rFonts w:ascii="Times New Roman;sans-serif" w:hAnsi="Times New Roman;sans-serif"/>
          <w:b w:val="false"/>
          <w:i/>
          <w:color w:val="222222"/>
          <w:sz w:val="20"/>
        </w:rPr>
        <w:t>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Quarterly Report on Form 10-Q.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2022 Annual Report and other reports on file with the SEC. We undertake no obligation to update or revise any forward-looking statement, whether written or oral.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under the Itron brand worldwide and manage and report under three operating segments: Device Solutions, Networked Solutions, and Outcomes. The product and operating definitions of the three segments are as follows: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Device Solutions</w:t>
      </w:r>
      <w:r>
        <w:rPr>
          <w:color w:val="000000"/>
        </w:rPr>
        <w:t xml:space="preserve"> – </w:t>
      </w:r>
      <w:r>
        <w:rPr>
          <w:rFonts w:ascii="Times New Roman;sans-serif" w:hAnsi="Times New Roman;sans-serif"/>
          <w:b w:val="false"/>
          <w:color w:val="000000"/>
          <w:sz w:val="20"/>
        </w:rPr>
        <w:t>This segment primarily includes hardware products used for measurement, control, or sensing that do not have communications 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Networked Solutions</w:t>
      </w:r>
      <w:r>
        <w:rPr>
          <w:color w:val="000000"/>
        </w:rPr>
        <w:t xml:space="preserve"> – </w:t>
      </w:r>
      <w:r>
        <w:rPr>
          <w:rFonts w:ascii="Times New Roman;sans-serif" w:hAnsi="Times New Roman;sans-serif"/>
          <w:b w:val="false"/>
          <w:color w:val="000000"/>
          <w:sz w:val="20"/>
        </w:rPr>
        <w:t>This segment primarily includes a combination of communicating devices (e.g., smart meters, modules, endpoints, and 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The Industrial Internet of Things (IIoT) solutions supported by this segment include automated meter reading (AMR), advanced metering infrastructure (AMI), distributed energy resource management (DERMs),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utility and smart city applications to be run and managed on a single, multi-purpose network.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Outcomes</w:t>
      </w:r>
      <w:r>
        <w:rPr>
          <w:color w:val="000000"/>
        </w:rPr>
        <w:t xml:space="preserve"> – </w:t>
      </w:r>
      <w:r>
        <w:rPr>
          <w:rFonts w:ascii="Times New Roman;sans-serif" w:hAnsi="Times New Roman;sans-serif"/>
          <w:b w:val="false"/>
          <w:color w:val="000000"/>
          <w:sz w:val="20"/>
        </w:rPr>
        <w:t>This segment primarily includes our value-added, enhanced software and services in which we manage, organize, analyze, and interpret raw, anonymized and aggregated data to improve decision making, maximize operational profitability, drive resource efficiency, improve grid analytics, and deliver results for consumers, utilities, and smart cities. Outcomes supports high-value use cases such as data management, grid operations, distributed intelligence, operations management, gas distribution and safety, water operations management, revenue assurance, DERMs, energy forecasting, consumer engagement, smart payment, and fleet energy resource management. Utilities leverage these outcomes to capitalize on the power of networks and devices, empower their workforce, maximize their operations, and enhance the customer experience. The revenues from these offerings are primarily recurring in nature and would include any direct management of Device Solutions, Networked Solutions, and other products on behalf of our end customers.</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pStyle w:val="TextBody"/>
        <w:spacing w:before="0" w:after="0"/>
        <w:jc w:val="both"/>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our discussions of the operating results below, we may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Times New Roman;sans-serif" w:hAnsi="Times New Roman;sans-serif"/>
          <w:b w:val="false"/>
          <w:color w:val="222222"/>
          <w:sz w:val="20"/>
        </w:rPr>
        <w:t>"</w:t>
      </w:r>
      <w:r>
        <w:rPr>
          <w:rFonts w:ascii="Times New Roman;sans-serif" w:hAnsi="Times New Roman;sans-serif"/>
          <w:b w:val="false"/>
          <w:color w:val="000000"/>
          <w:sz w:val="20"/>
        </w:rPr>
        <w:t>constant currency</w:t>
      </w:r>
      <w:r>
        <w:rPr>
          <w:rFonts w:ascii="Times New Roman;sans-serif" w:hAnsi="Times New Roman;sans-serif"/>
          <w:b w:val="false"/>
          <w:color w:val="222222"/>
          <w:sz w:val="20"/>
        </w:rPr>
        <w:t>",</w:t>
      </w:r>
      <w:r>
        <w:rPr>
          <w:color w:val="000000"/>
        </w:rPr>
        <w:t xml:space="preserve"> </w:t>
      </w:r>
      <w:r>
        <w:rPr>
          <w:rFonts w:ascii="Times New Roman;sans-serif" w:hAnsi="Times New Roman;sans-serif"/>
          <w:b w:val="false"/>
          <w:color w:val="000000"/>
          <w:sz w:val="20"/>
        </w:rPr>
        <w:t>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Refer to the </w:t>
      </w:r>
      <w:r>
        <w:rPr>
          <w:rFonts w:ascii="Times New Roman;sans-serif" w:hAnsi="Times New Roman;sans-serif"/>
          <w:b w:val="false"/>
          <w:i/>
          <w:color w:val="000000"/>
          <w:sz w:val="20"/>
        </w:rPr>
        <w:t>Non-GAAP Measures</w:t>
      </w:r>
      <w:r>
        <w:rPr>
          <w:color w:val="000000"/>
        </w:rPr>
        <w:t xml:space="preserve"> </w:t>
      </w:r>
      <w:r>
        <w:rPr>
          <w:rFonts w:ascii="Times New Roman;sans-serif" w:hAnsi="Times New Roman;sans-serif"/>
          <w:b w:val="false"/>
          <w:color w:val="000000"/>
          <w:sz w:val="20"/>
        </w:rPr>
        <w:t>section below on pages 38-41 for information about these non-GAAP measures and the detailed reconciliation of items that impacted non-GAAP operating expenses, non-GAAP operating income, non-GAAP net income, non-GAAP diluted EPS, adjusted EBITDA, and free cash flow in the periods presented.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Total Company Highlights</w:t>
      </w:r>
    </w:p>
    <w:p>
      <w:pPr>
        <w:pStyle w:val="TextBody"/>
        <w:spacing w:before="0" w:after="0"/>
        <w:jc w:val="both"/>
        <w:rPr/>
      </w:pPr>
      <w:r>
        <w:rPr/>
      </w:r>
    </w:p>
    <w:p>
      <w:pPr>
        <w:pStyle w:val="TextBody"/>
        <w:spacing w:lineRule="auto" w:line="288" w:before="0" w:after="60"/>
        <w:jc w:val="both"/>
        <w:rPr/>
      </w:pPr>
      <w:r>
        <w:rPr>
          <w:rFonts w:ascii="Times New Roman;sans-serif" w:hAnsi="Times New Roman;sans-serif"/>
          <w:b w:val="false"/>
          <w:i/>
          <w:color w:val="222222"/>
          <w:sz w:val="20"/>
        </w:rPr>
        <w:t xml:space="preserve">Highlights and significant developments for the </w:t>
      </w:r>
      <w:r>
        <w:rPr>
          <w:rFonts w:ascii="Times New Roman;sans-serif" w:hAnsi="Times New Roman;sans-serif"/>
          <w:b w:val="false"/>
          <w:i/>
          <w:color w:val="000000"/>
          <w:sz w:val="20"/>
        </w:rPr>
        <w:t>three</w:t>
      </w:r>
      <w:r>
        <w:rPr>
          <w:color w:val="222222"/>
        </w:rPr>
        <w:t xml:space="preserve"> </w:t>
      </w:r>
      <w:r>
        <w:rPr>
          <w:rFonts w:ascii="Times New Roman;sans-serif" w:hAnsi="Times New Roman;sans-serif"/>
          <w:b w:val="false"/>
          <w:i/>
          <w:color w:val="222222"/>
          <w:sz w:val="20"/>
        </w:rPr>
        <w:t xml:space="preserve">months ended </w:t>
      </w:r>
      <w:r>
        <w:rPr>
          <w:rFonts w:ascii="Times New Roman;sans-serif" w:hAnsi="Times New Roman;sans-serif"/>
          <w:b w:val="false"/>
          <w:i/>
          <w:color w:val="000000"/>
          <w:sz w:val="20"/>
        </w:rPr>
        <w:t>March 31, 2023 compared with the three months ended March 31, 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Revenues were $494.6 million compared with $475.3 million in 2022, an increase of $19.3 million, or 4%</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Gross margin was 31.6% compared with 28.4% in 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Operating expenses increased $38.4 million, or 30%, compared with 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000000"/>
          <w:sz w:val="20"/>
        </w:rPr>
        <w:t xml:space="preserve">Net loss attributable to Itron, Inc. was $11.8 million compared with net income of $0.9 million in </w:t>
      </w:r>
      <w:r>
        <w:rPr>
          <w:rFonts w:ascii="Times New Roman;sans-serif" w:hAnsi="Times New Roman;sans-serif"/>
          <w:b w:val="false"/>
          <w:color w:val="222222"/>
          <w:sz w:val="20"/>
        </w:rPr>
        <w:t>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GAAP loss per share was $0.26 compared with diluted income per share of $0.02 in 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 xml:space="preserve">Non-GAAP net income attributable to Itron, Inc. was </w:t>
      </w:r>
      <w:r>
        <w:rPr>
          <w:rFonts w:ascii="Times New Roman;sans-serif" w:hAnsi="Times New Roman;sans-serif"/>
          <w:b w:val="false"/>
          <w:color w:val="000000"/>
          <w:sz w:val="20"/>
        </w:rPr>
        <w:t>$22.4 million</w:t>
      </w:r>
      <w:r>
        <w:rPr>
          <w:color w:val="222222"/>
        </w:rPr>
        <w:t xml:space="preserve"> </w:t>
      </w:r>
      <w:r>
        <w:rPr>
          <w:rFonts w:ascii="Times New Roman;sans-serif" w:hAnsi="Times New Roman;sans-serif"/>
          <w:b w:val="false"/>
          <w:color w:val="222222"/>
          <w:sz w:val="20"/>
        </w:rPr>
        <w:t xml:space="preserve">compared with </w:t>
      </w:r>
      <w:r>
        <w:rPr>
          <w:rFonts w:ascii="Times New Roman;sans-serif" w:hAnsi="Times New Roman;sans-serif"/>
          <w:b w:val="false"/>
          <w:color w:val="000000"/>
          <w:sz w:val="20"/>
        </w:rPr>
        <w:t>$5.2 million</w:t>
      </w:r>
      <w:r>
        <w:rPr>
          <w:color w:val="222222"/>
        </w:rPr>
        <w:t xml:space="preserve"> </w:t>
      </w:r>
      <w:r>
        <w:rPr>
          <w:rFonts w:ascii="Times New Roman;sans-serif" w:hAnsi="Times New Roman;sans-serif"/>
          <w:b w:val="false"/>
          <w:color w:val="222222"/>
          <w:sz w:val="20"/>
        </w:rPr>
        <w:t>in 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Non-GAAP diluted EPS was $0.49 compared $0.11 with 2022</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000000"/>
          <w:sz w:val="20"/>
        </w:rPr>
        <w:t xml:space="preserve">Adjusted EBITDA was $39.5 million compared with $18.9 million in </w:t>
      </w:r>
      <w:r>
        <w:rPr>
          <w:rFonts w:ascii="Times New Roman;sans-serif" w:hAnsi="Times New Roman;sans-serif"/>
          <w:b w:val="false"/>
          <w:color w:val="222222"/>
          <w:sz w:val="20"/>
        </w:rPr>
        <w:t>2022</w:t>
      </w:r>
    </w:p>
    <w:p>
      <w:pPr>
        <w:pStyle w:val="TextBody"/>
        <w:spacing w:lineRule="auto" w:line="288" w:before="0" w:after="0"/>
        <w:ind w:left="0" w:right="0" w:hanging="180"/>
        <w:jc w:val="both"/>
        <w:rPr/>
      </w:pPr>
      <w:r>
        <w:rPr>
          <w:color w:val="222222"/>
        </w:rPr>
        <w:t>•</w:t>
      </w:r>
      <w:r>
        <w:rPr>
          <w:rFonts w:ascii="Times New Roman;sans-serif" w:hAnsi="Times New Roman;sans-serif"/>
          <w:b w:val="false"/>
          <w:color w:val="222222"/>
          <w:sz w:val="20"/>
        </w:rPr>
        <w:t xml:space="preserve">Total backlog was $4.6 billion and twelve-month backlog was $1.9 billion at </w:t>
      </w:r>
      <w:r>
        <w:rPr>
          <w:rFonts w:ascii="Times New Roman;sans-serif" w:hAnsi="Times New Roman;sans-serif"/>
          <w:b w:val="false"/>
          <w:color w:val="000000"/>
          <w:sz w:val="20"/>
        </w:rPr>
        <w:t xml:space="preserve">March 31, 2023, compared with </w:t>
      </w:r>
      <w:r>
        <w:rPr>
          <w:rFonts w:ascii="Times New Roman;sans-serif" w:hAnsi="Times New Roman;sans-serif"/>
          <w:b w:val="false"/>
          <w:color w:val="222222"/>
          <w:sz w:val="20"/>
        </w:rPr>
        <w:t>$3.9 billion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22222"/>
          <w:sz w:val="20"/>
        </w:rPr>
        <w:t>$1.6 billion</w:t>
      </w:r>
      <w:r>
        <w:rPr>
          <w:color w:val="000000"/>
        </w:rPr>
        <w:t xml:space="preserve"> </w:t>
      </w:r>
      <w:r>
        <w:rPr>
          <w:rFonts w:ascii="Times New Roman;sans-serif" w:hAnsi="Times New Roman;sans-serif"/>
          <w:b w:val="false"/>
          <w:color w:val="000000"/>
          <w:sz w:val="20"/>
        </w:rPr>
        <w:t>at March 31, 2022</w:t>
      </w:r>
    </w:p>
    <w:p>
      <w:pPr>
        <w:pStyle w:val="TextBody"/>
        <w:spacing w:before="0" w:after="0"/>
        <w:ind w:left="0" w:right="0" w:firstLine="180"/>
        <w:jc w:val="both"/>
        <w:rPr/>
      </w:pPr>
      <w:r>
        <w:rPr/>
      </w:r>
    </w:p>
    <w:p>
      <w:pPr>
        <w:pStyle w:val="TextBody"/>
        <w:spacing w:lineRule="auto" w:line="26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Restructuring Projects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the Board of Directors of Itron approved a restructuring plan (the 2023 Projects). The 2023 Projects include activities that continue the Company's efforts to optimize its global supply chain and manufacturing operations, sales and marketing organizations, and other overhead. These projects are to be substantially complete by early 2025. Itron estimates pre-tax restructuring charges of $44.2 million. Of the total estimated charge, approximately 95% will result in cash expenditures, and the remainder to non-cash impairment charges. The majority of the expense were recognized during the first quarter of 2023. Once the 2023 Projects are substantially completed, Itron estimates $14-17 million 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Supply Chain Challenges and the Conflict in Ukraine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pandemic has resulted in global economic impacts including disrupting customer demand and global supply chains, resulting in market volatility, which our management continues to monitor.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revenues originally forecasted in prior periods shifting to future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periods. For more information on risks associated with the pandemic and supply chain challenges, please see our risk in Part I, Item 1A, Risk Factors in our 2022 Annual Report.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While we have limited direct business exposure in Russia, Belarus and Ukraine, the Russian military actions and the resulting sanctions could adversely affect the global economy, as well as further disrupt the supply chain. A major disruption in the global economy and supply chain could have a material adverse effect on our business, prospects, financial condition, results of operations, and cash flows. The extent and duration of the military action, sanctions, and resulting market and/or supply disruptions are impossible to predict, but could be substantial, and our management continues to monitor these events closely</w:t>
      </w:r>
      <w:r>
        <w:rPr>
          <w:rFonts w:ascii="Times New Roman;sans-serif" w:hAnsi="Times New Roman;sans-serif"/>
          <w:b w:val="false"/>
          <w:color w:val="000000"/>
          <w:sz w:val="20"/>
          <w:highlight w:val="white"/>
        </w:rPr>
        <w:t>.</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Total Company GAAP and Non-GAAP Highlights and Endpoints Under Management:</w:t>
      </w:r>
    </w:p>
    <w:tbl>
      <w:tblPr>
        <w:tblW w:w="9478" w:type="dxa"/>
        <w:jc w:val="left"/>
        <w:tblInd w:w="0" w:type="dxa"/>
        <w:tblCellMar>
          <w:top w:w="28" w:type="dxa"/>
          <w:left w:w="28" w:type="dxa"/>
          <w:bottom w:w="28" w:type="dxa"/>
          <w:right w:w="28" w:type="dxa"/>
        </w:tblCellMar>
      </w:tblPr>
      <w:tblGrid>
        <w:gridCol w:w="1292"/>
        <w:gridCol w:w="1137"/>
        <w:gridCol w:w="1141"/>
        <w:gridCol w:w="109"/>
        <w:gridCol w:w="109"/>
        <w:gridCol w:w="170"/>
        <w:gridCol w:w="170"/>
        <w:gridCol w:w="331"/>
        <w:gridCol w:w="170"/>
        <w:gridCol w:w="170"/>
        <w:gridCol w:w="307"/>
        <w:gridCol w:w="1153"/>
        <w:gridCol w:w="401"/>
        <w:gridCol w:w="109"/>
        <w:gridCol w:w="109"/>
        <w:gridCol w:w="109"/>
        <w:gridCol w:w="196"/>
        <w:gridCol w:w="736"/>
        <w:gridCol w:w="256"/>
        <w:gridCol w:w="109"/>
        <w:gridCol w:w="109"/>
        <w:gridCol w:w="109"/>
        <w:gridCol w:w="285"/>
        <w:gridCol w:w="285"/>
        <w:gridCol w:w="406"/>
      </w:tblGrid>
      <w:tr>
        <w:trPr/>
        <w:tc>
          <w:tcPr>
            <w:tcW w:w="129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153"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2" w:type="dxa"/>
            <w:gridSpan w:val="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818" w:type="dxa"/>
            <w:gridSpan w:val="12"/>
            <w:tcBorders/>
            <w:shd w:fill="auto" w:val="clea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margin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GAAP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416,324 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399,810 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78,294 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75,521 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494,618 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3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156,368 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166,761 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(10,393)</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303" w:type="dxa"/>
            <w:gridSpan w:val="6"/>
            <w:tcBorders/>
            <w:shd w:fill="auto" w:val="clea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Itron,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(11,836)</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u w:val="single"/>
              </w:rPr>
              <w:t>Non-GAAP</w:t>
            </w:r>
            <w:r>
              <w:rPr>
                <w:rFonts w:ascii="Times New Roman;sans-serif" w:hAnsi="Times New Roman;sans-serif"/>
                <w:b/>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125,041 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31,327 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237%</w:t>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attributable to Itron,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22,382 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w:t>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39,468 </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18,894 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109%</w:t>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GAAP Margins and Earnings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4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4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(0.26)</w:t>
            </w:r>
          </w:p>
        </w:tc>
        <w:tc>
          <w:tcPr>
            <w:tcW w:w="4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u w:val="single"/>
              </w:rPr>
              <w:t>Non-GAAP Earnings Per Share</w:t>
            </w:r>
            <w:r>
              <w:rPr>
                <w:rFonts w:ascii="Times New Roman;sans-serif" w:hAnsi="Times New Roman;sans-serif"/>
                <w:b/>
                <w:color w:val="000000"/>
                <w:sz w:val="12"/>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EPS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4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These measures exclude certain expenses that we do not believe are indicative of our core operating results. See pages 38-41 for information about these non-GAAP measures and reconciliations to the most comparable GAAP measures.</w:t>
      </w:r>
    </w:p>
    <w:p>
      <w:pPr>
        <w:pStyle w:val="TextBody"/>
        <w:spacing w:before="0" w:after="0"/>
        <w:ind w:left="0" w:right="0" w:firstLine="225"/>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of an Endpoint Under Management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data from the endpoints via Network-as-a-Service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endpoints under management is as follows:</w:t>
      </w:r>
    </w:p>
    <w:tbl>
      <w:tblPr>
        <w:tblW w:w="4749" w:type="dxa"/>
        <w:jc w:val="left"/>
        <w:tblInd w:w="0" w:type="dxa"/>
        <w:tblCellMar>
          <w:top w:w="28" w:type="dxa"/>
          <w:left w:w="28" w:type="dxa"/>
          <w:bottom w:w="28" w:type="dxa"/>
          <w:right w:w="28" w:type="dxa"/>
        </w:tblCellMar>
      </w:tblPr>
      <w:tblGrid>
        <w:gridCol w:w="804"/>
        <w:gridCol w:w="706"/>
        <w:gridCol w:w="710"/>
        <w:gridCol w:w="323"/>
        <w:gridCol w:w="323"/>
        <w:gridCol w:w="156"/>
        <w:gridCol w:w="148"/>
        <w:gridCol w:w="148"/>
        <w:gridCol w:w="148"/>
        <w:gridCol w:w="323"/>
        <w:gridCol w:w="323"/>
        <w:gridCol w:w="156"/>
        <w:gridCol w:w="109"/>
        <w:gridCol w:w="109"/>
        <w:gridCol w:w="109"/>
        <w:gridCol w:w="154"/>
      </w:tblGrid>
      <w:tr>
        <w:trPr/>
        <w:tc>
          <w:tcPr>
            <w:tcW w:w="8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Units in thousands</w:t>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Endpoints under management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Revenues and Gross Margin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results of and effects of changes in foreign currency exchange rates on revenues and gross profit were as follows:</w:t>
      </w:r>
    </w:p>
    <w:tbl>
      <w:tblPr>
        <w:tblW w:w="10205" w:type="dxa"/>
        <w:jc w:val="left"/>
        <w:tblInd w:w="0" w:type="dxa"/>
        <w:tblCellMar>
          <w:top w:w="28" w:type="dxa"/>
          <w:left w:w="28" w:type="dxa"/>
          <w:bottom w:w="28" w:type="dxa"/>
          <w:right w:w="28" w:type="dxa"/>
        </w:tblCellMar>
      </w:tblPr>
      <w:tblGrid>
        <w:gridCol w:w="193"/>
        <w:gridCol w:w="170"/>
        <w:gridCol w:w="170"/>
        <w:gridCol w:w="292"/>
        <w:gridCol w:w="292"/>
        <w:gridCol w:w="300"/>
        <w:gridCol w:w="202"/>
        <w:gridCol w:w="762"/>
        <w:gridCol w:w="112"/>
        <w:gridCol w:w="112"/>
        <w:gridCol w:w="112"/>
        <w:gridCol w:w="112"/>
        <w:gridCol w:w="202"/>
        <w:gridCol w:w="762"/>
        <w:gridCol w:w="112"/>
        <w:gridCol w:w="109"/>
        <w:gridCol w:w="109"/>
        <w:gridCol w:w="109"/>
        <w:gridCol w:w="553"/>
        <w:gridCol w:w="1752"/>
        <w:gridCol w:w="307"/>
        <w:gridCol w:w="109"/>
        <w:gridCol w:w="109"/>
        <w:gridCol w:w="109"/>
        <w:gridCol w:w="329"/>
        <w:gridCol w:w="1087"/>
        <w:gridCol w:w="183"/>
        <w:gridCol w:w="109"/>
        <w:gridCol w:w="109"/>
        <w:gridCol w:w="109"/>
        <w:gridCol w:w="216"/>
        <w:gridCol w:w="712"/>
        <w:gridCol w:w="180"/>
      </w:tblGrid>
      <w:tr>
        <w:trPr/>
        <w:tc>
          <w:tcPr>
            <w:tcW w:w="19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73" w:type="dxa"/>
            <w:gridSpan w:val="15"/>
            <w:tcBorders/>
            <w:shd w:fill="auto" w:val="clea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2" w:type="dxa"/>
            <w:gridSpan w:val="3"/>
            <w:tcBorders/>
            <w:shd w:fill="auto" w:val="clear"/>
            <w:vAlign w:val="center"/>
          </w:tcPr>
          <w:p>
            <w:pPr>
              <w:pStyle w:val="TableContents"/>
              <w:spacing w:before="0" w:after="283"/>
              <w:rPr>
                <w:sz w:val="4"/>
                <w:szCs w:val="4"/>
              </w:rPr>
            </w:pPr>
            <w:r>
              <w:rPr>
                <w:sz w:val="4"/>
                <w:szCs w:val="4"/>
              </w:rPr>
            </w:r>
          </w:p>
        </w:tc>
        <w:tc>
          <w:tcPr>
            <w:tcW w:w="3361" w:type="dxa"/>
            <w:gridSpan w:val="12"/>
            <w:tcBorders/>
            <w:shd w:fill="auto" w:val="clea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vAlign w:val="center"/>
          </w:tcPr>
          <w:p>
            <w:pPr>
              <w:pStyle w:val="TableContents"/>
              <w:spacing w:before="0" w:after="283"/>
              <w:rPr>
                <w:sz w:val="4"/>
                <w:szCs w:val="4"/>
              </w:rPr>
            </w:pPr>
            <w:r>
              <w:rPr>
                <w:sz w:val="4"/>
                <w:szCs w:val="4"/>
              </w:rPr>
            </w:r>
          </w:p>
        </w:tc>
        <w:tc>
          <w:tcPr>
            <w:tcW w:w="884"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10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8" w:type="dxa"/>
            <w:gridSpan w:val="3"/>
            <w:tcBorders/>
            <w:shd w:fill="auto" w:val="clear"/>
            <w:vAlign w:val="center"/>
          </w:tcPr>
          <w:p>
            <w:pPr>
              <w:pStyle w:val="TableContents"/>
              <w:spacing w:before="0" w:after="283"/>
              <w:rPr>
                <w:sz w:val="4"/>
                <w:szCs w:val="4"/>
              </w:rPr>
            </w:pPr>
            <w:r>
              <w:rPr>
                <w:sz w:val="4"/>
                <w:szCs w:val="4"/>
              </w:rPr>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1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Company</w:t>
            </w:r>
          </w:p>
        </w:tc>
        <w:tc>
          <w:tcPr>
            <w:tcW w:w="10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494,618 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475,331 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(8,731)</w:t>
            </w:r>
          </w:p>
        </w:tc>
        <w:tc>
          <w:tcPr>
            <w:tcW w:w="3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28,018 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19,287 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w:t>
            </w:r>
          </w:p>
        </w:tc>
        <w:tc>
          <w:tcPr>
            <w:tcW w:w="3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21,144 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2023 vs. Three Months Ended March 31, 2022</w:t>
      </w:r>
    </w:p>
    <w:p>
      <w:pPr>
        <w:pStyle w:val="TextBody"/>
        <w:spacing w:lineRule="auto" w:line="288" w:before="0" w:after="0"/>
        <w:jc w:val="both"/>
        <w:rPr/>
      </w:pPr>
      <w:r>
        <w:rPr>
          <w:rFonts w:ascii="Times New Roman;sans-serif" w:hAnsi="Times New Roman;sans-serif"/>
          <w:b w:val="false"/>
          <w:color w:val="222222"/>
          <w:sz w:val="20"/>
        </w:rPr>
        <w:t xml:space="preserve">Total revenues increased $19.3 million, or 4%, compared with the same period in </w:t>
      </w:r>
      <w:r>
        <w:rPr>
          <w:rFonts w:ascii="Times New Roman;sans-serif" w:hAnsi="Times New Roman;sans-serif"/>
          <w:b w:val="false"/>
          <w:color w:val="000000"/>
          <w:sz w:val="20"/>
        </w:rPr>
        <w:t xml:space="preserve">2022. Product revenues increased by $16.5 million and service revenues increased by $2.8 million. </w:t>
      </w:r>
      <w:r>
        <w:rPr>
          <w:rFonts w:ascii="Times New Roman;sans-serif" w:hAnsi="Times New Roman;sans-serif"/>
          <w:b w:val="false"/>
          <w:color w:val="222222"/>
          <w:sz w:val="20"/>
        </w:rPr>
        <w:t xml:space="preserve">Device Solutions decreased by $21.3 million; Networked Solutions increased by </w:t>
      </w:r>
      <w:r>
        <w:rPr>
          <w:rFonts w:ascii="Times New Roman;sans-serif" w:hAnsi="Times New Roman;sans-serif"/>
          <w:b w:val="false"/>
          <w:color w:val="000000"/>
          <w:sz w:val="20"/>
        </w:rPr>
        <w:t>$34.6 million</w:t>
      </w:r>
      <w:r>
        <w:rPr>
          <w:rFonts w:ascii="Times New Roman;sans-serif" w:hAnsi="Times New Roman;sans-serif"/>
          <w:b w:val="false"/>
          <w:color w:val="222222"/>
          <w:sz w:val="20"/>
        </w:rPr>
        <w:t>; and Outcomes increased by $6.0 million when compared with the same period last year. C</w:t>
      </w:r>
      <w:r>
        <w:rPr>
          <w:rFonts w:ascii="Times New Roman;sans-serif" w:hAnsi="Times New Roman;sans-serif"/>
          <w:b w:val="false"/>
          <w:color w:val="000000"/>
          <w:sz w:val="20"/>
        </w:rPr>
        <w:t xml:space="preserve">hanges in exchange rates unfavorably impacted total revenues by </w:t>
      </w:r>
      <w:r>
        <w:rPr>
          <w:rFonts w:ascii="Times New Roman;sans-serif" w:hAnsi="Times New Roman;sans-serif"/>
          <w:b w:val="false"/>
          <w:color w:val="222222"/>
          <w:sz w:val="20"/>
        </w:rPr>
        <w:t>$8.7 million</w:t>
      </w:r>
      <w:r>
        <w:rPr>
          <w:rFonts w:ascii="Times New Roman;sans-serif" w:hAnsi="Times New Roman;sans-serif"/>
          <w:b w:val="false"/>
          <w:color w:val="000000"/>
          <w:sz w:val="20"/>
        </w:rPr>
        <w:t xml:space="preserve">, of which </w:t>
      </w:r>
      <w:r>
        <w:rPr>
          <w:rFonts w:ascii="Times New Roman;sans-serif" w:hAnsi="Times New Roman;sans-serif"/>
          <w:b w:val="false"/>
          <w:color w:val="222222"/>
          <w:sz w:val="20"/>
        </w:rPr>
        <w:t>$6.0 million</w:t>
      </w:r>
      <w:r>
        <w:rPr>
          <w:color w:val="000000"/>
        </w:rPr>
        <w:t xml:space="preserve"> </w:t>
      </w:r>
      <w:r>
        <w:rPr>
          <w:rFonts w:ascii="Times New Roman;sans-serif" w:hAnsi="Times New Roman;sans-serif"/>
          <w:b w:val="false"/>
          <w:color w:val="000000"/>
          <w:sz w:val="20"/>
        </w:rPr>
        <w:t>unfavorably impacted Device Solutions.</w:t>
      </w:r>
    </w:p>
    <w:p>
      <w:pPr>
        <w:pStyle w:val="TextBody"/>
        <w:spacing w:before="0" w:after="0"/>
        <w:ind w:left="0" w:right="0" w:firstLine="225"/>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2023 vs. Three Months Ended March 31, 2022</w:t>
      </w:r>
    </w:p>
    <w:p>
      <w:pPr>
        <w:pStyle w:val="TextBody"/>
        <w:spacing w:lineRule="auto" w:line="288" w:before="0" w:after="0"/>
        <w:jc w:val="both"/>
        <w:rPr/>
      </w:pPr>
      <w:r>
        <w:rPr>
          <w:rFonts w:ascii="Times New Roman;sans-serif" w:hAnsi="Times New Roman;sans-serif"/>
          <w:b w:val="false"/>
          <w:color w:val="222222"/>
          <w:sz w:val="20"/>
        </w:rPr>
        <w:t xml:space="preserve">Gross margin was 31.6%, compared with 28.4% in </w:t>
      </w:r>
      <w:r>
        <w:rPr>
          <w:rFonts w:ascii="Times New Roman;sans-serif" w:hAnsi="Times New Roman;sans-serif"/>
          <w:b w:val="false"/>
          <w:color w:val="000000"/>
          <w:sz w:val="20"/>
        </w:rPr>
        <w:t>2022</w:t>
      </w:r>
      <w:r>
        <w:rPr>
          <w:rFonts w:ascii="Times New Roman;sans-serif" w:hAnsi="Times New Roman;sans-serif"/>
          <w:b w:val="false"/>
          <w:color w:val="222222"/>
          <w:sz w:val="20"/>
        </w:rPr>
        <w:t xml:space="preserve">. Product sales gross margin increased to 28.6%, compared with 26.3% in </w:t>
      </w:r>
      <w:r>
        <w:rPr>
          <w:rFonts w:ascii="Times New Roman;sans-serif" w:hAnsi="Times New Roman;sans-serif"/>
          <w:b w:val="false"/>
          <w:color w:val="000000"/>
          <w:sz w:val="20"/>
        </w:rPr>
        <w:t>2022,</w:t>
      </w:r>
      <w:r>
        <w:rPr>
          <w:color w:val="222222"/>
        </w:rPr>
        <w:t xml:space="preserve"> </w:t>
      </w:r>
      <w:r>
        <w:rPr>
          <w:rFonts w:ascii="Times New Roman;sans-serif" w:hAnsi="Times New Roman;sans-serif"/>
          <w:b w:val="false"/>
          <w:color w:val="222222"/>
          <w:sz w:val="20"/>
        </w:rPr>
        <w:t xml:space="preserve">and gross margin on service revenues increased to 47.8%, compared with 40.0% in </w:t>
      </w:r>
      <w:r>
        <w:rPr>
          <w:rFonts w:ascii="Times New Roman;sans-serif" w:hAnsi="Times New Roman;sans-serif"/>
          <w:b w:val="false"/>
          <w:color w:val="000000"/>
          <w:sz w:val="20"/>
        </w:rPr>
        <w:t>2022</w:t>
      </w:r>
      <w:r>
        <w:rPr>
          <w:rFonts w:ascii="Times New Roman;sans-serif" w:hAnsi="Times New Roman;sans-serif"/>
          <w:b w:val="false"/>
          <w:color w:val="222222"/>
          <w:sz w:val="20"/>
        </w:rPr>
        <w:t>.</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27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Operating Segment Results section below for further detail on total company revenues and gross margin.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results of and effects of changes in foreign currency exchange rates on operating expenses were as follows:</w:t>
      </w:r>
    </w:p>
    <w:tbl>
      <w:tblPr>
        <w:tblW w:w="10205" w:type="dxa"/>
        <w:jc w:val="left"/>
        <w:tblInd w:w="0" w:type="dxa"/>
        <w:tblCellMar>
          <w:top w:w="28" w:type="dxa"/>
          <w:left w:w="28" w:type="dxa"/>
          <w:bottom w:w="28" w:type="dxa"/>
          <w:right w:w="28" w:type="dxa"/>
        </w:tblCellMar>
      </w:tblPr>
      <w:tblGrid>
        <w:gridCol w:w="184"/>
        <w:gridCol w:w="162"/>
        <w:gridCol w:w="162"/>
        <w:gridCol w:w="525"/>
        <w:gridCol w:w="525"/>
        <w:gridCol w:w="539"/>
        <w:gridCol w:w="200"/>
        <w:gridCol w:w="755"/>
        <w:gridCol w:w="111"/>
        <w:gridCol w:w="111"/>
        <w:gridCol w:w="111"/>
        <w:gridCol w:w="111"/>
        <w:gridCol w:w="200"/>
        <w:gridCol w:w="755"/>
        <w:gridCol w:w="111"/>
        <w:gridCol w:w="109"/>
        <w:gridCol w:w="109"/>
        <w:gridCol w:w="109"/>
        <w:gridCol w:w="567"/>
        <w:gridCol w:w="1264"/>
        <w:gridCol w:w="319"/>
        <w:gridCol w:w="109"/>
        <w:gridCol w:w="109"/>
        <w:gridCol w:w="109"/>
        <w:gridCol w:w="294"/>
        <w:gridCol w:w="973"/>
        <w:gridCol w:w="164"/>
        <w:gridCol w:w="109"/>
        <w:gridCol w:w="109"/>
        <w:gridCol w:w="109"/>
        <w:gridCol w:w="210"/>
        <w:gridCol w:w="694"/>
        <w:gridCol w:w="177"/>
      </w:tblGrid>
      <w:tr>
        <w:trPr/>
        <w:tc>
          <w:tcPr>
            <w:tcW w:w="18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1408" w:type="dxa"/>
            <w:gridSpan w:val="6"/>
            <w:tcBorders/>
            <w:shd w:fill="auto" w:val="clea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316" w:type="dxa"/>
            <w:gridSpan w:val="15"/>
            <w:tcBorders/>
            <w:shd w:fill="auto" w:val="clea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166" w:type="dxa"/>
            <w:gridSpan w:val="12"/>
            <w:tcBorders/>
            <w:shd w:fill="auto" w:val="clea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tcPr>
          <w:p>
            <w:pPr>
              <w:pStyle w:val="TableContents"/>
              <w:spacing w:before="0" w:after="283"/>
              <w:rPr>
                <w:sz w:val="4"/>
                <w:szCs w:val="4"/>
              </w:rPr>
            </w:pPr>
            <w:r>
              <w:rPr>
                <w:sz w:val="4"/>
                <w:szCs w:val="4"/>
              </w:rPr>
            </w:r>
          </w:p>
        </w:tc>
      </w:tr>
      <w:tr>
        <w:trPr/>
        <w:tc>
          <w:tcPr>
            <w:tcW w:w="5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5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9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09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Company</w:t>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general and administrative</w:t>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75,521 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76,401 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49,565 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49,596 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42,975 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2,517 </w:t>
            </w:r>
          </w:p>
        </w:tc>
        <w:tc>
          <w:tcPr>
            <w:tcW w:w="3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(4,720)</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r>
      <w:tr>
        <w:trPr/>
        <w:tc>
          <w:tcPr>
            <w:tcW w:w="5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$38.4 million for the first quarter of 2023 as compared with the same period in 2022. This was primarily the result of an increase of $43.0 million in restructuring, of which $38.0 million was related to the 2023 Projects. The increase was partially offset by a $2.2 million reduction in loss on sale of business related to the 2022 sale of certain Gas product lines from our Device Solutions manufacturing and business operations in Europe and North America to Dresser Utility Solutions (Dresser). For additional details, refer to Item 1: Financial Statements (Unaudited), Note 12: Restructuring included in this Quarterly Report on Form 10-Q.</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other income (expense):</w:t>
      </w:r>
    </w:p>
    <w:tbl>
      <w:tblPr>
        <w:tblW w:w="8054" w:type="dxa"/>
        <w:jc w:val="left"/>
        <w:tblInd w:w="0" w:type="dxa"/>
        <w:tblCellMar>
          <w:top w:w="28" w:type="dxa"/>
          <w:left w:w="28" w:type="dxa"/>
          <w:bottom w:w="28" w:type="dxa"/>
          <w:right w:w="28" w:type="dxa"/>
        </w:tblCellMar>
      </w:tblPr>
      <w:tblGrid>
        <w:gridCol w:w="902"/>
        <w:gridCol w:w="790"/>
        <w:gridCol w:w="797"/>
        <w:gridCol w:w="109"/>
        <w:gridCol w:w="109"/>
        <w:gridCol w:w="109"/>
        <w:gridCol w:w="109"/>
        <w:gridCol w:w="243"/>
        <w:gridCol w:w="466"/>
        <w:gridCol w:w="438"/>
        <w:gridCol w:w="1411"/>
        <w:gridCol w:w="243"/>
        <w:gridCol w:w="155"/>
        <w:gridCol w:w="155"/>
        <w:gridCol w:w="156"/>
        <w:gridCol w:w="196"/>
        <w:gridCol w:w="631"/>
        <w:gridCol w:w="109"/>
        <w:gridCol w:w="109"/>
        <w:gridCol w:w="109"/>
        <w:gridCol w:w="109"/>
        <w:gridCol w:w="175"/>
        <w:gridCol w:w="175"/>
        <w:gridCol w:w="249"/>
      </w:tblGrid>
      <w:tr>
        <w:trPr/>
        <w:tc>
          <w:tcPr>
            <w:tcW w:w="9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1"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926" w:type="dxa"/>
            <w:gridSpan w:val="6"/>
            <w:tcBorders/>
            <w:shd w:fill="auto" w:val="clea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20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auto" w:val="clear"/>
          </w:tcPr>
          <w:p>
            <w:pPr>
              <w:pStyle w:val="TableContents"/>
              <w:spacing w:before="0" w:after="283"/>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prepaid debt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55%</w:t>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4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for the three months ended March 31, 2023 was a net expense of $1.7 million, compared with net expense of $2.1 million in the same period in 2022. The lower total expense for the three months ended March 31, 2023, as compared with the same period in 2022, was primarily driven by the $1.6 million increase in interest income.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our income tax benefit was $0.1 million, compared with income tax expense of $3.9 million for the same period in 2022. Our tax rate for the three months ended March 31, 2023 of 1%, differed from the federal statutory rate of 21% due to the impact of valuation allowances on deferred tax assets, the forecasted mix of earnings in domestic and international jurisdictions, U.S. taxation of foreign earnings including GILTI (Global Intangible Low Taxed Income), net of Section 250 deduction, Subpart F income, an expense related to stock-based compensation, tax credits, and uncertain tax positions. Our tax rate for the three months ended March 31, 2022 of 81% differed from the federal statutory rate of 21% primarily due to losses in jurisdictions for which no benefit is recognized because of valuation allowances deferred tax assets, the forecasted mix of earnings in domestic and international jurisdictions, GILTI tax, net of Section 250 deduction (largely driven by research and development capitalization), discrete tax expense related to the Dresser divestiture, an expense related to stock-based compensation, and uncertain tax positions.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2022, the Tax Cuts and Jobs Act of 2017 eliminated the option to deduct research and development expenditures currently and requires taxpayers to capitalize and amortize them over five or fifteen years, dependent upon the geography in which the expenditures are incurred. Although Congress has considered legislation that would defer, modify, or repeal the capitalization and amortization requirement, as of quarter end no such deferral has been passed. The income tax provision has been prepared according to currently enacted tax legislation.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the Inflation Reduction Act was signed into law, which made a number of changes to the Internal Revenue Code, including adding a 1% excise tax on stock buybacks by publicly traded corporations and a 15% minimum tax on adjusted financial statement income of certain large companies. We are subject to the new 1% excise tax beginning January 1, 2023, but the amount will vary depending upon various factors. The 15% minimum tax only applies to corporations with average book income in excess of $1 billion, therefore it is not currently applicable.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Pillar 2 global minimum tax rules are intended to apply for tax years beginning in 2024. On February 1, 2023, the Financial Accounting Standards Board (FASB) staff noted that they believe that the Pillar 2 tax would be an alternative minimum tax and therefore deferred tax assets would not need to be recognized related to this parallel taxing system. On February 2, 2023, the OECD issued administrative guidance providing transition and safe harbor rules around the implementation of the Pillar 2 global minimum tax. The Company is closely monitoring developments and evaluating the impacts these new rules will have on our tax rate, including eligibility to qualify for these safe harbor rules.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discussion related to income taxes, see Item 1: Financial Statements (Unaudited), Note 10: Income Taxes included in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Segment Results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operating segments, refer to Item 1: Financial Statements (Unaudited), Note 15: Segment Information included in this Quarterly Report on Form 10-Q. The following tables and discussion highlight significant changes in trends or components of each operating segment:</w:t>
      </w:r>
    </w:p>
    <w:tbl>
      <w:tblPr>
        <w:tblW w:w="10205" w:type="dxa"/>
        <w:jc w:val="left"/>
        <w:tblInd w:w="0" w:type="dxa"/>
        <w:tblCellMar>
          <w:top w:w="28" w:type="dxa"/>
          <w:left w:w="28" w:type="dxa"/>
          <w:bottom w:w="28" w:type="dxa"/>
          <w:right w:w="28" w:type="dxa"/>
        </w:tblCellMar>
      </w:tblPr>
      <w:tblGrid>
        <w:gridCol w:w="1263"/>
        <w:gridCol w:w="1096"/>
        <w:gridCol w:w="1104"/>
        <w:gridCol w:w="109"/>
        <w:gridCol w:w="109"/>
        <w:gridCol w:w="121"/>
        <w:gridCol w:w="121"/>
        <w:gridCol w:w="155"/>
        <w:gridCol w:w="155"/>
        <w:gridCol w:w="174"/>
        <w:gridCol w:w="163"/>
        <w:gridCol w:w="294"/>
        <w:gridCol w:w="1109"/>
        <w:gridCol w:w="163"/>
        <w:gridCol w:w="109"/>
        <w:gridCol w:w="109"/>
        <w:gridCol w:w="109"/>
        <w:gridCol w:w="196"/>
        <w:gridCol w:w="736"/>
        <w:gridCol w:w="109"/>
        <w:gridCol w:w="109"/>
        <w:gridCol w:w="109"/>
        <w:gridCol w:w="109"/>
        <w:gridCol w:w="214"/>
        <w:gridCol w:w="806"/>
        <w:gridCol w:w="119"/>
        <w:gridCol w:w="109"/>
        <w:gridCol w:w="109"/>
        <w:gridCol w:w="109"/>
        <w:gridCol w:w="263"/>
        <w:gridCol w:w="263"/>
        <w:gridCol w:w="382"/>
      </w:tblGrid>
      <w:tr>
        <w:trPr/>
        <w:tc>
          <w:tcPr>
            <w:tcW w:w="1263"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118,254 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494,618 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5"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069" w:type="dxa"/>
            <w:gridSpan w:val="18"/>
            <w:tcBorders/>
            <w:shd w:fill="auto" w:val="clea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6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2701" w:type="dxa"/>
            <w:gridSpan w:val="12"/>
            <w:tcBorders/>
            <w:shd w:fill="auto" w:val="clear"/>
          </w:tcPr>
          <w:p>
            <w:pPr>
              <w:pStyle w:val="TableContents"/>
              <w:spacing w:before="0" w:after="283"/>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Profit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Margin</w:t>
            </w:r>
          </w:p>
        </w:tc>
      </w:tr>
      <w:tr>
        <w:trPr/>
        <w:tc>
          <w:tcPr>
            <w:tcW w:w="3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gross profit and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23,713 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15.6%</w:t>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105,776 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91,351 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32.8%</w:t>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38.8%</w:t>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 and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135,224 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28.4%</w:t>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90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6"/>
            <w:tcBorders/>
            <w:shd w:fill="auto" w:val="clea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30,820 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5" w:type="dxa"/>
            <w:gridSpan w:val="9"/>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069" w:type="dxa"/>
            <w:gridSpan w:val="18"/>
            <w:tcBorders/>
            <w:shd w:fill="auto" w:val="clea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63"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2701" w:type="dxa"/>
            <w:gridSpan w:val="12"/>
            <w:tcBorders/>
            <w:shd w:fill="auto" w:val="clear"/>
          </w:tcPr>
          <w:p>
            <w:pPr>
              <w:pStyle w:val="TableContents"/>
              <w:spacing w:before="0" w:after="283"/>
              <w:rPr>
                <w:sz w:val="4"/>
                <w:szCs w:val="4"/>
              </w:rPr>
            </w:pPr>
            <w:r>
              <w:rPr>
                <w:sz w:val="4"/>
                <w:szCs w:val="4"/>
              </w:rPr>
            </w:r>
          </w:p>
        </w:tc>
      </w:tr>
      <w:tr>
        <w:trPr/>
        <w:tc>
          <w:tcPr>
            <w:tcW w:w="34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Margin</w:t>
            </w:r>
          </w:p>
        </w:tc>
      </w:tr>
      <w:tr>
        <w:trPr/>
        <w:tc>
          <w:tcPr>
            <w:tcW w:w="34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operating income (loss) and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5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8.3%</w:t>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74,956 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21.9%</w:t>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14.6%</w:t>
            </w:r>
          </w:p>
        </w:tc>
      </w:tr>
      <w:tr>
        <w:trPr/>
        <w:tc>
          <w:tcPr>
            <w:tcW w:w="34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(112,338)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(74,107)</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34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income (loss) and operating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(10,393)</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Device Solutions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Device Solutions segment financial results were as follows:</w:t>
      </w:r>
    </w:p>
    <w:tbl>
      <w:tblPr>
        <w:tblW w:w="10205" w:type="dxa"/>
        <w:jc w:val="left"/>
        <w:tblInd w:w="0" w:type="dxa"/>
        <w:tblCellMar>
          <w:top w:w="28" w:type="dxa"/>
          <w:left w:w="28" w:type="dxa"/>
          <w:bottom w:w="28" w:type="dxa"/>
          <w:right w:w="28" w:type="dxa"/>
        </w:tblCellMar>
      </w:tblPr>
      <w:tblGrid>
        <w:gridCol w:w="249"/>
        <w:gridCol w:w="219"/>
        <w:gridCol w:w="219"/>
        <w:gridCol w:w="399"/>
        <w:gridCol w:w="399"/>
        <w:gridCol w:w="304"/>
        <w:gridCol w:w="201"/>
        <w:gridCol w:w="758"/>
        <w:gridCol w:w="111"/>
        <w:gridCol w:w="111"/>
        <w:gridCol w:w="111"/>
        <w:gridCol w:w="111"/>
        <w:gridCol w:w="201"/>
        <w:gridCol w:w="758"/>
        <w:gridCol w:w="111"/>
        <w:gridCol w:w="109"/>
        <w:gridCol w:w="109"/>
        <w:gridCol w:w="109"/>
        <w:gridCol w:w="499"/>
        <w:gridCol w:w="1574"/>
        <w:gridCol w:w="277"/>
        <w:gridCol w:w="109"/>
        <w:gridCol w:w="109"/>
        <w:gridCol w:w="109"/>
        <w:gridCol w:w="295"/>
        <w:gridCol w:w="1051"/>
        <w:gridCol w:w="164"/>
        <w:gridCol w:w="109"/>
        <w:gridCol w:w="109"/>
        <w:gridCol w:w="109"/>
        <w:gridCol w:w="205"/>
        <w:gridCol w:w="723"/>
        <w:gridCol w:w="174"/>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1429" w:type="dxa"/>
            <w:gridSpan w:val="6"/>
            <w:tcBorders/>
            <w:shd w:fill="auto" w:val="clea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16" w:type="dxa"/>
            <w:gridSpan w:val="15"/>
            <w:tcBorders/>
            <w:shd w:fill="auto" w:val="clea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66" w:type="dxa"/>
            <w:gridSpan w:val="12"/>
            <w:tcBorders/>
            <w:shd w:fill="auto" w:val="clea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8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6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8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Device Solutions Segment</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118,254 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(6,014)</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(15,297)</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(21,311)</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23,713 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decreased $21.3 million, or 15%. Changes in foreign currency exchange rates unfavorably impacted revenues by $6.0 million. Revenues decreased compared with the prior year due to the sale of certain Gas product lines from our manufacturing and business operations in Europe and North America to Dresser during the first quarter of 2022 and the discontinuation of some legacy products.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2023 vs. Three months ended March 31, 2022</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gross margin was 20.1%, compared with 15.6% for the same period in 2022. The 450 basis point increase over the prior year was primarily due to an improved product mix.</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$0.6 million, or 6%, for the first three months of 2023, compared with the same period in 2022. The decrease was primarily due to the sale of certain Gas product lines from our manufacturing and business operations in Europe and North America to Dresser during the first quarter of 2022.</w:t>
      </w:r>
    </w:p>
    <w:p>
      <w:pPr>
        <w:pStyle w:val="TextBody"/>
        <w:spacing w:before="0" w:after="0"/>
        <w:ind w:left="0" w:right="0" w:firstLine="22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Networked Solutions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Networked Solutions segment financial results were as follows:</w:t>
      </w:r>
    </w:p>
    <w:tbl>
      <w:tblPr>
        <w:tblW w:w="10205" w:type="dxa"/>
        <w:jc w:val="left"/>
        <w:tblInd w:w="0" w:type="dxa"/>
        <w:tblCellMar>
          <w:top w:w="28" w:type="dxa"/>
          <w:left w:w="28" w:type="dxa"/>
          <w:bottom w:w="28" w:type="dxa"/>
          <w:right w:w="28" w:type="dxa"/>
        </w:tblCellMar>
      </w:tblPr>
      <w:tblGrid>
        <w:gridCol w:w="290"/>
        <w:gridCol w:w="252"/>
        <w:gridCol w:w="238"/>
        <w:gridCol w:w="427"/>
        <w:gridCol w:w="374"/>
        <w:gridCol w:w="292"/>
        <w:gridCol w:w="201"/>
        <w:gridCol w:w="757"/>
        <w:gridCol w:w="111"/>
        <w:gridCol w:w="111"/>
        <w:gridCol w:w="111"/>
        <w:gridCol w:w="111"/>
        <w:gridCol w:w="201"/>
        <w:gridCol w:w="757"/>
        <w:gridCol w:w="111"/>
        <w:gridCol w:w="109"/>
        <w:gridCol w:w="109"/>
        <w:gridCol w:w="109"/>
        <w:gridCol w:w="490"/>
        <w:gridCol w:w="1542"/>
        <w:gridCol w:w="272"/>
        <w:gridCol w:w="109"/>
        <w:gridCol w:w="109"/>
        <w:gridCol w:w="109"/>
        <w:gridCol w:w="305"/>
        <w:gridCol w:w="1009"/>
        <w:gridCol w:w="170"/>
        <w:gridCol w:w="109"/>
        <w:gridCol w:w="109"/>
        <w:gridCol w:w="109"/>
        <w:gridCol w:w="212"/>
        <w:gridCol w:w="700"/>
        <w:gridCol w:w="180"/>
      </w:tblGrid>
      <w:tr>
        <w:trPr/>
        <w:tc>
          <w:tcPr>
            <w:tcW w:w="29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54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34" w:type="dxa"/>
            <w:gridSpan w:val="15"/>
            <w:tcBorders/>
            <w:shd w:fill="auto" w:val="clea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30" w:type="dxa"/>
            <w:gridSpan w:val="12"/>
            <w:tcBorders/>
            <w:shd w:fill="auto" w:val="clea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vAlign w:val="center"/>
          </w:tcPr>
          <w:p>
            <w:pPr>
              <w:pStyle w:val="TableContents"/>
              <w:spacing w:before="0" w:after="283"/>
              <w:rPr>
                <w:sz w:val="4"/>
                <w:szCs w:val="4"/>
              </w:rPr>
            </w:pPr>
            <w:r>
              <w:rPr>
                <w:sz w:val="4"/>
                <w:szCs w:val="4"/>
              </w:rPr>
            </w:r>
          </w:p>
        </w:tc>
        <w:tc>
          <w:tcPr>
            <w:tcW w:w="109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r>
      <w:tr>
        <w:trPr/>
        <w:tc>
          <w:tcPr>
            <w:tcW w:w="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7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73"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Networked Solutions Segment</w:t>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313,468 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278,820 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36,268 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34,648 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105,776 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91,351 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15,189 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30,820 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30,344 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$34.6 million, or 12%, for the first three months of 2023 compared with the same period in 2022. The increase was primarily from product revenues due to the ramp of new deployments and some improving component supply enabling our ability to fulfill more customer demand.</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was 33.7% for the 2023 period, compared with 32.8% in 2022. The 90 basis point increase was primarily related to favorable product and solutions mix and improved operational efficiencies, partially offset by inflationary pressures.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$0.5 million, or 2%, for the first three months of 2023, compared with the same period in 2022. The increase was primarily related to higher sales and marketing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Outcomes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Outcomes segment financial results were as follows:</w:t>
      </w:r>
    </w:p>
    <w:tbl>
      <w:tblPr>
        <w:tblW w:w="10205" w:type="dxa"/>
        <w:jc w:val="left"/>
        <w:tblInd w:w="0" w:type="dxa"/>
        <w:tblCellMar>
          <w:top w:w="28" w:type="dxa"/>
          <w:left w:w="28" w:type="dxa"/>
          <w:bottom w:w="28" w:type="dxa"/>
          <w:right w:w="28" w:type="dxa"/>
        </w:tblCellMar>
      </w:tblPr>
      <w:tblGrid>
        <w:gridCol w:w="216"/>
        <w:gridCol w:w="190"/>
        <w:gridCol w:w="190"/>
        <w:gridCol w:w="381"/>
        <w:gridCol w:w="373"/>
        <w:gridCol w:w="383"/>
        <w:gridCol w:w="210"/>
        <w:gridCol w:w="694"/>
        <w:gridCol w:w="117"/>
        <w:gridCol w:w="117"/>
        <w:gridCol w:w="117"/>
        <w:gridCol w:w="117"/>
        <w:gridCol w:w="210"/>
        <w:gridCol w:w="694"/>
        <w:gridCol w:w="117"/>
        <w:gridCol w:w="109"/>
        <w:gridCol w:w="109"/>
        <w:gridCol w:w="109"/>
        <w:gridCol w:w="535"/>
        <w:gridCol w:w="1693"/>
        <w:gridCol w:w="297"/>
        <w:gridCol w:w="109"/>
        <w:gridCol w:w="109"/>
        <w:gridCol w:w="109"/>
        <w:gridCol w:w="346"/>
        <w:gridCol w:w="982"/>
        <w:gridCol w:w="192"/>
        <w:gridCol w:w="109"/>
        <w:gridCol w:w="109"/>
        <w:gridCol w:w="109"/>
        <w:gridCol w:w="225"/>
        <w:gridCol w:w="641"/>
        <w:gridCol w:w="187"/>
      </w:tblGrid>
      <w:tr>
        <w:trPr/>
        <w:tc>
          <w:tcPr>
            <w:tcW w:w="21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69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c>
          <w:tcPr>
            <w:tcW w:w="1380" w:type="dxa"/>
            <w:gridSpan w:val="6"/>
            <w:tcBorders/>
            <w:shd w:fill="auto" w:val="clea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2" w:type="dxa"/>
            <w:gridSpan w:val="15"/>
            <w:tcBorders/>
            <w:shd w:fill="auto" w:val="clea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27" w:type="dxa"/>
            <w:gridSpan w:val="12"/>
            <w:tcBorders/>
            <w:shd w:fill="auto" w:val="clea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596"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r>
      <w:tr>
        <w:trPr/>
        <w:tc>
          <w:tcPr>
            <w:tcW w:w="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5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3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33"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Outcomes Segment</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62,896 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56,946 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9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5,950 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$6.0 million, or 10%, for the first three months of 2023, compared with 2022. This increase was driven by software license sales and managed services.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increased to 42.7% for the period ending in 2023, compared with 38.8% for last year. The 390 basis point increase was driven by software license sales, favorable managed services mix, and other cost efficiencies.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first three months of 2023 increased $0.2 million, or 2%, compared with the same period last year. This was primarily related to increased sales and marketing and research and development expenses.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Corporate Unallocated</w:t>
      </w:r>
    </w:p>
    <w:p>
      <w:pPr>
        <w:pStyle w:val="TextBody"/>
        <w:spacing w:before="0" w:after="0"/>
        <w:ind w:left="0" w:right="0" w:firstLine="225"/>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Unallocated Expenses - Three months ended March 31, 2023 vs. Three months ended March 31, 2022</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first three months of 2023, Corporate unallocated expenses increased $38.2 million, or 52%, compared with the 2022 period. This was primarily the result of an increase of $43.0 million in restructuring, of which $38.0 million was related to the 2023 Projects. The increase was partially offset by a $2.2 million reduction in loss on sale of business related to the 2022 sale of certain Gas product lines from our Device Solutions manufacturing and business operations in Europe and North America to Dresser. For additional details, refer to Item 1: Financial Statements (Unaudited), Note 12: Restructuring included in this Quarterly Report on Form 10-Q.</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Bookings and Backlog of Orders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reflects our understanding of customer's desired deployment over the next 12 months. The actual revenue recognized and timing of revenue earned from backlog may vary based on actual currency rates at the time of shipment, supply constraints, and adjusted customer project timing.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due to the long-term nature of the contracts. Certain of our customers have the right to cancel contracts, but we do not have a history of any significant cancellations. Beginning total backlog, plus bookings, minus revenues, will not equal ending total backlog due to miscellaneous contract adjustments, foreign currency fluctuations, and other factors. Total bookings and backlog include certain contracts with a termination for convenience clause, which will not agree to the total transaction price allocated to the remaining performance obligations disclosed in Item 1: Financial Statements (Unaudited), Note 16: Revenues included in this Quarterly Report on Form 10-Q.</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tbl>
      <w:tblPr>
        <w:tblW w:w="4830" w:type="dxa"/>
        <w:jc w:val="left"/>
        <w:tblInd w:w="0" w:type="dxa"/>
        <w:tblCellMar>
          <w:top w:w="28" w:type="dxa"/>
          <w:left w:w="28" w:type="dxa"/>
          <w:bottom w:w="28" w:type="dxa"/>
          <w:right w:w="28" w:type="dxa"/>
        </w:tblCellMar>
      </w:tblPr>
      <w:tblGrid>
        <w:gridCol w:w="559"/>
        <w:gridCol w:w="491"/>
        <w:gridCol w:w="494"/>
        <w:gridCol w:w="231"/>
        <w:gridCol w:w="496"/>
        <w:gridCol w:w="129"/>
        <w:gridCol w:w="109"/>
        <w:gridCol w:w="109"/>
        <w:gridCol w:w="109"/>
        <w:gridCol w:w="196"/>
        <w:gridCol w:w="556"/>
        <w:gridCol w:w="109"/>
        <w:gridCol w:w="109"/>
        <w:gridCol w:w="109"/>
        <w:gridCol w:w="109"/>
        <w:gridCol w:w="198"/>
        <w:gridCol w:w="562"/>
        <w:gridCol w:w="155"/>
      </w:tblGrid>
      <w:tr>
        <w:trPr/>
        <w:tc>
          <w:tcPr>
            <w:tcW w:w="55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 Ended</w:t>
            </w:r>
          </w:p>
        </w:tc>
        <w:tc>
          <w:tcPr>
            <w:tcW w:w="8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Quarterly</w:t>
              <w:br/>
              <w:t>Bookings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w:t>
              <w:br/>
              <w:t>Total</w:t>
              <w:br/>
              <w:t xml:space="preserve">Backlog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Ending</w:t>
              <w:br/>
              <w:t>12-Month</w:t>
              <w:br/>
              <w:t xml:space="preserve">Backlog </w:t>
            </w:r>
          </w:p>
        </w:tc>
      </w:tr>
      <w:tr>
        <w:trPr/>
        <w:tc>
          <w:tcPr>
            <w:tcW w:w="15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3286" w:type="dxa"/>
            <w:gridSpan w:val="15"/>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2022</w:t>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30, 2022</w:t>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30, 2022</w:t>
            </w:r>
          </w:p>
        </w:tc>
        <w:tc>
          <w:tcPr>
            <w:tcW w:w="7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2022</w:t>
            </w:r>
          </w:p>
        </w:tc>
        <w:tc>
          <w:tcPr>
            <w:tcW w:w="7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Flow Information</w:t>
      </w:r>
    </w:p>
    <w:tbl>
      <w:tblPr>
        <w:tblW w:w="7615" w:type="dxa"/>
        <w:jc w:val="left"/>
        <w:tblInd w:w="0" w:type="dxa"/>
        <w:tblCellMar>
          <w:top w:w="28" w:type="dxa"/>
          <w:left w:w="28" w:type="dxa"/>
          <w:bottom w:w="28" w:type="dxa"/>
          <w:right w:w="28" w:type="dxa"/>
        </w:tblCellMar>
      </w:tblPr>
      <w:tblGrid>
        <w:gridCol w:w="1810"/>
        <w:gridCol w:w="1585"/>
        <w:gridCol w:w="1600"/>
        <w:gridCol w:w="227"/>
        <w:gridCol w:w="733"/>
        <w:gridCol w:w="126"/>
        <w:gridCol w:w="126"/>
        <w:gridCol w:w="126"/>
        <w:gridCol w:w="126"/>
        <w:gridCol w:w="227"/>
        <w:gridCol w:w="750"/>
        <w:gridCol w:w="179"/>
      </w:tblGrid>
      <w:tr>
        <w:trPr/>
        <w:tc>
          <w:tcPr>
            <w:tcW w:w="1810"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9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(7,658)</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50,949 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(17,105)</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and cash equivalents</w:t>
            </w:r>
          </w:p>
        </w:tc>
        <w:tc>
          <w:tcPr>
            <w:tcW w:w="9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41,418 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were $196.0 million at March 31, 2023, compared with $202.0 million at December 31, 2022. The $6.0 million decrease in cash and cash equivalents in the 2023 period was primarily the result of cash used for working capital, variable compensation payouts and acquisition of property, plant, and equipment.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during the three months in 2023 was $1.4 million compared with $7.6 million during the same period in 2022. The decrease was primarily due to increases in working capital, partially offset by lower variable compensation payouts in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during the three months in 2023 was $58.6 million lower than in 2022. This decrease of cash was primarily the result of proceeds from the sale of certain Gas product lines from our Device Solutions manufacturing and business operations in Europe and North America to Dresser of $55.9 million in 2022, and an increase in cash used to purchased property, plant, and equipment of $1.5 million in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in 2023 was $0.1 million, compared with net cash used of $17.1 million for the same period in 2022. Cash increased in the current period due to the repurchase of common stock in 2022 of $17.0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rates on 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exchange rates on the cash balances of currencies held in foreign denominations at March 31, 2023 was an increase of $0.3 million, compared with a decrease of $17,000 for the same period in 2022. Our foreign currency exposure relates to non-U.S. dollar denominated balances in our international subsidiary operations.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Free cash flow (Non-GAAP)</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(loss) as an indicator of our performance, or as an alternative to cash flows from operating activities as a measure of liquidity. We calculate free cash flows, using amounts from our Consolidated Statements of Cash Flows, as follows:</w:t>
      </w:r>
    </w:p>
    <w:tbl>
      <w:tblPr>
        <w:tblW w:w="6039" w:type="dxa"/>
        <w:jc w:val="left"/>
        <w:tblInd w:w="0" w:type="dxa"/>
        <w:tblCellMar>
          <w:top w:w="28" w:type="dxa"/>
          <w:left w:w="28" w:type="dxa"/>
          <w:bottom w:w="28" w:type="dxa"/>
          <w:right w:w="28" w:type="dxa"/>
        </w:tblCellMar>
      </w:tblPr>
      <w:tblGrid>
        <w:gridCol w:w="1239"/>
        <w:gridCol w:w="1085"/>
        <w:gridCol w:w="1095"/>
        <w:gridCol w:w="237"/>
        <w:gridCol w:w="763"/>
        <w:gridCol w:w="131"/>
        <w:gridCol w:w="131"/>
        <w:gridCol w:w="131"/>
        <w:gridCol w:w="131"/>
        <w:gridCol w:w="237"/>
        <w:gridCol w:w="673"/>
        <w:gridCol w:w="186"/>
      </w:tblGrid>
      <w:tr>
        <w:trPr/>
        <w:tc>
          <w:tcPr>
            <w:tcW w:w="123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9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fluctuated primarily as a result of changes in cash provided by operating activities. See the cash flow discussion of operating activities above.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off-balance sheet financing agreements or guarantees as defined by Item 303 of Regulation S-K at March 31, 2023 and December 31, 2022 that we believe could reasonably likely have a current or future effect on our financial condition, results of operations, or cash flows.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material capital expenditures and debt obligations, for at least the next 12 months and into the foreseeable future.</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Borrowings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initially entered into our credit facility on January 5, 2018 (together with the subsequent six amendments, the "2018 credit facility"). The 2018 credit facility provides a multicurrency revolving line of credit (the revolver) with a principal amount of up to $500 million. The revolver also contains a $300 million standby letter of credit sub-facility and a $50 million swingline sub-facility. At March 31, 2023, no amount was outstanding under the 2018 credit facility, and $62.1 million was utilized by outstanding standby letters of credit, resulting in $437.9 million available for borrowing or standby letters of credit under the revolver. At March 31, 2023, $237.9 million was available for additional standby letters of 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description of our borrowings, refer to Item 1: Financial Statements (Unaudited), Note 6: Debt included in this Quarterly Report on Form 10-Q.</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letters of credit and performance bonds, and the amounts available for additional borrowings or letters of credit under our lines of credit, including the revolver that is part of our credit facility, refer to Item 1: Financial Statements (Unaudited), Note 11: Commitments and Contingencies included in this Quarterly Report on Form 10-Q.</w:t>
      </w:r>
    </w:p>
    <w:p>
      <w:pPr>
        <w:pStyle w:val="TextBody"/>
        <w:spacing w:before="0" w:after="0"/>
        <w:ind w:left="0" w:right="0" w:firstLine="27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17, 2020, our Board of Directors approved a restructuring plan (the 2020 Projects). The 2020 Projects include activities that continue our efforts to optimize global supply chain and manufacturing operations, sales and marketing organizations, and other overhead. These projects are scheduled to be substantially complete by the end of 2023, with an estimated $6 million in cash payments remaining as of March 31, 2023 with cash outflows expected through 2025.</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2021, our Board of Directors approved a restructuring plan (the 2021 Projects), which in conjunction with the announcement of the sale of certain Gas product lines from our Device Solutions manufacturing and business operations in Europe and North America to Dresser, includes activities to drive reductions in certain locations and functional support areas. These projects are expected to be substantially complete by the end of 2024, with an estimated $32 million in cash payments remaining as of March 31, 2023 with cash outflows expected through 2025.</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2023, our Board of Directors approved a restructuring plan (the 2023 Projects). The 2023 Projects include activities that continue Itron's efforts to optimize its global supply chain and manufacturing operations, sales and marketing organizations, and other overhead. These projects are to be substantially complete by early 2025, with an estimated $43 million in cash payments remaining as of March 31, 2023 with cash outflows expected through 2027.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we paid out a net $3.1 million related to all our restructuring projects. As of March 31, 2023, $75.7 million was accrued for these restructuring projects, of which $14.3 million is expected to be paid within the next 12 months.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regarding our restructuring activities, refer to Item 1: Financial Statements (Unaudited), Note 12: Restructuring included in this Quarterly Report on Form 10-Q.</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Liquidity Considerations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tax credits and net operating loss carryforwards in various jurisdictions that are available to reduce cash taxes. However, utilization of tax credits and net operating losses are limited in certain jurisdictions. Based on current projections, we expect to pay, net of refunds, approximately $18 million in U.S federal taxes, $12 million in state taxes, and $15 million in local and foreign taxes during 2023. For a discussion of our tax provision and unrecognized tax benefits, see Item 1: Financial Statements (Unaudited), Note 10: Income Taxes included in this Quarterly Report on Form 10-Q.</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$56.4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the many factors that we consider in the management of global cash. Accordingly, the amount of taxes that we would need to accrue and pay to repatriate foreign cash could vary significantly.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one of our consolidated international subsidiaries we have a joint venture partner, who is a minority shareholder. Although this entity is not wholly-owned by Itron, Inc., we consolidate the subsidiary because we have a greater than 50% ownership interest and/or because we exercise control over the operations. The noncontrolling interest balance in our Consolidated Balance Sheets represents the proportional share of the equity of the joint venture entity, which is attributable to the minority shareholders. At March 31, 2023, $9.1 million of our consolidated cash balance was held in our joint venture entity. As a result, the minority shareholders of this entity has rights to their proportional share of this cash balance, and there may be limitations on our ability to repatriate cash to the United States from this entity.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Liquidity Overview</w:t>
      </w:r>
    </w:p>
    <w:p>
      <w:pPr>
        <w:pStyle w:val="TextBody"/>
        <w:spacing w:lineRule="auto" w:line="288" w:before="0" w:after="0"/>
        <w:jc w:val="both"/>
        <w:rPr/>
      </w:pPr>
      <w:r>
        <w:rPr>
          <w:rFonts w:ascii="Times New Roman;sans-serif" w:hAnsi="Times New Roman;sans-serif"/>
          <w:b w:val="false"/>
          <w:color w:val="000000"/>
          <w:sz w:val="20"/>
        </w:rPr>
        <w:t xml:space="preserve">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w:t>
      </w:r>
      <w:r>
        <w:rPr>
          <w:rFonts w:ascii="Times New Roman;sans-serif" w:hAnsi="Times New Roman;sans-serif"/>
          <w:b w:val="false"/>
          <w:color w:val="222222"/>
          <w:sz w:val="20"/>
        </w:rPr>
        <w:t xml:space="preserve">our dependence on certain key vendors and components, </w:t>
      </w:r>
      <w:r>
        <w:rPr>
          <w:rFonts w:ascii="Times New Roman;sans-serif" w:hAnsi="Times New Roman;sans-serif"/>
          <w:b w:val="false"/>
          <w:color w:val="000000"/>
          <w:sz w:val="20"/>
        </w:rPr>
        <w:t xml:space="preserve">changes in estimated liabilities for product warranties and/or litigation, supply constraints, future business combinations, capital market fluctuations,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risks, and other factors described under Part I, Item 1A: Risk Factors of our 2022 Annual Report, as well as Part I, Item 3: Quantitative and Qualitative Disclosures About Market Risk included in this Quarterly Report on Form 10-Q.</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Refer to Item 1: Financial Statements (Unaudited), Note 11: Commitments and Contingencies included in this Quarterly Report on Form 10-Q.</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Estimates and Policies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that require the use of estimates and assumptions were discussed in detail in the 2022 Annual Report and have not changed materially.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1: Financial Statements (Unaudited), Note 1: Summary of Significant Accounting Policies included in this Quarterly Report on Form 10-Q for further disclosures regarding new accounting pronouncements.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Non-GAAP operating expenses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non-GAAP operating income</w:t>
      </w:r>
      <w:r>
        <w:rPr>
          <w:color w:val="000000"/>
        </w:rPr>
        <w:t xml:space="preserve"> – </w:t>
      </w:r>
      <w:r>
        <w:rPr>
          <w:rFonts w:ascii="Times New Roman;sans-serif" w:hAnsi="Times New Roman;sans-serif"/>
          <w:b w:val="false"/>
          <w:color w:val="000000"/>
          <w:sz w:val="20"/>
        </w:rPr>
        <w:t>We define non-GAAP operating expenses as operating expenses excluding certain expenses related to the amortization of intangible assets, restructuring, loss on sale of business, and acquisition and integration. We define non-GAAP operating income as operating income (loss) excluding the expenses related to the amortization of intangible assets, restructuring, loss on sale of business,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i/>
          <w:color w:val="000000"/>
          <w:sz w:val="20"/>
        </w:rPr>
        <w:t>Non-GAAP net income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non-GAAP diluted EPS</w:t>
      </w:r>
      <w:r>
        <w:rPr>
          <w:color w:val="000000"/>
        </w:rPr>
        <w:t xml:space="preserve"> – </w:t>
      </w:r>
      <w:r>
        <w:rPr>
          <w:rFonts w:ascii="Times New Roman;sans-serif" w:hAnsi="Times New Roman;sans-serif"/>
          <w:b w:val="false"/>
          <w:color w:val="000000"/>
          <w:sz w:val="20"/>
        </w:rPr>
        <w:t>We define non-GAAP net income as net income (loss) attributable to Itron, Inc. excluding the expenses associated with amortization of intangible assets, amortization of debt placement fees, restructuring, loss on sale of business,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Adjusted EBITDA</w:t>
      </w:r>
      <w:r>
        <w:rPr>
          <w:color w:val="000000"/>
        </w:rPr>
        <w:t xml:space="preserve"> – </w:t>
      </w:r>
      <w:r>
        <w:rPr>
          <w:rFonts w:ascii="Times New Roman;sans-serif" w:hAnsi="Times New Roman;sans-serif"/>
          <w:b w:val="false"/>
          <w:color w:val="000000"/>
          <w:sz w:val="20"/>
        </w:rPr>
        <w:t>We define adjusted EBITDA as net income (loss) (a) minus interest income, (b) plus interest expense, depreciation and amortization, restructuring, loss on sale of business,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Free cash flow</w:t>
      </w:r>
      <w:r>
        <w:rPr>
          <w:color w:val="000000"/>
        </w:rPr>
        <w:t xml:space="preserve"> – </w:t>
      </w:r>
      <w:r>
        <w:rPr>
          <w:rFonts w:ascii="Times New Roman;sans-serif" w:hAnsi="Times New Roman;sans-serif"/>
          <w:b w:val="false"/>
          <w:color w:val="000000"/>
          <w:sz w:val="20"/>
        </w:rPr>
        <w:t>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Constant currency</w:t>
      </w:r>
      <w:r>
        <w:rPr>
          <w:color w:val="000000"/>
        </w:rPr>
        <w:t xml:space="preserve"> – </w:t>
      </w:r>
      <w:r>
        <w:rPr>
          <w:rFonts w:ascii="Times New Roman;sans-serif" w:hAnsi="Times New Roman;sans-serif"/>
          <w:b w:val="false"/>
          <w:color w:val="000000"/>
          <w:sz w:val="20"/>
        </w:rPr>
        <w:t>We refer to the impact of foreign currency exchange rate fluctuations in our discussions of financial results, 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Reconciliations of Non-GAAP Financial Measures to the Most Directly Comparable GAAP Financial Measures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 the non-GAAP financial measures of operating expenses, operating income, net income, diluted EPS, adjusted EBITDA, and free cash flow with the most directly comparable GAAP financial measures.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306"/>
        <w:gridCol w:w="268"/>
        <w:gridCol w:w="268"/>
        <w:gridCol w:w="321"/>
        <w:gridCol w:w="321"/>
        <w:gridCol w:w="321"/>
        <w:gridCol w:w="373"/>
        <w:gridCol w:w="373"/>
        <w:gridCol w:w="373"/>
        <w:gridCol w:w="1079"/>
        <w:gridCol w:w="1074"/>
        <w:gridCol w:w="1129"/>
        <w:gridCol w:w="109"/>
        <w:gridCol w:w="109"/>
        <w:gridCol w:w="204"/>
        <w:gridCol w:w="204"/>
        <w:gridCol w:w="367"/>
        <w:gridCol w:w="1381"/>
        <w:gridCol w:w="204"/>
        <w:gridCol w:w="109"/>
        <w:gridCol w:w="109"/>
        <w:gridCol w:w="109"/>
        <w:gridCol w:w="196"/>
        <w:gridCol w:w="736"/>
        <w:gridCol w:w="162"/>
      </w:tblGrid>
      <w:tr>
        <w:trPr/>
        <w:tc>
          <w:tcPr>
            <w:tcW w:w="30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206"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COMPANY RECONCILIATIONS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21" w:type="dxa"/>
            <w:gridSpan w:val="6"/>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166,761 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128,405 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125,041 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125,935 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4"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(10,393)</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31,327 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4"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NET INCOME &amp; DILUTED EPS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attributable to Itron,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(11,836)</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placement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effect of non-GAAP adjustments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w:t>
            </w:r>
          </w:p>
        </w:tc>
        <w:tc>
          <w:tcPr>
            <w:tcW w:w="2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attributable to Itron,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EPS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2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weighted average common shares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748"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45,572 </w:t>
            </w:r>
          </w:p>
        </w:tc>
        <w:tc>
          <w:tcPr>
            <w:tcW w:w="20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45,240 </w:t>
            </w:r>
          </w:p>
        </w:tc>
        <w:tc>
          <w:tcPr>
            <w:tcW w:w="162"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1421" w:type="dxa"/>
            <w:gridSpan w:val="6"/>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3999" w:type="dxa"/>
            <w:gridSpan w:val="13"/>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1421" w:type="dxa"/>
            <w:gridSpan w:val="6"/>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1421" w:type="dxa"/>
            <w:gridSpan w:val="6"/>
            <w:tcBorders/>
            <w:shd w:fill="auto" w:val="clea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r>
      <w:tr>
        <w:trPr/>
        <w:tc>
          <w:tcPr>
            <w:tcW w:w="842"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1119" w:type="dxa"/>
            <w:gridSpan w:val="3"/>
            <w:tcBorders/>
            <w:shd w:fill="auto" w:val="clear"/>
            <w:vAlign w:val="center"/>
          </w:tcPr>
          <w:p>
            <w:pPr>
              <w:pStyle w:val="TableContents"/>
              <w:spacing w:before="0" w:after="283"/>
              <w:rPr>
                <w:sz w:val="4"/>
                <w:szCs w:val="4"/>
              </w:rPr>
            </w:pPr>
            <w:r>
              <w:rPr>
                <w:sz w:val="4"/>
                <w:szCs w:val="4"/>
              </w:rPr>
            </w:r>
          </w:p>
        </w:tc>
        <w:tc>
          <w:tcPr>
            <w:tcW w:w="32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08"/>
        <w:gridCol w:w="270"/>
        <w:gridCol w:w="270"/>
        <w:gridCol w:w="271"/>
        <w:gridCol w:w="271"/>
        <w:gridCol w:w="271"/>
        <w:gridCol w:w="530"/>
        <w:gridCol w:w="530"/>
        <w:gridCol w:w="530"/>
        <w:gridCol w:w="1054"/>
        <w:gridCol w:w="967"/>
        <w:gridCol w:w="1022"/>
        <w:gridCol w:w="109"/>
        <w:gridCol w:w="109"/>
        <w:gridCol w:w="207"/>
        <w:gridCol w:w="207"/>
        <w:gridCol w:w="373"/>
        <w:gridCol w:w="1366"/>
        <w:gridCol w:w="207"/>
        <w:gridCol w:w="109"/>
        <w:gridCol w:w="109"/>
        <w:gridCol w:w="109"/>
        <w:gridCol w:w="196"/>
        <w:gridCol w:w="646"/>
        <w:gridCol w:w="164"/>
      </w:tblGrid>
      <w:tr>
        <w:trPr/>
        <w:tc>
          <w:tcPr>
            <w:tcW w:w="30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6294"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COMPANY RECONCILIATIONS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33" w:type="dxa"/>
            <w:gridSpan w:val="6"/>
            <w:tcBorders/>
            <w:shd w:fill="auto" w:val="clear"/>
          </w:tcPr>
          <w:p>
            <w:pPr>
              <w:pStyle w:val="TableContents"/>
              <w:spacing w:before="0" w:after="283"/>
              <w:rPr>
                <w:sz w:val="4"/>
                <w:szCs w:val="4"/>
              </w:rPr>
            </w:pPr>
            <w:r>
              <w:rPr>
                <w:sz w:val="4"/>
                <w:szCs w:val="4"/>
              </w:rPr>
            </w:r>
          </w:p>
        </w:tc>
      </w:tr>
      <w:tr>
        <w:trPr/>
        <w:tc>
          <w:tcPr>
            <w:tcW w:w="8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8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4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income (loss) attributable to Itron,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(11,836)</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3,859 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14,463 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16,837 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Restructuring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848"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848"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848" w:type="dxa"/>
            <w:gridSpan w:val="3"/>
            <w:tcBorders/>
            <w:shd w:fill="auto" w:val="clear"/>
            <w:vAlign w:val="center"/>
          </w:tcPr>
          <w:p>
            <w:pPr>
              <w:pStyle w:val="TableContents"/>
              <w:spacing w:before="0" w:after="283"/>
              <w:rPr>
                <w:sz w:val="4"/>
                <w:szCs w:val="4"/>
              </w:rPr>
            </w:pPr>
            <w:r>
              <w:rPr>
                <w:sz w:val="4"/>
                <w:szCs w:val="4"/>
              </w:rPr>
            </w:r>
          </w:p>
        </w:tc>
        <w:tc>
          <w:tcPr>
            <w:tcW w:w="813"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39,468 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6"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FREE CASH FLOW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7,591 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(5,473)</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be exposed to interest rate risk through our variable rate debt instruments, namely the multicurrency revolving line of credit. At March 31, 2023, we had no outstanding variable rate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monitor and assess our interest rate risk and may institute additional interest rate swaps or other derivative instruments to manage such risk in the future if we were to have variable rate debt outstanding.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business in a number of countries. Revenues denominated in functional currencies other than the U.S. dollar were 28% of total revenues for the three months ended March 31, 2023 compared with 35% for the same respective period in 2022.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foreign exchange risk when we enter into non-functional currency transactions, both intercompany and third 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March 31, 2023, a total of 38 contracts were offsetting our exposures from the euro, pound sterling, Indonesian rupiah, Canadian dollar, Australian dollar and various other currencies, with notional amounts ranging from $115,000 to $47.0 million. Based on a sensitivity analysis as of March 31, 2023, we estimate that, if foreign currency exchange rates average 10 percentage points higher in 2023 for these financial instruments, our financial results in 2023 would not be materially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future periods, we may use additional derivative contracts to protect against foreign currency exchange rate risks.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March 31, 2023,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three months ended March 31, 2023 that materially affected, or are reasonably likely to materially affect,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1: Financial Statements (Unaudited), Note 11: Commitments and Contingencies included in this Quarterly Report on Form 10-Q.</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complete list of Risk Factors, refer to Part I, Item 1A: Risk Factors of our Annual Report on Form 10-K for the fiscal year ended December 31, 2022, which was filed with the Securities and Exchange Commission on February 27, 2023.</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Not applicable.</w:t>
      </w:r>
    </w:p>
    <w:p>
      <w:pPr>
        <w:pStyle w:val="TextBody"/>
        <w:spacing w:before="0" w:after="0"/>
        <w:ind w:left="0" w:right="0" w:firstLine="360"/>
        <w:jc w:val="both"/>
        <w:rPr/>
      </w:pPr>
      <w:r>
        <w:rPr/>
      </w:r>
    </w:p>
    <w:p>
      <w:pPr>
        <w:pStyle w:val="TextBody"/>
        <w:spacing w:lineRule="auto" w:line="288" w:before="0" w:after="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 applicable.</w:t>
      </w:r>
    </w:p>
    <w:p>
      <w:pPr>
        <w:pStyle w:val="TextBody"/>
        <w:spacing w:before="0" w:after="0"/>
        <w:ind w:left="0" w:right="0" w:firstLine="360"/>
        <w:jc w:val="both"/>
        <w:rPr/>
      </w:pPr>
      <w:r>
        <w:rPr/>
      </w:r>
    </w:p>
    <w:p>
      <w:pPr>
        <w:pStyle w:val="TextBody"/>
        <w:spacing w:lineRule="auto" w:line="288" w:before="0" w:after="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Issuer Repurchase of Equity Securities.</w:t>
      </w:r>
    </w:p>
    <w:tbl>
      <w:tblPr>
        <w:tblW w:w="10205" w:type="dxa"/>
        <w:jc w:val="left"/>
        <w:tblInd w:w="0" w:type="dxa"/>
        <w:tblCellMar>
          <w:top w:w="28" w:type="dxa"/>
          <w:left w:w="28" w:type="dxa"/>
          <w:bottom w:w="28" w:type="dxa"/>
          <w:right w:w="28" w:type="dxa"/>
        </w:tblCellMar>
      </w:tblPr>
      <w:tblGrid>
        <w:gridCol w:w="578"/>
        <w:gridCol w:w="452"/>
        <w:gridCol w:w="456"/>
        <w:gridCol w:w="376"/>
        <w:gridCol w:w="376"/>
        <w:gridCol w:w="378"/>
        <w:gridCol w:w="109"/>
        <w:gridCol w:w="109"/>
        <w:gridCol w:w="109"/>
        <w:gridCol w:w="341"/>
        <w:gridCol w:w="710"/>
        <w:gridCol w:w="192"/>
        <w:gridCol w:w="109"/>
        <w:gridCol w:w="109"/>
        <w:gridCol w:w="109"/>
        <w:gridCol w:w="869"/>
        <w:gridCol w:w="869"/>
        <w:gridCol w:w="871"/>
        <w:gridCol w:w="109"/>
        <w:gridCol w:w="109"/>
        <w:gridCol w:w="109"/>
        <w:gridCol w:w="540"/>
        <w:gridCol w:w="1782"/>
        <w:gridCol w:w="434"/>
      </w:tblGrid>
      <w:tr>
        <w:trPr/>
        <w:tc>
          <w:tcPr>
            <w:tcW w:w="578"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r>
      <w:tr>
        <w:trPr/>
        <w:tc>
          <w:tcPr>
            <w:tcW w:w="14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11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w:t>
            </w:r>
          </w:p>
          <w:p>
            <w:pPr>
              <w:pStyle w:val="TableContents"/>
              <w:spacing w:lineRule="auto" w:line="240" w:before="0" w:after="0"/>
              <w:jc w:val="center"/>
              <w:rPr/>
            </w:pPr>
            <w:r>
              <w:rPr>
                <w:rFonts w:ascii="Times New Roman;sans-serif" w:hAnsi="Times New Roman;sans-serif"/>
                <w:b/>
                <w:color w:val="000000"/>
                <w:sz w:val="18"/>
              </w:rPr>
              <w:t xml:space="preserve">Shares Purchased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Average Price Paid per Share </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Dollar Value of Shares that May Yet Be Purchased Under the Plans or Programs</w:t>
            </w:r>
          </w:p>
        </w:tc>
      </w:tr>
      <w:tr>
        <w:trPr/>
        <w:tc>
          <w:tcPr>
            <w:tcW w:w="14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 2023 through January 31, 2023</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8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4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2023 through February 28, 2023</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4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2023 through March 31, 2023</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4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6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Effective November 1, 2021, Itron's Board of Directors authorized a share repurchase program of up to $100 million of Itron's common stock over an 18-month period. Repurchases are made in the open market or in privately negotiated transactions and in accordance with applicable securities laws. The share repurchase program expired on May 1, 2023. There were no shares repurchased during the first quarter of 2023.</w:t>
      </w:r>
    </w:p>
    <w:p>
      <w:pPr>
        <w:pStyle w:val="TextBody"/>
        <w:spacing w:lineRule="auto" w:line="288" w:before="0" w:after="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Excludes commissions.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jc w:val="both"/>
        <w:rPr/>
      </w:pPr>
      <w:r>
        <w:rPr/>
      </w:r>
    </w:p>
    <w:p>
      <w:pPr>
        <w:pStyle w:val="TextBody"/>
        <w:spacing w:lineRule="auto" w:line="288"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(a)No information was required to be disclosed in a report on Form 8-K during the first quarter of 2023 that was not reported.</w:t>
      </w:r>
    </w:p>
    <w:p>
      <w:pPr>
        <w:pStyle w:val="TextBody"/>
        <w:spacing w:before="0" w:after="0"/>
        <w:ind w:left="0" w:right="0" w:firstLine="360"/>
        <w:jc w:val="both"/>
        <w:rPr/>
      </w:pPr>
      <w:r>
        <w:rPr/>
      </w:r>
    </w:p>
    <w:p>
      <w:pPr>
        <w:pStyle w:val="TextBody"/>
        <w:spacing w:lineRule="auto" w:line="288" w:before="0" w:after="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jc w:val="both"/>
        <w:rPr/>
      </w:pPr>
      <w:r>
        <w:rPr/>
      </w:r>
    </w:p>
    <w:tbl>
      <w:tblPr>
        <w:tblW w:w="10205" w:type="dxa"/>
        <w:jc w:val="center"/>
        <w:tblInd w:w="0" w:type="dxa"/>
        <w:tblCellMar>
          <w:top w:w="28" w:type="dxa"/>
          <w:left w:w="28" w:type="dxa"/>
          <w:bottom w:w="28" w:type="dxa"/>
          <w:right w:w="28" w:type="dxa"/>
        </w:tblCellMar>
      </w:tblPr>
      <w:tblGrid>
        <w:gridCol w:w="294"/>
        <w:gridCol w:w="258"/>
        <w:gridCol w:w="259"/>
        <w:gridCol w:w="109"/>
        <w:gridCol w:w="109"/>
        <w:gridCol w:w="109"/>
        <w:gridCol w:w="2803"/>
        <w:gridCol w:w="2593"/>
        <w:gridCol w:w="3671"/>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3" w:type="dxa"/>
            <w:tcBorders/>
            <w:shd w:fill="auto" w:val="clear"/>
            <w:vAlign w:val="center"/>
          </w:tcPr>
          <w:p>
            <w:pPr>
              <w:pStyle w:val="TableContents"/>
              <w:spacing w:before="0" w:after="283"/>
              <w:rPr>
                <w:sz w:val="4"/>
                <w:szCs w:val="4"/>
              </w:rPr>
            </w:pPr>
            <w:r>
              <w:rPr>
                <w:sz w:val="4"/>
                <w:szCs w:val="4"/>
              </w:rPr>
            </w:r>
          </w:p>
        </w:tc>
        <w:tc>
          <w:tcPr>
            <w:tcW w:w="2593" w:type="dxa"/>
            <w:tcBorders/>
            <w:shd w:fill="auto" w:val="clear"/>
            <w:vAlign w:val="center"/>
          </w:tcPr>
          <w:p>
            <w:pPr>
              <w:pStyle w:val="TableContents"/>
              <w:spacing w:before="0" w:after="283"/>
              <w:rPr>
                <w:sz w:val="4"/>
                <w:szCs w:val="4"/>
              </w:rPr>
            </w:pPr>
            <w:r>
              <w:rPr>
                <w:sz w:val="4"/>
                <w:szCs w:val="4"/>
              </w:rPr>
            </w:r>
          </w:p>
        </w:tc>
        <w:tc>
          <w:tcPr>
            <w:tcW w:w="3671"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w:anchor="itriex-31103312023.htm">
              <w:r>
                <w:rPr>
                  <w:rStyle w:val="InternetLink"/>
                  <w:rFonts w:ascii="Times New Roman;sans-serif" w:hAnsi="Times New Roman;sans-serif"/>
                  <w:b w:val="false"/>
                  <w:color w:val="0000FF"/>
                  <w:sz w:val="20"/>
                  <w:u w:val="single"/>
                </w:rPr>
                <w:t>Certification Pursuant to Section 302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triex-31203312023.htm">
              <w:r>
                <w:rPr>
                  <w:rStyle w:val="InternetLink"/>
                  <w:rFonts w:ascii="Times New Roman;sans-serif" w:hAnsi="Times New Roman;sans-serif"/>
                  <w:b w:val="false"/>
                  <w:color w:val="0000FF"/>
                  <w:sz w:val="20"/>
                  <w:u w:val="single"/>
                </w:rPr>
                <w:t>Certification Pursuant to Section 302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triex-32103312023.htm">
              <w:r>
                <w:rPr>
                  <w:rStyle w:val="InternetLink"/>
                  <w:rFonts w:ascii="Times New Roman;sans-serif" w:hAnsi="Times New Roman;sans-serif"/>
                  <w:b w:val="false"/>
                  <w:color w:val="0000FF"/>
                  <w:sz w:val="20"/>
                  <w:u w:val="single"/>
                </w:rPr>
                <w:t>Certification Pursuant to Section 906 of the Sarbanes-Oxley Act of 2002</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Itron, Inc.'s Quarterly Report on Form 10-Q for the quarter ended March 31, 2023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14e5c4a0769d4ad1bb761563ededb494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359" w:type="dxa"/>
        <w:jc w:val="left"/>
        <w:tblInd w:w="0" w:type="dxa"/>
        <w:tblCellMar>
          <w:top w:w="28" w:type="dxa"/>
          <w:left w:w="28" w:type="dxa"/>
          <w:bottom w:w="28" w:type="dxa"/>
          <w:right w:w="28" w:type="dxa"/>
        </w:tblCellMar>
      </w:tblPr>
      <w:tblGrid>
        <w:gridCol w:w="417"/>
        <w:gridCol w:w="368"/>
        <w:gridCol w:w="370"/>
        <w:gridCol w:w="109"/>
        <w:gridCol w:w="109"/>
        <w:gridCol w:w="109"/>
        <w:gridCol w:w="186"/>
        <w:gridCol w:w="186"/>
        <w:gridCol w:w="186"/>
        <w:gridCol w:w="1249"/>
        <w:gridCol w:w="1249"/>
        <w:gridCol w:w="1821"/>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 xml:space="preserve">xhibit 31.1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L. Deitrich, certify that: </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Itron,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p>
      <w:pPr>
        <w:pStyle w:val="TextBody"/>
        <w:spacing w:lineRule="auto" w:line="288" w:before="0" w:after="0"/>
        <w:jc w:val="right"/>
        <w:rPr>
          <w:color w:val="000000"/>
        </w:rPr>
      </w:pPr>
      <w:r>
        <w:rPr>
          <w:color w:val="000000"/>
        </w:rPr>
        <w:t> </w:t>
      </w:r>
    </w:p>
    <w:tbl>
      <w:tblPr>
        <w:tblW w:w="4075" w:type="dxa"/>
        <w:jc w:val="right"/>
        <w:tblInd w:w="0" w:type="dxa"/>
        <w:tblCellMar>
          <w:top w:w="28" w:type="dxa"/>
          <w:left w:w="28" w:type="dxa"/>
          <w:bottom w:w="28" w:type="dxa"/>
          <w:right w:w="28" w:type="dxa"/>
        </w:tblCellMar>
      </w:tblPr>
      <w:tblGrid>
        <w:gridCol w:w="151"/>
        <w:gridCol w:w="134"/>
        <w:gridCol w:w="135"/>
        <w:gridCol w:w="109"/>
        <w:gridCol w:w="109"/>
        <w:gridCol w:w="109"/>
        <w:gridCol w:w="516"/>
        <w:gridCol w:w="516"/>
        <w:gridCol w:w="516"/>
        <w:gridCol w:w="516"/>
        <w:gridCol w:w="516"/>
        <w:gridCol w:w="748"/>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r>
      <w:tr>
        <w:trPr/>
        <w:tc>
          <w:tcPr>
            <w:tcW w:w="407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8" w:type="dxa"/>
            <w:gridSpan w:val="6"/>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DEITRICH</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L. Deitrich</w:t>
              <w:br/>
              <w:t>President and Chief Executive Officer</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 xml:space="preserve">xhibit 31.2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Joan S. Hooper, certify that: </w:t>
      </w:r>
    </w:p>
    <w:p>
      <w:pPr>
        <w:pStyle w:val="TextBody"/>
        <w:spacing w:before="0" w:after="0"/>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Itron,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rPr>
          <w:color w:val="000000"/>
        </w:rPr>
      </w:pPr>
      <w:r>
        <w:rPr>
          <w:color w:val="000000"/>
        </w:rPr>
        <w:t> </w:t>
      </w:r>
    </w:p>
    <w:p>
      <w:pPr>
        <w:pStyle w:val="TextBody"/>
        <w:spacing w:lineRule="auto" w:line="288" w:before="0" w:after="0"/>
        <w:jc w:val="right"/>
        <w:rPr>
          <w:color w:val="000000"/>
        </w:rPr>
      </w:pPr>
      <w:r>
        <w:rPr>
          <w:color w:val="000000"/>
        </w:rPr>
        <w:t> </w:t>
      </w:r>
    </w:p>
    <w:tbl>
      <w:tblPr>
        <w:tblW w:w="5064" w:type="dxa"/>
        <w:jc w:val="right"/>
        <w:tblInd w:w="0" w:type="dxa"/>
        <w:tblCellMar>
          <w:top w:w="28" w:type="dxa"/>
          <w:left w:w="28" w:type="dxa"/>
          <w:bottom w:w="28" w:type="dxa"/>
          <w:right w:w="28" w:type="dxa"/>
        </w:tblCellMar>
      </w:tblPr>
      <w:tblGrid>
        <w:gridCol w:w="151"/>
        <w:gridCol w:w="134"/>
        <w:gridCol w:w="135"/>
        <w:gridCol w:w="109"/>
        <w:gridCol w:w="109"/>
        <w:gridCol w:w="109"/>
        <w:gridCol w:w="669"/>
        <w:gridCol w:w="669"/>
        <w:gridCol w:w="669"/>
        <w:gridCol w:w="669"/>
        <w:gridCol w:w="669"/>
        <w:gridCol w:w="972"/>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r>
      <w:tr>
        <w:trPr/>
        <w:tc>
          <w:tcPr>
            <w:tcW w:w="5064"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7"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br/>
              <w:t>Senior Vice President and Chief Financial Officer</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certification set forth below is being submitted in connection with the Quarterly Report of Itron, Inc. (the Company) on Form 10-Q for the quarterly period ended March 31, 2023 (the Report) for the purpose of complying with Rule 13a-14(b) or Rule 15d-14(b) of the Securities Exchange Act of 1934 and Section 1350 of Chapter 63 of Title 18 of the United States Code.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Thomas L. Deitrich, the Chief Executive Officer and Joan S. Hooper, the Chief Financial Officer of the Company, each certifies that to the best of his or her knowledge: </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and </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spacing w:before="0" w:after="0"/>
        <w:ind w:left="0" w:right="0" w:hanging="450"/>
        <w:rPr/>
      </w:pPr>
      <w:r>
        <w:rPr/>
      </w:r>
    </w:p>
    <w:p>
      <w:pPr>
        <w:pStyle w:val="TextBody"/>
        <w:spacing w:lineRule="auto" w:line="288" w:before="0" w:after="0"/>
        <w:rPr>
          <w:color w:val="000000"/>
        </w:rPr>
      </w:pPr>
      <w:r>
        <w:rPr>
          <w:color w:val="000000"/>
        </w:rPr>
        <w:t> </w:t>
      </w:r>
    </w:p>
    <w:tbl>
      <w:tblPr>
        <w:tblW w:w="5802" w:type="dxa"/>
        <w:jc w:val="left"/>
        <w:tblInd w:w="0" w:type="dxa"/>
        <w:tblCellMar>
          <w:top w:w="28" w:type="dxa"/>
          <w:left w:w="28" w:type="dxa"/>
          <w:bottom w:w="28" w:type="dxa"/>
          <w:right w:w="28" w:type="dxa"/>
        </w:tblCellMar>
      </w:tblPr>
      <w:tblGrid>
        <w:gridCol w:w="1554"/>
        <w:gridCol w:w="1367"/>
        <w:gridCol w:w="1369"/>
        <w:gridCol w:w="109"/>
        <w:gridCol w:w="109"/>
        <w:gridCol w:w="109"/>
        <w:gridCol w:w="347"/>
        <w:gridCol w:w="347"/>
        <w:gridCol w:w="491"/>
      </w:tblGrid>
      <w:tr>
        <w:trPr/>
        <w:tc>
          <w:tcPr>
            <w:tcW w:w="1554"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DEITRICH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r>
        <w:trPr/>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L. Deitrich</w:t>
              <w:br/>
              <w:t>President and 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r>
        <w:trPr/>
        <w:tc>
          <w:tcPr>
            <w:tcW w:w="4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br/>
              <w:t>Senior Vice 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Cambria">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22405</Words>
  <CharactersWithSpaces>146497</CharactersWithSpaces>
  <Paragraphs>2925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