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52" w:lineRule="exact"/>
        <w:rPr>
          <w:sz w:val="24"/>
          <w:szCs w:val="24"/>
          <w:color w:val="auto"/>
        </w:rPr>
      </w:pPr>
    </w:p>
    <w:p>
      <w:pPr>
        <w:ind w:left="660" w:right="1980" w:hanging="652"/>
        <w:spacing w:after="0" w:line="263"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2006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660"/>
        <w:spacing w:after="0"/>
        <w:tabs>
          <w:tab w:leader="none" w:pos="3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ITRON,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4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91-1011792</w:t>
            </w:r>
          </w:p>
        </w:tc>
        <w:tc>
          <w:tcPr>
            <w:tcW w:w="3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450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3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Number)</w:t>
            </w:r>
          </w:p>
        </w:tc>
      </w:tr>
      <w:tr>
        <w:trPr>
          <w:trHeight w:val="437"/>
        </w:trPr>
        <w:tc>
          <w:tcPr>
            <w:tcW w:w="9020" w:type="dxa"/>
            <w:vAlign w:val="bottom"/>
            <w:gridSpan w:val="4"/>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2111 N Molter Road, Liberty Lake, Washington 99019</w:t>
            </w: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4520" w:type="dxa"/>
            <w:vAlign w:val="bottom"/>
            <w:gridSpan w:val="3"/>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w w:val="99"/>
              </w:rPr>
              <w:t>(509) 924-9900</w:t>
            </w:r>
          </w:p>
        </w:tc>
        <w:tc>
          <w:tcPr>
            <w:tcW w:w="3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9020" w:type="dxa"/>
            <w:vAlign w:val="bottom"/>
            <w:gridSpan w:val="4"/>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(Address and telephone number of registrant’s principal executive offices)</w:t>
            </w:r>
          </w:p>
        </w:tc>
        <w:tc>
          <w:tcPr>
            <w:tcW w:w="3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7"/>
        </w:trPr>
        <w:tc>
          <w:tcPr>
            <w:tcW w:w="9020" w:type="dxa"/>
            <w:vAlign w:val="bottom"/>
            <w:gridSpan w:val="4"/>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45"/>
        </w:trPr>
        <w:tc>
          <w:tcPr>
            <w:tcW w:w="4500" w:type="dxa"/>
            <w:vAlign w:val="bottom"/>
            <w:tcBorders>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94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5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8"/>
        </w:trPr>
        <w:tc>
          <w:tcPr>
            <w:tcW w:w="4500" w:type="dxa"/>
            <w:vAlign w:val="bottom"/>
          </w:tcPr>
          <w:p>
            <w:pPr>
              <w:jc w:val="center"/>
              <w:ind w:left="850"/>
              <w:spacing w:after="0" w:line="198" w:lineRule="exact"/>
              <w:rPr>
                <w:sz w:val="20"/>
                <w:szCs w:val="20"/>
                <w:color w:val="auto"/>
              </w:rPr>
            </w:pPr>
            <w:r>
              <w:rPr>
                <w:rFonts w:ascii="Times New Roman" w:cs="Times New Roman" w:eastAsia="Times New Roman" w:hAnsi="Times New Roman"/>
                <w:sz w:val="18"/>
                <w:szCs w:val="18"/>
                <w:color w:val="auto"/>
              </w:rPr>
              <w:t>Common stock, no par value</w:t>
            </w: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32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45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437"/>
        </w:trPr>
        <w:tc>
          <w:tcPr>
            <w:tcW w:w="9020" w:type="dxa"/>
            <w:vAlign w:val="bottom"/>
            <w:gridSpan w:val="4"/>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8"/>
        </w:trPr>
        <w:tc>
          <w:tcPr>
            <w:tcW w:w="4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580" w:type="dxa"/>
            <w:vAlign w:val="bottom"/>
            <w:gridSpan w:val="2"/>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79"/>
        </w:trPr>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 x</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No</w:t>
            </w:r>
          </w:p>
        </w:tc>
        <w:tc>
          <w:tcPr>
            <w:tcW w:w="20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459"/>
        </w:trPr>
        <w:tc>
          <w:tcPr>
            <w:tcW w:w="9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 x</w:t>
            </w:r>
          </w:p>
        </w:tc>
      </w:tr>
    </w:tbl>
    <w:p>
      <w:pPr>
        <w:spacing w:after="0" w:line="205"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6"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200" w:right="239" w:bottom="1440" w:gutter="0" w:footer="0" w:header="0"/>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5">
            <w:col w:w="4100" w:space="720"/>
            <w:col w:w="1200" w:space="100"/>
            <w:col w:w="2800" w:space="720"/>
            <w:col w:w="1520" w:space="100"/>
            <w:col w:w="160"/>
          </w:cols>
          <w:pgMar w:left="240" w:top="200"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x</w:t>
      </w:r>
    </w:p>
    <w:p>
      <w:pPr>
        <w:spacing w:after="0" w:line="200" w:lineRule="exact"/>
        <w:rPr>
          <w:sz w:val="24"/>
          <w:szCs w:val="24"/>
          <w:color w:val="auto"/>
        </w:rPr>
      </w:pPr>
    </w:p>
    <w:p>
      <w:pPr>
        <w:sectPr>
          <w:pgSz w:w="11900" w:h="16838" w:orient="portrait"/>
          <w:cols w:equalWidth="0" w:num="3">
            <w:col w:w="7780" w:space="80"/>
            <w:col w:w="160" w:space="180"/>
            <w:col w:w="3220"/>
          </w:cols>
          <w:pgMar w:left="240" w:top="200" w:right="239" w:bottom="1440" w:gutter="0" w:footer="0" w:header="0"/>
          <w:type w:val="continuous"/>
        </w:sectPr>
      </w:pPr>
    </w:p>
    <w:p>
      <w:pPr>
        <w:spacing w:after="0" w:line="5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June 30, 2006 (the last business day of the registrant’s most recently completed second fiscal quarter), the aggregate market value of the shares of common stock held by non-affiliates of the registrant (based on the closing price for the common stock on the NASDAQ National Market on such date) was $1,510,628,542.</w:t>
      </w:r>
    </w:p>
    <w:p>
      <w:pPr>
        <w:spacing w:after="0" w:line="203"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January 31, 2007, there were outstanding 25,748,297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0" w:right="239" w:bottom="1440" w:gutter="0" w:footer="0" w:header="0"/>
          <w:type w:val="continuous"/>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called for by Part III is incorporated by reference to the definitive Proxy Statement for the Annual Meeting of Shareholders of the Company to be held May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0"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EXPLANATORY NOTE</w:t>
      </w:r>
    </w:p>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Amendment No. 1 to our Annual Report on Form 10-K for the fiscal year ended December 31, 2006, which was originally filed with the Securities and Exchange Commission (SEC) on February 23, 2007, is being filed to restate previously omitted financial information from Item 8, Financial Statements and Supplementary Data, to include financial information pursuant to SEC Regulation S-X Rule 3-10, </w:t>
      </w:r>
      <w:r>
        <w:rPr>
          <w:rFonts w:ascii="Times New Roman" w:cs="Times New Roman" w:eastAsia="Times New Roman" w:hAnsi="Times New Roman"/>
          <w:sz w:val="18"/>
          <w:szCs w:val="18"/>
          <w:i w:val="1"/>
          <w:iCs w:val="1"/>
          <w:color w:val="auto"/>
        </w:rPr>
        <w:t>Financial Statements of Guarantors and Issuers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Guaranteed Securities Registered or Being Registered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have updated Item 8, Financial Statements and Supplementary Data, to retrospectively adjust for a change in the composition of our reportable segments, which occurred in the second quarter of 2007, in connection with our acquisition of Actaris Metering Systems SA. We have not updated Item 7, Management’s Discussion and Analysis of Financial Condition and Results of Operations, for the change in our reportable segments as we believe the current disclosures includes more detailed information than would be required under our updated segment presentation.</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restated and updated information noted above has been reflected in Notes 17 and 18 to the consolidated financial statements. This restatement had no effect on the accompanying Consolidated Statements of Operations, Consolidated Balance Sheets, Consolidated Statements of Shareholders’ Equity or Consolidated Statements of Cash Flows. Other items and disclosures included in this Form 10-K/A have not been updated for any events subsequent to the previously filed Annual Report on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included Item 9A, Controls and Procedures, and Item 15, Exhibits, Financial Statement Schedule.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FINANCIAL STATEMENTS AND SUPPLEMENTARY DATA</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MANAGEMENT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Itron, Inc.</w:t>
      </w:r>
    </w:p>
    <w:p>
      <w:pPr>
        <w:spacing w:after="0" w:line="25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Management is responsible for the preparation of our consolidated financial statements and related information appearing in this Annual Report on Form 10-K/A. Management believes that the consolidated financial statements fairly reflect the form and substance of transactions and that the financial statements reasonably present our financial position, results of operations and cash flows in conformity with accounting principles generally accepted in the United States of America. Management has included in our financial statements amounts based on estimates and judgments that it believes are reasonable under the circumstances.</w:t>
      </w:r>
    </w:p>
    <w:p>
      <w:pPr>
        <w:spacing w:after="0" w:line="21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Management’s explanation and interpretation of our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Our Board of Directors has an Audit and Finance Committee composed of independent directors. The Committee meets regularly with financial management and Deloitte &amp; Touche LLP to review internal control, auditing and financial reporting matters.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LeRoy D. Nosbaum</w:t>
            </w:r>
          </w:p>
        </w:tc>
        <w:tc>
          <w:tcPr>
            <w:tcW w:w="71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Steven M. Helmbrecht</w:t>
            </w:r>
          </w:p>
        </w:tc>
      </w:t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c>
          <w:tcPr>
            <w:tcW w:w="7180" w:type="dxa"/>
            <w:vAlign w:val="bottom"/>
          </w:tcPr>
          <w:p>
            <w:pPr>
              <w:ind w:left="1460"/>
              <w:spacing w:after="0"/>
              <w:rPr>
                <w:sz w:val="20"/>
                <w:szCs w:val="20"/>
                <w:color w:val="auto"/>
              </w:rPr>
            </w:pPr>
            <w:r>
              <w:rPr>
                <w:rFonts w:ascii="Times New Roman" w:cs="Times New Roman" w:eastAsia="Times New Roman" w:hAnsi="Times New Roman"/>
                <w:sz w:val="18"/>
                <w:szCs w:val="18"/>
                <w:i w:val="1"/>
                <w:iCs w:val="1"/>
                <w:color w:val="auto"/>
              </w:rPr>
              <w:t>Sr. Vice President and Chief Financial Officer</w:t>
            </w:r>
          </w:p>
        </w:tc>
      </w:tr>
      <w:tr>
        <w:trPr>
          <w:trHeight w:val="409"/>
        </w:trPr>
        <w:tc>
          <w:tcPr>
            <w:tcW w:w="4240" w:type="dxa"/>
            <w:vAlign w:val="bottom"/>
          </w:tcPr>
          <w:p>
            <w:pPr>
              <w:spacing w:after="0"/>
              <w:rPr>
                <w:sz w:val="24"/>
                <w:szCs w:val="24"/>
                <w:color w:val="auto"/>
              </w:rPr>
            </w:pPr>
          </w:p>
        </w:tc>
        <w:tc>
          <w:tcPr>
            <w:tcW w:w="7180" w:type="dxa"/>
            <w:vAlign w:val="bottom"/>
          </w:tcPr>
          <w:p>
            <w:pPr>
              <w:jc w:val="right"/>
              <w:ind w:right="5596"/>
              <w:spacing w:after="0"/>
              <w:rPr>
                <w:sz w:val="20"/>
                <w:szCs w:val="20"/>
                <w:color w:val="auto"/>
              </w:rPr>
            </w:pPr>
            <w:r>
              <w:rPr>
                <w:rFonts w:ascii="Times New Roman" w:cs="Times New Roman" w:eastAsia="Times New Roman" w:hAnsi="Times New Roman"/>
                <w:sz w:val="14"/>
                <w:szCs w:val="14"/>
                <w:color w:val="auto"/>
              </w:rPr>
              <w:t>2</w:t>
            </w:r>
          </w:p>
        </w:tc>
      </w:tr>
      <w:tr>
        <w:trPr>
          <w:trHeight w:val="101"/>
        </w:trPr>
        <w:tc>
          <w:tcPr>
            <w:tcW w:w="4240" w:type="dxa"/>
            <w:vAlign w:val="bottom"/>
            <w:tcBorders>
              <w:bottom w:val="single" w:sz="8" w:color="808080"/>
            </w:tcBorders>
          </w:tcPr>
          <w:p>
            <w:pPr>
              <w:spacing w:after="0"/>
              <w:rPr>
                <w:sz w:val="8"/>
                <w:szCs w:val="8"/>
                <w:color w:val="auto"/>
              </w:rPr>
            </w:pPr>
          </w:p>
        </w:tc>
        <w:tc>
          <w:tcPr>
            <w:tcW w:w="71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26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Itron,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Lake, Washington</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Itron, Inc. and subsidiaries (the “Company”) as of December 31, 2006 and 2005, and the related consolidated statements of operations, shareholders’ equity, and cash flows for each of the three years in the period ended December 31, 2006.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Itron, Inc. and subsidiaries at December 31, 2006 and 2005, and the results of their operations and their cash flows for each of the three years in the period ended December 31, 2006,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adopted the provisions of Statement of Financial Accounting Standards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effective January 1, 2006.</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18 to the consolidated financial statements, the accompanying consolidated financial statements have been restated to include a previously omitted footnote disclosure.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17 to the consolidated financial statements, the disclosures in the accompanying consolidated financial statements have been retrospectively adjusted for a change in the composition of reportable segments.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effectiveness of the Company’s internal control over financial reporting as of December 31, 2006,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22, 2007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2007 (September 12, 2007, as to Notes 17 and 18)</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3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0" w:type="dxa"/>
            <w:vAlign w:val="bottom"/>
            <w:gridSpan w:val="9"/>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0" w:type="dxa"/>
            <w:vAlign w:val="bottom"/>
          </w:tcPr>
          <w:p>
            <w:pPr>
              <w:spacing w:after="0"/>
              <w:rPr>
                <w:sz w:val="1"/>
                <w:szCs w:val="1"/>
                <w:color w:val="auto"/>
              </w:rPr>
            </w:pPr>
          </w:p>
        </w:tc>
      </w:tr>
      <w:tr>
        <w:trPr>
          <w:trHeight w:val="194"/>
        </w:trPr>
        <w:tc>
          <w:tcPr>
            <w:tcW w:w="3540" w:type="dxa"/>
            <w:vAlign w:val="bottom"/>
            <w:gridSpan w:val="2"/>
            <w:vMerge w:val="continue"/>
          </w:tcPr>
          <w:p>
            <w:pPr>
              <w:spacing w:after="0"/>
              <w:rPr>
                <w:sz w:val="16"/>
                <w:szCs w:val="16"/>
                <w:color w:val="auto"/>
              </w:rPr>
            </w:pPr>
          </w:p>
        </w:tc>
        <w:tc>
          <w:tcPr>
            <w:tcW w:w="3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4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593,990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503,270</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w:t>
            </w: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552,690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399,194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349,210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291,445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w:t>
            </w: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319,069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267,442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233,621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63,587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56,642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58,774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52,213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38,846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Restructurings</w:t>
            </w: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187,383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61,743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(9,508)</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(18,476)</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33,061</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3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25,414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23,394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26,283</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24,777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20,922</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0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00" w:type="dxa"/>
            <w:vAlign w:val="bottom"/>
            <w:vMerge w:val="restart"/>
          </w:tcPr>
          <w:p>
            <w:pPr>
              <w:ind w:left="40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361,405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 held to maturity</w:t>
            </w:r>
          </w:p>
        </w:tc>
        <w:tc>
          <w:tcPr>
            <w:tcW w:w="2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34,583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52,496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17,121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112,682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47,400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988,522</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598,884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43,922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27,449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Project financing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Contingent purchase price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obligations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no par value, 10 million shares authorized,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 shares issued or outstanding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no par value, 75 million shares authorized,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25,675,237 and 24,869,201 shares issued and outstanding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38,376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988,522</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598,884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00" w:type="dxa"/>
            <w:vAlign w:val="bottom"/>
            <w:gridSpan w:val="10"/>
          </w:tcPr>
          <w:p>
            <w:pPr>
              <w:ind w:left="30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January 1, 2004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20,572</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200,567</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(23,187)</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income tax</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of $770</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1,090</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 issues: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exercised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stock plans income tax benefits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stock-based compensation awards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2004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211,920</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(28,444)</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184,430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 net of income tax</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of $248</w:t>
            </w: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exercised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stock plans income tax benefits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stock-based compensation awards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31, 2005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312,046</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4,617</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317,534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 net of income tax</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of $494</w:t>
            </w: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 exercised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stock plans income tax benefits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stock-based compensation awards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of liability associated with</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restricted stock awards upon adoption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SFAS 123(R)</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Balances at December 31, 2006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351,018</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38,376</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390,982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20" w:type="dxa"/>
            <w:vAlign w:val="bottom"/>
            <w:gridSpan w:val="2"/>
          </w:tcPr>
          <w:p>
            <w:pPr>
              <w:ind w:left="358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4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33,759</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33,061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Employee stock plans income tax benefits</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prepaid debt fees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Warranty</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79,617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investments, held to maturity</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(204,995)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the maturities of investments, held to maturity</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170,434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acquisitions, net of cash and cash equivalents acquired</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short-term borrowings, net</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on debt</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(42,703)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(126,196)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84,727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debt fees</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327,767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33,638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purchased but not yet paid</w:t>
            </w: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6,631</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4,400</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affects of acquisitions (Note 5)</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prepaid debt fees</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on contingent purchase price paid for acquisition</w:t>
            </w:r>
          </w:p>
        </w:tc>
        <w:tc>
          <w:tcPr>
            <w:tcW w:w="4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Supplemental disclosure of cash flow information:</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taxes</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3,434</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1,281</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23,848</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17" w:right="239" w:bottom="1440" w:gutter="0" w:footer="0" w:header="0"/>
        </w:sectPr>
      </w:pP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consolidated financial statements, the terms “we,” “us,” “our,” “Itron” and the “Company” refer to Itron, Inc.</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in the state of Washington in 1977. We provide solutions to gas, electric and water utilities worldwide to assist them in optimizing the delivery and use of energy and water. Our solutions include electric meters, handheld computers, mobile and fixed network automated meter reading (AMR), advanced metering infrastructure (AMI), water leak detection and related software and services. Additionally, we sell enterprise software to manage, analyze and forecast utility data.</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include the Consolidated Statements of Operations for the years ended December 31, 2006, 2005 and 2004,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2006 and 2005 and Consolidated Statements of Shareholders’ Equity and Cash Flows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2006, 2005 and 2004, of Itron and our wholly owned subsidiaries.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do not exercise significant influence are accounted for under the cost method. We consider for consolidation any variable interest entity of which we are the primary beneficiary. We are not the primary beneficiary of any variable interest entities.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2006, we completed the acquisition of Quantum Consulting, Inc., which is reported within our Software Solutions segment. On June 1, 2006, we completed the acquisition of ELO Sistemas e Tecnologia Ltda., located in Brazil, which is reported within our Electricity Metering segment. On November 21, 2006, we completed the acquisition of Flow Metrix, Inc., which is reported in our Meter Data Collection segment. On July 1, 2004, we completed the acquisition of our Electricity Metering business, which became our Electricity Metering segment. The operating results of these acquisitions are included in our consolidated financial statements commencing on the date of each acquisition (see Note 5).</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consider all highly liquid instruments with remaining maturities of three months or less at the date of acquisition to be cash equivalents. Cash equivalents are recorded at cost, which approximates fair value.</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 securities are classified into one of three categories: held to maturity, trading or available for sale. Debt securities that we have the intent and ability to hold to maturity are classified as held to maturity and are reported at amortized cost (including amortization of premium or accretion of discount). Investment purchases and sales are accounted for on a trade date basis. Market value at a period end is based upon quoted market prices for each security. Realized gains and losses are determined using the specific identification method and are included in earnings. Premiums and discounts are recognized in interest income using the effective interest method over the terms of the securities.</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Doubtful Accounts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Accounts receivable are written-off against the allowance when we believe an account, or a portion thereof, is no longer collectible.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 w:name="page11"/>
    <w:bookmarkEnd w:id="10"/>
    <w:p>
      <w:pPr>
        <w:ind w:left="2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Inventories are stated at the lower of cost or market using the first-in, first-out method. Cost includes raw materials and labor, plus applied direct and indirect costs, including those costs required under Statement of Financial Accounting Standards 151, </w:t>
      </w:r>
      <w:r>
        <w:rPr>
          <w:rFonts w:ascii="Times New Roman" w:cs="Times New Roman" w:eastAsia="Times New Roman" w:hAnsi="Times New Roman"/>
          <w:sz w:val="18"/>
          <w:szCs w:val="18"/>
          <w:i w:val="1"/>
          <w:iCs w:val="1"/>
          <w:color w:val="auto"/>
        </w:rPr>
        <w:t>Inventory Costs—an amendment of ARB 43, Chapter 4</w:t>
      </w:r>
      <w:r>
        <w:rPr>
          <w:rFonts w:ascii="Times New Roman" w:cs="Times New Roman" w:eastAsia="Times New Roman" w:hAnsi="Times New Roman"/>
          <w:sz w:val="18"/>
          <w:szCs w:val="18"/>
          <w:color w:val="auto"/>
        </w:rPr>
        <w:t xml:space="preserve"> (SFAS 151), which was effective for inventory costs incurred on or after January 1, 2006. SFAS 151 did not have a material effect on our financial statements. Service inventories consist primarily of subassemblies and components necessary to support post-sale maintenance. A large portion of our low-volume manufacturing and all of our domestic handheld meter reading unit repair services are provided by an outside vendor, Servatron. At December 31, 2005, we had a 30% equity interest in Servatron, which we redeemed in the first quarter of 2006 (see Note 8). Consigned inventory held by Servatron totaled $2.9 million at December 31, 2006 and 2005.</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Property, plant and equipment are stated at cost less accumulated depreciation. Depreciation is computed using the straight-line method over the estimated useful lives of the assets, generally thirty years for buildings and three to five years for equipment, computers and furniture. Leasehold improvements are capitalized over the term of the applicable lease, including renewable periods if reasonably assured, or over the useful lives, whichever is shorter. Project management costs incurred in connection with installation and equipment used in outsourcing contracts are capitalized and depreciated using the straight-line method over the shorter of the useful life or the term of the contract. Costs related to internally developed software and software purchased for internal uses are capitalized in accordance with Statement of Position 98-1, </w:t>
      </w:r>
      <w:r>
        <w:rPr>
          <w:rFonts w:ascii="Times New Roman" w:cs="Times New Roman" w:eastAsia="Times New Roman" w:hAnsi="Times New Roman"/>
          <w:sz w:val="18"/>
          <w:szCs w:val="18"/>
          <w:i w:val="1"/>
          <w:iCs w:val="1"/>
          <w:color w:val="auto"/>
        </w:rPr>
        <w:t>Accounting for Costs of Computer Software Developed or Obtained for Internal Use</w:t>
      </w:r>
      <w:r>
        <w:rPr>
          <w:rFonts w:ascii="Times New Roman" w:cs="Times New Roman" w:eastAsia="Times New Roman" w:hAnsi="Times New Roman"/>
          <w:sz w:val="18"/>
          <w:szCs w:val="18"/>
          <w:color w:val="auto"/>
        </w:rPr>
        <w:t>. Repair and maintenance costs are expensed as incurred. We have no major planned maintenance activities.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review long-lived assets for impairment whenever events or circumstances indicate the carrying amount of an asset may not be recoverable. There were no significant impairments in 2006 and 2004. During 2005, we wrote-off approximately $1.9 million of internal software no longer in use. If there was an indication of impairment, management would prepare an estimate of future cash flows (undiscounted and without interest charges) expected to result from the use of the asset and its eventual disposition. If these cash flows were less than the carrying amount of the asset, an impairment loss would be recognized to write down the asset to its estimated fair value. Assets held for sale are classified within other current assets in the Consolidated Balance Sheets and are reported at the lower of the carrying amount or fair value less costs to sell, and are no longer depreciated (see Note 4).</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Prepaid Debt Fees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Prepaid debt fees represent the capitalized direct costs incurred related to the issuance of debt and are recorded in other noncurrent assets. These costs are amortized to interest expense over the lives of the respective borrowings using the effective interest method. Debt fees associated with convertible notes are amortized through the date of the earliest put or conversion option. When debt is repaid early, the portion of unamortized prepaid debt fees related to the early principal repayment is written-off and included in interest expense in the Consolidated Statements of Operations.</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SFAS 141,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we record the results of operations of an acquired business from the date of acquisition. Net assets of the company acquired and intangible assets that arise from contractual/legal rights, or are capable of being separated, are recorded at their fair values at the date of acquisition. The balance of the purchase price after fair value allocations represents goodwill. The excess of the fair value of the acquisition over the cost, resulting from contingent consideration, is recorded as a liability. Contingent payments subsequently made are then applied against the liability. Amounts allocated to in-process research and development (IPR&amp;D) are expensed in the period of acquisition.</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Goodwill is tested for impairment as of October 1 of each year, or more frequently, if a significant event occurs under the guidance of SFAS 142,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Intangible Assets</w:t>
      </w:r>
      <w:r>
        <w:rPr>
          <w:rFonts w:ascii="Times New Roman" w:cs="Times New Roman" w:eastAsia="Times New Roman" w:hAnsi="Times New Roman"/>
          <w:sz w:val="18"/>
          <w:szCs w:val="18"/>
          <w:color w:val="auto"/>
        </w:rPr>
        <w:t>. Our reporting units, as defined by SFAS 142, are the same as our operating segments as each business unit is comprised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single component. Goodwill is assigned to our reporting units based on the expected benefit from the combined synergies, determined by using the incremental discounted cash flows associated with each reporting unit. Intangible assets with a finite life are amortized based on estimated discounted cash flows over estimated useful lives and tested for impairment when events or changes in circumstances indicate the carrying value may not be recoverable. We use estimates in determining the value of goodwill and intangible assets, including estimates of useful lives of intangible assets, discounted future cash flows and fair values of the related operations. In testing goodwill for impairment, we forecast discounted future cash flows at the reporting unit levelbased on estimated future revenues and operating costs, which take into consideration factors such as existing backlog, expected future orders, supplier contracts and general market conditions.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1" w:name="page12"/>
    <w:bookmarkEnd w:id="11"/>
    <w:p>
      <w:pPr>
        <w:ind w:left="24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industry standard warranties on our hardware products and large application software products. Standard warranty accruals represent the estimated cost of projected warranty claims and are based on 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 The long-term warranty balance includes estimated warranty claims beyond one year.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tc>
        <w:tc>
          <w:tcPr>
            <w:tcW w:w="240" w:type="dxa"/>
            <w:vAlign w:val="bottom"/>
          </w:tcPr>
          <w:p>
            <w:pPr>
              <w:spacing w:after="0"/>
              <w:rPr>
                <w:sz w:val="20"/>
                <w:szCs w:val="20"/>
                <w:color w:val="auto"/>
              </w:rPr>
            </w:pPr>
          </w:p>
        </w:tc>
        <w:tc>
          <w:tcPr>
            <w:tcW w:w="2540" w:type="dxa"/>
            <w:vAlign w:val="bottom"/>
            <w:gridSpan w:val="4"/>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Electricity Metering acquisition adjustments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product warranties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changes/adjustments to warranties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Claims activity</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(7,232)</w:t>
            </w: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December 31</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warranty</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Long-term warranty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4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warranty expense, which consists of new product warranties issued and other changes and adjustments to warranties, totaled approximately $10.1 million, $10.9 million and $6.7 million for the three years ended December 31, 2006, 2005 and 2004, respectively. Warranty expense is classified within cost of sales.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Health Benefits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self insured for a substantial portion of the cost of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were approximately $14.5 million, $14.6 million and $8.4 million for the years ended December 31, 2006, 2005 and 2004, respectively. The IBNR accrual, which is included in wages and benefits payable, was $1.9 million and $2.1 million at December 31, 2006 and 2005, respectively. Fluctuations in the IBNR accrual are the result of the number of plan participants, claims activity and deductible limits.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estimated loss for a contingency is recorded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affect our financial position, results of operations and cash flows.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tax rates expected to be in effect when the temporary differences reverse. We establish a valuation allowance for a portion of the deferred tax asset when we believe it is more likely than not that a portion of the deferred tax asset will not be utilized. Deferred tax liabilities have been recorded on undistributed earnings of foreign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2" w:name="page13"/>
    <w:bookmarkEnd w:id="12"/>
    <w:p>
      <w:pPr>
        <w:ind w:left="240"/>
        <w:spacing w:after="0"/>
        <w:rPr>
          <w:sz w:val="20"/>
          <w:szCs w:val="20"/>
          <w:color w:val="auto"/>
        </w:rPr>
      </w:pPr>
      <w:r>
        <w:rPr>
          <w:rFonts w:ascii="Times New Roman" w:cs="Times New Roman" w:eastAsia="Times New Roman" w:hAnsi="Times New Roman"/>
          <w:sz w:val="18"/>
          <w:szCs w:val="18"/>
          <w:i w:val="1"/>
          <w:iCs w:val="1"/>
          <w:color w:val="auto"/>
        </w:rPr>
        <w:t>Foreign Exchange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U.S. dollars. Assets and liabilities of foreign subsidiaries are denominated in foreign currencies and are translated to U.S. dollars at the exchange rates in effect on the balance sheet date. Revenues, costs of revenues and expenses for these subsidiaries are translated using a weighted average rate for the relevant reporting period. Translation adjustments resulting from this process are included, net of tax, in accumulated other comprehensive income (loss) in shareholders’ equity. Gains and losses that arise from exchange rate fluctuations for balances that are not denominated in the local currency are included in the Consolidated Statements of Operations unless those balances arose from intercompany transactions deemed to be long-term in nature. Currency gains and losses for this exception are included, net of tax, in accumulated other comprehensive income (loss) in shareholders’ equity.</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consist of hardware, software license fees, custom software development, field and project management service and engineering, consulting, implementation, installation and professional service revenues. Service revenues include post-sale maintenance support and outsourcing services. Outsourcing services include installation, operation and maintenance of meter reading systems to provide meter information to a customer for billing and management purposes. Outsourcing services can be provided for systems we own, as well as those owned by our customers.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arrangements with multiple deliverables are divided into separate units of accounting if the delivered item(s) have value to the customer on a standalone basis, there is objective and reliable evidence of fair value of the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bill and collect and is not contingent upon the delivery/performance of additional items.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vendor-specific objective evidence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 of completion methodology if project costs can be estimated or the completed contract methodology if project costs can not be reliably estimated. Hardware and software post-sale maintenance support fees are recognized ratably over the life of the related service contract. Under outsourcing arrangements, revenue is recognized as services are provided. Certain consulting services are recognized as services are performed.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Unearned revenue is recorded for products or services that have not been provided but have been invoiced under contractual agreements or paid for by a customer, or when products or services have been provided but the criteria for revenue recognition have not been met. Shipping and handling costs billed to customers are recorded as revenue, with the associated cost charged to cost of sales.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Product and Software Development Costs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and software development costs primarily include payroll and third party contracting fees. For software we develop to be marketed or sold, financial accounting standards require the capitalization of development costs 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were $1.2 million, $1.5 million and $1.8 million for the years ended December 31, 2006, 2005 and 2004,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3" w:name="page14"/>
    <w:bookmarkEnd w:id="13"/>
    <w:p>
      <w:pPr>
        <w:ind w:left="240"/>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(EPS) is calculated using net income (loss) divided by the weighted average common shares outstanding during the period. We compute dilutive earnings per share by adjusting the weighted average number of common shares outstanding to consider the effect of potentially dilutive securities, including stock-based awards and convertible notes. Shares that are contingently issuable are included in the dilutive EPS calculation as of the beginning of the period when all necessary conditions have been satisfied. For periods in which we report a net loss, diluted net loss per share is the same as basic net loss per share.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January 1, 2006, we adopted SFAS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which requires the measurement and recognition of compensation expense for all stock-based awards made to employees and directors based on estimated fair values. SFAS 123(R) supersedes Accounting Principles Board Opinion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In March 2005, the Securities Exchange Commission (SEC) issued Staff Accounting Bulletin 107 (SAB 107)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SFAS 123(R). We have applied the provisions of SAB 107 in our adoption of SFAS 123(R).</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adopted SFAS 123(R) using the modified prospective transition method, which requires the application of the accounting standard as of January 1, 2006, the first day of our fiscal year 2006. Our consolidated financial statements for the year ended December 31, 2006, reflect the impact of SFAS 123(R). In accordance with the modified prospective transition method, our consolidated financial statements for prior periods have not been restated to reflect the impact of SFAS 123(R).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 stock-based compensation expense under SFAS 123(R) for awards of stock options, our Employee Stock Purchase Plan (ESPP) and issuance of restricted and unrestricted stock. We expense stock-based compensation using the straight-line method. For the year ended December 31, 2006, stock-based compensation expense was $9.7 million, before a related income tax benefit of $1.7 million. There was no stock-based compensation expense capitalized at December 31, 2006. Stock-based compensation expense of $739,000 for the year ended December 31, 2005 was related to the issuance of unrestricted stock and ESPP that we recognized under previous accounting standards. There was no stock-based compensation expense related to employee stock options recognized during the year ended December 31, 2005.</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adoption of SFAS 123(R) resulted in incremental stock-based compensation expense and a corresponding decrease to pre-tax income of $9.0 million for the year ended December 31, 2006. A substantial portion of our stock-based compensation can not be expensed for tax purposes. This resulted in a decrease to income after tax of $7.6 million, or $0.30 per basic and $0.29 per diluted share for the year. Prior to the adoption of SFAS 123(R), we presented all tax benefits resulting from the exercise of stock options as operating cash inflows. Under SFAS 123(R), the benefits of tax deductions in excess of the compensation cost recognized are classified as financing cash inflows rather than operating cash inflows, on a prospective basis. Cash provided by operating activities decreased and cash provided by financing activities increased by $9.7 million, respectively, related to excess tax benefits from stock awards exercised during the year ended December 31, 2006.</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shows the effect on net earnings and earnings per share, for the year ended December 31, 2005 and 2004, had compensation cost been recognized based upon the estimated fair value on the grant date of stock options and ESPP in accordance with SFAS 123, </w:t>
      </w:r>
      <w:r>
        <w:rPr>
          <w:rFonts w:ascii="Times New Roman" w:cs="Times New Roman" w:eastAsia="Times New Roman" w:hAnsi="Times New Roman"/>
          <w:sz w:val="18"/>
          <w:szCs w:val="18"/>
          <w:i w:val="1"/>
          <w:iCs w:val="1"/>
          <w:color w:val="auto"/>
        </w:rPr>
        <w:t>Accounting for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as amended by SFAS 148,</w:t>
      </w:r>
      <w:r>
        <w:rPr>
          <w:rFonts w:ascii="Times New Roman" w:cs="Times New Roman" w:eastAsia="Times New Roman" w:hAnsi="Times New Roman"/>
          <w:sz w:val="18"/>
          <w:szCs w:val="18"/>
          <w:i w:val="1"/>
          <w:iCs w:val="1"/>
          <w:color w:val="auto"/>
        </w:rPr>
        <w:t xml:space="preserve"> Accounting for Stock-Based Compensation – Transition and Disclosure</w:t>
      </w:r>
      <w:r>
        <w:rPr>
          <w:rFonts w:ascii="Times New Roman" w:cs="Times New Roman" w:eastAsia="Times New Roman" w:hAnsi="Times New Roman"/>
          <w:sz w:val="18"/>
          <w:szCs w:val="18"/>
          <w:color w:val="auto"/>
        </w:rPr>
        <w:t>. Disclosures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2006 are not presented because the amounts are recognized in the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18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5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2004</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60" w:type="dxa"/>
            <w:vAlign w:val="bottom"/>
          </w:tcPr>
          <w:p>
            <w:pPr>
              <w:spacing w:after="0"/>
              <w:rPr>
                <w:sz w:val="20"/>
                <w:szCs w:val="20"/>
                <w:color w:val="auto"/>
              </w:rPr>
            </w:pPr>
          </w:p>
        </w:tc>
        <w:tc>
          <w:tcPr>
            <w:tcW w:w="318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00" w:type="dxa"/>
            <w:vAlign w:val="bottom"/>
            <w:gridSpan w:val="2"/>
            <w:vMerge w:val="continue"/>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 reported</w:t>
            </w:r>
          </w:p>
        </w:tc>
        <w:tc>
          <w:tcPr>
            <w:tcW w:w="23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33,061</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Deduct: stock-based compensation, net of tax</w:t>
            </w: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(5,404)</w:t>
            </w: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 forma net income (loss)</w:t>
            </w:r>
          </w:p>
        </w:tc>
        <w:tc>
          <w:tcPr>
            <w:tcW w:w="23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27,657</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(10,518)</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reported</w:t>
            </w:r>
          </w:p>
        </w:tc>
        <w:tc>
          <w:tcPr>
            <w:tcW w:w="23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 forma</w:t>
            </w:r>
          </w:p>
        </w:tc>
        <w:tc>
          <w:tcPr>
            <w:tcW w:w="23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reported</w:t>
            </w:r>
          </w:p>
        </w:tc>
        <w:tc>
          <w:tcPr>
            <w:tcW w:w="23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 forma</w:t>
            </w:r>
          </w:p>
        </w:tc>
        <w:tc>
          <w:tcPr>
            <w:tcW w:w="23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tcBorders>
              <w:top w:val="single" w:sz="8" w:color="CCEEFF"/>
            </w:tcBorders>
          </w:tcPr>
          <w:p>
            <w:pPr>
              <w:spacing w:after="0"/>
              <w:rPr>
                <w:sz w:val="15"/>
                <w:szCs w:val="15"/>
                <w:color w:val="auto"/>
              </w:rPr>
            </w:pPr>
          </w:p>
        </w:tc>
        <w:tc>
          <w:tcPr>
            <w:tcW w:w="1360" w:type="dxa"/>
            <w:vAlign w:val="bottom"/>
            <w:tcBorders>
              <w:top w:val="single" w:sz="8" w:color="CCEEFF"/>
            </w:tcBorders>
          </w:tcPr>
          <w:p>
            <w:pPr>
              <w:jc w:val="right"/>
              <w:ind w:right="93"/>
              <w:spacing w:after="0"/>
              <w:rPr>
                <w:sz w:val="20"/>
                <w:szCs w:val="20"/>
                <w:color w:val="auto"/>
              </w:rPr>
            </w:pPr>
            <w:r>
              <w:rPr>
                <w:rFonts w:ascii="Times New Roman" w:cs="Times New Roman" w:eastAsia="Times New Roman" w:hAnsi="Times New Roman"/>
                <w:sz w:val="14"/>
                <w:szCs w:val="14"/>
                <w:color w:val="auto"/>
              </w:rPr>
              <w:t>12</w:t>
            </w:r>
          </w:p>
        </w:tc>
        <w:tc>
          <w:tcPr>
            <w:tcW w:w="9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580" w:type="dxa"/>
            <w:vAlign w:val="bottom"/>
            <w:tcBorders>
              <w:bottom w:val="single" w:sz="8" w:color="808080"/>
            </w:tcBorders>
          </w:tcPr>
          <w:p>
            <w:pPr>
              <w:spacing w:after="0"/>
              <w:rPr>
                <w:sz w:val="6"/>
                <w:szCs w:val="6"/>
                <w:color w:val="auto"/>
              </w:rPr>
            </w:pPr>
          </w:p>
        </w:tc>
        <w:tc>
          <w:tcPr>
            <w:tcW w:w="13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2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color w:val="auto"/>
        </w:rPr>
        <w:t>The fair value of stock options and ESPP awards issued during the years ended December 31, 2006, 2005 and 2004 were estimated at the date of grant using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with the following weighted average assumptions: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560" w:type="dxa"/>
            <w:vAlign w:val="bottom"/>
            <w:tcBorders>
              <w:bottom w:val="single" w:sz="8" w:color="auto"/>
            </w:tcBorders>
            <w:gridSpan w:val="5"/>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Employee Stock Options</w:t>
            </w: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ESPP</w:t>
            </w:r>
          </w:p>
        </w:tc>
        <w:tc>
          <w:tcPr>
            <w:tcW w:w="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20" w:type="dxa"/>
            <w:vAlign w:val="bottom"/>
          </w:tcPr>
          <w:p>
            <w:pPr>
              <w:spacing w:after="0"/>
              <w:rPr>
                <w:sz w:val="19"/>
                <w:szCs w:val="19"/>
                <w:color w:val="auto"/>
              </w:rPr>
            </w:pPr>
          </w:p>
        </w:tc>
        <w:tc>
          <w:tcPr>
            <w:tcW w:w="2680" w:type="dxa"/>
            <w:vAlign w:val="bottom"/>
            <w:tcBorders>
              <w:bottom w:val="single" w:sz="8" w:color="auto"/>
            </w:tcBorders>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2004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58.9%</w:t>
            </w:r>
          </w:p>
        </w:tc>
        <w:tc>
          <w:tcPr>
            <w:tcW w:w="2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 w:type="dxa"/>
            <w:vAlign w:val="bottom"/>
          </w:tcPr>
          <w:p>
            <w:pPr>
              <w:spacing w:after="0"/>
              <w:rPr>
                <w:sz w:val="20"/>
                <w:szCs w:val="20"/>
                <w:color w:val="auto"/>
              </w:rPr>
            </w:pPr>
          </w:p>
        </w:tc>
      </w:tr>
    </w:tbl>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2006, expected price volatility is based on a combination of historical volatility of our common stock and the implied volatility of our traded options, for the related vesting period. Prior to the adoption of SFAS 123(R), expected stock price volatility was estimated using only historical volatility. We believe this combined approach is more reflective of current and historical market conditions and a better indicator of expected volatility. The risk-free interest rate is the rate available as of the award date on zero-coupon U.S. government issues with a remaining term equal to the expected life of the award. The expected life is the weighted average expected life for the entire award based on the fixed period of time between the date the award is granted and the date the award is fully exercised. Factors to be considered in estimating the expected life are historical experience of similar awards, giving consideration to the contractual terms, vesting schedules and expectations of future employee behavior. We have not paid dividends in the past and do not plan to pay any dividends in the foreseeable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restricted and unrestricted stock awards, the fair value is the market close price of our common stock on the date of grant.</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our adoption of SFAS 123(R) on January 1, 2006, certain amounts in the 2005 and 2004 Consolidated Statement of Cash Flows have been reclassified to conform with the 2006 presentation.</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2006, the Financial Accounting Standards Board (FASB) issued Financial Interpretation 48, </w:t>
      </w:r>
      <w:r>
        <w:rPr>
          <w:rFonts w:ascii="Times New Roman" w:cs="Times New Roman" w:eastAsia="Times New Roman" w:hAnsi="Times New Roman"/>
          <w:sz w:val="18"/>
          <w:szCs w:val="18"/>
          <w:i w:val="1"/>
          <w:iCs w:val="1"/>
          <w:color w:val="auto"/>
        </w:rPr>
        <w:t>Accounting for Uncertainty in Income Taxes –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interpretation of FASB 109 </w:t>
      </w:r>
      <w:r>
        <w:rPr>
          <w:rFonts w:ascii="Times New Roman" w:cs="Times New Roman" w:eastAsia="Times New Roman" w:hAnsi="Times New Roman"/>
          <w:sz w:val="18"/>
          <w:szCs w:val="18"/>
          <w:color w:val="auto"/>
        </w:rPr>
        <w:t>(FIN 48), which clarifies the accounting for uncertainty in income taxes recognized in a company’s financial statements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for us commencing January 1, 2007. </w:t>
      </w:r>
      <w:r>
        <w:rPr>
          <w:rFonts w:ascii="Arial" w:cs="Arial" w:eastAsia="Arial" w:hAnsi="Arial"/>
          <w:sz w:val="18"/>
          <w:szCs w:val="18"/>
          <w:color w:val="auto"/>
        </w:rPr>
        <w:t>The cumulative effect of applying FIN 48 shall be reported as an</w:t>
      </w:r>
      <w:r>
        <w:rPr>
          <w:rFonts w:ascii="Times New Roman" w:cs="Times New Roman" w:eastAsia="Times New Roman" w:hAnsi="Times New Roman"/>
          <w:sz w:val="18"/>
          <w:szCs w:val="18"/>
          <w:color w:val="auto"/>
        </w:rPr>
        <w:t xml:space="preserve"> adjustment to the opening </w:t>
      </w:r>
      <w:r>
        <w:rPr>
          <w:rFonts w:ascii="Arial" w:cs="Arial" w:eastAsia="Arial" w:hAnsi="Arial"/>
          <w:sz w:val="18"/>
          <w:szCs w:val="18"/>
          <w:color w:val="auto"/>
        </w:rPr>
        <w:t>balance of</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retained earnings for that fiscal year. </w:t>
      </w:r>
      <w:r>
        <w:rPr>
          <w:rFonts w:ascii="Times New Roman" w:cs="Times New Roman" w:eastAsia="Times New Roman" w:hAnsi="Times New Roman"/>
          <w:sz w:val="18"/>
          <w:szCs w:val="18"/>
          <w:color w:val="auto"/>
        </w:rPr>
        <w:t>Although we are continuing to evaluate the impact of FIN 48, based on our current analysis, we do not expect it to</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have a material impact on our financial statements.</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September 2006, the FASB issued SFAS 157, </w:t>
      </w:r>
      <w:r>
        <w:rPr>
          <w:rFonts w:ascii="Times New Roman" w:cs="Times New Roman" w:eastAsia="Times New Roman" w:hAnsi="Times New Roman"/>
          <w:sz w:val="18"/>
          <w:szCs w:val="18"/>
          <w:i w:val="1"/>
          <w:iCs w:val="1"/>
          <w:color w:val="auto"/>
        </w:rPr>
        <w:t>Fair Value Instruments</w:t>
      </w:r>
      <w:r>
        <w:rPr>
          <w:rFonts w:ascii="Times New Roman" w:cs="Times New Roman" w:eastAsia="Times New Roman" w:hAnsi="Times New Roman"/>
          <w:sz w:val="18"/>
          <w:szCs w:val="18"/>
          <w:color w:val="auto"/>
        </w:rPr>
        <w:t xml:space="preserve"> (SFAS 157), which defines fair value, establishes a framework for measuring fair value and expands disclosures about fair value measurements. SFAS 157 is effective for fiscal years beginning after November 15, 2007, on a prospective basis. We are currently evaluating the impact of the adoption of SFAS 157 on our financial statements.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September 2006, the SEC released SAB 108, </w:t>
      </w:r>
      <w:r>
        <w:rPr>
          <w:rFonts w:ascii="Times New Roman" w:cs="Times New Roman" w:eastAsia="Times New Roman" w:hAnsi="Times New Roman"/>
          <w:sz w:val="18"/>
          <w:szCs w:val="18"/>
          <w:i w:val="1"/>
          <w:iCs w:val="1"/>
          <w:color w:val="auto"/>
        </w:rPr>
        <w:t>Considering the Effects of Prior Year Misstatements when Quantifying Misstatements in Current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(SAB 108), regarding the process of quantifying financial statement misstatements, such as assessing both the carryover and reversing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of prior year misstatements on the current year financial statements. SAB 108 is effective for years ending after November 15, 2006. The adoption of SAB 108 did not have a material impact on our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February 2007, the FASB issued SFAS 159, </w:t>
      </w:r>
      <w:r>
        <w:rPr>
          <w:rFonts w:ascii="Times New Roman" w:cs="Times New Roman" w:eastAsia="Times New Roman" w:hAnsi="Times New Roman"/>
          <w:sz w:val="18"/>
          <w:szCs w:val="18"/>
          <w:i w:val="1"/>
          <w:iCs w:val="1"/>
          <w:color w:val="auto"/>
        </w:rPr>
        <w:t>The Fair Value Option for Financial Assets and Financial Liabilities</w:t>
      </w:r>
      <w:r>
        <w:rPr>
          <w:rFonts w:ascii="Times New Roman" w:cs="Times New Roman" w:eastAsia="Times New Roman" w:hAnsi="Times New Roman"/>
          <w:sz w:val="18"/>
          <w:szCs w:val="18"/>
          <w:color w:val="auto"/>
        </w:rPr>
        <w:t>. This statement permits entities to choose to measure many financial assets and financial liabilities at fair value. Unrealized gains and losses on items for which the fair value option has been elected would be reported in net income. SFAS 159 is effective for fiscal years beginning after November 15, 2007. We are currently evaluating the impact of the adoption of SFAS 159 on our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  Earnings Per Share and Capital Structure</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100" w:type="dxa"/>
            <w:vAlign w:val="bottom"/>
          </w:tcPr>
          <w:p>
            <w:pPr>
              <w:spacing w:after="0"/>
              <w:rPr>
                <w:sz w:val="20"/>
                <w:szCs w:val="20"/>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256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3"/>
              </w:rPr>
              <w:t>thousands, except per share data)</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8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33,759</w:t>
            </w: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33,061</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25,414</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23,394</w:t>
            </w: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33,759</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33,061</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23,394</w:t>
            </w:r>
          </w:p>
        </w:tc>
        <w:tc>
          <w:tcPr>
            <w:tcW w:w="5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Adjusted weighted average number of shares outstanding</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26,283</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dilutive effect of stock-based awards is calculated using the treasury stock method. Under this method, EPS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Weighted average common shares outstanding, assuming dilution, include the incremental shares that would be issued upon the assumed exercise of stock-based awards. At December 31, 2006, 2005 and 2004, we had stock-based awards outstanding of approximately 2.2 million, 2.4 million and 3.9 million at weighted average option exercise prices of $29.78, $21.24 and $15.24, respectively. Approximately 270,000, 15,000 and 2.4 million stock-based awards were excluded from the calculation of diluted EPS for the years ended December 31, 2006, 2005 and 2004, respectively, because they were anti-dilutive. These stock-based awards could be dilutive in future periods.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2006, we issued $345 million of convertible notes that if converted in the future, would have a potentially dilutive effect on our stock (see Note 9). Under the indenture for the convertible notes, upon conversion we are required to settle the principal amount of the convertible notes in cash and may elect to settle the remaining conversion obligation (stock price in excess of conversion price) in cash, shares or a combination. The effect on diluted earnings per share is calculated under the net share settlement method in accordance with the FASB’s Emerging Issues Task Force 04-8, </w:t>
      </w:r>
      <w:r>
        <w:rPr>
          <w:rFonts w:ascii="Times New Roman" w:cs="Times New Roman" w:eastAsia="Times New Roman" w:hAnsi="Times New Roman"/>
          <w:sz w:val="18"/>
          <w:szCs w:val="18"/>
          <w:i w:val="1"/>
          <w:iCs w:val="1"/>
          <w:color w:val="auto"/>
        </w:rPr>
        <w:t>The Effect of Contingently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Instruments on Diluted Earnings per Share</w:t>
      </w:r>
      <w:r>
        <w:rPr>
          <w:rFonts w:ascii="Times New Roman" w:cs="Times New Roman" w:eastAsia="Times New Roman" w:hAnsi="Times New Roman"/>
          <w:sz w:val="18"/>
          <w:szCs w:val="18"/>
          <w:color w:val="auto"/>
        </w:rPr>
        <w:t>. Under the net share settlement method, we include the amount of shares it would take to satisfy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obligation, assuming that all of the convertible notes are surrendered. The average closing price of our common stock for each of the periods presented is used as the basis for determining dilution. The average price of our common stock for the year ended December 31, 2006 did not exceed the conversion price of $65.16 and therefore, did not have an effect on diluted earnings per share.</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authorized 10 million shares of preferred stock with no par value. In the event of a liquidation, dissolution or winding up of the affairs of the corporation, whether voluntary or involuntary, the holders of any preferred stock at the time outstanding will be entitled to be paid a preferential amount per share to be determined by the Board of Directors prior to any payment to holders of common stock. Shares of preferred stock may be converted into common stock based on terms, conditions, rates and subject to such adjustments set by the Board of Directors. There was no preferred stock issued or outstanding at December 31, 2006, 2005 and 2004.</w:t>
      </w:r>
    </w:p>
    <w:p>
      <w:pPr>
        <w:spacing w:after="0" w:line="20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tab/>
        <w:t>Short-term Investments, Held to Maturity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investments are classified as held to maturity, have original maturities of less than one year and consist of U.S. government and federal agencies. We have the intent and ability to hold these investments to maturity. The securities are reported at their amortized cost with premiums and discounts recognized in interest income using the effective interest method over the terms of the securities. Any impairment to the fair value of the securities is considered temporary due to the short-term nature of the investments, with recovery of fair value expected at maturity.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amortized cost and fair value of our investments at December 31, 2006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00" w:type="dxa"/>
            <w:vAlign w:val="bottom"/>
          </w:tcPr>
          <w:p>
            <w:pPr>
              <w:spacing w:after="0"/>
              <w:rPr>
                <w:sz w:val="18"/>
                <w:szCs w:val="18"/>
                <w:color w:val="auto"/>
              </w:rPr>
            </w:pP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1"/>
                <w:szCs w:val="21"/>
                <w:color w:val="auto"/>
              </w:rPr>
            </w:pPr>
          </w:p>
        </w:tc>
        <w:tc>
          <w:tcPr>
            <w:tcW w:w="108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federal agencies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Certain Balance Sheet Components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Accounts receivable, net</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(net of allowance for doubtful accounts of $589 and $598)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 summary of the allowance for doubtful accounts activity is as follows:</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gridSpan w:val="8"/>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Electricity Metering adjustments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doubtful accounts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charged off</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December 31</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i w:val="1"/>
                <w:iCs w:val="1"/>
                <w:color w:val="auto"/>
              </w:rPr>
              <w:t>Inventories</w:t>
            </w: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inventory balances is as follows: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right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manufacturing inventories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CEEFF"/>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 inventories</w:t>
            </w: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right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inventories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52,496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49,456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current assets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held for sale are classified within other current assets and are reported at the lower of the carrying amount or fair value less costs to sell, and are no longer depreciated. During the first quarter of 2006, after the purchase of our new headquarters facility in Liberty Lake, Washington at the end of 2005, our previous headquarters facility in Spokane Valley was listed for sale. As a result, the net carrying value of the Spokane Valley facility totaling approximately $8.8 million was transferred from property, plant and equipment to other current assets. During 2006, we reduced the carrying value of the facility by $680,000 to reflect fair value less costs to sell, which was recorded in general and administrative expenses. We expect to sell the building in 2007.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5"/>
        </w:trPr>
        <w:tc>
          <w:tcPr>
            <w:tcW w:w="596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5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80" w:type="dxa"/>
            <w:vAlign w:val="bottom"/>
          </w:tcPr>
          <w:p>
            <w:pPr>
              <w:spacing w:after="0"/>
              <w:rPr>
                <w:sz w:val="19"/>
                <w:szCs w:val="19"/>
                <w:color w:val="auto"/>
              </w:rPr>
            </w:pP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47,709</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Equipment used in outsourcing</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16,086</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34,736</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Buildings, furniture and improvements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45,611</w:t>
            </w:r>
          </w:p>
        </w:tc>
      </w:tr>
      <w:tr>
        <w:trPr>
          <w:trHeight w:val="223"/>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cost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164,091</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148,359</w:t>
            </w:r>
          </w:p>
        </w:tc>
      </w:tr>
      <w:tr>
        <w:trPr>
          <w:trHeight w:val="223"/>
        </w:trPr>
        <w:tc>
          <w:tcPr>
            <w:tcW w:w="5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(75,402)</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(70,736)</w:t>
            </w:r>
          </w:p>
        </w:tc>
      </w:tr>
      <w:tr>
        <w:trPr>
          <w:trHeight w:val="216"/>
        </w:trPr>
        <w:tc>
          <w:tcPr>
            <w:tcW w:w="5960" w:type="dxa"/>
            <w:vAlign w:val="bottom"/>
            <w:tcBorders>
              <w:top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88,689</w:t>
            </w: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77,623</w:t>
            </w:r>
          </w:p>
        </w:tc>
        <w:tc>
          <w:tcPr>
            <w:tcW w:w="80" w:type="dxa"/>
            <w:vAlign w:val="bottom"/>
            <w:tcBorders>
              <w:top w:val="single" w:sz="8" w:color="CCEEFF"/>
            </w:tcBorders>
          </w:tcPr>
          <w:p>
            <w:pPr>
              <w:spacing w:after="0"/>
              <w:rPr>
                <w:sz w:val="18"/>
                <w:szCs w:val="18"/>
                <w:color w:val="auto"/>
              </w:rPr>
            </w:pPr>
          </w:p>
        </w:tc>
      </w:tr>
      <w:tr>
        <w:trPr>
          <w:trHeight w:val="21"/>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$15.1 million, $12.8 million and $11.2 million for the years ended December 31, 2006, 2005 and 2004, respectively.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30, 2005, we completed the purchase of a building in Liberty Lake, Washington, which became our corporate headquarters in the third quarter of 2006. For the year ended December 31, 2006, we invested approximately $11.6 million in capital improvements related to our new corporate headquarters, including capitalized interest costs of $900,000. These capital improvements were substantially complete at September 30, 2006.</w:t>
      </w:r>
    </w:p>
    <w:p>
      <w:pPr>
        <w:spacing w:after="0" w:line="19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Quantum Consulting, Inc.</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2006, we completed the acquisition of Quantum Consulting, Inc. (Quantum), an energy consulting firm. The acquisition expands our consulting services related to energy efficiency, planning design and market research in our Software Solutions segment. The preliminary purchase price, including a working capital adjustment of $96,000 and net of cash acquired of $81,000, is summarized as follows (in thousands):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net of cash acquired</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4,015</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Direct transaction costs</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tcPr>
          <w:p>
            <w:pPr>
              <w:spacing w:after="0"/>
              <w:rPr>
                <w:sz w:val="19"/>
                <w:szCs w:val="19"/>
                <w:color w:val="auto"/>
              </w:rPr>
            </w:pPr>
          </w:p>
        </w:tc>
      </w:tr>
      <w:tr>
        <w:trPr>
          <w:trHeight w:val="257"/>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purchase price consideration, $400,000 is retained in an escrow account for indemnifications made by Quantum. The amount in escrow will be released at predetermined intervals through April 2008. Additional contingent consideration of up to $1.0 million will be paid to Quantum shareholders if certain defined financial targets are achieved in 2006, 2007 and 2008. These additional payments will increase the purchase price and goodwill at the time the financial targets are achieved. The 2006 financial target was not achieved; therefore, no additional consideration was required at December 31, 2006. An additional payment will also be made to Quantum shareholders, of up to $1.0 million, if certain key individuals remain employees through March 2009. A substantial portion of the payment will be recognized as compensation expense over the retention period.</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financial information reflects the allocation of the purchase price based on estimated fair values of assets and liabilities as of the date of acquisition. The excess of the purchase price over the fair value of net assets acquired has been recorded as goodwill.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April 1, 2006</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6"/>
        </w:trPr>
        <w:tc>
          <w:tcPr>
            <w:tcW w:w="5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 months)</w:t>
            </w:r>
          </w:p>
        </w:tc>
        <w:tc>
          <w:tcPr>
            <w:tcW w:w="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tangible net assets acquired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Identified intangible assets - amortizable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Non-compete agreements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r>
      <w:tr>
        <w:trPr>
          <w:trHeight w:val="216"/>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Contract backlog</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18"/>
                <w:szCs w:val="18"/>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r>
      <w:tr>
        <w:trPr>
          <w:trHeight w:val="223"/>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4,493</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values assigned to the identified intangible assets were estimated using the income approach. Under the income approach, the fair value reflects the present value of the projected cash flows that are expected to be generated. The intangible assets will be amortized over the estimated useful lives of the estimated discounted cash flows assumed in the valuation models. Goodwill and intangible assets were allocated to our Software Solutions segment in accordance with SFAS 142. For tax purposes, goodwill is not deductible as we acquired the stock of Quantum.</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 w:name="page19"/>
    <w:bookmarkEnd w:id="18"/>
    <w:p>
      <w:pPr>
        <w:ind w:left="240"/>
        <w:spacing w:after="0"/>
        <w:rPr>
          <w:sz w:val="20"/>
          <w:szCs w:val="20"/>
          <w:color w:val="auto"/>
        </w:rPr>
      </w:pPr>
      <w:r>
        <w:rPr>
          <w:rFonts w:ascii="Times New Roman" w:cs="Times New Roman" w:eastAsia="Times New Roman" w:hAnsi="Times New Roman"/>
          <w:sz w:val="18"/>
          <w:szCs w:val="18"/>
          <w:i w:val="1"/>
          <w:iCs w:val="1"/>
          <w:color w:val="auto"/>
        </w:rPr>
        <w:t>ELO Sistemas e Tecnologia Ltda.</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 2006, we completed the acquisition of ELO Sistemas e Tecnologia Ltda. (ELO) for an initial cash payment of approximately $1.9 million and a working capital adjustment of $102,000. Cash consideration also included the settlement of a $637,000 payable from ELO to us for inventory purchased by ELO prior to the acquisition. Additional contingent consideration will be payable if certain financial targets are achieved over the next five years. The 2006 financial target was not achieved; therefore, no additional consideration was required at December 31, 2006. Operations reside in Campinas, Brazil and include sales, manufacturing, service and maintenance, consulting and administrative functions related to meters, AMR technology and related systems in South America. The preliminary purchase price, which includes direct transaction costs and is net of cash acquired of $10,000, is summarized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net of cash acquired</w:t>
            </w:r>
          </w:p>
        </w:tc>
        <w:tc>
          <w:tcPr>
            <w:tcW w:w="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2,641</w:t>
            </w: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Direct transaction costs</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19"/>
                <w:szCs w:val="19"/>
                <w:color w:val="auto"/>
              </w:rPr>
            </w:pPr>
          </w:p>
        </w:tc>
      </w:tr>
      <w:tr>
        <w:trPr>
          <w:trHeight w:val="257"/>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56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price was allocated to the tangible and intangible assets acquired and liabilities assumed based on their estimated fair values as of the date of acquisition. The estimated fair value of the net assets acquired and liabilities assumed exceeded the initial cash consideration paid by approximately $5.5 million, resulting in negative goodwill. In a business combination with contingent consideration, the lesser of the maximum amount of contingent consideration or the total amount of negative goodwill should be recorded as a liability. As the purchase agreement does not limit the maximum contingent consideration payable, the full amount of the negative goodwill is reflected as a long-term liability. If contingent payments are made, we will apply the payments against the contingent liability. Payments in excess of the contingent liability balance, if any, will be recorded as goodwill.</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financial information reflects a preliminary allocation of the purchase price based on estimated fair values of assets and liabilities as of the date of acquisition. We are continuing to assess certain assets acquired, including fixed assets, and expect to finalize the adjustments in the first quarter of 2007.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June 1, 2006</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6"/>
        </w:trPr>
        <w:tc>
          <w:tcPr>
            <w:tcW w:w="5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(in months)</w:t>
            </w:r>
          </w:p>
        </w:tc>
        <w:tc>
          <w:tcPr>
            <w:tcW w:w="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tangible net assets acquired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Identified intangible assets - amortizable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Customer relationships/contracts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6,957</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r>
      <w:tr>
        <w:trPr>
          <w:trHeight w:val="216"/>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Contract backlog</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1,731</w:t>
            </w:r>
          </w:p>
        </w:tc>
        <w:tc>
          <w:tcPr>
            <w:tcW w:w="160" w:type="dxa"/>
            <w:vAlign w:val="bottom"/>
          </w:tcPr>
          <w:p>
            <w:pPr>
              <w:spacing w:after="0"/>
              <w:rPr>
                <w:sz w:val="18"/>
                <w:szCs w:val="18"/>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2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purchase price liability</w:t>
            </w:r>
          </w:p>
        </w:tc>
        <w:tc>
          <w:tcPr>
            <w:tcW w:w="1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(5,519)</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5960" w:type="dxa"/>
            <w:vAlign w:val="bottom"/>
            <w:tcBorders>
              <w:top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values assigned to the identified intangible assets were estimated using the income approach. Under the income approach, the fair value reflects the present value of the projected cash flows that are expected to be generated. The intangible assets will be amortized over the estimated useful lives of the estimated discounted cash flows assumed in the valuation models. Goodwill and intangible assets were allocated to our Electricity Metering segment in accordance with SFAS 142. Due to changes in foreign currency exchange rates, the contingent purchase price liability can increase or decrease, with a corresponding change in accumulated other comprehensive income (loss). The contingent purchase price liability was approximately $5.9 million at December 31, 2006. This acquisition was structured such that we received an increase in basis for tax purposes equal to the cash consideration paid. In future years, intangible assets and goodwill will be recognized (and deductible) for tax purposes as contingent consideration payments are made.</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Flow Metrix, Inc.</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21, 2006, we completed the acquisition of Flow Metrix, Inc. (Flow Metrix). Flow Metrix develops and manufactures advanced leak detection systems for underground pipelines, which will complement our fixed network water products and allow our customers to improve pipeline integrity management. The preliminary purchase price, which includes direct transaction costs, net of cash acquired of $2.0 million, is summarized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net of cash acquired</w:t>
            </w:r>
          </w:p>
        </w:tc>
        <w:tc>
          <w:tcPr>
            <w:tcW w:w="374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12,952</w:t>
            </w:r>
          </w:p>
        </w:tc>
        <w:tc>
          <w:tcPr>
            <w:tcW w:w="228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Direct transaction costs</w:t>
            </w:r>
          </w:p>
        </w:tc>
        <w:tc>
          <w:tcPr>
            <w:tcW w:w="3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c>
          <w:tcPr>
            <w:tcW w:w="2280" w:type="dxa"/>
            <w:vAlign w:val="bottom"/>
          </w:tcPr>
          <w:p>
            <w:pPr>
              <w:spacing w:after="0"/>
              <w:rPr>
                <w:sz w:val="18"/>
                <w:szCs w:val="18"/>
                <w:color w:val="auto"/>
              </w:rPr>
            </w:pPr>
          </w:p>
        </w:tc>
      </w:tr>
      <w:tr>
        <w:trPr>
          <w:trHeight w:val="27"/>
        </w:trPr>
        <w:tc>
          <w:tcPr>
            <w:tcW w:w="4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7"/>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3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13,606</w:t>
            </w:r>
          </w:p>
        </w:tc>
        <w:tc>
          <w:tcPr>
            <w:tcW w:w="2280" w:type="dxa"/>
            <w:vAlign w:val="bottom"/>
          </w:tcPr>
          <w:p>
            <w:pPr>
              <w:spacing w:after="0"/>
              <w:rPr>
                <w:sz w:val="22"/>
                <w:szCs w:val="22"/>
                <w:color w:val="auto"/>
              </w:rPr>
            </w:pPr>
          </w:p>
        </w:tc>
      </w:tr>
      <w:tr>
        <w:trPr>
          <w:trHeight w:val="402"/>
        </w:trPr>
        <w:tc>
          <w:tcPr>
            <w:tcW w:w="428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jc w:val="right"/>
              <w:ind w:right="1539"/>
              <w:spacing w:after="0"/>
              <w:rPr>
                <w:sz w:val="20"/>
                <w:szCs w:val="20"/>
                <w:color w:val="auto"/>
              </w:rPr>
            </w:pPr>
            <w:r>
              <w:rPr>
                <w:rFonts w:ascii="Times New Roman" w:cs="Times New Roman" w:eastAsia="Times New Roman" w:hAnsi="Times New Roman"/>
                <w:sz w:val="14"/>
                <w:szCs w:val="14"/>
                <w:color w:val="auto"/>
              </w:rPr>
              <w:t>17</w:t>
            </w:r>
          </w:p>
        </w:tc>
        <w:tc>
          <w:tcPr>
            <w:tcW w:w="6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r>
      <w:tr>
        <w:trPr>
          <w:trHeight w:val="101"/>
        </w:trPr>
        <w:tc>
          <w:tcPr>
            <w:tcW w:w="4280" w:type="dxa"/>
            <w:vAlign w:val="bottom"/>
            <w:tcBorders>
              <w:bottom w:val="single" w:sz="8" w:color="808080"/>
            </w:tcBorders>
          </w:tcPr>
          <w:p>
            <w:pPr>
              <w:spacing w:after="0"/>
              <w:rPr>
                <w:sz w:val="8"/>
                <w:szCs w:val="8"/>
                <w:color w:val="auto"/>
              </w:rPr>
            </w:pPr>
          </w:p>
        </w:tc>
        <w:tc>
          <w:tcPr>
            <w:tcW w:w="31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Of the purchase price consideration, $2.8 million was retained in an escrow account for working capital adjustments and indemnifications made by Flow Metrix. Additional consideration of up to $3.0 million may be made if certain technological and integration milestones are achieved within the first three years. These additional payments will increase the purchase price and goodwill at the time the milestones are achieved. The agreement also provides us a one year option to purchase additional technology targeted at energy pipeline integrity for an additional payment of $1.5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reflects a preliminary allocation of the purchase price based on estimated fair values of assets and liabilities as of the date of the acquisition. We are performing a review of the assets acquired and liabilities assumed, including intangible assets and the associated lives, and expect to finalize the majority of the fair value adjustments during the first quarter of 2007.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November 21, 2006</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6"/>
        </w:trPr>
        <w:tc>
          <w:tcPr>
            <w:tcW w:w="5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(in months)</w:t>
            </w: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net liabilities assumed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(3,824)</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Identified intangible assets - amortizable</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Core-developed technology</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8,600</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contracts</w:t>
            </w: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Tradenames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Pr>
          <w:p>
            <w:pPr>
              <w:spacing w:after="0"/>
              <w:rPr>
                <w:sz w:val="18"/>
                <w:szCs w:val="18"/>
                <w:color w:val="auto"/>
              </w:rPr>
            </w:pPr>
          </w:p>
        </w:tc>
        <w:tc>
          <w:tcPr>
            <w:tcW w:w="16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Pr>
          <w:p>
            <w:pPr>
              <w:spacing w:after="0"/>
              <w:rPr>
                <w:sz w:val="18"/>
                <w:szCs w:val="18"/>
                <w:color w:val="auto"/>
              </w:rPr>
            </w:pPr>
          </w:p>
        </w:tc>
      </w:tr>
      <w:tr>
        <w:trPr>
          <w:trHeight w:val="22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5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13,606</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values assigned to the identified intangible assets were estimated using the income approach. Under the income approach, the fair value reflects the present value of the projected cash flows that are expected to be generated. The intangible assets will be amortized over the estimated useful lives of the estimated discounted cash flows assumed in the valuation models. Goodwill and intangible assets were allocated to our Meter Data Collection segment in accordance with SFAS 142. For tax purposes, goodwill is not deductible as we acquired the stock of Flow Metrix.</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 forma results are not presented for the acquisitions of Quantum, ELO and Flow Metrix because they were not considered material business combinations in accordance with SFAS 141.</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Electricity Metering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2004, we completed the acquisition of our Electricity Meter business. This acquisition added electricity meter manufacturing and sales to our operations, creating our Electricity Metering operating segment.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was $248.3 million, which included a post closing working capital adjustment of $109,000, less cash acquired of approximately $1.4 million. Direct transaction costs were $8.0 million. We used proceeds from a new $240 million senior secured credit facility (credit facility) and a private placement of $125 million in senior subordinated notes to finance the acquisition, pay related fees and expenses and repay approximately $50.2 million of a previous credit facility.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excess of the purchase price over the fair value of net assets acquired was recorded as goodwill. Goodwill and intangible assets were allocated to our new Hardware Solutions—Electricity Metering segment in accordance with SFAS 142.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information reflects the allocation of the purchase price based on final fair values of the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2280" w:type="dxa"/>
            <w:vAlign w:val="bottom"/>
          </w:tcPr>
          <w:p>
            <w:pPr>
              <w:spacing w:after="0"/>
              <w:rPr>
                <w:sz w:val="21"/>
                <w:szCs w:val="21"/>
                <w:color w:val="auto"/>
              </w:rPr>
            </w:pPr>
          </w:p>
        </w:tc>
      </w:tr>
      <w:tr>
        <w:trPr>
          <w:trHeight w:val="216"/>
        </w:trPr>
        <w:tc>
          <w:tcPr>
            <w:tcW w:w="4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months)</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tangible net assets acquired</w:t>
            </w:r>
          </w:p>
        </w:tc>
        <w:tc>
          <w:tcPr>
            <w:tcW w:w="1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58,747</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6,400</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Identified intangible assets - amortizable</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Core-developed technology</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136,900</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54 to 168</w:t>
            </w:r>
          </w:p>
        </w:tc>
        <w:tc>
          <w:tcPr>
            <w:tcW w:w="2280" w:type="dxa"/>
            <w:vAlign w:val="bottom"/>
          </w:tcPr>
          <w:p>
            <w:pPr>
              <w:spacing w:after="0"/>
              <w:rPr>
                <w:sz w:val="18"/>
                <w:szCs w:val="18"/>
                <w:color w:val="auto"/>
              </w:rPr>
            </w:pPr>
          </w:p>
        </w:tc>
      </w:tr>
      <w:tr>
        <w:trPr>
          <w:trHeight w:val="216"/>
        </w:trPr>
        <w:tc>
          <w:tcPr>
            <w:tcW w:w="4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Contract backlog</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1,800</w:t>
            </w:r>
          </w:p>
        </w:tc>
        <w:tc>
          <w:tcPr>
            <w:tcW w:w="16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Customer relationships/contracts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3,100</w:t>
            </w: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25,200</w:t>
            </w:r>
          </w:p>
        </w:tc>
        <w:tc>
          <w:tcPr>
            <w:tcW w:w="16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24,093</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7"/>
        </w:trPr>
        <w:tc>
          <w:tcPr>
            <w:tcW w:w="4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r>
      <w:tr>
        <w:trPr>
          <w:trHeight w:val="216"/>
        </w:trPr>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assets acquired</w:t>
            </w:r>
          </w:p>
        </w:tc>
        <w:tc>
          <w:tcPr>
            <w:tcW w:w="1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256,293</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
        </w:trPr>
        <w:tc>
          <w:tcPr>
            <w:tcW w:w="4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02"/>
        </w:trPr>
        <w:tc>
          <w:tcPr>
            <w:tcW w:w="426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01"/>
        </w:trPr>
        <w:tc>
          <w:tcPr>
            <w:tcW w:w="42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The values assigned to the identified intangible assets were estimated using the income approach. Under the income approach, the fair value reflects the present value of the projected cash flows that are expected to be generated. The intangible assets are being amortized over the estimated useful lives of the estimated discounted cash flows assumed in the valuation models. This acquisition was treated as an asset purchase for tax purposes; accordingly, goodwill and IPR&amp;D expense are deductible for tax purposes over 15 years.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$6.4 million of IPR&amp;D consisted primarily of next generation technology, valued at $5.7 million. The IPR&amp;D projects were analyzed according to exclusivity, substance, economic benefit, incompleteness, measurability and alternative future use. The primary projects were intended to make key enhancements and improve functionality of our polyphase meter. We valued IPR&amp;D using the income approach, which uses the present value of the projected cash flows that are expected to be generated. The risk adjusted discount rate was 18 percent, which was based on several factors such as the industry composite of weighted average cost of capital, weighted average return on assets, internal rate of return and perceived risk of the projects. We originally estimated the research and development to be approximately 50% complete, with a cost to complete the development of approximately $1.2 million over the next twelve months. At December 31, 2005, after incurring approximately $1.3 million in costs, we were substantially complete with the in-process technology. Sales of this new technology took place in 2006.</w:t>
      </w:r>
    </w:p>
    <w:p>
      <w:pPr>
        <w:spacing w:after="0" w:line="2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6:</w:t>
        <w:tab/>
        <w:t>Identified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our intangible assets, other than goodwill,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At December 31, 2006</w:t>
            </w:r>
          </w:p>
        </w:tc>
        <w:tc>
          <w:tcPr>
            <w:tcW w:w="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10"/>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At December 31, 2005</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Gross Assets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Net</w:t>
            </w:r>
          </w:p>
        </w:tc>
        <w:tc>
          <w:tcPr>
            <w:tcW w:w="5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Gross Assets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Core-developed technology</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162,930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(77,783)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85,147</w:t>
            </w: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154,330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(54,064)</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100,266</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6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(5,059)</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(4,690)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2,398</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(5,065)</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and production rights</w:t>
            </w:r>
          </w:p>
        </w:tc>
        <w:tc>
          <w:tcPr>
            <w:tcW w:w="6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(3,384)</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(3,220)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(7,931)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(7,028)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6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(12,022)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14,188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(7,634)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18,076</w:t>
            </w:r>
          </w:p>
        </w:tc>
      </w:tr>
      <w:tr>
        <w:trPr>
          <w:trHeight w:val="223"/>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(7,942)</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(6,334)</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198"/>
        </w:trPr>
        <w:tc>
          <w:tcPr>
            <w:tcW w:w="20" w:type="dxa"/>
            <w:vAlign w:val="bottom"/>
          </w:tcPr>
          <w:p>
            <w:pPr>
              <w:spacing w:after="0"/>
              <w:rPr>
                <w:sz w:val="17"/>
                <w:szCs w:val="17"/>
                <w:color w:val="auto"/>
              </w:rPr>
            </w:pPr>
          </w:p>
        </w:tc>
        <w:tc>
          <w:tcPr>
            <w:tcW w:w="2620" w:type="dxa"/>
            <w:vAlign w:val="bottom"/>
            <w:tcBorders>
              <w:top w:val="single" w:sz="8" w:color="CCEEFF"/>
            </w:tcBorders>
          </w:tcPr>
          <w:p>
            <w:pPr>
              <w:ind w:left="560"/>
              <w:spacing w:after="0" w:line="198" w:lineRule="exact"/>
              <w:rPr>
                <w:sz w:val="20"/>
                <w:szCs w:val="20"/>
                <w:color w:val="auto"/>
              </w:rPr>
            </w:pPr>
            <w:r>
              <w:rPr>
                <w:rFonts w:ascii="Times New Roman" w:cs="Times New Roman" w:eastAsia="Times New Roman" w:hAnsi="Times New Roman"/>
                <w:sz w:val="18"/>
                <w:szCs w:val="18"/>
                <w:color w:val="auto"/>
              </w:rPr>
              <w:t>Total identified intangible</w:t>
            </w:r>
          </w:p>
        </w:tc>
        <w:tc>
          <w:tcPr>
            <w:tcW w:w="6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assets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231,868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(119,186)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112,682</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211,328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(88,035)</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123,293</w:t>
            </w:r>
          </w:p>
        </w:tc>
      </w:tr>
      <w:tr>
        <w:trPr>
          <w:trHeight w:val="21"/>
        </w:trPr>
        <w:tc>
          <w:tcPr>
            <w:tcW w:w="264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summary of the identifiable intangible asset account activity is as follows: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211,328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211,328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19,988</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change in exchange rates</w:t>
            </w:r>
          </w:p>
        </w:tc>
        <w:tc>
          <w:tcPr>
            <w:tcW w:w="6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 total intangible assets, gross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ind w:right="31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231,868</w:t>
            </w:r>
          </w:p>
        </w:tc>
        <w:tc>
          <w:tcPr>
            <w:tcW w:w="160" w:type="dxa"/>
            <w:vAlign w:val="bottom"/>
          </w:tcPr>
          <w:p>
            <w:pPr>
              <w:spacing w:after="0"/>
              <w:rPr>
                <w:sz w:val="18"/>
                <w:szCs w:val="18"/>
                <w:color w:val="auto"/>
              </w:rPr>
            </w:pPr>
          </w:p>
        </w:tc>
        <w:tc>
          <w:tcPr>
            <w:tcW w:w="800" w:type="dxa"/>
            <w:vAlign w:val="bottom"/>
          </w:tcPr>
          <w:p>
            <w:pPr>
              <w:jc w:val="right"/>
              <w:ind w:right="631"/>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Pr>
          <w:p>
            <w:pPr>
              <w:spacing w:after="0"/>
              <w:rPr>
                <w:sz w:val="18"/>
                <w:szCs w:val="18"/>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211,328</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in identified intangible assets were the result of the Quantum, ELO and Flow Metrix acquisitions during 2006. The carrying amount of intangible assets can also increase or decrease, with a corresponding change in accumulated other comprehensive income (loss), due to changes in foreign currency exchange rates for those intangible assets owned by our foreign subsidiaries. At December 31, 2006, the intangible assets associated with the ELO acquisition increased $552,000 as a result of a change in foreign currency rates. Intangible asset amortization expense was $31.1 million in 2006, $38.8 million in 2005 and $27.6 million in 2004.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annual amortization expense is as follows:</w:t>
            </w:r>
          </w:p>
        </w:tc>
        <w:tc>
          <w:tcPr>
            <w:tcW w:w="100" w:type="dxa"/>
            <w:vAlign w:val="bottom"/>
          </w:tcPr>
          <w:p>
            <w:pPr>
              <w:spacing w:after="0"/>
              <w:rPr>
                <w:sz w:val="20"/>
                <w:szCs w:val="20"/>
                <w:color w:val="auto"/>
              </w:rPr>
            </w:pPr>
          </w:p>
        </w:tc>
        <w:tc>
          <w:tcPr>
            <w:tcW w:w="15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Annual</w:t>
            </w:r>
          </w:p>
        </w:tc>
        <w:tc>
          <w:tcPr>
            <w:tcW w:w="0" w:type="dxa"/>
            <w:vAlign w:val="bottom"/>
          </w:tcPr>
          <w:p>
            <w:pPr>
              <w:spacing w:after="0"/>
              <w:rPr>
                <w:sz w:val="1"/>
                <w:szCs w:val="1"/>
                <w:color w:val="auto"/>
              </w:rPr>
            </w:pPr>
          </w:p>
        </w:tc>
      </w:tr>
      <w:tr>
        <w:trPr>
          <w:trHeight w:val="194"/>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0" w:type="dxa"/>
            <w:vAlign w:val="bottom"/>
          </w:tcPr>
          <w:p>
            <w:pPr>
              <w:spacing w:after="0"/>
              <w:rPr>
                <w:sz w:val="1"/>
                <w:szCs w:val="1"/>
                <w:color w:val="auto"/>
              </w:rPr>
            </w:pPr>
          </w:p>
        </w:tc>
      </w:tr>
      <w:tr>
        <w:trPr>
          <w:trHeight w:val="216"/>
        </w:trPr>
        <w:tc>
          <w:tcPr>
            <w:tcW w:w="7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28,146</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23,742</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19,991</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14,010</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Beyond 2011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15,029</w:t>
            </w:r>
          </w:p>
        </w:tc>
        <w:tc>
          <w:tcPr>
            <w:tcW w:w="0" w:type="dxa"/>
            <w:vAlign w:val="bottom"/>
          </w:tcPr>
          <w:p>
            <w:pPr>
              <w:spacing w:after="0"/>
              <w:rPr>
                <w:sz w:val="1"/>
                <w:szCs w:val="1"/>
                <w:color w:val="auto"/>
              </w:rPr>
            </w:pPr>
          </w:p>
        </w:tc>
      </w:tr>
      <w:tr>
        <w:trPr>
          <w:trHeight w:val="234"/>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identified intangible assets, net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57975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test goodwill for impairment as of October 1 of each year. No impairment adjustment was required in 2006, 2005 or 2004. On April 1, 2006, we completed the acquisition of Quantum and recorded a preliminary allocation of the purchase price, resulting in $3.0 million of estimated goodwill. On November 21, 2006, we completed the acquisition of Flow Metrix and recorded a preliminary allocation of the purchase price, resulting in $7.2 million of estimated goodwill. On July 1, 2004, we completed the acquisition of our Electricity Metering business and continued to make adjustments to the purchase price through June 2005 as the valuation of assets and liabilities were finalized. Goodwill decreased in 2005 primarily due to a $2.1 million adjustment related to a warranty accrual associated with the Electricity Metering acquisition. Goodwill balances can also increase or decrease, with a corresponding change in accumulated other comprehensive income (loss), due to changes in foreign currency exchange rates.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goodwill allocated to each reporting segment at December 31, 2006 and 2005.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2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Hardware Solutions</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Electricity</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Meter Data</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Metering</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Collection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Software Solutions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Total Company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balance at December 31, 2004</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26,236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73,337</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17,898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 adjustments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change in exchange rates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Goodwill balance at December 31, 2005</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73,532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 acquired</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Effect of change in exchange rates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balance at December 31, 2006</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24,609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80,694</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20,963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Investments in Affiliates and Related Party Transactions</w:t>
      </w:r>
    </w:p>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Investments in Affiliates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2006, our 30% equity interest in Servatron was redeemed for $1.0 million and we recognized a loss of $242,000. Servatron serves both as a contract manufacturer for our low volume products and as our handheld service repair depot. Prior to our stock redemption, we received a dividend of $193,000, which was recorded as a return on investment. Therefore, at December 31, 2006, we had no ownership in Servatron. At December 31, 2005, this investment, accounted for under the equity method of accounting, was $1.4 million. Our equity in earnings, recorded in other income (expense) was $33,000 and $82,000 for the years ended December 31, 2006 and 2005. There were no earnings or losses in the year ended December 31, 2004. Purchases of low volume products and repair services from Servatron were $17.0 million in 2006, $19.3 million in 2005 and $12.7 million in 2004, with amounts payable to Servatron of $605,000 and $1.5 million at December 31, 2006 and 2005, respectively. We continue to lease to Servatron a portion of our Spokane Valley facility, which is currently held for sale (see Note 4). Lease revenues were approximately $186,000 in both 2006 and 2005 and approximately $181,000 in 2004. Servatron also remits payment for consigned inventory purchased from us. Accounts receivable was approximately $445,000 and $360,000 at December 31, 2006 and 2005, respectively.</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2005, we established a limited liability company with an entity in Qatar, a Middle East country, to open a sales and distribution office in Qatar. We invested $27,000, acquiring a 49% ownership. Although this ownership is less than 50%, we maintain decision-making and control; therefore requiring consolidation of the subsidiary and its operations. At December 31, 2006 and 2005, the balance for the non-controlling interest portion of the investment was zero because cumulative operating losses exceeded the total invested capital. Losses are recorded to other income (expense).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2006, our Chief Financial Officer became a board member of a financial institution, which is a 3.6% participant in our $55 million revolver. Fees paid to this financial institution during 2006, associated with our revolver, were minimal.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a facility from former owners of a business we acquired in 2002, one of whom is a current employee. The lease agreement was renewed in March 2004 and will terminate in February 2008. The monthly lease expense is approximately $40,000. We also lease a facility from a current employee, with monthly lease expense of approximately $5,000. This lease was renewed in August 2006 and will terminate in August 2009.</w:t>
      </w: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Debt</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our borrowings are as follows: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subordinated notes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124,226</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senior subordinated notes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term loan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24,676</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Real estate term note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14,800</w:t>
            </w: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financing debt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469,324</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166,929</w:t>
            </w: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(4,376)</w:t>
            </w:r>
          </w:p>
        </w:tc>
      </w:tr>
      <w:tr>
        <w:trPr>
          <w:trHeight w:val="216"/>
        </w:trPr>
        <w:tc>
          <w:tcPr>
            <w:tcW w:w="20" w:type="dxa"/>
            <w:vAlign w:val="bottom"/>
          </w:tcPr>
          <w:p>
            <w:pPr>
              <w:spacing w:after="0"/>
              <w:rPr>
                <w:sz w:val="18"/>
                <w:szCs w:val="18"/>
                <w:color w:val="auto"/>
              </w:rPr>
            </w:pPr>
          </w:p>
        </w:tc>
        <w:tc>
          <w:tcPr>
            <w:tcW w:w="5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469,324</w:t>
            </w: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162,553</w:t>
            </w:r>
          </w:p>
        </w:tc>
        <w:tc>
          <w:tcPr>
            <w:tcW w:w="8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Senior Subordinated Notes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senior subordinated notes (subordinated notes) consist of $125 million aggregate principal amount of 7.75% notes, issued in May 2004 and due in 2012. The subordinated notes were discounted to a price of 99.265 to yield 7.875%, with a balance of $124.3 million at December 31, 2006. The subordinated notes are registered with the SEC and are generally transferable. The discount on the subordinated notes is accreted and the prepaid debt fees are amortized over the life of the notes. Fixed interest payments of $4.8 million are required every six months, in May and November. The notes are subordinated to our credit facility and are guaranteed by all of our operating subsidiaries, except for our foreign subsidiaries, all of which are wholly owned. As of December 31, 2006, all guarantor operating subsidiaries were merged into Itron parent. The subordinated notes contain covenants, which place restrictions on the incurrence of debt, the payment of dividends, certain investments and mergers. We were in compliance with these debt covenants at December 31, 2006 and 2005. Some or all of the subordinated notes may be redeemed at our option at any time on or after May 15, 2008, at their principal amount plus a specified premium. At any time prior to May 15, 2007, we may, at our option, redeem up to 35% of the subordinated notes at 107.75%, with the proceeds of certain sales of our common stock.</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Convertible Senior Subordinated Notes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August 4, 2006, we issued $345 million of 2.50% convertible senior subordinated notes (convertible notes)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defined in Emerging Issues Task Force (EITF) 05-02, </w:t>
      </w:r>
      <w:r>
        <w:rPr>
          <w:rFonts w:ascii="Times New Roman" w:cs="Times New Roman" w:eastAsia="Times New Roman" w:hAnsi="Times New Roman"/>
          <w:sz w:val="18"/>
          <w:szCs w:val="18"/>
          <w:i w:val="1"/>
          <w:iCs w:val="1"/>
          <w:color w:val="auto"/>
        </w:rPr>
        <w:t>The Meaning of “Conventional Convertible Debt Instruments” in Issue 00-19</w:t>
      </w:r>
      <w:r>
        <w:rPr>
          <w:rFonts w:ascii="Times New Roman" w:cs="Times New Roman" w:eastAsia="Times New Roman" w:hAnsi="Times New Roman"/>
          <w:sz w:val="18"/>
          <w:szCs w:val="18"/>
          <w:color w:val="auto"/>
        </w:rPr>
        <w:t xml:space="preserve">, as the number of shares, or cash, to be received by the holders was not fixed at the inception of the obligation. We have concluded that the conversion feature of our convertible notes does not require bifurcation from the host contract in accordance with SFAS 133, </w:t>
      </w:r>
      <w:r>
        <w:rPr>
          <w:rFonts w:ascii="Times New Roman" w:cs="Times New Roman" w:eastAsia="Times New Roman" w:hAnsi="Times New Roman"/>
          <w:sz w:val="18"/>
          <w:szCs w:val="18"/>
          <w:i w:val="1"/>
          <w:iCs w:val="1"/>
          <w:color w:val="auto"/>
        </w:rPr>
        <w:t>Accounting for Derivative Instruments and Hedging Activities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amended)</w:t>
      </w:r>
      <w:r>
        <w:rPr>
          <w:rFonts w:ascii="Times New Roman" w:cs="Times New Roman" w:eastAsia="Times New Roman" w:hAnsi="Times New Roman"/>
          <w:sz w:val="18"/>
          <w:szCs w:val="18"/>
          <w:color w:val="auto"/>
        </w:rPr>
        <w:t>, as the conversion feature is indexed to the company’s own stock and would be classified within stockholders’ equity if it were a freestanding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instrument as provided by EITF 00-19, </w:t>
      </w:r>
      <w:r>
        <w:rPr>
          <w:rFonts w:ascii="Times New Roman" w:cs="Times New Roman" w:eastAsia="Times New Roman" w:hAnsi="Times New Roman"/>
          <w:sz w:val="18"/>
          <w:szCs w:val="18"/>
          <w:i w:val="1"/>
          <w:iCs w:val="1"/>
          <w:color w:val="auto"/>
        </w:rPr>
        <w:t>Accounting for Derivative Financial Instruments Indexed to, and Potentially Settled in, a Company’s own stock</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convertible notes may be converted under the following circumstances, at the option of the holder, at an initial conversion rate of 15.3478 shares of our common stock for each $1,000 principal amount of the convertible notes (conversion price of $65.16 per share), as defined in the indenture:</w:t>
      </w:r>
    </w:p>
    <w:p>
      <w:pPr>
        <w:spacing w:after="0" w:line="189" w:lineRule="exact"/>
        <w:rPr>
          <w:sz w:val="20"/>
          <w:szCs w:val="20"/>
          <w:color w:val="auto"/>
        </w:rPr>
      </w:pPr>
    </w:p>
    <w:p>
      <w:pPr>
        <w:jc w:val="both"/>
        <w:ind w:left="980" w:hanging="180"/>
        <w:spacing w:after="0" w:line="257"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fiscal quarter commencing after September 30, 2006, if the closing sale price per share of our common stock exceeds 120% of the conversion price for at least 20 trading days in the 30 consecutive trading day period ending on the last trading day of the preceding fiscal quarter;</w:t>
      </w:r>
    </w:p>
    <w:p>
      <w:pPr>
        <w:spacing w:after="0" w:line="1" w:lineRule="exact"/>
        <w:rPr>
          <w:rFonts w:ascii="Times New Roman" w:cs="Times New Roman" w:eastAsia="Times New Roman" w:hAnsi="Times New Roman"/>
          <w:sz w:val="18"/>
          <w:szCs w:val="18"/>
          <w:color w:val="auto"/>
        </w:rPr>
      </w:pPr>
    </w:p>
    <w:p>
      <w:pPr>
        <w:ind w:left="980" w:hanging="180"/>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July 1, 2011 and August 1, 2011, and any time after August 1, 2024;</w:t>
      </w:r>
    </w:p>
    <w:p>
      <w:pPr>
        <w:spacing w:after="0" w:line="9" w:lineRule="exact"/>
        <w:rPr>
          <w:rFonts w:ascii="Times New Roman" w:cs="Times New Roman" w:eastAsia="Times New Roman" w:hAnsi="Times New Roman"/>
          <w:sz w:val="18"/>
          <w:szCs w:val="18"/>
          <w:color w:val="auto"/>
        </w:rPr>
      </w:pPr>
    </w:p>
    <w:p>
      <w:pPr>
        <w:ind w:left="980" w:hanging="180"/>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days after any five consecutive trading day period in which the trading price of the convertible notes for each day was less than 98% of the conversion value of the convertible notes;</w:t>
      </w:r>
    </w:p>
    <w:p>
      <w:pPr>
        <w:ind w:left="980" w:hanging="180"/>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convertible notes are called for redemption;</w:t>
      </w:r>
    </w:p>
    <w:p>
      <w:pPr>
        <w:spacing w:after="0" w:line="9" w:lineRule="exact"/>
        <w:rPr>
          <w:rFonts w:ascii="Times New Roman" w:cs="Times New Roman" w:eastAsia="Times New Roman" w:hAnsi="Times New Roman"/>
          <w:sz w:val="18"/>
          <w:szCs w:val="18"/>
          <w:color w:val="auto"/>
        </w:rPr>
      </w:pPr>
    </w:p>
    <w:p>
      <w:pPr>
        <w:ind w:left="980" w:hanging="180"/>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fundamental change occurs; or</w:t>
      </w:r>
    </w:p>
    <w:p>
      <w:pPr>
        <w:spacing w:after="0" w:line="9" w:lineRule="exact"/>
        <w:rPr>
          <w:rFonts w:ascii="Times New Roman" w:cs="Times New Roman" w:eastAsia="Times New Roman" w:hAnsi="Times New Roman"/>
          <w:sz w:val="18"/>
          <w:szCs w:val="18"/>
          <w:color w:val="auto"/>
        </w:rPr>
      </w:pPr>
    </w:p>
    <w:p>
      <w:pPr>
        <w:ind w:left="980" w:hanging="180"/>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defined corporate events.</w:t>
      </w:r>
    </w:p>
    <w:p>
      <w:pPr>
        <w:spacing w:after="0" w:line="2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convertible notes also contain put options, which may require us, at the option of the holder, to repurchase all or a portion of the convertible notes on August 1, 2011, August 1, 2016 and August 1, 2021 at the principal amount, plus accrued and unpaid interest.</w:t>
      </w: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proceeds of approximately $336.3 million may be used to acquire or invest in businesses, products or technologies that are complementary to our own. We may also use the proceeds for general corporate purposes. The convertible notes are unsecured and subordinate to all of our existing and future senior indebtedness. The convertible notes are currently not guaranteed by any of our operating subsidiaries. However, the convertible notes will be unconditionally guaranteed, joint and severally, by any future subsidiaries that guarantee our senior subordinated notes. The convertible notes contain covenants, which place restrictions on the incurrence of debt and certain mergers. We were in compliance with these debt covenants at December 31, 2006. The aggregate principal amount of the convertible notes is included in long-term debt as they can not be converted prior to July 2011, unless certain defined events occur. At such time the holders have the ability to convert, we will reclassify the convertible notes from long-term to current to reflect the holders’ conversion rights.</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Senior Secured Credit Facility</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2005, we had $24.7 million remaining on our original $185 million seven-year senior secured term loan (term loan), which we repaid during the first quarter of 2006. The term loan was part of our senior secured credit facility (credit facility), which originated on July 1, 2004 to finance the acquisition of our Electricity Metering business. The credit facility also includes a $55 million five-year senior secured revolving credit line (revolver). We have the ability to increase the revolver to $75 million at a future date. Our letter of credit limit under the credit facility is $55 million and can be increased to $65 million at a future date. The credit facility is guaranteed by all of our operating subsidiaries, except for our foreign subsidiaries, all of which are wholly owned.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2006, there were no borrowings outstanding under the revolver and $23.0 million was utilized by outstanding standby letters of credit resulting in $32.0 million available for additional borrowings. Revolver borrowings can be made at any time through June 2009, at which time any borrowings outstanding must be repaid. Our debt covenants require us to maintain certain consolidated leverage and coverage ratios on a quarterly basis, as well as customary covenants that place restrictions on the incurrence of debt, the payment of dividends, certain investments and mergers. We were in compliance with these debt covenants at December 31, 2006 and 2005.</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rates on the revolver vary depending on our consolidated leverage ratio and are based on the London InterBank Offering Rate (LIBOR) plus 1.0% to 2.0%, or Prime plus zero to 1.5%, payable at various intervals depending on the term of the borrowing. The annual commitment fee on the unused portion of the revolver varies from 0.25% to 0.50%. We incur annual letter of credit fees based on (a) a fronting fee of 0.125% and (b) a letter of credit fee that varies from 1.0% to 2.0%.</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Real Estate Term Note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30, 2005, we signed a real estate term note (real estate note) for $14.8 million, secured by real property, with principal payments of $740,000, plus interest, payable quarterly, commencing April 1, 2006 and continuing through January 1, 2011. During the first quarter of 2006, we made an optional prepayment of $10.0 million on the real estate note. During April 2006, we completed the repayment of the real estate note.</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Project Financing</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1998, in conjunction with project financing for one of our outsourcing contracts, we issued a note secured by the assets of the project with monthly interest payments at an annual interest rate of 7.6%, maturing May 31, 2009. During April 2006, we repaid the balance of the project financing loan, which included $107,000 in prepayment fees.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Prepaid Debt Fees &amp; Interest Expense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Prepaid debt fees for our outstanding borrowings are amortized over the respective terms using the effective interest method. Total unamortized prepaid debt fees were approximately $13.2 million and $8.9 million at December 31, 2006 and 2005, respectively. For the year ended December 31, 2006, total interest cost was $18.7 million, of which $900,000 was capitalized as part of our new corporate headquarters capital improvements. There was no capitalized interest in 2005 or 2004. Accrued interest expense was $4.8 million and $1.3 million at December 31, 2006 and 2005, respectively.</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Minimum Payments on Debt</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outstanding debt has no required minimum payments due over the next five years. Our subordinated notes are due on May 15, 2012. Our convertible notes can be converted at any time as a result of certain corporate transactions or defined market conditions, as outlined above, or no earlier than July 1, 2011.</w:t>
      </w: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Fair Values of Financial Instruments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financial instruments has been determined by using available market information and appropriate valuation methodologies. The values provided are representative of fair values only as of December 31, 2006 and 2005, and do not reflect subsequent changes in the economy, interest and tax rates and other variables that may affect determination of fair value. The following methods and assumptions were used in estimating fair values.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Due to the liquid nature of these instruments, the carrying value approximates fair value.</w:t>
      </w:r>
    </w:p>
    <w:p>
      <w:pPr>
        <w:spacing w:after="0" w:line="2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held to maturity: </w:t>
      </w:r>
      <w:r>
        <w:rPr>
          <w:rFonts w:ascii="Times New Roman" w:cs="Times New Roman" w:eastAsia="Times New Roman" w:hAnsi="Times New Roman"/>
          <w:sz w:val="18"/>
          <w:szCs w:val="18"/>
          <w:color w:val="auto"/>
        </w:rPr>
        <w:t>The fair value is based on quoted market prices, which approximates the carrying amount because of the short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of these instruments.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Senior subordinated notes: </w:t>
      </w:r>
      <w:r>
        <w:rPr>
          <w:rFonts w:ascii="Times New Roman" w:cs="Times New Roman" w:eastAsia="Times New Roman" w:hAnsi="Times New Roman"/>
          <w:sz w:val="18"/>
          <w:szCs w:val="18"/>
          <w:color w:val="auto"/>
        </w:rPr>
        <w:t>The 2006 fair value is based on the latest quoted market price at December 31, 2006. The fair value at December 31, 2005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an internally generated fair value model, using estimated spreads above quoted treasury rates for similar issues as this borrowing had very little trading activity during 2005.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Convertible senior subordinated notes: </w:t>
      </w:r>
      <w:r>
        <w:rPr>
          <w:rFonts w:ascii="Times New Roman" w:cs="Times New Roman" w:eastAsia="Times New Roman" w:hAnsi="Times New Roman"/>
          <w:sz w:val="18"/>
          <w:szCs w:val="18"/>
          <w:color w:val="auto"/>
        </w:rPr>
        <w:t>The fair value is based on the latest quoted market price at December 31, 2006.</w:t>
      </w:r>
    </w:p>
    <w:p>
      <w:pPr>
        <w:spacing w:after="0" w:line="2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secured credit facility term loan: </w:t>
      </w:r>
      <w:r>
        <w:rPr>
          <w:rFonts w:ascii="Times New Roman" w:cs="Times New Roman" w:eastAsia="Times New Roman" w:hAnsi="Times New Roman"/>
          <w:sz w:val="18"/>
          <w:szCs w:val="18"/>
          <w:color w:val="auto"/>
        </w:rPr>
        <w:t>The carrying value approximates fair value as the interest rates are periodically adjusted to market rates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Real estate term note: </w:t>
      </w:r>
      <w:r>
        <w:rPr>
          <w:rFonts w:ascii="Times New Roman" w:cs="Times New Roman" w:eastAsia="Times New Roman" w:hAnsi="Times New Roman"/>
          <w:sz w:val="18"/>
          <w:szCs w:val="18"/>
          <w:color w:val="auto"/>
        </w:rPr>
        <w:t>The carrying value approximates fair value as the interest rates are periodically adjusted to market rates by our lender.</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Project financing: </w:t>
      </w:r>
      <w:r>
        <w:rPr>
          <w:rFonts w:ascii="Times New Roman" w:cs="Times New Roman" w:eastAsia="Times New Roman" w:hAnsi="Times New Roman"/>
          <w:sz w:val="18"/>
          <w:szCs w:val="18"/>
          <w:color w:val="auto"/>
        </w:rPr>
        <w:t>The fair value is estimated based on an internally generated fair value model, using estimated spreads above quoted treasury rates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issues.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At December 31, 2006</w:t>
            </w:r>
          </w:p>
        </w:tc>
        <w:tc>
          <w:tcPr>
            <w:tcW w:w="160" w:type="dxa"/>
            <w:vAlign w:val="bottom"/>
          </w:tcPr>
          <w:p>
            <w:pPr>
              <w:spacing w:after="0"/>
              <w:rPr>
                <w:sz w:val="21"/>
                <w:szCs w:val="21"/>
                <w:color w:val="auto"/>
              </w:rPr>
            </w:pPr>
          </w:p>
        </w:tc>
        <w:tc>
          <w:tcPr>
            <w:tcW w:w="24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At December 31, 2005</w:t>
            </w:r>
          </w:p>
        </w:tc>
        <w:tc>
          <w:tcPr>
            <w:tcW w:w="0" w:type="dxa"/>
            <w:vAlign w:val="bottom"/>
          </w:tcPr>
          <w:p>
            <w:pPr>
              <w:spacing w:after="0"/>
              <w:rPr>
                <w:sz w:val="1"/>
                <w:szCs w:val="1"/>
                <w:color w:val="auto"/>
              </w:rPr>
            </w:pPr>
          </w:p>
        </w:tc>
      </w:tr>
      <w:tr>
        <w:trPr>
          <w:trHeight w:val="194"/>
        </w:trPr>
        <w:tc>
          <w:tcPr>
            <w:tcW w:w="3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361,405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361,405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33,638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33,638</w:t>
            </w:r>
          </w:p>
        </w:tc>
        <w:tc>
          <w:tcPr>
            <w:tcW w:w="0" w:type="dxa"/>
            <w:vAlign w:val="bottom"/>
          </w:tcPr>
          <w:p>
            <w:pPr>
              <w:spacing w:after="0"/>
              <w:rPr>
                <w:sz w:val="1"/>
                <w:szCs w:val="1"/>
                <w:color w:val="auto"/>
              </w:rPr>
            </w:pPr>
          </w:p>
        </w:tc>
      </w:tr>
      <w:tr>
        <w:trPr>
          <w:trHeight w:val="216"/>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 held to maturity</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34,590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subordinated notes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128,438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124,279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senior subordinated notes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366,435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secured credit facility term loan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24,676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term note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34"/>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Project financing</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Restructurings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was no restructuring activity in 2006 or 2005. During 2004, we implemented a new internal organizational structure, which resulted in several actions to reduce spending and eliminate certain unprofitable activities. As a result, we reduced our staffing by approximately 260 employees and incurred restructuring expenses of $7.7 million. The liability for employee severance of $2.3 million was recorded within wages and benefits payable at December 31, 2004. Additional costs of $390,000 were recorded in 2005, with all severance costs paid to employees by December 31, 2005.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5" w:name="page26"/>
    <w:bookmarkEnd w:id="2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taxes at the U.S. federal statutory rate of 35% to the consolidated actual tax rate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1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52,068</w:t>
            </w:r>
          </w:p>
        </w:tc>
        <w:tc>
          <w:tcPr>
            <w:tcW w:w="18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25,666</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jc w:val="right"/>
              <w:ind w:right="25"/>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100" w:type="dxa"/>
            <w:vAlign w:val="bottom"/>
            <w:shd w:val="clear" w:color="auto" w:fill="CCEEFF"/>
          </w:tcPr>
          <w:p>
            <w:pPr>
              <w:spacing w:after="0"/>
              <w:rPr>
                <w:sz w:val="22"/>
                <w:szCs w:val="22"/>
                <w:color w:val="auto"/>
              </w:rPr>
            </w:pPr>
          </w:p>
        </w:tc>
        <w:tc>
          <w:tcPr>
            <w:tcW w:w="18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980" w:type="dxa"/>
            <w:vAlign w:val="bottom"/>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27,528</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federal income tax provision (benefit)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18,282</w:t>
            </w:r>
          </w:p>
        </w:tc>
        <w:tc>
          <w:tcPr>
            <w:tcW w:w="18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9,635</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 provision (benefit), net of federal effect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2,501</w:t>
            </w: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Export sales provision (benefit)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Meals and entertainment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Realization of prior years' deferred tax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Foreign operations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w:t>
            </w: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10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gridSpan w:val="12"/>
            <w:vMerge w:val="restart"/>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12"/>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and local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current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and local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(1,504)</w:t>
            </w:r>
          </w:p>
        </w:tc>
        <w:tc>
          <w:tcPr>
            <w:tcW w:w="2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Borders>
              <w:lef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deferred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80" w:type="dxa"/>
            <w:vAlign w:val="bottom"/>
            <w:tcBorders>
              <w:left w:val="single" w:sz="8" w:color="CCEEFF"/>
              <w:right w:val="single" w:sz="8" w:color="CCEEFF"/>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8"/>
                <w:szCs w:val="18"/>
                <w:color w:val="auto"/>
              </w:rPr>
            </w:pP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(5,519)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60" w:type="dxa"/>
            <w:vAlign w:val="bottom"/>
            <w:tcBorders>
              <w:lef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income tax assets consist of the following: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7"/>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carryforwards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Tax credits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left w:val="single" w:sz="8" w:color="CCEEFF"/>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Tax effect of accumulated translation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Borders>
              <w:left w:val="single" w:sz="8" w:color="auto"/>
            </w:tcBorders>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57975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ectPr>
          <w:pgSz w:w="11900" w:h="16838" w:orient="portrait"/>
          <w:cols w:equalWidth="0" w:num="1">
            <w:col w:w="10219"/>
          </w:cols>
          <w:pgMar w:left="240" w:top="117" w:right="1440" w:bottom="1440" w:gutter="0" w:footer="0" w:header="0"/>
        </w:sectPr>
      </w:pPr>
    </w:p>
    <w:p>
      <w:pPr>
        <w:spacing w:after="0" w:line="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7" w:right="1440" w:bottom="1440" w:gutter="0" w:footer="0" w:header="0"/>
          <w:type w:val="continuous"/>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2006, we had unused federal research and development tax credits of $17.7 million, which expire during the tax years 2007 – 2026 if not utilized. We have state research and development tax credits of approximately $1.9 million available to offset future state tax liabilities and alternative minimum tax credits of $2.5 million available to offset future federal tax liabilities, both of which are available indefinitely. Federal loss carryforwards of $60.4 million expire during the tax years 2019 – 2025. Valuation allowances of $1.1 million, $1.3 million and $6.8 million in 2006, 2005 and 2004, respectively, were provided primarily for foreign loss carryforwards attributable to various items for which we may not receive future benefits. The tax benefit associated with equity compensation was $13.5 million, $15.1 million and $2.6 million in 2006, 2005 and 2004, respectively, and is included in the Consolidated Statements of Shareholders’ Equity.</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 Rights Plan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2002, the Board of Directors authorized the implementation of a Shareholder Rights Plan and declared a dividend of one preferred share purchase right (a Right) for each outstanding share of common stock, without par value. The Rights will separate from the common stock and become exercisable following the earlier of (i) the close of business on the tenth business day after a public announcement that a person or group (including any affiliate or associate of such person or group) has acquired beneficial ownership of 15% or more of the outstanding common shares and (ii) the close of business on such date, if any, as may be designated by the Board of Directors following the commencement of, or first public disclosure of an intent to commence, a tender or exchange offer for outstanding common shares, which could result in the offeror becoming the beneficial owner of 15% or more of the outstanding common shares (the earlier of such dates being the distribution date). After the distribution date, each Right will entitle the holder to purchase, for $160.00, one one-hundredth (1/100) of a share of Series R Cumulative Participating Preferred Stock of the Company (a Preferred Share) with economic terms similar to that of one common share.</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a person or group becomes an acquiring person, the Rights will entitle each holder of a Right to purchase, for the purchase price, that number of common shares equivalent to the number of common shares, which at the time of the transaction would have a market value of twice the purchase price. Any Rights that are at any time beneficially owned by an acquiring person will be null and void and nontransferable and any holder of any such Right will be unable to exercise or transfer any such Right. If, at any time after any person or group becomes an acquiring person, we are acquired in a merger or other business combination with another entity, or if 50% or more of its assets or assets accounting for 50% or more of its net income or revenues are transferred, each Right will entitle its holder to purchase, for the purchase price, that number of shares of common stock of the person or group engaging in the transaction having a then current market value of twice the purchase price. At any time after any person or group becomes an acquiring person, but before a person or group becomes the beneficial owner of more than 50% of the common shares, the Board of Directors may elect to exchange each Right for consideration per Right consisting of one-half of the number of common shares that would be issuable at such time on the exercise of one Right and without payment of the purchase price. At any time prior to any person or group becoming an acquiring person, the Board of Directors may redeem the Rights in whole, but not in part, at a price of $0.01 per Right, subject to adjustment as provided in the Rights Agreement. The Rights are not exercisable until the distribution date and will expire on December 11, 2012, unless earlier redeemed or exchanged by us.</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Rights and the Rights Agreement may be amended without the approval of any holder of the Rights, at any time prior to the distribution date. Until a Right is exercised, the holder thereof, as such, will have no rights as a shareholder of the Company, including, without limitation, the right to vote or receive dividends. In order to preserve the actual or potential economic value of the Rights, the number of Preferred Shares or other securities issuable upon exercise of the Right, the purchase price, the redemption price and the number of Rights associated with each outstanding common share are all subject to adjustment by the Board of Directors pursuant to certain customary antidilution provisions. The Rights distribution should not be taxable for federal income tax purposes. Following an event that renders the Rights exercisable or upon redemption of the Rights, shareholders may recognize taxable income.</w:t>
      </w:r>
    </w:p>
    <w:p>
      <w:pPr>
        <w:spacing w:after="0" w:line="21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Bonus, Profit Sharing and Employee Savings Plans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employee bonus and profit sharing plans in which most of our employees participate, which provide award amounts for the achievement of annual performance and financial targets. Actual award amounts are determined at the end of the year if the performance and financial targets are met. As the bonuses are being earned during the year, we estimate a compensation accrual each quarter based on the progress towards achieving the goals, the estimated financial forecast for the year and the probability of achieving results. An accrual is recorded if management determines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estimates made in earlier quarters. At December 31, 2006, $9.4 million of bonus and profit sharing expense was recorded, with payment expected in the first quarter of 2007. For 2005, $9.7 million of bonus and profit sharing expense was recorded, with payment made in the first quarter of 2006. During 2004, the performance goals were not met; however a discretionary payout of approximately $500,000 was recorded as expense for fiscal 2004 with payment made during the first quarter of 2005.</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Employee Savings Plan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employee incentive savings plan in which substantially all employees are eligible to participate. Employees may contribute, on a tax-deferred basis, from 1% to 50% of their salary, up to the annual Internal Revenue Service limit. We provide a 50% match on the first 6% of the employee salary deferral, subject to statutory limitations. The expense for our matching contribution was $3.0 million in 2006, $2.3 million in 2005 and $2.0 million in 2004.</w:t>
      </w: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 Option Plans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2006, we had three stock-based compensation plans in effect, but we are currently only granting options under one, the Amended and Restated 2000 Stock Incentive Plan. Stock options to purchase the Company’s common stock are granted with an exercise price equal to the fair market value of the stock on the date of grant upon approval by our Board of Directors. Options generally become exercisable in three or four equal installments beginning a year from the date of grant and generally expire 10 years from the date of grant.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each stock option granted is estimated on the date of grant using the Black-Scholes option-pricing model. The weighted average fair value of stock options granted in 2006, 2005 and 2004 was $21.01, $16.57 and $12.42, respectively. The compensation expense related to stock options recognized under SFAS 123(R) for the year ended December 31, 2006 was $8.6 million. Compensation expense is recognized only for those options expected to vest, with forfeitures estimated at the date of grant based on our historical experience and future expectations. Prior to the adoption of SFAS 123(R), the effect of forfeitures on the pro forma expense amounts was recognized as the forfeitures occurred.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from January 1, 2004 through December 31, 2006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2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22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 w:type="dxa"/>
            <w:vAlign w:val="bottom"/>
          </w:tcPr>
          <w:p>
            <w:pPr>
              <w:spacing w:after="0"/>
              <w:rPr>
                <w:sz w:val="21"/>
                <w:szCs w:val="21"/>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2004</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2004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4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and expected to vest, December 31, 2004</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December 31, 2004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4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2005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4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and expected to vest, December 31, 2005</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December 31, 2005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4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5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December 31, 2006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4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and expected to vest, December 31, 2006</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December 31, 2006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aggregate intrinsic value in the table above is before applicable income taxes, based on our closing stock price of $51.84 as of the last business day of the period ended December 31, 2006, which represents the amounts optionees would have received if all options had been exercised on that date. As of December 31, 2006, total unrecognized stock-based compensation expense related to nonvested stock options was $16.9 million, which is expected to be recognized over a weighted average period of approximately 21 months. During the years ended December 31, 2006, 2005 and 2004, the total intrinsic value of stock options exercised was $30.3 million, $45.4 million and $6.3 million, respectively. The total fair value of options vested was $32.5 million, $14.2 million and $15.0 million during the years ended December 31, 2006, 2005 and 2004,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issue new shares of common stock upon the exercise of stock options.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2006, there were 473,685 shares of common stock available for future grants pursuant to stock-based awards, which includes the stock option plans, the Long-Term Performance Plan and the Directors’ stock awards. Additional information regarding options outstanding as of December 31, 2006,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Exercisable Options</w:t>
            </w:r>
          </w:p>
        </w:tc>
        <w:tc>
          <w:tcPr>
            <w:tcW w:w="0" w:type="dxa"/>
            <w:vAlign w:val="bottom"/>
          </w:tcPr>
          <w:p>
            <w:pPr>
              <w:spacing w:after="0"/>
              <w:rPr>
                <w:sz w:val="1"/>
                <w:szCs w:val="1"/>
                <w:color w:val="auto"/>
              </w:rPr>
            </w:pPr>
          </w:p>
        </w:tc>
      </w:tr>
      <w:tr>
        <w:trPr>
          <w:trHeight w:val="194"/>
        </w:trPr>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45"/>
        </w:trPr>
        <w:tc>
          <w:tcPr>
            <w:tcW w:w="3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00" w:type="dxa"/>
            <w:vAlign w:val="bottom"/>
          </w:tcPr>
          <w:p>
            <w:pPr>
              <w:spacing w:after="0"/>
              <w:rPr>
                <w:sz w:val="21"/>
                <w:szCs w:val="21"/>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8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00" w:type="dxa"/>
            <w:vAlign w:val="bottom"/>
          </w:tcPr>
          <w:p>
            <w:pPr>
              <w:spacing w:after="0"/>
              <w:rPr>
                <w:sz w:val="21"/>
                <w:szCs w:val="21"/>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0" w:type="dxa"/>
            <w:vAlign w:val="bottom"/>
          </w:tcPr>
          <w:p>
            <w:pPr>
              <w:spacing w:after="0"/>
              <w:rPr>
                <w:sz w:val="1"/>
                <w:szCs w:val="1"/>
                <w:color w:val="auto"/>
              </w:rPr>
            </w:pPr>
          </w:p>
        </w:tc>
      </w:tr>
      <w:tr>
        <w:trPr>
          <w:trHeight w:val="238"/>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0"/>
                <w:szCs w:val="20"/>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52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20" w:type="dxa"/>
            <w:vAlign w:val="bottom"/>
            <w:tcBorders>
              <w:top w:val="single" w:sz="8" w:color="auto"/>
            </w:tcBorders>
            <w:shd w:val="clear" w:color="auto" w:fill="CCEEFF"/>
          </w:tcPr>
          <w:p>
            <w:pPr>
              <w:jc w:val="right"/>
              <w:ind w:right="1830"/>
              <w:spacing w:after="0"/>
              <w:rPr>
                <w:sz w:val="20"/>
                <w:szCs w:val="20"/>
                <w:color w:val="auto"/>
              </w:rPr>
            </w:pPr>
            <w:r>
              <w:rPr>
                <w:rFonts w:ascii="Times New Roman" w:cs="Times New Roman" w:eastAsia="Times New Roman" w:hAnsi="Times New Roman"/>
                <w:sz w:val="18"/>
                <w:szCs w:val="18"/>
                <w:color w:val="auto"/>
              </w:rPr>
              <w:t>$ 4.87 - $14.17</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339</w:t>
            </w:r>
          </w:p>
        </w:tc>
        <w:tc>
          <w:tcPr>
            <w:tcW w:w="1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3.81</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7.66</w:t>
            </w:r>
          </w:p>
        </w:tc>
        <w:tc>
          <w:tcPr>
            <w:tcW w:w="1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339</w:t>
            </w: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$14.85 - $20.52</w:t>
            </w:r>
          </w:p>
        </w:tc>
        <w:tc>
          <w:tcPr>
            <w:tcW w:w="300" w:type="dxa"/>
            <w:vAlign w:val="bottom"/>
          </w:tcPr>
          <w:p>
            <w:pPr>
              <w:spacing w:after="0"/>
              <w:rPr>
                <w:sz w:val="21"/>
                <w:szCs w:val="21"/>
                <w:color w:val="auto"/>
              </w:rPr>
            </w:pP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359</w:t>
            </w:r>
          </w:p>
        </w:tc>
        <w:tc>
          <w:tcPr>
            <w:tcW w:w="16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6.35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18.60</w:t>
            </w:r>
          </w:p>
        </w:tc>
        <w:tc>
          <w:tcPr>
            <w:tcW w:w="1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18.55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jc w:val="right"/>
              <w:ind w:right="1830"/>
              <w:spacing w:after="0"/>
              <w:rPr>
                <w:sz w:val="20"/>
                <w:szCs w:val="20"/>
                <w:color w:val="auto"/>
              </w:rPr>
            </w:pPr>
            <w:r>
              <w:rPr>
                <w:rFonts w:ascii="Times New Roman" w:cs="Times New Roman" w:eastAsia="Times New Roman" w:hAnsi="Times New Roman"/>
                <w:sz w:val="18"/>
                <w:szCs w:val="18"/>
                <w:color w:val="auto"/>
              </w:rPr>
              <w:t>$20.64 - $30.32</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470</w:t>
            </w:r>
          </w:p>
        </w:tc>
        <w:tc>
          <w:tcPr>
            <w:tcW w:w="1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7.51</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21.71</w:t>
            </w:r>
          </w:p>
        </w:tc>
        <w:tc>
          <w:tcPr>
            <w:tcW w:w="1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21.37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$37.40 - $42.62</w:t>
            </w:r>
          </w:p>
        </w:tc>
        <w:tc>
          <w:tcPr>
            <w:tcW w:w="300" w:type="dxa"/>
            <w:vAlign w:val="bottom"/>
          </w:tcPr>
          <w:p>
            <w:pPr>
              <w:spacing w:after="0"/>
              <w:rPr>
                <w:sz w:val="21"/>
                <w:szCs w:val="21"/>
                <w:color w:val="auto"/>
              </w:rPr>
            </w:pP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462</w:t>
            </w:r>
          </w:p>
        </w:tc>
        <w:tc>
          <w:tcPr>
            <w:tcW w:w="16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8.27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37.65</w:t>
            </w:r>
          </w:p>
        </w:tc>
        <w:tc>
          <w:tcPr>
            <w:tcW w:w="1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37.67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jc w:val="right"/>
              <w:ind w:right="1830"/>
              <w:spacing w:after="0"/>
              <w:rPr>
                <w:sz w:val="20"/>
                <w:szCs w:val="20"/>
                <w:color w:val="auto"/>
              </w:rPr>
            </w:pPr>
            <w:r>
              <w:rPr>
                <w:rFonts w:ascii="Times New Roman" w:cs="Times New Roman" w:eastAsia="Times New Roman" w:hAnsi="Times New Roman"/>
                <w:sz w:val="18"/>
                <w:szCs w:val="18"/>
                <w:color w:val="auto"/>
              </w:rPr>
              <w:t>$48.51 - $55.80</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562</w:t>
            </w:r>
          </w:p>
        </w:tc>
        <w:tc>
          <w:tcPr>
            <w:tcW w:w="1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9.56</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48.59</w:t>
            </w:r>
          </w:p>
        </w:tc>
        <w:tc>
          <w:tcPr>
            <w:tcW w:w="1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50.29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$56.60 - $70.99</w:t>
            </w:r>
          </w:p>
        </w:tc>
        <w:tc>
          <w:tcPr>
            <w:tcW w:w="300" w:type="dxa"/>
            <w:vAlign w:val="bottom"/>
          </w:tcPr>
          <w:p>
            <w:pPr>
              <w:spacing w:after="0"/>
              <w:rPr>
                <w:sz w:val="19"/>
                <w:szCs w:val="19"/>
                <w:color w:val="auto"/>
              </w:rPr>
            </w:pPr>
          </w:p>
        </w:tc>
        <w:tc>
          <w:tcPr>
            <w:tcW w:w="12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33</w:t>
            </w:r>
          </w:p>
        </w:tc>
        <w:tc>
          <w:tcPr>
            <w:tcW w:w="300" w:type="dxa"/>
            <w:vAlign w:val="bottom"/>
          </w:tcPr>
          <w:p>
            <w:pPr>
              <w:spacing w:after="0"/>
              <w:rPr>
                <w:sz w:val="19"/>
                <w:szCs w:val="19"/>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9.34</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62.80</w:t>
            </w:r>
          </w:p>
        </w:tc>
        <w:tc>
          <w:tcPr>
            <w:tcW w:w="300" w:type="dxa"/>
            <w:vAlign w:val="bottom"/>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2,225</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7.46</w:t>
            </w: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29.78</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1,032</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18.13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Eligible employees who have completed three months of service, work more than 20 hours each week and are employed more than five months in any calendar year are eligible to participate in our employee stock purchase plan (ESPP). Employees who own 5% or more of our common stock are not eligible to participate in the ESPP. Under the terms of the ESPP, eligible employees can choose payroll deductions each year of up to 10% of their regular cash compensation. Such deductions are applied toward the discounted purchase price of our common stock. The purchase price of the common stock is 85% of the fair market value of the stock at the end of each fiscal quarter. Under the ESPP, we sold 48,442 and 62,498 shares to employees in the years ended December 31, 2006 and 2005, respectively. The fair value of ESPP awards issued is estimated using the Black-Scholes option-pricing model. The weighted average fair value of the ESPP awards issued in 2006, 2005 and 2004 was $8.63, $6.85 and $4.45, respectively. The expense related to ESPP recognized under SFAS 123(R) for the year ended December 31, 2006 was $386,000. We had no unrecognized compensation cost at December 31, 2006 associated with the awards issued under the ESPP. As of December 31, 2006, there were 381,846 shares of common stock available for future issuance under the Employee Stock Purchase Plan.</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Long-Term Performance Plan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Long-Term Performance Plan (LTPP) for senior management with restricted stock awards contingent on the attainment of yearly goals payable in the Company’s common stock with a three-year cliff vesting period. Restricted stock awards are granted in the year following attainment, as approved by our Board of Directors. The value of an award is based on a percentage of the participant’s base salary and is dependent on performance objectives for the period. We currently have two active plans, one for 2005 and another for 2006.</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award for 2005 consisted of 30,542 shares of restricted stock issued on February 15, 2006, at a grant-date fair value of $59.16. For the years ended December 31, 2006 and 2005, approximately $226,000 and $485,000 were recognized as expense for the 2005 award, respectively. As of December 31, 2006, total unrecognized stock-based compensation expense related to the 2005 award was $684,000, which will be recognized through February 15, 2009. For the 2006 yearly goals the number of shares of restricted stock to be issued will be determined by dividing the dollar amount of the award by the fair value of our common stock on the date the award is approved by our Board of Directors. For the year ended December 31, 2006, $209,000 was recognized as expense related to the 2006 award, with the remaining $1.3 million to be recognized through February, 2010.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activity for the year ended December 31, 2006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4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January 1, 2006</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30,542</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(1,171)</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(6,938)</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December 31, 2006</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22,433</w:t>
            </w:r>
          </w:p>
        </w:tc>
        <w:tc>
          <w:tcPr>
            <w:tcW w:w="4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tcBorders>
              <w:top w:val="single" w:sz="8" w:color="CCEEFF"/>
            </w:tcBorders>
          </w:tcPr>
          <w:p>
            <w:pPr>
              <w:spacing w:after="0"/>
              <w:rPr>
                <w:sz w:val="15"/>
                <w:szCs w:val="15"/>
                <w:color w:val="auto"/>
              </w:rPr>
            </w:pPr>
          </w:p>
        </w:tc>
        <w:tc>
          <w:tcPr>
            <w:tcW w:w="1500" w:type="dxa"/>
            <w:vAlign w:val="bottom"/>
            <w:tcBorders>
              <w:top w:val="single" w:sz="8" w:color="auto"/>
            </w:tcBorders>
          </w:tcPr>
          <w:p>
            <w:pPr>
              <w:jc w:val="right"/>
              <w:ind w:right="913"/>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top w:val="single" w:sz="8" w:color="CCEEFF"/>
            </w:tcBorders>
          </w:tcPr>
          <w:p>
            <w:pPr>
              <w:spacing w:after="0"/>
              <w:rPr>
                <w:sz w:val="15"/>
                <w:szCs w:val="15"/>
                <w:color w:val="auto"/>
              </w:rPr>
            </w:pPr>
          </w:p>
        </w:tc>
        <w:tc>
          <w:tcPr>
            <w:tcW w:w="4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260" w:type="dxa"/>
            <w:vAlign w:val="bottom"/>
            <w:tcBorders>
              <w:bottom w:val="single" w:sz="8" w:color="808080"/>
            </w:tcBorders>
          </w:tcPr>
          <w:p>
            <w:pPr>
              <w:spacing w:after="0"/>
              <w:rPr>
                <w:sz w:val="6"/>
                <w:szCs w:val="6"/>
                <w:color w:val="auto"/>
              </w:rPr>
            </w:pPr>
          </w:p>
        </w:tc>
        <w:tc>
          <w:tcPr>
            <w:tcW w:w="15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45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left="240"/>
        <w:spacing w:after="0"/>
        <w:rPr>
          <w:sz w:val="20"/>
          <w:szCs w:val="20"/>
          <w:color w:val="auto"/>
        </w:rPr>
      </w:pPr>
      <w:r>
        <w:rPr>
          <w:rFonts w:ascii="Times New Roman" w:cs="Times New Roman" w:eastAsia="Times New Roman" w:hAnsi="Times New Roman"/>
          <w:sz w:val="18"/>
          <w:szCs w:val="18"/>
          <w:i w:val="1"/>
          <w:iCs w:val="1"/>
          <w:color w:val="auto"/>
        </w:rPr>
        <w:t>Board of Directors’ Unrestricted Stock Awards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issue unrestricted stock awards to our Board of Directors as part of the Board of Directors’ compensation. During the year ended December 31, 2006, we issued 5,762 shares of unrestricted stock to our Board of Directors, with a weighted average grant-date fair value of $50.71. The expense related to these awards for the year ended December 31, 2006 was $292,000. All awards were fully vested and expensed when granted.</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noncancelable operating leases for computers, office, production and storage space expiring at various dates through 2011. Rent expense under our operating leases was $7.0 million in 2006, $7.6 million in 2005 and $8.1 million in 2004. We receive lease income on a portion of our Spokane Valley facility from another entity. Future minimum payments and revenues at December 31, 2006, under noncancelable operating leases with initial or remaining terms in excess of one year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Minimum</w:t>
            </w:r>
          </w:p>
        </w:tc>
      </w:tr>
      <w:tr>
        <w:trPr>
          <w:trHeight w:val="245"/>
        </w:trPr>
        <w:tc>
          <w:tcPr>
            <w:tcW w:w="3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1"/>
                <w:szCs w:val="21"/>
                <w:color w:val="auto"/>
              </w:rPr>
            </w:pPr>
          </w:p>
        </w:tc>
      </w:tr>
      <w:tr>
        <w:trPr>
          <w:trHeight w:val="216"/>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3580" w:type="dxa"/>
            <w:vAlign w:val="bottom"/>
            <w:shd w:val="clear" w:color="auto" w:fill="CCEEFF"/>
          </w:tcPr>
          <w:p>
            <w:pPr>
              <w:jc w:val="right"/>
              <w:ind w:right="2870"/>
              <w:spacing w:after="0"/>
              <w:rPr>
                <w:sz w:val="20"/>
                <w:szCs w:val="20"/>
                <w:color w:val="auto"/>
              </w:rPr>
            </w:pPr>
            <w:r>
              <w:rPr>
                <w:rFonts w:ascii="Times New Roman" w:cs="Times New Roman" w:eastAsia="Times New Roman" w:hAnsi="Times New Roman"/>
                <w:sz w:val="18"/>
                <w:szCs w:val="18"/>
                <w:color w:val="auto"/>
              </w:rPr>
              <w:t>2007</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35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2008</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3580" w:type="dxa"/>
            <w:vAlign w:val="bottom"/>
            <w:shd w:val="clear" w:color="auto" w:fill="CCEEFF"/>
          </w:tcPr>
          <w:p>
            <w:pPr>
              <w:jc w:val="right"/>
              <w:ind w:right="2870"/>
              <w:spacing w:after="0"/>
              <w:rPr>
                <w:sz w:val="20"/>
                <w:szCs w:val="20"/>
                <w:color w:val="auto"/>
              </w:rPr>
            </w:pPr>
            <w:r>
              <w:rPr>
                <w:rFonts w:ascii="Times New Roman" w:cs="Times New Roman" w:eastAsia="Times New Roman" w:hAnsi="Times New Roman"/>
                <w:sz w:val="18"/>
                <w:szCs w:val="18"/>
                <w:color w:val="auto"/>
              </w:rPr>
              <w:t>2009</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3580" w:type="dxa"/>
            <w:vAlign w:val="bottom"/>
          </w:tcPr>
          <w:p>
            <w:pPr>
              <w:jc w:val="right"/>
              <w:ind w:right="2870"/>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3580" w:type="dxa"/>
            <w:vAlign w:val="bottom"/>
            <w:tcBorders>
              <w:bottom w:val="single" w:sz="8" w:color="CCEEFF"/>
            </w:tcBorders>
            <w:shd w:val="clear" w:color="auto" w:fill="CCEEFF"/>
          </w:tcPr>
          <w:p>
            <w:pPr>
              <w:jc w:val="right"/>
              <w:ind w:right="2870"/>
              <w:spacing w:after="0"/>
              <w:rPr>
                <w:sz w:val="20"/>
                <w:szCs w:val="20"/>
                <w:color w:val="auto"/>
              </w:rPr>
            </w:pPr>
            <w:r>
              <w:rPr>
                <w:rFonts w:ascii="Times New Roman" w:cs="Times New Roman" w:eastAsia="Times New Roman" w:hAnsi="Times New Roman"/>
                <w:sz w:val="18"/>
                <w:szCs w:val="18"/>
                <w:color w:val="auto"/>
              </w:rPr>
              <w:t>2011</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358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15,266</w:t>
            </w:r>
          </w:p>
        </w:tc>
        <w:tc>
          <w:tcPr>
            <w:tcW w:w="14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1,613</w:t>
            </w:r>
          </w:p>
        </w:tc>
      </w:tr>
      <w:tr>
        <w:trPr>
          <w:trHeight w:val="21"/>
        </w:trPr>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 expense and income, net of any leasehold incentive, is recognized straightline over the lease term, including renewal periods if reasonably assured. Our most significant operating leases include our manufacturing facility in Waseca, Minnesota and office space for our software operations in Raleigh, North Carolina and Oakland and San Diego, California. Our leases typically contain renewal options similar to the original terms with lease payments that increase based on the consumer price index.</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Under FASB Interpretation 45, </w:t>
      </w:r>
      <w:r>
        <w:rPr>
          <w:rFonts w:ascii="Times New Roman" w:cs="Times New Roman" w:eastAsia="Times New Roman" w:hAnsi="Times New Roman"/>
          <w:sz w:val="18"/>
          <w:szCs w:val="18"/>
          <w:i w:val="1"/>
          <w:iCs w:val="1"/>
          <w:color w:val="auto"/>
        </w:rPr>
        <w:t>Guarantor’s Accounting and Disclosure Requirements for Guarantees, Including Indirect Guarantees of Indebtedness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Others</w:t>
      </w:r>
      <w:r>
        <w:rPr>
          <w:rFonts w:ascii="Times New Roman" w:cs="Times New Roman" w:eastAsia="Times New Roman" w:hAnsi="Times New Roman"/>
          <w:sz w:val="18"/>
          <w:szCs w:val="18"/>
          <w:color w:val="auto"/>
        </w:rPr>
        <w:t>, we record a liability for certain types of guarantees and indemnifications for agreements entered into or amended subsequent to December 31,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liabilities were required for agreements entered into during the years ended December 31, 2006 and 2005.</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bid and performance bonds for certain customers. Bonds in force were $6.0 million and $3.0 million at December 31, 2006 and 2005,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standby letters of credit to guarantee our performance under certain contracts. The outstanding amounts of standby letters of credit were $23.0 million and $22.6 million at December 31, 2006 and 2005, respectively.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and related pronouncements. In accordance with SFAS 5, a liability is recorded when we determine that a loss is probable and the amount can be reasonably estimated. Additionally, we disclose contingencies for which a material loss is reasonably possible, but not probable. At December 31, 2006, there were no material legal contingencies requiring accrual or disclosure.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0" w:name="page31"/>
    <w:bookmarkEnd w:id="3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Subsequent to the filing of our Annual Report on Form 10-K for the year ended December 31, 2006, which was originally filed with the SEC on February 23, 2007, and in connection with the close of the Actaris Metering Systems SA (Actaris) acquisition on April 18, 2007, we realigned our previously reported operating segments into two groups, Itron North America and Actaris, to reflect the way we are managing our business after the Actaris acquisition. Our Itron North America operating segment represents our operations prior to the Actaris acquisition, which are primarily located in North America. Prior to the Actaris acquisition, Itron North America previously consisted of three operating segments, as previously reported: Electricity Metering, Meter Data Collection and Software Solutions. Our Actaris operating segment represents the operations of the Actaris acquisition, which are primarily located outside of North America. As such operating segment was not acquired prior to December 31, 2006, such segment is not included in the operating segment information below. The operating segment information as set forth below, for the years ended December 31, 2006, 2005 and 2004 is based on the new segment reporting structure as of June 30, 2007. Historical segment information has been restated from the segment information previously provided to conform to the segment reporting structure after the April 2007 Actaris acquisition in accordance with SFAS 131, </w:t>
      </w:r>
      <w:r>
        <w:rPr>
          <w:rFonts w:ascii="Times New Roman" w:cs="Times New Roman" w:eastAsia="Times New Roman" w:hAnsi="Times New Roman"/>
          <w:sz w:val="18"/>
          <w:szCs w:val="18"/>
          <w:i w:val="1"/>
          <w:iCs w:val="1"/>
          <w:color w:val="auto"/>
        </w:rPr>
        <w:t>Disclosures about Segments of an Enterprise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operating expenses, interest income, interest expense, other income (expense) and income tax expense (benefit) are not allocated to the Itron North America segment, nor included in the measure of segment profit or loss. Assets and liabilities are not used in our measurement of segment performance and, therefore, are not allocated to our segments. Approximately 99% of depreciation expense was allocated to the Itron North America segment at December 31, 2006, 2005 and 2004, with the remaining portion reported under corporate unallocated.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classify our Itron North America products as either hardware or software. Hardware revenues were 91% in 2006 and 2005 and 88% in 2004. Software revenues were 9% in 2006 and 2005 and 12% in 2004. We classify sales in the United States and Canada as domestic revenues. International revenues were $41.1 million, $39.3 million and $25.9 million for the years ended December 31, 2006, 2005 and 2004, respectively.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Products</w:t>
            </w:r>
          </w:p>
        </w:tc>
        <w:tc>
          <w:tcPr>
            <w:tcW w:w="120" w:type="dxa"/>
            <w:vAlign w:val="bottom"/>
          </w:tcPr>
          <w:p>
            <w:pPr>
              <w:spacing w:after="0"/>
              <w:rPr>
                <w:sz w:val="20"/>
                <w:szCs w:val="20"/>
                <w:color w:val="auto"/>
              </w:rPr>
            </w:pPr>
          </w:p>
        </w:tc>
        <w:tc>
          <w:tcPr>
            <w:tcW w:w="798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3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tcPr>
          <w:p>
            <w:pPr>
              <w:spacing w:after="0"/>
              <w:rPr>
                <w:sz w:val="24"/>
                <w:szCs w:val="24"/>
                <w:color w:val="auto"/>
              </w:rPr>
            </w:pPr>
          </w:p>
        </w:tc>
        <w:tc>
          <w:tcPr>
            <w:tcW w:w="7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Major Products</w:t>
            </w:r>
          </w:p>
        </w:tc>
      </w:tr>
      <w:tr>
        <w:trPr>
          <w:trHeight w:val="198"/>
        </w:trPr>
        <w:tc>
          <w:tcPr>
            <w:tcW w:w="20" w:type="dxa"/>
            <w:vAlign w:val="bottom"/>
          </w:tcPr>
          <w:p>
            <w:pPr>
              <w:spacing w:after="0"/>
              <w:rPr>
                <w:sz w:val="17"/>
                <w:szCs w:val="17"/>
                <w:color w:val="auto"/>
              </w:rPr>
            </w:pPr>
          </w:p>
        </w:tc>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Itron North America</w:t>
            </w:r>
          </w:p>
        </w:tc>
        <w:tc>
          <w:tcPr>
            <w:tcW w:w="120" w:type="dxa"/>
            <w:vAlign w:val="bottom"/>
          </w:tcPr>
          <w:p>
            <w:pPr>
              <w:spacing w:after="0"/>
              <w:rPr>
                <w:sz w:val="17"/>
                <w:szCs w:val="17"/>
                <w:color w:val="auto"/>
              </w:rPr>
            </w:pPr>
          </w:p>
        </w:tc>
        <w:tc>
          <w:tcPr>
            <w:tcW w:w="7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Electricity meters with and without automated meter reading (AMR); gas and water AMR modules; handheld,</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mobile and network AMR data collection technologies; advanced metering infrastructure (AMI) technologies;</w:t>
            </w:r>
          </w:p>
        </w:tc>
      </w:t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software, installation, implementation, maintenance support and other services.</w:t>
            </w:r>
          </w:p>
        </w:tc>
      </w:tr>
      <w:tr>
        <w:trPr>
          <w:trHeight w:val="459"/>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120" w:type="dxa"/>
            <w:vAlign w:val="bottom"/>
          </w:tcPr>
          <w:p>
            <w:pPr>
              <w:spacing w:after="0"/>
              <w:rPr>
                <w:sz w:val="24"/>
                <w:szCs w:val="24"/>
                <w:color w:val="auto"/>
              </w:rPr>
            </w:pPr>
          </w:p>
        </w:tc>
        <w:tc>
          <w:tcPr>
            <w:tcW w:w="7980" w:type="dxa"/>
            <w:vAlign w:val="bottom"/>
          </w:tcPr>
          <w:p>
            <w:pPr>
              <w:spacing w:after="0"/>
              <w:rPr>
                <w:sz w:val="24"/>
                <w:szCs w:val="24"/>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 Itron North America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552,690</w:t>
            </w: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 Itron North America</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267,442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233,621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Itron North America</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69,953</w:t>
            </w: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unallocated</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(27,285)</w:t>
            </w: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(23,715)</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Company</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46,238</w:t>
            </w: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(9,508)</w:t>
            </w: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180" w:type="dxa"/>
            <w:vAlign w:val="bottom"/>
          </w:tcPr>
          <w:p>
            <w:pPr>
              <w:spacing w:after="0"/>
              <w:rPr>
                <w:sz w:val="18"/>
                <w:szCs w:val="18"/>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27,528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customer accounted for 16% of total Company revenues in 2006. No single customer represented more than 10% of total Company revenues in 2005 and 2004.</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Condensed Consolidating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Subsequent to the filing of our Annual Report on Form 10-K for the year ended December 31, 2006, which was originally filed with the SEC on February 23, 2007, we determined that the required disclosure under SEC Regulation S-X Rule 3-10, </w:t>
      </w:r>
      <w:r>
        <w:rPr>
          <w:rFonts w:ascii="Times New Roman" w:cs="Times New Roman" w:eastAsia="Times New Roman" w:hAnsi="Times New Roman"/>
          <w:sz w:val="18"/>
          <w:szCs w:val="18"/>
          <w:i w:val="1"/>
          <w:iCs w:val="1"/>
          <w:color w:val="auto"/>
        </w:rPr>
        <w:t>Financial Statements of Guarantors and Issuers of Guaranteed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Registered or Being Registered, </w:t>
      </w:r>
      <w:r>
        <w:rPr>
          <w:rFonts w:ascii="Times New Roman" w:cs="Times New Roman" w:eastAsia="Times New Roman" w:hAnsi="Times New Roman"/>
          <w:sz w:val="18"/>
          <w:szCs w:val="18"/>
          <w:color w:val="auto"/>
        </w:rPr>
        <w:t>had been omitted. As a result, the previously omitted information is being presented below.</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senior subordinated notes and convertible notes, issued by Itron, Inc. (the Issuer) are guaranteed by our U.S. domestic subsidiaries, which are 100% owned, and any future domestic subsidiaries. The guarantees are joint and several, full, complete and unconditional. Our convertible senior subordinated notes (convertible notes) were not guaranteed by any of our subsidiaries on the date of issuance. However, our guarantees under the convertible notes will be joint and several, full, complete and unconditional by any future subsidiaries that guarantee our senior subordinated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currently no restrictions on the ability of the subsidiary guarantors to transfer funds to the parent company.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2006, the legal entity holding the U.S. operations of our Electricity Metering business (a guarantor subsidiary) was merged into the parent company. As a result of this merger, the assets, liabilities and operations of this guarantor subsidiary have beencombined with the parent company as of and for the year ended December 31, 2006. In addition, as a result of our legal entity merger on January 1, 2006, we have restated the parent and guarantor subsidiary information for the 2005 and 2004 periods presented to reflect the new legal entity structure.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2006, we acquired Quantum and ELO (see Note 5). Commencing on the date of acquisition, Quantum’s financial results are reflected within the parent company. The financial results of the wholly-owned entities that hold the investment in ELO are reflected within the guarantor subsidiaries, whereas the financial results of ELO are reflected within the non-guarantor subsidiaries.</w:t>
      </w: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 2006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Non-guarantor</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8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4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Sales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561,583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52,428</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(20,021)</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9,540</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revenues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618,526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61,968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(36,452)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338,993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30,252</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17,908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cost of revenues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364,228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48,160</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254,298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13,808</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6,650</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Product development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193,943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12,421</w:t>
            </w:r>
          </w:p>
        </w:tc>
        <w:tc>
          <w:tcPr>
            <w:tcW w:w="3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1,387</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1,056</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(losses) of guarantor and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non-guarantor subsidiaries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33,759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9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 2005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Non-guarantor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6"/>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86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Sales</w:t>
            </w: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488,755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40,365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(25,850)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48,615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552,690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285,771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cost of revenues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310,726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Product development</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Restructurings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180,041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non-guarantor subsidiaries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33,061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3" w:name="page34"/>
    <w:bookmarkEnd w:id="3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 2004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Non-guarantor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6"/>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92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Sales</w:t>
            </w: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338,729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18,756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(10,942)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399,194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193,005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Service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cost of revenues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220,543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Product development</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Restructurings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non-guarantor subsidiaries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90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3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3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4" w:name="page35"/>
    <w:bookmarkEnd w:id="3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Consolidating Balance Sheet</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2006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Non-guarantor</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80" w:type="dxa"/>
            <w:vAlign w:val="bottom"/>
          </w:tcPr>
          <w:p>
            <w:pPr>
              <w:spacing w:after="0"/>
              <w:rPr>
                <w:sz w:val="21"/>
                <w:szCs w:val="21"/>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6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353,483</w:t>
            </w:r>
          </w:p>
        </w:tc>
        <w:tc>
          <w:tcPr>
            <w:tcW w:w="14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7,922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 held to maturity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14,883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Intercompany accounts receivable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3,263</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Intercompany other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575,676</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86,594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7,951</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113,481</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12,785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notes receivable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1,242</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1,390</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984,482</w:t>
            </w:r>
          </w:p>
        </w:tc>
        <w:tc>
          <w:tcPr>
            <w:tcW w:w="140" w:type="dxa"/>
            <w:vAlign w:val="bottom"/>
            <w:tcBorders>
              <w:left w:val="single" w:sz="8" w:color="CCEEFF"/>
            </w:tcBorders>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65,377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(61,868)</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41,047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Intercompany accounts payable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6,486</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intercompany advances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1,445</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105,838</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469,324</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Warranty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notes payable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12,258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Contingent purchase price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obligations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597,540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30,113</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5,767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390,982</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984,482</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65,377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(61,868)</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988,522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5" w:name="page36"/>
    <w:bookmarkEnd w:id="35"/>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Consolidating Balance Sheet</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At December 31, 2005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Non-guarantor</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200" w:type="dxa"/>
            <w:vAlign w:val="bottom"/>
          </w:tcPr>
          <w:p>
            <w:pPr>
              <w:spacing w:after="0"/>
              <w:rPr>
                <w:sz w:val="21"/>
                <w:szCs w:val="21"/>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vMerge w:val="restart"/>
          </w:tcPr>
          <w:p>
            <w:pPr>
              <w:ind w:left="2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6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5,574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7,721</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Intercompany accounts receivable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8,977</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2,664</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2,366</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Intercompany other</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221,657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74,097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3,526</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123,233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103,305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12,727</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1,806</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notes receivable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600,497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49,268</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(50,881)</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598,884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1,495</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Intercompany accounts payable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3,471</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971</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debt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860</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intercompany advances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3,727</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160,186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Project financing debt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2,367</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notes payable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1,966</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Warranty</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838</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obligations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312,046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28,132</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 net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4,962</w:t>
            </w:r>
          </w:p>
        </w:tc>
        <w:tc>
          <w:tcPr>
            <w:tcW w:w="5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(1,181)</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317,534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600,497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49,268</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(50,881)</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598,884</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52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jc w:val="right"/>
              <w:ind w:right="214"/>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40" w:type="dxa"/>
            <w:vAlign w:val="bottom"/>
            <w:gridSpan w:val="9"/>
          </w:tcPr>
          <w:p>
            <w:pPr>
              <w:ind w:left="4140"/>
              <w:spacing w:after="0"/>
              <w:rPr>
                <w:sz w:val="20"/>
                <w:szCs w:val="20"/>
                <w:color w:val="auto"/>
              </w:rPr>
            </w:pPr>
            <w:r>
              <w:rPr>
                <w:rFonts w:ascii="Times New Roman" w:cs="Times New Roman" w:eastAsia="Times New Roman" w:hAnsi="Times New Roman"/>
                <w:sz w:val="18"/>
                <w:szCs w:val="18"/>
                <w:b w:val="1"/>
                <w:bCs w:val="1"/>
                <w:color w:val="auto"/>
              </w:rPr>
              <w:t>Consolidating Statement of Cash Flows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40" w:type="dxa"/>
            <w:vAlign w:val="bottom"/>
            <w:gridSpan w:val="9"/>
          </w:tcPr>
          <w:p>
            <w:pPr>
              <w:ind w:left="4420"/>
              <w:spacing w:after="0"/>
              <w:rPr>
                <w:sz w:val="20"/>
                <w:szCs w:val="20"/>
                <w:color w:val="auto"/>
              </w:rPr>
            </w:pPr>
            <w:r>
              <w:rPr>
                <w:rFonts w:ascii="Times New Roman" w:cs="Times New Roman" w:eastAsia="Times New Roman" w:hAnsi="Times New Roman"/>
                <w:sz w:val="18"/>
                <w:szCs w:val="18"/>
                <w:b w:val="1"/>
                <w:bCs w:val="1"/>
                <w:color w:val="auto"/>
              </w:rPr>
              <w:t>Year Ended December 31, 2006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Non-guarantor</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100" w:type="dxa"/>
            <w:vAlign w:val="bottom"/>
          </w:tcPr>
          <w:p>
            <w:pPr>
              <w:spacing w:after="0"/>
              <w:rPr>
                <w:sz w:val="21"/>
                <w:szCs w:val="21"/>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8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operating activities: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plans income tax benefits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prepaid debt fees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(2,140)</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(earnings) losses of non-guarantor subsidiaries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(7,138)</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note receivable,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(3,066)</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Intercompany transactions,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8,404</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investments, held to maturity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(204,995)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the maturities of investments, held to maturity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(1,037)</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acquisitions, net of cash and cash equivalents acquired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(1,232)</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transferred to parent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transferred to non-guarantor subsidiaries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Intercompany notes,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8,133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(85,293)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on debt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(3,227)</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debt fees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transferred from parent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transferred from non-guarantor subsidiaries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Intercompany notes payable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(2,467)</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318,493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2,348</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353,483</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7,922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361,405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Fixed assets purchased but not yet paid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502</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affects of acquisitions (Note 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637</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17" w:right="239" w:bottom="1440" w:gutter="0" w:footer="0" w:header="0"/>
        </w:sect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37" w:name="page38"/>
    <w:bookmarkEnd w:id="37"/>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Consolidating Statement of Cash Flows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 2005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Non-guarantor</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200" w:type="dxa"/>
            <w:vAlign w:val="bottom"/>
          </w:tcPr>
          <w:p>
            <w:pPr>
              <w:spacing w:after="0"/>
              <w:rPr>
                <w:sz w:val="21"/>
                <w:szCs w:val="21"/>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33,061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2,358</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(2,358)</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activities: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50,771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801</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plans income tax benefits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prepaid debt fees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earnings of non-guarantor subsidiaries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1,361</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1,212</w:t>
            </w: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w:t>
            </w: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Unearned revenue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Warranty</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Intercompany transactions,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6,725</w:t>
            </w: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transferred to parent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transferred to non-guarantor subsidiaries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Intercompany notes,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(1,863)</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(4,661)</w:t>
            </w:r>
          </w:p>
        </w:tc>
        <w:tc>
          <w:tcPr>
            <w:tcW w:w="5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on debt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(797)</w:t>
            </w: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84,727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1,414</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debt fees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transferred from parent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transferred from non-guarantor subsidiaries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Intercompany notes,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(5,957)</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(5,777)</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5,574</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Fixed assets purchased but not yet paid</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Supplemental disclosure of cash flow information: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14,314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66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40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8" w:name="page39"/>
    <w:bookmarkEnd w:id="3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Consolidating Statement of Cash Flows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 December 31, 2004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Non-guarantor</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200" w:type="dxa"/>
            <w:vAlign w:val="bottom"/>
          </w:tcPr>
          <w:p>
            <w:pPr>
              <w:spacing w:after="0"/>
              <w:rPr>
                <w:sz w:val="21"/>
                <w:szCs w:val="21"/>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(955)</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(used) by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819</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plans income tax benefits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prepaid debt fees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earnings (losses) of non-guarantor subsidiaries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1,568</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Unearned revenue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480</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Intercompany transactions, net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(12,459)</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(9,096)</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Acquisition/transfer of property, plant and equipment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Business acquisitions, net of cash and cash equivalents acquired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1,394</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transfer to non-guarantor subsidiaries/intercompany notes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transfer to parent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794</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(283,625)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820</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(267,101)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309,081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short-term borrowings, net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on debt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(72,424)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(1,810)</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debt fees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received from guarantor and non-guarantor subsidiaries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Intercompany notes,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14,704</w:t>
            </w:r>
          </w:p>
        </w:tc>
        <w:tc>
          <w:tcPr>
            <w:tcW w:w="5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4,618</w:t>
            </w: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5,770</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Reclassification of prepaid debt fees</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 on contingent purchase price paid for acquisition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Supplemental disclosure of cash flow information: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Income taxes</w:t>
            </w:r>
          </w:p>
        </w:tc>
        <w:tc>
          <w:tcPr>
            <w:tcW w:w="5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514</w:t>
            </w:r>
          </w:p>
        </w:tc>
        <w:tc>
          <w:tcPr>
            <w:tcW w:w="2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7"/>
                <w:szCs w:val="17"/>
                <w:color w:val="auto"/>
              </w:rPr>
            </w:pPr>
          </w:p>
        </w:tc>
        <w:tc>
          <w:tcPr>
            <w:tcW w:w="50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w:t>
            </w:r>
          </w:p>
        </w:tc>
        <w:tc>
          <w:tcPr>
            <w:tcW w:w="5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3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19:  Quarterly Results (Unaudited)</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results are as follows: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60" w:type="dxa"/>
            <w:vAlign w:val="bottom"/>
          </w:tcPr>
          <w:p>
            <w:pPr>
              <w:spacing w:after="0"/>
              <w:rPr>
                <w:sz w:val="24"/>
                <w:szCs w:val="24"/>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Fourth</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80" w:type="dxa"/>
            <w:vAlign w:val="bottom"/>
            <w:gridSpan w:val="2"/>
            <w:vMerge w:val="restart"/>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except per share and</w:t>
            </w:r>
          </w:p>
        </w:tc>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 price data)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6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Statement of operations data:</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155,553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163,810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164,706</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159,973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66,774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69,032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67,425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64,211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10,204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7,271</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0.39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0.28</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Price: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High</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73.72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Low</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52.58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46.87</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Statement of operations data:</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116,470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135,123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159,952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50,998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56,739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61,030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64,854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233,621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9,313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16,929</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0.68</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Price:</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High</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48.29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tcPr>
          <w:p>
            <w:pPr>
              <w:ind w:left="440"/>
              <w:spacing w:after="0" w:line="194" w:lineRule="exact"/>
              <w:rPr>
                <w:sz w:val="20"/>
                <w:szCs w:val="20"/>
                <w:color w:val="auto"/>
              </w:rPr>
            </w:pPr>
            <w:r>
              <w:rPr>
                <w:rFonts w:ascii="Times New Roman" w:cs="Times New Roman" w:eastAsia="Times New Roman" w:hAnsi="Times New Roman"/>
                <w:sz w:val="18"/>
                <w:szCs w:val="18"/>
                <w:color w:val="auto"/>
              </w:rPr>
              <w:t>Low</w:t>
            </w:r>
          </w:p>
        </w:tc>
        <w:tc>
          <w:tcPr>
            <w:tcW w:w="62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21.50</w:t>
            </w:r>
          </w:p>
        </w:tc>
        <w:tc>
          <w:tcPr>
            <w:tcW w:w="36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30"/>
              <w:spacing w:after="0" w:line="194" w:lineRule="exact"/>
              <w:rPr>
                <w:sz w:val="20"/>
                <w:szCs w:val="20"/>
                <w:color w:val="auto"/>
              </w:rPr>
            </w:pPr>
            <w:r>
              <w:rPr>
                <w:rFonts w:ascii="Times New Roman" w:cs="Times New Roman" w:eastAsia="Times New Roman" w:hAnsi="Times New Roman"/>
                <w:sz w:val="18"/>
                <w:szCs w:val="18"/>
                <w:color w:val="auto"/>
              </w:rPr>
              <w:t>29.21</w:t>
            </w:r>
          </w:p>
        </w:tc>
        <w:tc>
          <w:tcPr>
            <w:tcW w:w="26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43.58</w:t>
            </w:r>
          </w:p>
        </w:tc>
        <w:tc>
          <w:tcPr>
            <w:tcW w:w="100" w:type="dxa"/>
            <w:vAlign w:val="bottom"/>
          </w:tcPr>
          <w:p>
            <w:pPr>
              <w:spacing w:after="0"/>
              <w:rPr>
                <w:sz w:val="16"/>
                <w:szCs w:val="16"/>
                <w:color w:val="auto"/>
              </w:rPr>
            </w:pPr>
          </w:p>
        </w:tc>
        <w:tc>
          <w:tcPr>
            <w:tcW w:w="36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37.98</w:t>
            </w:r>
          </w:p>
        </w:tc>
        <w:tc>
          <w:tcPr>
            <w:tcW w:w="42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0" w:name="page41"/>
    <w:bookmarkEnd w:id="40"/>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the Company’s disclosure controls and procedures were effective as of December 31, 2006.</w:t>
      </w:r>
    </w:p>
    <w:p>
      <w:pPr>
        <w:spacing w:after="0" w:line="206"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Internal Control Over Financial Reporting.</w:t>
      </w:r>
    </w:p>
    <w:p>
      <w:pPr>
        <w:spacing w:after="0" w:line="31" w:lineRule="exact"/>
        <w:rPr>
          <w:sz w:val="20"/>
          <w:szCs w:val="20"/>
          <w:color w:val="auto"/>
        </w:rPr>
      </w:pPr>
    </w:p>
    <w:p>
      <w:pPr>
        <w:jc w:val="both"/>
        <w:ind w:left="500" w:hanging="492"/>
        <w:spacing w:after="0" w:line="25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Our management is responsible for establishing and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Integrated Framework</w:t>
      </w:r>
      <w:r>
        <w:rPr>
          <w:rFonts w:ascii="Times New Roman" w:cs="Times New Roman" w:eastAsia="Times New Roman" w:hAnsi="Times New Roman"/>
          <w:sz w:val="18"/>
          <w:szCs w:val="18"/>
          <w:color w:val="auto"/>
        </w:rPr>
        <w:t xml:space="preserve"> issued by the Committee of Sponsoring Organizations of the Treadway Commission. Based on our evaluation under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our management concluded that our internal control over financial reporting was effective as of December 31, 2006.</w:t>
      </w:r>
    </w:p>
    <w:p>
      <w:pPr>
        <w:spacing w:after="0" w:line="217"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We completed the acquisition of ELO Sistemas e Tecnologia Ltda. on June 1, 2006. This business represents a separate legal entity with total assets of $20.1 million as of December 31, 2006 and revenues of $10.6 million for the seven months then ended. It is also a separate control environment. The evaluation of disclosure controls and procedures referred to in (i) above included ELO Sistemas e Tecnologia Ltda. However, we have excluded this acquisition from management’s report on internal control over financial reporting, as permitted by SEC guidance, for the year ended December 31, 2006.</w:t>
      </w:r>
    </w:p>
    <w:p>
      <w:pPr>
        <w:spacing w:after="0" w:line="21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Our management’s assessment of the effectiveness of our internal control over financial reporting as of December 31, 2006 has been audited by Deloitte &amp; Touche LLP, an independent registered public accounting firm, as stated in their report that is included in this Annual Report on Form 10-K/A.</w:t>
      </w:r>
    </w:p>
    <w:p>
      <w:pPr>
        <w:spacing w:after="0" w:line="201" w:lineRule="exact"/>
        <w:rPr>
          <w:sz w:val="20"/>
          <w:szCs w:val="20"/>
          <w:color w:val="auto"/>
        </w:rPr>
      </w:pPr>
    </w:p>
    <w:p>
      <w:pPr>
        <w:jc w:val="both"/>
        <w:ind w:left="500" w:hanging="447"/>
        <w:spacing w:after="0" w:line="254"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 Company’s disclosure controls, including the Company’s internal controls, are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reasonable level of assurance that the stated objectives are met. We concluded, as stated in (a) above, that the Company’s internal control over financial reporting was effective in providing this reasonable level of assurance as of December 31, 2006. The Company’s management, including the Chief Executive Officer and Chief Financial Officer, does not expect that the Company’s disclosure controls or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prevented or detected. These inherent limitations include the fact that judgments in decision-making can be faulty. Additionally, controls can be circumvented by the individual acts of some persons, by collusion of two or more people, or by management override of the control. Because of the inherent limitations in a control system, misstatements due to error or fraud may occur and not be prevented or detected.</w:t>
      </w:r>
    </w:p>
    <w:p>
      <w:pPr>
        <w:spacing w:after="0" w:line="21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quarter requiring disclosure that have materially affected, or are reasonably likely to materially affect, our internal controls over financial reporting.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1" w:name="page42"/>
    <w:bookmarkEnd w:id="41"/>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 of Independent Registered Public Accounting Firm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Itron,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Lake, Washington</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audited management’s assessment, included in the accompanying Management’s Annual Report on Internal Control Over Financial Reporting, that Itron, Inc. and subsidiaries (the “Company”) maintained effective internal control over financial reporting as of December 31, 2006,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As described in Management’s Annual Report on Internal Control Over Financial Reporting, management excluded from its assessment the internal control over financial reporting at ELO Sistemas e Tecnologia Ltda. which was acquired on June 1, 2006 and whose financial statements constitute .2% and 2.0% of net and total assets, respectively, 1.6% of revenues, and (4.3)% of net income of the consolidated financial statement amounts as of and for the year ended December 31, 2006. Accordingly, our audit did not include the internal control over financial reporting at ELO Sistemas e Tecnologia Ltda.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management’s assessment that the Company maintained effective internal control over financial reporting as of December 31, 2006, is fairly stated, in all material respects,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Also in our opinion, the Company maintained, in all material respects, effective internal control over financial reporting as of December 31, 2006, based on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42" w:name="page43"/>
    <w:bookmarkEnd w:id="42"/>
    <w:p>
      <w:pPr>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consolidated financial statements and financial statement schedule as of and for the year ended December 31, 2006, of the Company and our report dated February 22, 2007 (September 12, 2007, as to Notes 17 and 18) expressed an unqualified opinion on those financial statements and financial statement schedule and included explanatory paragraphs relating to the adoption of Statement of Financial Accounting Standards No. 123(R),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restatement discussed in Note 18, and retrospective adjustment for a change in the composition of reportable segments discussed in Note 17.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2007</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by this item are submitted in Item 8 of this Annual Report on Form 10-K/A.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 Financial Statement Schedule: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Valuation and Qualifying Accounts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38"/>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10440" w:type="dxa"/>
            <w:vAlign w:val="bottom"/>
            <w:tcBorders>
              <w:bottom w:val="single" w:sz="8" w:color="auto"/>
            </w:tcBorders>
          </w:tcPr>
          <w:p>
            <w:pPr>
              <w:jc w:val="right"/>
              <w:ind w:right="425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40" w:type="dxa"/>
            <w:vAlign w:val="bottom"/>
            <w:tcBorders>
              <w:bottom w:val="single" w:sz="8" w:color="auto"/>
            </w:tcBorders>
          </w:tcPr>
          <w:p>
            <w:pPr>
              <w:spacing w:after="0" w:line="20" w:lineRule="exact"/>
              <w:rPr>
                <w:sz w:val="1"/>
                <w:szCs w:val="1"/>
                <w:color w:val="auto"/>
              </w:rPr>
            </w:pPr>
          </w:p>
        </w:tc>
      </w:tr>
      <w:tr>
        <w:trPr>
          <w:trHeight w:val="40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Agreement and Plan of Reorganization between Itron, Inc. and LineSoft Corporation dated February 14, 2002. (filed as Exhibit 2.1 to Itron,</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Inc.’s Report on Form 8-K dated March 1, 2002—File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Agreement and Plan of Merger By and Among Regional Economic Research, Inc., RER Combination, Inc. and Itron, Inc. dated September 9,</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2002. (filed as Exhibit 2.2 to Itron, Inc.’s Annual Report on Form 10-K dated March 27, 2003—File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Combination Agreement By and Among eMobile Data Corporation, Marc Jones, eMD Combination, Inc. and Itron, Inc. dated August 30, 2002.</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(filed as Exhibit 2.3 to Itron, Inc.’s Annual Report on Form 10-K dated March 27, 2003—File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Agreement and Plan of Merger By and Among Silicon Energy Corp., Shadow Combination, Inc. and Itron, Inc. dated January 18, 2003 as</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amended on February 27, 2003 and February 28, 2003. (filed as Exhibit 2.1 to Itron, Inc.’s Report on Form 8-K dated March 19, 2003—File No.</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Corrected Schedule 1.1 of First Amendment dated February 27, 2003 of the Agreement and Plan of Merger, by and among Itron, Inc., Shadow</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Combination, Inc. and Silicon Energy Corp. (filed as Exhibit 2.1.1 to Itron, Inc.’s Report on Form 8-K/A dated March 26, 2003—File No. 0-</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&amp; Restated Purchase Agreement dated July 1, 2004, by and among Itron, Inc., Itron Canada, Inc., Itron France and Schlumberger</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Electricity, Inc., Schlumberger Technology Corporation, Schlumberger Canada Limited, BVI Holdings Limited, Axalto S.A., Schlumberger B.V.</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(filed as Exhibit 2.1 to Itron, Inc.’s Report on Form 8-K dated July 15, 2004—File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and Restated Articles of Incorporation of Itron, Inc. (filed as Exhibit 3.1 to Itron, Inc.’s Annual Report on Form 10-K dated March 27,</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2003—File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and Restated Bylaws of Itron, Inc. (filed as Exhibit 3.2 to Itron, Inc.’s Quarterly Report on Form 10-Q dated August 12, 2002—File</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Bylaws of Itron Engineering Services, Inc. (filed as Exhibit 3.8 to Itron, Inc.’s Report on Form S-4 dated September 3, 2004—File No. 333-</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118782)</w:t>
            </w:r>
          </w:p>
        </w:tc>
      </w:tr>
      <w:tr>
        <w:trPr>
          <w:trHeight w:val="432"/>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Bylaws of Itron International, Inc. (filed as Exhibit 3.11 to Itron, Inc.’s Report on Form S-4 dated September 3, 2004—File No. 333-118782)</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Certificate of Incorporation of Itron International, Inc. (filed as Exhibit 3.12 to Itron, Inc.’s Report on Form S-4 dated September 3, 2004—File</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 333-118782)</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Rights Agreement between Itron, Inc. and Mellon Investor Services LLC, as Rights Agent, dated as of December 11, 2002. (filed as Exhibit 4.1</w:t>
            </w:r>
          </w:p>
        </w:tc>
      </w:tr>
      <w:tr>
        <w:trPr>
          <w:trHeight w:val="212"/>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 Itron, Inc.’s Registration of Securities on Form 8-A, filed on December 12, 2002—File No. 0-22418)</w:t>
            </w:r>
          </w:p>
        </w:tc>
      </w:tr>
      <w:tr>
        <w:trPr>
          <w:trHeight w:val="188"/>
        </w:trPr>
        <w:tc>
          <w:tcPr>
            <w:tcW w:w="760" w:type="dxa"/>
            <w:vAlign w:val="bottom"/>
          </w:tcPr>
          <w:p>
            <w:pPr>
              <w:spacing w:after="0"/>
              <w:rPr>
                <w:sz w:val="16"/>
                <w:szCs w:val="16"/>
                <w:color w:val="auto"/>
              </w:rPr>
            </w:pPr>
          </w:p>
        </w:tc>
        <w:tc>
          <w:tcPr>
            <w:tcW w:w="10660" w:type="dxa"/>
            <w:vAlign w:val="bottom"/>
            <w:gridSpan w:val="2"/>
          </w:tcPr>
          <w:p>
            <w:pPr>
              <w:jc w:val="right"/>
              <w:ind w:right="5550"/>
              <w:spacing w:after="0"/>
              <w:rPr>
                <w:sz w:val="20"/>
                <w:szCs w:val="20"/>
                <w:color w:val="auto"/>
              </w:rPr>
            </w:pPr>
            <w:r>
              <w:rPr>
                <w:rFonts w:ascii="Times New Roman" w:cs="Times New Roman" w:eastAsia="Times New Roman" w:hAnsi="Times New Roman"/>
                <w:sz w:val="14"/>
                <w:szCs w:val="14"/>
                <w:color w:val="auto"/>
              </w:rPr>
              <w:t>42</w:t>
            </w:r>
          </w:p>
        </w:tc>
      </w:tr>
      <w:tr>
        <w:trPr>
          <w:trHeight w:val="101"/>
        </w:trPr>
        <w:tc>
          <w:tcPr>
            <w:tcW w:w="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38"/>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10440" w:type="dxa"/>
            <w:vAlign w:val="bottom"/>
            <w:tcBorders>
              <w:bottom w:val="single" w:sz="8" w:color="auto"/>
            </w:tcBorders>
          </w:tcPr>
          <w:p>
            <w:pPr>
              <w:jc w:val="right"/>
              <w:ind w:right="425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40" w:type="dxa"/>
            <w:vAlign w:val="bottom"/>
            <w:tcBorders>
              <w:bottom w:val="single" w:sz="8" w:color="auto"/>
            </w:tcBorders>
          </w:tcPr>
          <w:p>
            <w:pPr>
              <w:spacing w:after="0" w:line="20" w:lineRule="exact"/>
              <w:rPr>
                <w:sz w:val="1"/>
                <w:szCs w:val="1"/>
                <w:color w:val="auto"/>
              </w:rPr>
            </w:pPr>
          </w:p>
        </w:tc>
      </w:tr>
      <w:tr>
        <w:trPr>
          <w:trHeight w:val="40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 Agreement among Itron, Inc., several lenders from time to time parties hereto, Bear Stearns Corporate Lending, Inc. and Wells Fargo</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Bank, National Association dated December 17, 2003. (filed as Exhibit 10.17 to Itron, Inc.’s Annual Report on Form 10-K dated March 12,</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2004—File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Credit Agreement, dated December 17, 2003, by and among Itron, Inc. and Bear Stearns Corporate Lending Inc. as Syndication Agent and Wells</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Fargo Bank, National Association, as Administrative Agent. (filed as Exhibit 4.1 to Itron, Inc.’s Report on Form 8-K dated July 15, 2004—File</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First Amendment to the Credit Agreement, dated March 15, 2004, by and among Itron, Inc. and Bear Stearns Corporate Lending Inc. as</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Syndication Agent and Wells Fargo Bank, National Association, as Administrative Agent. (filed as Exhibit 4.2 to Itron, Inc.’s Report on Form 8-</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 dated July 15, 2004—File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Second Amendment to the Credit Agreement, dated May 14, 2004, by and among Itron, Inc. and Bear Stearns Corporate Lending Inc. as</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Syndication Agent and Wells Fargo Bank, National Association, as Administrative Agent. (filed as Exhibit 4.3 to Itron, Inc.’s Report on Form 8-</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 dated July 15, 2004—File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Third Amendment to the Credit Agreement, dated June 30, 2004, by and among Itron, Inc. and Bear Stearns Corporate Lending Inc. as</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Syndication Agent and Wells Fargo Bank, National Association, as Administrative Agent. (filed as Exhibit 4.4 to Itron, Inc.’s Report on Form 8-</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 dated July 15, 2004—File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Itron, Inc.’s 7.75% Exchange Note due 2012. (filed as Exhibit 4.6 to Itron, Inc.’s Report on Form S-4 dated September 3, 2004—File</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 333-118782)</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Indenture relating to Itron, Inc.’s 7.75% senior subordinated notes due 2012, dated as of May 10, 2004. (filed as Exhibit 4.7 to Itron, Inc.’s</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Report on Form S-4 dated September 3, 2004—File No. 333-118782)</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Registration Rights Agreement among Itron, Inc. domestic subsidiaries listed on Schedule I thereto and Bear, Stearns &amp; Co. Inc. dated May 10,</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2004. (filed as Exhibit 4.8 to Itron, Inc.’s Report on Form S-4/A dated September 9, 2004—File No. 333-118782)</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Fourth Amendment to the Credit Agreement dated April 19, 2005, by and among Itron, Inc. and Bear Stearns Corporate Lending Inc. as</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Syndication Agent and Wells Fargo Bank, National Association, as Administrative Agent. (filed as Exhibit 10.23 to Itron, Inc.’s Report on Form</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8-K dated April 20, 2005—File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Fifth Amendment to the Credit Agreement dated April 19, 2005, by and among Itron, Inc. and Bear Stearns Corporate Lending Inc. as</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Syndication Agent and Wells Fargo Bank, National Association, as Administrative Agent. (filed as Exhibit 10.24 to Itron, Inc.’s Report on Form</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8-K dated April 20, 2005—File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Sixth Amendment to the Credit Agreement dated December 19, 2005, by and among Itron, Inc. and Bear Stearns Corporate Lending Inc. as</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Syndication Agent and Wells Fargo Bank, National Association, as Administrative Agent. (filed as Exhibit 4.11 to Itron, Inc.’s Report on Form</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8-K dated December 21, 2005—File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Seventh Amendment to the Credit Agreement dated May 18, 2006, and entered by and among Itron, Inc., several lenders from time to time</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parties thereto, Bear Stearns Corporate Lending Inc. and Wells Fargo Bank, National Association and is made with reference to the Credit</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Agreement dated December 17, 2003. (filed as Exhibit 4.14 to Itron, Inc.’s Report on Form 8-K dated May 18, 2006—File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Eighth Amendment to the Credit Agreement dated July 31, 2006, and entered into by and among Itron, Inc., several lenders from time to time</w:t>
            </w: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parties thereto, Bear Stearns Corporate Lending Inc. and Wells Fargo Bank, National Association and is made with reference to the Credit</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Agreement dated December 17, 2003. (filed as Exhibit 4.15 to Itron, Inc.’s Report on Form 8-K dated July 31, 2006—File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Indenture relating to Itron, Inc.’s 2.50% convertible senior subordinated notes due 2026, dated as of August 4, 2006. (filed as Exhibit 4.16 to</w:t>
            </w:r>
          </w:p>
        </w:tc>
      </w:tr>
      <w:tr>
        <w:trPr>
          <w:trHeight w:val="212"/>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Itron, Inc.’s Quarterly Report on Form 10-Q dated November 6, 2006—File No. 0-22418)</w:t>
            </w:r>
          </w:p>
        </w:tc>
      </w:tr>
      <w:tr>
        <w:trPr>
          <w:trHeight w:val="188"/>
        </w:trPr>
        <w:tc>
          <w:tcPr>
            <w:tcW w:w="760" w:type="dxa"/>
            <w:vAlign w:val="bottom"/>
          </w:tcPr>
          <w:p>
            <w:pPr>
              <w:spacing w:after="0"/>
              <w:rPr>
                <w:sz w:val="16"/>
                <w:szCs w:val="16"/>
                <w:color w:val="auto"/>
              </w:rPr>
            </w:pPr>
          </w:p>
        </w:tc>
        <w:tc>
          <w:tcPr>
            <w:tcW w:w="10660" w:type="dxa"/>
            <w:vAlign w:val="bottom"/>
            <w:gridSpan w:val="2"/>
          </w:tcPr>
          <w:p>
            <w:pPr>
              <w:jc w:val="right"/>
              <w:ind w:right="5550"/>
              <w:spacing w:after="0"/>
              <w:rPr>
                <w:sz w:val="20"/>
                <w:szCs w:val="20"/>
                <w:color w:val="auto"/>
              </w:rPr>
            </w:pPr>
            <w:r>
              <w:rPr>
                <w:rFonts w:ascii="Times New Roman" w:cs="Times New Roman" w:eastAsia="Times New Roman" w:hAnsi="Times New Roman"/>
                <w:sz w:val="14"/>
                <w:szCs w:val="14"/>
                <w:color w:val="auto"/>
              </w:rPr>
              <w:t>43</w:t>
            </w:r>
          </w:p>
        </w:tc>
      </w:tr>
      <w:tr>
        <w:trPr>
          <w:trHeight w:val="101"/>
        </w:trPr>
        <w:tc>
          <w:tcPr>
            <w:tcW w:w="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18"/>
                <w:szCs w:val="18"/>
                <w:color w:val="auto"/>
              </w:rPr>
            </w:pPr>
          </w:p>
        </w:tc>
        <w:tc>
          <w:tcPr>
            <w:tcW w:w="10440" w:type="dxa"/>
            <w:vAlign w:val="bottom"/>
          </w:tcPr>
          <w:p>
            <w:pPr>
              <w:spacing w:after="0"/>
              <w:rPr>
                <w:sz w:val="18"/>
                <w:szCs w:val="18"/>
                <w:color w:val="auto"/>
              </w:rPr>
            </w:pPr>
          </w:p>
        </w:tc>
      </w:tr>
      <w:tr>
        <w:trPr>
          <w:trHeight w:val="238"/>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10440" w:type="dxa"/>
            <w:vAlign w:val="bottom"/>
            <w:tcBorders>
              <w:bottom w:val="single" w:sz="8" w:color="auto"/>
            </w:tcBorders>
          </w:tcPr>
          <w:p>
            <w:pPr>
              <w:jc w:val="right"/>
              <w:ind w:right="425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40" w:type="dxa"/>
            <w:vAlign w:val="bottom"/>
            <w:tcBorders>
              <w:bottom w:val="single" w:sz="8" w:color="auto"/>
            </w:tcBorders>
          </w:tcPr>
          <w:p>
            <w:pPr>
              <w:spacing w:after="0" w:line="20" w:lineRule="exact"/>
              <w:rPr>
                <w:sz w:val="1"/>
                <w:szCs w:val="1"/>
                <w:color w:val="auto"/>
              </w:rPr>
            </w:pPr>
          </w:p>
        </w:tc>
      </w:tr>
      <w:tr>
        <w:trPr>
          <w:trHeight w:val="407"/>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Change in Control Agreement between Itron, Inc. and certain of its executive officers.* (filed as Exhibit 10.2 to Itron Inc.’s Report on</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8-K dated February 15, 2006—File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Schedule of certain executive officers who are parties to Change in Control Agreements* (see Exhibit 10.1 hereto) with Itron, Inc. (filed as</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Exhibit 10.2 to Itron Inc.’s Report on Form 10-K dated February 23, 2007—File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Amended and Restated 2000 Stock Incentive Plan. (filed as Appendix A to Itron, Inc.’s Proxy Statement for the Annual Meeting of Shareholders</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 be held on May 9, 2006—File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and Restated Equity Grant Program for Nonemployee Directors under the Itron, Inc. 2000 Amended and Restated Stock Incentive</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Plan. (filed as Exhibit 10.4 to Itron, Inc.’s Quarterly Report on Form 10-Q dated November 6, 2006—File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Deferred Compensation Plan.* (filed as Exhibit 10.12 to Itron, Inc.’s Registration Statement on Form S-1 (Registration #33-49832),</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 amended, filed on July 22, 1992)</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Executive Deferred Compensation Plan, Amendment No. Two, dated December 4, 2006* (filed as Exhibit 10.6 to Itron, Inc.’s Current Report on</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8-K dated December 7, 2006—File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Indemnification Agreements between Itron, Inc. and certain directors and officers. (filed as Exhibit 10.9 to Itron, Inc.’s Annual Report</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on Form 10-K dated March 26, 2000—File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Schedule of directors and executive officers who are parties to Indemnification Agreements (see Exhibit 10.7 hereto) with Itron, Inc. (filed as</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Exhibit 10.8 to Itron Inc.’s Report on Form 10-K dated February 23, 2007—File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 Purchase Agreement between Itron, Inc. and DataCom Information Systems, LLC (e.g. an affiliate of Duquesne Light Company) dated</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30, 2000. (filed as Exhibit 10.19 to Itron, Inc.’s Quarterly Report on Form 10-Q dated May 12, 2000—File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and Restated Warranty and Maintenance Agreement between Itron, Inc. and Duquesne Light Company dated May 1, 2003. (filed as</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Exhibit 10.13 to Itron, Inc.’s Quarterly Report on Form 10-Q dated May 9, 2003—File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2002 Employee Stock Purchase Plan. (filed as Appendix B to Itron, Inc.’s Proxy Statement for the Annual Meeting of Shareholders to be held</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on May 3, 2005—File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Long-Term Performance Plan dated February 15, 2006 between Itron, Inc. and certain of its executive officers. * (filed as Exhibit</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10.20 to Itron, Inc.’s Report on Form 8-K dated February 15, 2006—File No. 0-22418)</w:t>
            </w:r>
          </w:p>
        </w:tc>
      </w:tr>
      <w:tr>
        <w:trPr>
          <w:trHeight w:val="414"/>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1989 Restated Stock Option Plan. (filed as Appendix A to Itron, Inc.’s Proxy Statement for the Annual Meeting of Shareholders to be held on</w:t>
            </w: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April 29, 1997—File No. 0-22418)</w:t>
            </w:r>
          </w:p>
        </w:tc>
      </w:tr>
      <w:tr>
        <w:trPr>
          <w:trHeight w:val="432"/>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 Option Plan for Nonemployee Directors. (filed as Exhibit 10.11 to Itron, Inc.’s Registration Statement on Form S-1 dated July 22, 1992)</w:t>
            </w:r>
          </w:p>
        </w:tc>
      </w:tr>
      <w:tr>
        <w:trPr>
          <w:trHeight w:val="432"/>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Notice of Restricted Stock Award.* (filed as Exhibit 10.23 to Itron, Inc.’s Report on Form 8-K dated February 15, 2006)</w:t>
            </w:r>
          </w:p>
        </w:tc>
      </w:tr>
      <w:tr>
        <w:trPr>
          <w:trHeight w:val="432"/>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Statement re Computation of Ratios. (filed as Exhibit 12.1 to Itron Inc.’s Report on Form 10-K dated February 23, 2007—File No. 0-22418)</w:t>
            </w:r>
          </w:p>
        </w:tc>
      </w:tr>
      <w:tr>
        <w:trPr>
          <w:trHeight w:val="432"/>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Subsidiaries of Itron, Inc.  (filed as Exhibit 21.1 to Itron Inc.’s Report on Form 10-K dated February 23, 2007—File No. 0-22418)</w:t>
            </w:r>
          </w:p>
        </w:tc>
      </w:tr>
      <w:tr>
        <w:trPr>
          <w:trHeight w:val="432"/>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Firm—Deloitte &amp; Touche LLP.</w:t>
            </w:r>
          </w:p>
        </w:tc>
      </w:tr>
      <w:tr>
        <w:trPr>
          <w:trHeight w:val="432"/>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w:t>
            </w:r>
          </w:p>
        </w:tc>
      </w:tr>
      <w:tr>
        <w:trPr>
          <w:trHeight w:val="432"/>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Pursuant to Section 302 of the Sarbanes-Oxley Act of 2002.</w:t>
            </w:r>
          </w:p>
        </w:tc>
      </w:tr>
      <w:tr>
        <w:trPr>
          <w:trHeight w:val="432"/>
        </w:trPr>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w:t>
            </w:r>
          </w:p>
        </w:tc>
      </w:tr>
      <w:tr>
        <w:trPr>
          <w:trHeight w:val="223"/>
        </w:trPr>
        <w:tc>
          <w:tcPr>
            <w:tcW w:w="760" w:type="dxa"/>
            <w:vAlign w:val="bottom"/>
            <w:tcBorders>
              <w:bottom w:val="single" w:sz="8" w:color="auto"/>
            </w:tcBorders>
          </w:tcPr>
          <w:p>
            <w:pPr>
              <w:spacing w:after="0"/>
              <w:rPr>
                <w:sz w:val="19"/>
                <w:szCs w:val="19"/>
                <w:color w:val="auto"/>
              </w:rPr>
            </w:pPr>
          </w:p>
        </w:tc>
        <w:tc>
          <w:tcPr>
            <w:tcW w:w="10660" w:type="dxa"/>
            <w:vAlign w:val="bottom"/>
            <w:tcBorders>
              <w:bottom w:val="single" w:sz="8" w:color="auto"/>
            </w:tcBorders>
            <w:gridSpan w:val="2"/>
          </w:tcPr>
          <w:p>
            <w:pPr>
              <w:spacing w:after="0"/>
              <w:rPr>
                <w:sz w:val="19"/>
                <w:szCs w:val="19"/>
                <w:color w:val="auto"/>
              </w:rPr>
            </w:pPr>
          </w:p>
        </w:tc>
      </w:tr>
      <w:tr>
        <w:trPr>
          <w:trHeight w:val="193"/>
        </w:trPr>
        <w:tc>
          <w:tcPr>
            <w:tcW w:w="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066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8"/>
                <w:szCs w:val="18"/>
                <w:color w:val="auto"/>
              </w:rPr>
              <w:t>Management contract or compensatory plan or arrangement.</w:t>
            </w:r>
          </w:p>
        </w:tc>
      </w:tr>
      <w:tr>
        <w:trPr>
          <w:trHeight w:val="188"/>
        </w:trPr>
        <w:tc>
          <w:tcPr>
            <w:tcW w:w="760" w:type="dxa"/>
            <w:vAlign w:val="bottom"/>
          </w:tcPr>
          <w:p>
            <w:pPr>
              <w:spacing w:after="0"/>
              <w:rPr>
                <w:sz w:val="16"/>
                <w:szCs w:val="16"/>
                <w:color w:val="auto"/>
              </w:rPr>
            </w:pPr>
          </w:p>
        </w:tc>
        <w:tc>
          <w:tcPr>
            <w:tcW w:w="10660" w:type="dxa"/>
            <w:vAlign w:val="bottom"/>
            <w:gridSpan w:val="2"/>
          </w:tcPr>
          <w:p>
            <w:pPr>
              <w:jc w:val="right"/>
              <w:ind w:right="5550"/>
              <w:spacing w:after="0"/>
              <w:rPr>
                <w:sz w:val="20"/>
                <w:szCs w:val="20"/>
                <w:color w:val="auto"/>
              </w:rPr>
            </w:pPr>
            <w:r>
              <w:rPr>
                <w:rFonts w:ascii="Times New Roman" w:cs="Times New Roman" w:eastAsia="Times New Roman" w:hAnsi="Times New Roman"/>
                <w:sz w:val="14"/>
                <w:szCs w:val="14"/>
                <w:color w:val="auto"/>
              </w:rPr>
              <w:t>44</w:t>
            </w:r>
          </w:p>
        </w:tc>
      </w:tr>
      <w:tr>
        <w:trPr>
          <w:trHeight w:val="101"/>
        </w:trPr>
        <w:tc>
          <w:tcPr>
            <w:tcW w:w="7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thereunto duly authorized, in the City of Liberty Lake, State of Washington, on the 13th day of September, 2007.</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6860"/>
        <w:spacing w:after="0"/>
        <w:tabs>
          <w:tab w:leader="none" w:pos="7900" w:val="left"/>
          <w:tab w:leader="none" w:pos="8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17145</wp:posOffset>
            </wp:positionV>
            <wp:extent cx="258127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81275" cy="17145"/>
                    </a:xfrm>
                    <a:prstGeom prst="rect">
                      <a:avLst/>
                    </a:prstGeom>
                    <a:noFill/>
                  </pic:spPr>
                </pic:pic>
              </a:graphicData>
            </a:graphic>
          </wp:anchor>
        </w:drawing>
      </w:r>
    </w:p>
    <w:p>
      <w:pPr>
        <w:spacing w:after="0" w:line="12"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8"/>
          <w:szCs w:val="18"/>
          <w:b w:val="1"/>
          <w:bCs w:val="1"/>
          <w:color w:val="auto"/>
        </w:rPr>
        <w:t>Steven M. Helmbrecht</w:t>
      </w:r>
    </w:p>
    <w:p>
      <w:pPr>
        <w:spacing w:after="0" w:line="31"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8"/>
          <w:szCs w:val="18"/>
          <w:b w:val="1"/>
          <w:bCs w:val="1"/>
          <w:color w:val="auto"/>
        </w:rPr>
        <w:t>Sr. Vice President and Chief Financial Officer</w:t>
      </w:r>
    </w:p>
    <w:p>
      <w:pPr>
        <w:spacing w:after="0" w:line="234"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13th day of September, 2007</w:t>
      </w:r>
      <w:r>
        <w:rPr>
          <w:rFonts w:ascii="Times New Roman" w:cs="Times New Roman" w:eastAsia="Times New Roman" w:hAnsi="Times New Roman"/>
          <w:sz w:val="21"/>
          <w:szCs w:val="21"/>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706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21"/>
        </w:trPr>
        <w:tc>
          <w:tcPr>
            <w:tcW w:w="1120" w:type="dxa"/>
            <w:vAlign w:val="bottom"/>
            <w:tcBorders>
              <w:bottom w:val="single" w:sz="8" w:color="auto"/>
            </w:tcBorders>
            <w:gridSpan w:val="2"/>
          </w:tcPr>
          <w:p>
            <w:pPr>
              <w:spacing w:after="0" w:line="20" w:lineRule="exact"/>
              <w:rPr>
                <w:sz w:val="1"/>
                <w:szCs w:val="1"/>
                <w:color w:val="auto"/>
              </w:rPr>
            </w:pPr>
          </w:p>
        </w:tc>
        <w:tc>
          <w:tcPr>
            <w:tcW w:w="3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12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/S/</w:t>
            </w:r>
          </w:p>
        </w:tc>
        <w:tc>
          <w:tcPr>
            <w:tcW w:w="3120" w:type="dxa"/>
            <w:vAlign w:val="bottom"/>
            <w:tcBorders>
              <w:bottom w:val="single" w:sz="8" w:color="auto"/>
            </w:tcBorders>
            <w:gridSpan w:val="2"/>
          </w:tcPr>
          <w:p>
            <w:pPr>
              <w:jc w:val="center"/>
              <w:ind w:right="1010"/>
              <w:spacing w:after="0"/>
              <w:rPr>
                <w:sz w:val="20"/>
                <w:szCs w:val="20"/>
                <w:color w:val="auto"/>
              </w:rPr>
            </w:pPr>
            <w:r>
              <w:rPr>
                <w:rFonts w:ascii="Times New Roman" w:cs="Times New Roman" w:eastAsia="Times New Roman" w:hAnsi="Times New Roman"/>
                <w:sz w:val="18"/>
                <w:szCs w:val="18"/>
                <w:color w:val="auto"/>
              </w:rPr>
              <w:t>LEROY D. NOSBAUM</w:t>
            </w: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 (Principal Executive Officer)</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LeRoy D. Nosbaum</w:t>
            </w:r>
          </w:p>
        </w:tc>
        <w:tc>
          <w:tcPr>
            <w:tcW w:w="1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w:t>
            </w:r>
          </w:p>
        </w:tc>
        <w:tc>
          <w:tcPr>
            <w:tcW w:w="3260" w:type="dxa"/>
            <w:vAlign w:val="bottom"/>
            <w:tcBorders>
              <w:bottom w:val="single" w:sz="8" w:color="auto"/>
            </w:tcBorders>
            <w:gridSpan w:val="3"/>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STEVEN M. HELMBRECHT</w:t>
            </w: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Sr. Vice President and Chief Financial Officer (Principal Financial and Accounting Officer)</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2"/>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Steven M. Helmbrecht</w:t>
            </w:r>
          </w:p>
        </w:tc>
        <w:tc>
          <w:tcPr>
            <w:tcW w:w="1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2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w w:val="99"/>
              </w:rPr>
              <w:t>/S/</w:t>
            </w: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rPr>
              <w:t>MICHAEL B. BRACY</w:t>
            </w: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8"/>
              </w:rPr>
              <w:t>Michael B. Bracy</w:t>
            </w:r>
          </w:p>
        </w:tc>
        <w:tc>
          <w:tcPr>
            <w:tcW w:w="1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tcBorders>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9"/>
              </w:rPr>
              <w:t>TED C. DEMERRITT</w:t>
            </w: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8"/>
              </w:rPr>
              <w:t>Ted C. DeMerritt</w:t>
            </w:r>
          </w:p>
        </w:tc>
        <w:tc>
          <w:tcPr>
            <w:tcW w:w="1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89"/>
              </w:rPr>
              <w:t>/S/</w:t>
            </w:r>
          </w:p>
        </w:tc>
        <w:tc>
          <w:tcPr>
            <w:tcW w:w="2960" w:type="dxa"/>
            <w:vAlign w:val="bottom"/>
            <w:tcBorders>
              <w:bottom w:val="single" w:sz="8" w:color="auto"/>
            </w:tcBorders>
          </w:tcPr>
          <w:p>
            <w:pPr>
              <w:jc w:val="center"/>
              <w:ind w:right="1110"/>
              <w:spacing w:after="0"/>
              <w:rPr>
                <w:sz w:val="20"/>
                <w:szCs w:val="20"/>
                <w:color w:val="auto"/>
              </w:rPr>
            </w:pPr>
            <w:r>
              <w:rPr>
                <w:rFonts w:ascii="Times New Roman" w:cs="Times New Roman" w:eastAsia="Times New Roman" w:hAnsi="Times New Roman"/>
                <w:sz w:val="18"/>
                <w:szCs w:val="18"/>
                <w:color w:val="auto"/>
              </w:rPr>
              <w:t>KIRBY A. DYESS</w:t>
            </w: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Kirby A. Dyess</w:t>
            </w:r>
          </w:p>
        </w:tc>
        <w:tc>
          <w:tcPr>
            <w:tcW w:w="1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tcBorders>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9"/>
              </w:rPr>
              <w:t>JON E. ELIASSEN</w:t>
            </w: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Jon E. Eliassen</w:t>
            </w:r>
          </w:p>
        </w:tc>
        <w:tc>
          <w:tcPr>
            <w:tcW w:w="1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/S/</w:t>
            </w:r>
          </w:p>
        </w:tc>
        <w:tc>
          <w:tcPr>
            <w:tcW w:w="3260" w:type="dxa"/>
            <w:vAlign w:val="bottom"/>
            <w:tcBorders>
              <w:bottom w:val="single" w:sz="8" w:color="auto"/>
            </w:tcBorders>
            <w:gridSpan w:val="3"/>
          </w:tcPr>
          <w:p>
            <w:pPr>
              <w:jc w:val="center"/>
              <w:ind w:right="870"/>
              <w:spacing w:after="0"/>
              <w:rPr>
                <w:sz w:val="20"/>
                <w:szCs w:val="20"/>
                <w:color w:val="auto"/>
              </w:rPr>
            </w:pPr>
            <w:r>
              <w:rPr>
                <w:rFonts w:ascii="Times New Roman" w:cs="Times New Roman" w:eastAsia="Times New Roman" w:hAnsi="Times New Roman"/>
                <w:sz w:val="18"/>
                <w:szCs w:val="18"/>
                <w:color w:val="auto"/>
                <w:w w:val="98"/>
              </w:rPr>
              <w:t>CHARLES H. GAYLORD, JR.</w:t>
            </w: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2"/>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Charles H. Gaylord, Jr.</w:t>
            </w:r>
          </w:p>
        </w:tc>
        <w:tc>
          <w:tcPr>
            <w:tcW w:w="1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/S/</w:t>
            </w: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jc w:val="center"/>
              <w:ind w:right="1010"/>
              <w:spacing w:after="0"/>
              <w:rPr>
                <w:sz w:val="20"/>
                <w:szCs w:val="20"/>
                <w:color w:val="auto"/>
              </w:rPr>
            </w:pPr>
            <w:r>
              <w:rPr>
                <w:rFonts w:ascii="Times New Roman" w:cs="Times New Roman" w:eastAsia="Times New Roman" w:hAnsi="Times New Roman"/>
                <w:sz w:val="18"/>
                <w:szCs w:val="18"/>
                <w:color w:val="auto"/>
              </w:rPr>
              <w:t>THOMAS S. GLANVILLE</w:t>
            </w: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Thomas S. Glanville</w:t>
            </w:r>
          </w:p>
        </w:tc>
        <w:tc>
          <w:tcPr>
            <w:tcW w:w="1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2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w w:val="99"/>
              </w:rPr>
              <w:t>/S/</w:t>
            </w: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rPr>
              <w:t>SHARON L. NELSON</w:t>
            </w: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8"/>
              </w:rPr>
              <w:t>Sharon L. Nelson</w:t>
            </w:r>
          </w:p>
        </w:tc>
        <w:tc>
          <w:tcPr>
            <w:tcW w:w="1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/S/</w:t>
            </w:r>
          </w:p>
        </w:tc>
        <w:tc>
          <w:tcPr>
            <w:tcW w:w="2960" w:type="dxa"/>
            <w:vAlign w:val="bottom"/>
            <w:tcBorders>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9"/>
              </w:rPr>
              <w:t>GARY E. PRUITT</w:t>
            </w: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Gary E. Pruitt</w:t>
            </w:r>
          </w:p>
        </w:tc>
        <w:tc>
          <w:tcPr>
            <w:tcW w:w="1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2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/S/</w:t>
            </w:r>
          </w:p>
        </w:tc>
        <w:tc>
          <w:tcPr>
            <w:tcW w:w="3120" w:type="dxa"/>
            <w:vAlign w:val="bottom"/>
            <w:tcBorders>
              <w:bottom w:val="single" w:sz="8" w:color="auto"/>
            </w:tcBorders>
            <w:gridSpan w:val="2"/>
          </w:tcPr>
          <w:p>
            <w:pPr>
              <w:jc w:val="center"/>
              <w:ind w:right="1010"/>
              <w:spacing w:after="0"/>
              <w:rPr>
                <w:sz w:val="20"/>
                <w:szCs w:val="20"/>
                <w:color w:val="auto"/>
              </w:rPr>
            </w:pPr>
            <w:r>
              <w:rPr>
                <w:rFonts w:ascii="Times New Roman" w:cs="Times New Roman" w:eastAsia="Times New Roman" w:hAnsi="Times New Roman"/>
                <w:sz w:val="18"/>
                <w:szCs w:val="18"/>
                <w:color w:val="auto"/>
                <w:w w:val="99"/>
              </w:rPr>
              <w:t>GRAHAM M. WILSON</w:t>
            </w:r>
          </w:p>
        </w:tc>
        <w:tc>
          <w:tcPr>
            <w:tcW w:w="1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2"/>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8"/>
              </w:rPr>
              <w:t>Graham M. Wilson</w:t>
            </w:r>
          </w:p>
        </w:tc>
        <w:tc>
          <w:tcPr>
            <w:tcW w:w="1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180" w:type="dxa"/>
            <w:vAlign w:val="bottom"/>
            <w:gridSpan w:val="2"/>
          </w:tcPr>
          <w:p>
            <w:pPr>
              <w:jc w:val="right"/>
              <w:ind w:right="555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01"/>
        </w:trPr>
        <w:tc>
          <w:tcPr>
            <w:tcW w:w="9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49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Electricity</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Metering</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charged to</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20" w:type="dxa"/>
            <w:vAlign w:val="bottom"/>
          </w:tcPr>
          <w:p>
            <w:pPr>
              <w:spacing w:after="0"/>
              <w:rPr>
                <w:sz w:val="21"/>
                <w:szCs w:val="21"/>
                <w:color w:val="auto"/>
              </w:rPr>
            </w:pPr>
          </w:p>
        </w:tc>
        <w:tc>
          <w:tcPr>
            <w:tcW w:w="18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opening balance /</w:t>
            </w:r>
          </w:p>
        </w:tc>
        <w:tc>
          <w:tcPr>
            <w:tcW w:w="120" w:type="dxa"/>
            <w:vAlign w:val="bottom"/>
          </w:tcPr>
          <w:p>
            <w:pPr>
              <w:spacing w:after="0"/>
              <w:rPr>
                <w:sz w:val="21"/>
                <w:szCs w:val="21"/>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costs and</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Year ended December 31, 2004: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and long-term warranty</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17,475</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6,738</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15,193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7,243</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Year ended December 31, 2005: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and long-term warranty</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(2,128)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10,929</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7,099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8,497</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Year ended December 31, 2006: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and long-term warranty</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15,276</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10,104</w:t>
            </w: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7,232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7,999</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320" w:right="1040" w:hanging="302"/>
        <w:spacing w:after="0" w:line="261" w:lineRule="auto"/>
        <w:tabs>
          <w:tab w:leader="none" w:pos="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2004, we completed the acquisition of our Electricity Metering business and continued to make adjustments to the purchase price through June 2005 as the valuation of assets and liabilities were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referenced in Registration Statement Nos. 333-28933, 333-40356, 333-89966, 333-97571, 333-110703, 333-115987, 333-125461, 333-134749, and 333-143048 on Form S-8, No. 333-118782 on Form S-4, and No. 333-133026 on Form S-3 of our report, dated February 22, 2007 (September 12, 2007, as to Notes 17 and 18), relating to the financial statements and financial statement schedule of Itron, Inc. (which report expresses an unqualified opinion and includes explanatory paragraphs relating to the adoption of Statement of Financial Accounting Standards No. 123(R),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the restatement discussed in Note 18, and retrospective adjustment for a change in the composition of reportable segments discussed in Note 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of our report dated February 22, 2007, relating to management’s report on the effectiveness of internal control over financial reporting, appearing in this Annual Report on Form 10-K/A of Itron, Inc. for the year ended December 31, 2006.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12, 2007</w:t>
      </w:r>
    </w:p>
    <w:p>
      <w:pPr>
        <w:sectPr>
          <w:pgSz w:w="11900" w:h="16838" w:orient="portrait"/>
          <w:cols w:equalWidth="0" w:num="1">
            <w:col w:w="11420"/>
          </w:cols>
          <w:pgMar w:left="240" w:top="360"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LeRoy D. Nosbaum, certify that:</w:t>
      </w:r>
    </w:p>
    <w:p>
      <w:pPr>
        <w:spacing w:after="0" w:line="252" w:lineRule="exact"/>
        <w:rPr>
          <w:sz w:val="20"/>
          <w:szCs w:val="20"/>
          <w:color w:val="auto"/>
        </w:rPr>
      </w:pPr>
    </w:p>
    <w:p>
      <w:pPr>
        <w:ind w:left="920" w:hanging="480"/>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Itron, Inc.;</w:t>
      </w:r>
    </w:p>
    <w:p>
      <w:pPr>
        <w:spacing w:after="0" w:line="279" w:lineRule="exact"/>
        <w:rPr>
          <w:rFonts w:ascii="Times New Roman" w:cs="Times New Roman" w:eastAsia="Times New Roman" w:hAnsi="Times New Roman"/>
          <w:sz w:val="18"/>
          <w:szCs w:val="18"/>
          <w:color w:val="auto"/>
        </w:rPr>
      </w:pPr>
    </w:p>
    <w:p>
      <w:pPr>
        <w:jc w:val="both"/>
        <w:ind w:left="920" w:right="20" w:hanging="480"/>
        <w:spacing w:after="0" w:line="266"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920" w:right="260" w:hanging="480"/>
        <w:spacing w:after="0" w:line="282"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920" w:right="20" w:hanging="480"/>
        <w:spacing w:after="0" w:line="266"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3" w:lineRule="exact"/>
        <w:rPr>
          <w:rFonts w:ascii="Times New Roman" w:cs="Times New Roman" w:eastAsia="Times New Roman" w:hAnsi="Times New Roman"/>
          <w:sz w:val="18"/>
          <w:szCs w:val="18"/>
          <w:color w:val="auto"/>
        </w:rPr>
      </w:pPr>
    </w:p>
    <w:p>
      <w:pPr>
        <w:ind w:left="1920" w:right="100" w:hanging="480"/>
        <w:spacing w:after="0" w:line="266"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920" w:right="420" w:hanging="480"/>
        <w:spacing w:after="0" w:line="266"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920" w:right="60" w:hanging="480"/>
        <w:spacing w:after="0" w:line="266"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ind w:left="1920" w:right="160" w:hanging="480"/>
        <w:spacing w:after="0" w:line="266"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920" w:right="180" w:hanging="480"/>
        <w:spacing w:after="0" w:line="282"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920" w:hanging="480"/>
        <w:spacing w:after="0" w:line="282"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920" w:right="300" w:hanging="480"/>
        <w:spacing w:after="0" w:line="282"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6860"/>
        <w:spacing w:after="0"/>
        <w:tabs>
          <w:tab w:leader="none" w:pos="8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17145</wp:posOffset>
            </wp:positionV>
            <wp:extent cx="27184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8435" cy="17145"/>
                    </a:xfrm>
                    <a:prstGeom prst="rect">
                      <a:avLst/>
                    </a:prstGeom>
                    <a:noFill/>
                  </pic:spPr>
                </pic:pic>
              </a:graphicData>
            </a:graphic>
          </wp:anchor>
        </w:drawing>
      </w:r>
    </w:p>
    <w:p>
      <w:pPr>
        <w:spacing w:after="0" w:line="12"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b w:val="1"/>
          <w:bCs w:val="1"/>
          <w:color w:val="auto"/>
        </w:rPr>
        <w:t>LeRoy D. Nosbaum</w:t>
      </w:r>
    </w:p>
    <w:p>
      <w:pPr>
        <w:spacing w:after="0" w:line="31"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b w:val="1"/>
          <w:bCs w:val="1"/>
          <w:color w:val="auto"/>
        </w:rPr>
        <w:t>Chairman of the Board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2007</w:t>
      </w:r>
    </w:p>
    <w:p>
      <w:pPr>
        <w:sectPr>
          <w:pgSz w:w="11900" w:h="16838" w:orient="portrait"/>
          <w:cols w:equalWidth="0" w:num="1">
            <w:col w:w="11420"/>
          </w:cols>
          <w:pgMar w:left="240" w:top="117"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M. Helmbrecht, certify that:</w:t>
      </w:r>
    </w:p>
    <w:p>
      <w:pPr>
        <w:spacing w:after="0" w:line="252" w:lineRule="exact"/>
        <w:rPr>
          <w:sz w:val="20"/>
          <w:szCs w:val="20"/>
          <w:color w:val="auto"/>
        </w:rPr>
      </w:pPr>
    </w:p>
    <w:p>
      <w:pPr>
        <w:ind w:left="920" w:hanging="480"/>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Itron, Inc.;</w:t>
      </w:r>
    </w:p>
    <w:p>
      <w:pPr>
        <w:spacing w:after="0" w:line="279" w:lineRule="exact"/>
        <w:rPr>
          <w:rFonts w:ascii="Times New Roman" w:cs="Times New Roman" w:eastAsia="Times New Roman" w:hAnsi="Times New Roman"/>
          <w:sz w:val="18"/>
          <w:szCs w:val="18"/>
          <w:color w:val="auto"/>
        </w:rPr>
      </w:pPr>
    </w:p>
    <w:p>
      <w:pPr>
        <w:jc w:val="both"/>
        <w:ind w:left="920" w:right="20" w:hanging="480"/>
        <w:spacing w:after="0" w:line="266"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920" w:right="260" w:hanging="480"/>
        <w:spacing w:after="0" w:line="282"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920" w:right="20" w:hanging="480"/>
        <w:spacing w:after="0" w:line="266"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3" w:lineRule="exact"/>
        <w:rPr>
          <w:rFonts w:ascii="Times New Roman" w:cs="Times New Roman" w:eastAsia="Times New Roman" w:hAnsi="Times New Roman"/>
          <w:sz w:val="18"/>
          <w:szCs w:val="18"/>
          <w:color w:val="auto"/>
        </w:rPr>
      </w:pPr>
    </w:p>
    <w:p>
      <w:pPr>
        <w:ind w:left="1920" w:right="100" w:hanging="480"/>
        <w:spacing w:after="0" w:line="266" w:lineRule="auto"/>
        <w:tabs>
          <w:tab w:leader="none" w:pos="1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920" w:right="420" w:hanging="480"/>
        <w:spacing w:after="0" w:line="266" w:lineRule="auto"/>
        <w:tabs>
          <w:tab w:leader="none" w:pos="1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920" w:right="60" w:hanging="480"/>
        <w:spacing w:after="0" w:line="266" w:lineRule="auto"/>
        <w:tabs>
          <w:tab w:leader="none" w:pos="1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ind w:left="1920" w:right="160" w:hanging="480"/>
        <w:spacing w:after="0" w:line="266" w:lineRule="auto"/>
        <w:tabs>
          <w:tab w:leader="none" w:pos="1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920" w:right="180" w:hanging="480"/>
        <w:spacing w:after="0" w:line="282"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920" w:hanging="480"/>
        <w:spacing w:after="0" w:line="282" w:lineRule="auto"/>
        <w:tabs>
          <w:tab w:leader="none" w:pos="1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920" w:right="300" w:hanging="480"/>
        <w:spacing w:after="0" w:line="282" w:lineRule="auto"/>
        <w:tabs>
          <w:tab w:leader="none" w:pos="1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7260"/>
        <w:spacing w:after="0"/>
        <w:tabs>
          <w:tab w:leader="none" w:pos="8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17145</wp:posOffset>
            </wp:positionV>
            <wp:extent cx="22555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55520" cy="17145"/>
                    </a:xfrm>
                    <a:prstGeom prst="rect">
                      <a:avLst/>
                    </a:prstGeom>
                    <a:noFill/>
                  </pic:spPr>
                </pic:pic>
              </a:graphicData>
            </a:graphic>
          </wp:anchor>
        </w:drawing>
      </w:r>
    </w:p>
    <w:p>
      <w:pPr>
        <w:spacing w:after="0" w:line="12"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b w:val="1"/>
          <w:bCs w:val="1"/>
          <w:color w:val="auto"/>
        </w:rPr>
        <w:t>Steven M. Helmbrecht</w:t>
      </w:r>
    </w:p>
    <w:p>
      <w:pPr>
        <w:spacing w:after="0" w:line="31"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b w:val="1"/>
          <w:bCs w:val="1"/>
          <w:color w:val="auto"/>
        </w:rPr>
        <w:t>Sr. Vice President and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13, 2007</w:t>
      </w:r>
    </w:p>
    <w:p>
      <w:pPr>
        <w:sectPr>
          <w:pgSz w:w="11900" w:h="16838" w:orient="portrait"/>
          <w:cols w:equalWidth="0" w:num="1">
            <w:col w:w="11420"/>
          </w:cols>
          <w:pgMar w:left="240" w:top="117"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Annual Report of Itron, Inc. (the Company) on Form 10-K/A for the fiscal year ended December 31, 2006 (the Report) for the purpose of complying with Rule 13a-14(b) or Rule 15d-14(b) of the Securities Exchange Act of 1934 and Section 1350 of Chapter 63 of Title 18 of the United States Code.</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LeRoy D. Nosbaum, the Chief Executive Officer and Steven M. Helmbrecht, the Chief Financial Officer of the Company, each certifies that to the best of his knowledge:</w:t>
      </w:r>
    </w:p>
    <w:p>
      <w:pPr>
        <w:spacing w:after="0" w:line="189" w:lineRule="exact"/>
        <w:rPr>
          <w:sz w:val="20"/>
          <w:szCs w:val="20"/>
          <w:color w:val="auto"/>
        </w:rPr>
      </w:pPr>
    </w:p>
    <w:p>
      <w:pPr>
        <w:ind w:left="920" w:hanging="480"/>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920" w:hanging="480"/>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LeRoy D. Nosbaum</w:t>
      </w:r>
    </w:p>
    <w:p>
      <w:pPr>
        <w:spacing w:after="0" w:line="31" w:lineRule="exact"/>
        <w:rPr>
          <w:sz w:val="20"/>
          <w:szCs w:val="20"/>
          <w:color w:val="auto"/>
        </w:rPr>
      </w:pPr>
    </w:p>
    <w:p>
      <w:pPr>
        <w:jc w:val="center"/>
        <w:ind w:right="7420"/>
        <w:spacing w:after="0"/>
        <w:rPr>
          <w:sz w:val="20"/>
          <w:szCs w:val="20"/>
          <w:color w:val="auto"/>
        </w:rPr>
      </w:pPr>
      <w:r>
        <w:rPr>
          <w:rFonts w:ascii="Times New Roman" w:cs="Times New Roman" w:eastAsia="Times New Roman" w:hAnsi="Times New Roman"/>
          <w:sz w:val="18"/>
          <w:szCs w:val="18"/>
          <w:b w:val="1"/>
          <w:bCs w:val="1"/>
          <w:color w:val="auto"/>
        </w:rPr>
        <w:t>Chairman of the Board and Chief Executive Officer</w:t>
      </w:r>
    </w:p>
    <w:p>
      <w:pPr>
        <w:spacing w:after="0" w:line="9" w:lineRule="exact"/>
        <w:rPr>
          <w:sz w:val="20"/>
          <w:szCs w:val="20"/>
          <w:color w:val="auto"/>
        </w:rPr>
      </w:pPr>
    </w:p>
    <w:p>
      <w:pPr>
        <w:jc w:val="center"/>
        <w:ind w:right="7420"/>
        <w:spacing w:after="0"/>
        <w:rPr>
          <w:sz w:val="20"/>
          <w:szCs w:val="20"/>
          <w:color w:val="auto"/>
        </w:rPr>
      </w:pPr>
      <w:r>
        <w:rPr>
          <w:rFonts w:ascii="Times New Roman" w:cs="Times New Roman" w:eastAsia="Times New Roman" w:hAnsi="Times New Roman"/>
          <w:sz w:val="18"/>
          <w:szCs w:val="18"/>
          <w:b w:val="1"/>
          <w:bCs w:val="1"/>
          <w:color w:val="auto"/>
        </w:rPr>
        <w:t>September 13, 2007</w:t>
      </w:r>
    </w:p>
    <w:p>
      <w:pPr>
        <w:spacing w:after="0" w:line="2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Steven M. Helmbrecht</w:t>
      </w:r>
    </w:p>
    <w:p>
      <w:pPr>
        <w:spacing w:after="0" w:line="31" w:lineRule="exact"/>
        <w:rPr>
          <w:sz w:val="20"/>
          <w:szCs w:val="20"/>
          <w:color w:val="auto"/>
        </w:rPr>
      </w:pPr>
    </w:p>
    <w:p>
      <w:pPr>
        <w:jc w:val="center"/>
        <w:ind w:right="7420"/>
        <w:spacing w:after="0"/>
        <w:rPr>
          <w:sz w:val="20"/>
          <w:szCs w:val="20"/>
          <w:color w:val="auto"/>
        </w:rPr>
      </w:pPr>
      <w:r>
        <w:rPr>
          <w:rFonts w:ascii="Times New Roman" w:cs="Times New Roman" w:eastAsia="Times New Roman" w:hAnsi="Times New Roman"/>
          <w:sz w:val="18"/>
          <w:szCs w:val="18"/>
          <w:b w:val="1"/>
          <w:bCs w:val="1"/>
          <w:color w:val="auto"/>
        </w:rPr>
        <w:t>Sr. Vice President and Chief Financial Officer</w:t>
      </w:r>
    </w:p>
    <w:p>
      <w:pPr>
        <w:spacing w:after="0" w:line="9" w:lineRule="exact"/>
        <w:rPr>
          <w:sz w:val="20"/>
          <w:szCs w:val="20"/>
          <w:color w:val="auto"/>
        </w:rPr>
      </w:pPr>
    </w:p>
    <w:p>
      <w:pPr>
        <w:jc w:val="center"/>
        <w:ind w:right="7420"/>
        <w:spacing w:after="0"/>
        <w:rPr>
          <w:sz w:val="20"/>
          <w:szCs w:val="20"/>
          <w:color w:val="auto"/>
        </w:rPr>
      </w:pPr>
      <w:r>
        <w:rPr>
          <w:rFonts w:ascii="Times New Roman" w:cs="Times New Roman" w:eastAsia="Times New Roman" w:hAnsi="Times New Roman"/>
          <w:sz w:val="18"/>
          <w:szCs w:val="18"/>
          <w:b w:val="1"/>
          <w:bCs w:val="1"/>
          <w:color w:val="auto"/>
        </w:rPr>
        <w:t>September 13, 2007</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2019-12-13T15:15:36Z</dcterms:created>
  <dcterms:modified xsi:type="dcterms:W3CDTF">2019-12-13T15:15:36Z</dcterms:modified>
</cp:coreProperties>
</file>