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2080260</wp:posOffset>
            </wp:positionH>
            <wp:positionV relativeFrom="paragraph">
              <wp:posOffset>17145</wp:posOffset>
            </wp:positionV>
            <wp:extent cx="30956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562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48"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17145</wp:posOffset>
            </wp:positionV>
            <wp:extent cx="18097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(Exact Name of Registrant as Specified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 its Charter)</w:t>
      </w:r>
    </w:p>
    <w:p>
      <w:pPr>
        <w:spacing w:after="0" w:line="200" w:lineRule="exact"/>
        <w:rPr>
          <w:sz w:val="24"/>
          <w:szCs w:val="24"/>
          <w:color w:val="auto"/>
        </w:rPr>
      </w:pPr>
    </w:p>
    <w:p>
      <w:pPr>
        <w:spacing w:after="0" w:line="277" w:lineRule="exact"/>
        <w:rPr>
          <w:sz w:val="24"/>
          <w:szCs w:val="24"/>
          <w:color w:val="auto"/>
        </w:rPr>
      </w:pPr>
    </w:p>
    <w:tbl>
      <w:tblPr>
        <w:tblLayout w:type="fixed"/>
        <w:tblInd w:w="1160" w:type="dxa"/>
        <w:tblCellMar>
          <w:top w:w="0" w:type="dxa"/>
          <w:left w:w="0" w:type="dxa"/>
          <w:bottom w:w="0" w:type="dxa"/>
          <w:right w:w="0" w:type="dxa"/>
        </w:tblCellMar>
      </w:tblPr>
      <w:tr>
        <w:trPr>
          <w:trHeight w:val="241"/>
        </w:trPr>
        <w:tc>
          <w:tcPr>
            <w:tcW w:w="246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89"/>
              </w:rPr>
              <w:t>Washington</w:t>
            </w:r>
          </w:p>
        </w:tc>
        <w:tc>
          <w:tcPr>
            <w:tcW w:w="350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90"/>
              </w:rPr>
              <w:t>000-22418</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2460" w:type="dxa"/>
            <w:vAlign w:val="bottom"/>
            <w:tcBorders>
              <w:top w:val="single" w:sz="8" w:color="auto"/>
            </w:tcBorders>
            <w:gridSpan w:val="3"/>
          </w:tcPr>
          <w:p>
            <w:pPr>
              <w:jc w:val="center"/>
              <w:ind w:left="210"/>
              <w:spacing w:after="0" w:line="201" w:lineRule="exact"/>
              <w:rPr>
                <w:sz w:val="20"/>
                <w:szCs w:val="20"/>
                <w:color w:val="auto"/>
              </w:rPr>
            </w:pPr>
            <w:r>
              <w:rPr>
                <w:rFonts w:ascii="Arial" w:cs="Arial" w:eastAsia="Arial" w:hAnsi="Arial"/>
                <w:sz w:val="18"/>
                <w:szCs w:val="18"/>
                <w:color w:val="auto"/>
                <w:w w:val="91"/>
              </w:rPr>
              <w:t>(State or Other Jurisdiction</w:t>
            </w:r>
          </w:p>
        </w:tc>
        <w:tc>
          <w:tcPr>
            <w:tcW w:w="3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 File No.)</w:t>
            </w:r>
          </w:p>
        </w:tc>
        <w:tc>
          <w:tcPr>
            <w:tcW w:w="36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jc w:val="center"/>
              <w:ind w:right="82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gridSpan w:val="3"/>
          </w:tcPr>
          <w:p>
            <w:pPr>
              <w:jc w:val="center"/>
              <w:ind w:left="210"/>
              <w:spacing w:after="0"/>
              <w:rPr>
                <w:sz w:val="20"/>
                <w:szCs w:val="20"/>
                <w:color w:val="auto"/>
              </w:rPr>
            </w:pPr>
            <w:r>
              <w:rPr>
                <w:rFonts w:ascii="Arial" w:cs="Arial" w:eastAsia="Arial" w:hAnsi="Arial"/>
                <w:sz w:val="18"/>
                <w:szCs w:val="18"/>
                <w:color w:val="auto"/>
                <w:w w:val="94"/>
              </w:rPr>
              <w:t>of Incorporation)</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gridSpan w:val="3"/>
          </w:tcPr>
          <w:p>
            <w:pPr>
              <w:jc w:val="center"/>
              <w:ind w:right="500"/>
              <w:spacing w:after="0"/>
              <w:rPr>
                <w:sz w:val="20"/>
                <w:szCs w:val="20"/>
                <w:color w:val="auto"/>
              </w:rPr>
            </w:pPr>
            <w:r>
              <w:rPr>
                <w:rFonts w:ascii="Arial" w:cs="Arial" w:eastAsia="Arial" w:hAnsi="Arial"/>
                <w:sz w:val="18"/>
                <w:szCs w:val="18"/>
                <w:color w:val="auto"/>
                <w:w w:val="95"/>
              </w:rPr>
              <w:t>Identification No.)</w:t>
            </w:r>
          </w:p>
        </w:tc>
      </w:tr>
      <w:tr>
        <w:trPr>
          <w:trHeight w:val="709"/>
        </w:trPr>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34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 Zip Code)</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2"/>
        </w:trPr>
        <w:tc>
          <w:tcPr>
            <w:tcW w:w="1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0"/>
              </w:rPr>
              <w:t>(509) 924-9900</w:t>
            </w: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340" w:type="dxa"/>
            <w:vAlign w:val="bottom"/>
            <w:gridSpan w:val="5"/>
          </w:tcPr>
          <w:p>
            <w:pPr>
              <w:jc w:val="center"/>
              <w:ind w:right="140"/>
              <w:spacing w:after="0"/>
              <w:rPr>
                <w:sz w:val="20"/>
                <w:szCs w:val="20"/>
                <w:color w:val="auto"/>
              </w:rPr>
            </w:pPr>
            <w:r>
              <w:rPr>
                <w:rFonts w:ascii="Arial" w:cs="Arial" w:eastAsia="Arial" w:hAnsi="Arial"/>
                <w:sz w:val="18"/>
                <w:szCs w:val="18"/>
                <w:color w:val="auto"/>
                <w:w w:val="91"/>
              </w:rPr>
              <w:t>(Registrant’s Telephone Number, Including Area Code)</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282575</wp:posOffset>
            </wp:positionV>
            <wp:extent cx="39789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36"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36" w:lineRule="exact"/>
        <w:rPr>
          <w:sz w:val="24"/>
          <w:szCs w:val="24"/>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6" w:lineRule="exact"/>
        <w:rPr>
          <w:rFonts w:ascii="Arial" w:cs="Arial" w:eastAsia="Arial" w:hAnsi="Arial"/>
          <w:sz w:val="18"/>
          <w:szCs w:val="18"/>
          <w:color w:val="auto"/>
        </w:rPr>
      </w:pPr>
    </w:p>
    <w:p>
      <w:pPr>
        <w:ind w:left="360" w:hanging="9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1" w:name="page2"/>
    <w:bookmarkEnd w:id="1"/>
    <w:p>
      <w:pPr>
        <w:spacing w:after="0" w:line="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18, 2007, Itron, Inc. (Itron) completed the acquisition of Actaris Metering Systems (Actaris) for €800 million (approximately $1.1 billion) plus the retirement of approximately $644.0 million of debt. The acquisition was financed with a $1.2 billion senior secured credit facility from UBS Investment Bank, $235 million from the sale of 4.1 million shares of common stock to certain institutional investors and cash on hand. The Actaris acquisition includes all of Actaris’ electricity, gas and water meter manufacturing and sales operations, located primarily outside of North America.</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the acquisition, Itron was not affiliated with Actaris or any of its affiliates, directors, officers or any associates of any director or officer. Itron’s past business transactions with Actaris consisted of manufacturing support services provided by Itron’s Electricity Metering segment; such support services were phased out by December 31, 2004.</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text of the Stock Purchase Agreement attached hereto as Exhibit 2.1 and the Amendment No. 1 to Stock Purchase Agreement attached hereto as Exhibit 2.2, incorporated herein by reference.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acquisition was financed in part by a $1.2 billion senior secured credit facility from UBS Investment Bank. The facility is comprised of a $605.1 million first lien U.S. denominated term loan; a €335 million first lien Euro denominated term loan; a £50 million first lien GBP denominated term loan; and a $115 million multicurrency revolving line-of-credit, which was undrawn at close. Several factors determine the principal payments, interest and maturity terms, which are outlined in the credit agreement attached hereto as Exhibit 4.1, incorporated herein by reference.</w:t>
      </w:r>
    </w:p>
    <w:p>
      <w:pPr>
        <w:spacing w:after="0" w:line="194" w:lineRule="exact"/>
        <w:rPr>
          <w:sz w:val="20"/>
          <w:szCs w:val="20"/>
          <w:color w:val="auto"/>
        </w:rPr>
      </w:pPr>
    </w:p>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Malcolm Unsworth, age 57, Itron’s former Sr. Vice President of Hardware Solutions, has moved to Brussels to assume the day-to-day operations of the company as Actaris’ Chief Operating Officer. Mr. Unsworth joined Itron in July 2004 as part of our Electricity Metering acquisition. Mr. Unsworth spent 25 years with Schlumberger, including 11 associated with the electricity meter business where he served as President of Schlumberger’s electricity metering business. Mr. Unsworth also served as Vice President and General Manager of Schlumberger’s North America Operations in charge of water, electricity and gas products.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Philip Mezey, age 47, Itron’s former Sr. Vice President of Software Solutions, has been appointed as the Chief Operating Officer of Itron’s operations. Mr. Mezey joined Itron in March 2003 as Managing Director of Software Development for Itron’s Energy Management Solutions Group upon Itron’s acquisition of Silicon Energy Corp. (Silicon). Mr. Mezey joined Silicon in 2000 as Vice President, Software Development. Prior to joining Silicon, Mr. Mezey was a founding member of Indus, a leading provider of integrated asset and customer management software and was with Indus for 12 years with various responsibilities for product development and services for utility solutions.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light of the additional responsibilities assumed by Itron’s executives, the Compensation Committee of the Board of Directors approved certain compensation adjustments. Mr. Unsworth and Mr. Mezey’s salaries were increased to $410,000 and $400,000, respectively. In addition, the performance awards associated with the Itron’s annual incentive program were increased for Mr. Unsworth, Mr. Mezey, Mr. Helmbrecht and Mr. Holleran to 75% of their salary. The Board of Directors approved an increase in Mr. Nosbaum’s annual performance award to 100% of his salary.</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Mr. Unsworth’s move to Brussels, Itron has provided Mr. Unsworth a Foreign Assignment Program agreement effective June 1, 2007, which provides the terms of Mr. Unsworth’s foreign assignment, including the duration, his compensation and associated benefits. The Foreign Assignment Program agreement is attached hereto as Exhibit 10.1, incorporated herein by reference.</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18, 2007, Itron issued a press release announcing the Actaris acquisition. The press release is attached hereto as Exhibit 99.1 and is incorporated herein by reference.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29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of businesses acquired.</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To be filed by amendment not later than 71 calendar days after the date that this report must be filed.</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0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To be filed by amendment not later than 71 calendar days after the date that this report must be filed.</w:t>
      </w:r>
    </w:p>
    <w:p>
      <w:pPr>
        <w:spacing w:after="0" w:line="238" w:lineRule="exact"/>
        <w:rPr>
          <w:sz w:val="20"/>
          <w:szCs w:val="20"/>
          <w:color w:val="auto"/>
        </w:rPr>
      </w:pPr>
    </w:p>
    <w:p>
      <w:pPr>
        <w:ind w:left="660" w:hanging="30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exhibits are filed as part of this report:</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Number</w:t>
            </w:r>
          </w:p>
        </w:tc>
        <w:tc>
          <w:tcPr>
            <w:tcW w:w="460" w:type="dxa"/>
            <w:vAlign w:val="bottom"/>
          </w:tcPr>
          <w:p>
            <w:pPr>
              <w:spacing w:after="0"/>
              <w:rPr>
                <w:sz w:val="20"/>
                <w:szCs w:val="20"/>
                <w:color w:val="auto"/>
              </w:rPr>
            </w:pPr>
          </w:p>
        </w:tc>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3"/>
              </w:rPr>
              <w:t>Stock Purchase Agreement between the stockholders of Actaris Metering Systems S.A., LBO France Gestion SAS and Itron, Inc.,</w:t>
            </w:r>
          </w:p>
        </w:tc>
      </w:tr>
      <w:tr>
        <w:trPr>
          <w:trHeight w:val="216"/>
        </w:trPr>
        <w:tc>
          <w:tcPr>
            <w:tcW w:w="1260" w:type="dxa"/>
            <w:vAlign w:val="bottom"/>
          </w:tcPr>
          <w:p>
            <w:pPr>
              <w:spacing w:after="0"/>
              <w:rPr>
                <w:sz w:val="18"/>
                <w:szCs w:val="18"/>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dated February 25, 2007.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2.2</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2"/>
              </w:rPr>
              <w:t>Amendment No. 1 to Stock Purchase Agreement between Actaris Metering Systems S.A., LBO France Gestion SAS and Itron, Inc.,</w:t>
            </w:r>
          </w:p>
        </w:tc>
      </w:tr>
      <w:tr>
        <w:trPr>
          <w:trHeight w:val="216"/>
        </w:trPr>
        <w:tc>
          <w:tcPr>
            <w:tcW w:w="1260" w:type="dxa"/>
            <w:vAlign w:val="bottom"/>
          </w:tcPr>
          <w:p>
            <w:pPr>
              <w:spacing w:after="0"/>
              <w:rPr>
                <w:sz w:val="18"/>
                <w:szCs w:val="18"/>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dated April 18, 2007.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2"/>
              </w:rPr>
              <w:t>Credit Agreement dated April 18, 2007, among Itron, Inc. and the subsidiary guarantors and UBS Securities LLC, Wells Fargo Bank,</w:t>
            </w:r>
          </w:p>
        </w:tc>
      </w:tr>
      <w:tr>
        <w:trPr>
          <w:trHeight w:val="216"/>
        </w:trPr>
        <w:tc>
          <w:tcPr>
            <w:tcW w:w="1260" w:type="dxa"/>
            <w:vAlign w:val="bottom"/>
          </w:tcPr>
          <w:p>
            <w:pPr>
              <w:spacing w:after="0"/>
              <w:rPr>
                <w:sz w:val="18"/>
                <w:szCs w:val="18"/>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National Association and Mizuho Corporate Bank, Ltd..</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w w:val="99"/>
              </w:rPr>
              <w:t>Security Agreement dated April 18, 2007, among Itron, Inc. and the subsidiary guarantors and Wells Fargo Bank, National</w:t>
            </w:r>
          </w:p>
        </w:tc>
      </w:tr>
      <w:tr>
        <w:trPr>
          <w:trHeight w:val="216"/>
        </w:trPr>
        <w:tc>
          <w:tcPr>
            <w:tcW w:w="1260" w:type="dxa"/>
            <w:vAlign w:val="bottom"/>
          </w:tcPr>
          <w:p>
            <w:pPr>
              <w:spacing w:after="0"/>
              <w:rPr>
                <w:sz w:val="18"/>
                <w:szCs w:val="18"/>
                <w:color w:val="auto"/>
              </w:rPr>
            </w:pP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Association as Collateral Agent.</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10160" w:type="dxa"/>
            <w:vAlign w:val="bottom"/>
            <w:gridSpan w:val="2"/>
          </w:tcPr>
          <w:p>
            <w:pPr>
              <w:ind w:left="460"/>
              <w:spacing w:after="0"/>
              <w:rPr>
                <w:sz w:val="20"/>
                <w:szCs w:val="20"/>
                <w:color w:val="auto"/>
              </w:rPr>
            </w:pPr>
            <w:r>
              <w:rPr>
                <w:rFonts w:ascii="Arial" w:cs="Arial" w:eastAsia="Arial" w:hAnsi="Arial"/>
                <w:sz w:val="18"/>
                <w:szCs w:val="18"/>
                <w:color w:val="auto"/>
              </w:rPr>
              <w:t>Foreign Assignment Program agreement between Malcolm Unsworth and Itron, Inc.</w:t>
            </w:r>
          </w:p>
        </w:tc>
      </w:tr>
    </w:tbl>
    <w:p>
      <w:pPr>
        <w:sectPr>
          <w:pgSz w:w="11900" w:h="16843" w:orient="portrait"/>
          <w:cols w:equalWidth="0" w:num="1">
            <w:col w:w="11420"/>
          </w:cols>
          <w:pgMar w:left="240" w:top="364" w:right="239" w:bottom="0" w:gutter="0" w:footer="0" w:header="0"/>
        </w:sectPr>
      </w:pPr>
    </w:p>
    <w:bookmarkStart w:id="2" w:name="page3"/>
    <w:bookmarkEnd w:id="2"/>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18, 2007</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7740" w:type="dxa"/>
            <w:vAlign w:val="bottom"/>
            <w:gridSpan w:val="3"/>
          </w:tcPr>
          <w:p>
            <w:pPr>
              <w:ind w:left="2040"/>
              <w:spacing w:after="0"/>
              <w:rPr>
                <w:sz w:val="20"/>
                <w:szCs w:val="20"/>
                <w:color w:val="auto"/>
              </w:rPr>
            </w:pPr>
            <w:r>
              <w:rPr>
                <w:rFonts w:ascii="Arial" w:cs="Arial" w:eastAsia="Arial" w:hAnsi="Arial"/>
                <w:sz w:val="18"/>
                <w:szCs w:val="18"/>
                <w:color w:val="auto"/>
              </w:rPr>
              <w:t>ITRON, INC.</w:t>
            </w:r>
          </w:p>
        </w:tc>
      </w:tr>
      <w:tr>
        <w:trPr>
          <w:trHeight w:val="190"/>
        </w:trPr>
        <w:tc>
          <w:tcPr>
            <w:tcW w:w="3680" w:type="dxa"/>
            <w:vAlign w:val="bottom"/>
          </w:tcPr>
          <w:p>
            <w:pPr>
              <w:spacing w:after="0" w:line="183" w:lineRule="exact"/>
              <w:rPr>
                <w:sz w:val="20"/>
                <w:szCs w:val="20"/>
                <w:color w:val="auto"/>
              </w:rPr>
            </w:pPr>
            <w:r>
              <w:rPr>
                <w:rFonts w:ascii="Arial" w:cs="Arial" w:eastAsia="Arial" w:hAnsi="Arial"/>
                <w:sz w:val="18"/>
                <w:szCs w:val="18"/>
                <w:color w:val="auto"/>
              </w:rPr>
              <w:t>Dated: April 24, 2007</w:t>
            </w:r>
          </w:p>
        </w:tc>
        <w:tc>
          <w:tcPr>
            <w:tcW w:w="2400" w:type="dxa"/>
            <w:vAlign w:val="bottom"/>
          </w:tcPr>
          <w:p>
            <w:pPr>
              <w:ind w:left="2040"/>
              <w:spacing w:after="0" w:line="183" w:lineRule="exact"/>
              <w:rPr>
                <w:sz w:val="20"/>
                <w:szCs w:val="20"/>
                <w:color w:val="auto"/>
              </w:rPr>
            </w:pPr>
            <w:r>
              <w:rPr>
                <w:rFonts w:ascii="Arial" w:cs="Arial" w:eastAsia="Arial" w:hAnsi="Arial"/>
                <w:sz w:val="18"/>
                <w:szCs w:val="18"/>
                <w:color w:val="auto"/>
              </w:rPr>
              <w:t>By:</w:t>
            </w:r>
          </w:p>
        </w:tc>
        <w:tc>
          <w:tcPr>
            <w:tcW w:w="18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0"/>
              </w:rPr>
              <w:t>/s/ Steven M. Helmbrecht</w:t>
            </w:r>
          </w:p>
        </w:tc>
        <w:tc>
          <w:tcPr>
            <w:tcW w:w="3500" w:type="dxa"/>
            <w:vAlign w:val="bottom"/>
          </w:tcPr>
          <w:p>
            <w:pPr>
              <w:spacing w:after="0"/>
              <w:rPr>
                <w:sz w:val="16"/>
                <w:szCs w:val="16"/>
                <w:color w:val="auto"/>
              </w:rPr>
            </w:pPr>
          </w:p>
        </w:tc>
      </w:tr>
      <w:tr>
        <w:trPr>
          <w:trHeight w:val="249"/>
        </w:trPr>
        <w:tc>
          <w:tcPr>
            <w:tcW w:w="3680" w:type="dxa"/>
            <w:vAlign w:val="bottom"/>
          </w:tcPr>
          <w:p>
            <w:pPr>
              <w:spacing w:after="0"/>
              <w:rPr>
                <w:sz w:val="21"/>
                <w:szCs w:val="21"/>
                <w:color w:val="auto"/>
              </w:rPr>
            </w:pPr>
          </w:p>
        </w:tc>
        <w:tc>
          <w:tcPr>
            <w:tcW w:w="7740" w:type="dxa"/>
            <w:vAlign w:val="bottom"/>
            <w:gridSpan w:val="3"/>
          </w:tcPr>
          <w:p>
            <w:pPr>
              <w:ind w:left="2040"/>
              <w:spacing w:after="0"/>
              <w:rPr>
                <w:sz w:val="20"/>
                <w:szCs w:val="20"/>
                <w:color w:val="auto"/>
              </w:rPr>
            </w:pPr>
            <w:r>
              <w:rPr>
                <w:rFonts w:ascii="Arial" w:cs="Arial" w:eastAsia="Arial" w:hAnsi="Arial"/>
                <w:sz w:val="18"/>
                <w:szCs w:val="18"/>
                <w:color w:val="auto"/>
              </w:rPr>
              <w:t>Steven M. Helmbrecht</w:t>
            </w:r>
          </w:p>
        </w:tc>
      </w:tr>
      <w:tr>
        <w:trPr>
          <w:trHeight w:val="230"/>
        </w:trPr>
        <w:tc>
          <w:tcPr>
            <w:tcW w:w="3680" w:type="dxa"/>
            <w:vAlign w:val="bottom"/>
          </w:tcPr>
          <w:p>
            <w:pPr>
              <w:spacing w:after="0"/>
              <w:rPr>
                <w:sz w:val="20"/>
                <w:szCs w:val="20"/>
                <w:color w:val="auto"/>
              </w:rPr>
            </w:pPr>
          </w:p>
        </w:tc>
        <w:tc>
          <w:tcPr>
            <w:tcW w:w="7740" w:type="dxa"/>
            <w:vAlign w:val="bottom"/>
            <w:gridSpan w:val="3"/>
          </w:tcPr>
          <w:p>
            <w:pPr>
              <w:ind w:left="2040"/>
              <w:spacing w:after="0"/>
              <w:rPr>
                <w:sz w:val="20"/>
                <w:szCs w:val="20"/>
                <w:color w:val="auto"/>
              </w:rPr>
            </w:pPr>
            <w:r>
              <w:rPr>
                <w:rFonts w:ascii="Arial" w:cs="Arial" w:eastAsia="Arial" w:hAnsi="Arial"/>
                <w:sz w:val="18"/>
                <w:szCs w:val="18"/>
                <w:color w:val="auto"/>
              </w:rPr>
              <w:t>Sr. Vice President and Chief Financial Officer</w:t>
            </w:r>
          </w:p>
        </w:tc>
      </w:tr>
      <w:tr>
        <w:trPr>
          <w:trHeight w:val="848"/>
        </w:trPr>
        <w:tc>
          <w:tcPr>
            <w:tcW w:w="36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80" w:type="dxa"/>
            <w:vAlign w:val="bottom"/>
          </w:tcPr>
          <w:p>
            <w:pPr>
              <w:ind w:left="2120"/>
              <w:spacing w:after="0"/>
              <w:rPr>
                <w:sz w:val="20"/>
                <w:szCs w:val="20"/>
                <w:color w:val="auto"/>
              </w:rPr>
            </w:pPr>
            <w:r>
              <w:rPr>
                <w:rFonts w:ascii="Arial" w:cs="Arial" w:eastAsia="Arial" w:hAnsi="Arial"/>
                <w:sz w:val="18"/>
                <w:szCs w:val="18"/>
                <w:color w:val="auto"/>
              </w:rPr>
              <w:t>EXHIBIT INDEX</w:t>
            </w:r>
          </w:p>
        </w:tc>
      </w:tr>
      <w:tr>
        <w:trPr>
          <w:trHeight w:val="459"/>
        </w:trPr>
        <w:tc>
          <w:tcPr>
            <w:tcW w:w="2500" w:type="dxa"/>
            <w:vAlign w:val="bottom"/>
          </w:tcPr>
          <w:p>
            <w:pPr>
              <w:spacing w:after="0"/>
              <w:rPr>
                <w:sz w:val="20"/>
                <w:szCs w:val="20"/>
                <w:color w:val="auto"/>
              </w:rPr>
            </w:pPr>
            <w:r>
              <w:rPr>
                <w:rFonts w:ascii="Arial" w:cs="Arial" w:eastAsia="Arial" w:hAnsi="Arial"/>
                <w:sz w:val="18"/>
                <w:szCs w:val="18"/>
                <w:color w:val="auto"/>
              </w:rPr>
              <w:t>Exhibit Number</w:t>
            </w:r>
          </w:p>
        </w:tc>
        <w:tc>
          <w:tcPr>
            <w:tcW w:w="44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243"/>
        </w:trPr>
        <w:tc>
          <w:tcPr>
            <w:tcW w:w="2500" w:type="dxa"/>
            <w:vAlign w:val="bottom"/>
          </w:tcPr>
          <w:p>
            <w:pPr>
              <w:spacing w:after="0"/>
              <w:rPr>
                <w:sz w:val="21"/>
                <w:szCs w:val="21"/>
                <w:color w:val="auto"/>
              </w:rPr>
            </w:pPr>
          </w:p>
        </w:tc>
        <w:tc>
          <w:tcPr>
            <w:tcW w:w="8920" w:type="dxa"/>
            <w:vAlign w:val="bottom"/>
            <w:gridSpan w:val="2"/>
          </w:tcPr>
          <w:p>
            <w:pPr>
              <w:ind w:left="440"/>
              <w:spacing w:after="0"/>
              <w:rPr>
                <w:sz w:val="20"/>
                <w:szCs w:val="20"/>
                <w:color w:val="auto"/>
              </w:rPr>
            </w:pPr>
            <w:r>
              <w:rPr>
                <w:rFonts w:ascii="Arial" w:cs="Arial" w:eastAsia="Arial" w:hAnsi="Arial"/>
                <w:sz w:val="18"/>
                <w:szCs w:val="18"/>
                <w:color w:val="auto"/>
              </w:rPr>
              <w:t>Description</w:t>
            </w:r>
          </w:p>
        </w:tc>
      </w:tr>
      <w:tr>
        <w:trPr>
          <w:trHeight w:val="27"/>
        </w:trPr>
        <w:tc>
          <w:tcPr>
            <w:tcW w:w="2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80" w:type="dxa"/>
            <w:vAlign w:val="bottom"/>
            <w:shd w:val="clear" w:color="auto" w:fill="000000"/>
          </w:tcPr>
          <w:p>
            <w:pPr>
              <w:spacing w:after="0"/>
              <w:rPr>
                <w:sz w:val="2"/>
                <w:szCs w:val="2"/>
                <w:color w:val="auto"/>
              </w:rPr>
            </w:pPr>
          </w:p>
        </w:tc>
      </w:tr>
      <w:tr>
        <w:trPr>
          <w:trHeight w:val="418"/>
        </w:trPr>
        <w:tc>
          <w:tcPr>
            <w:tcW w:w="2500" w:type="dxa"/>
            <w:vAlign w:val="bottom"/>
          </w:tcPr>
          <w:p>
            <w:pPr>
              <w:spacing w:after="0"/>
              <w:rPr>
                <w:sz w:val="20"/>
                <w:szCs w:val="20"/>
                <w:color w:val="auto"/>
              </w:rPr>
            </w:pPr>
            <w:r>
              <w:rPr>
                <w:rFonts w:ascii="Arial" w:cs="Arial" w:eastAsia="Arial" w:hAnsi="Arial"/>
                <w:sz w:val="18"/>
                <w:szCs w:val="18"/>
                <w:color w:val="auto"/>
              </w:rPr>
              <w:t>2.1</w:t>
            </w:r>
          </w:p>
        </w:tc>
        <w:tc>
          <w:tcPr>
            <w:tcW w:w="8920" w:type="dxa"/>
            <w:vAlign w:val="bottom"/>
            <w:gridSpan w:val="2"/>
          </w:tcPr>
          <w:p>
            <w:pPr>
              <w:ind w:left="440"/>
              <w:spacing w:after="0"/>
              <w:rPr>
                <w:sz w:val="20"/>
                <w:szCs w:val="20"/>
                <w:color w:val="auto"/>
              </w:rPr>
            </w:pPr>
            <w:r>
              <w:rPr>
                <w:rFonts w:ascii="Arial" w:cs="Arial" w:eastAsia="Arial" w:hAnsi="Arial"/>
                <w:sz w:val="18"/>
                <w:szCs w:val="18"/>
                <w:color w:val="auto"/>
                <w:w w:val="92"/>
              </w:rPr>
              <w:t>Stock Purchase Agreement between the stockholders of Actaris Metering Systems S.A., LBO France Gestion SAS</w:t>
            </w:r>
          </w:p>
        </w:tc>
      </w:tr>
      <w:tr>
        <w:trPr>
          <w:trHeight w:val="216"/>
        </w:trPr>
        <w:tc>
          <w:tcPr>
            <w:tcW w:w="2500" w:type="dxa"/>
            <w:vAlign w:val="bottom"/>
          </w:tcPr>
          <w:p>
            <w:pPr>
              <w:spacing w:after="0"/>
              <w:rPr>
                <w:sz w:val="18"/>
                <w:szCs w:val="18"/>
                <w:color w:val="auto"/>
              </w:rPr>
            </w:pPr>
          </w:p>
        </w:tc>
        <w:tc>
          <w:tcPr>
            <w:tcW w:w="8920" w:type="dxa"/>
            <w:vAlign w:val="bottom"/>
            <w:gridSpan w:val="2"/>
          </w:tcPr>
          <w:p>
            <w:pPr>
              <w:ind w:left="440"/>
              <w:spacing w:after="0"/>
              <w:rPr>
                <w:sz w:val="20"/>
                <w:szCs w:val="20"/>
                <w:color w:val="auto"/>
              </w:rPr>
            </w:pPr>
            <w:r>
              <w:rPr>
                <w:rFonts w:ascii="Arial" w:cs="Arial" w:eastAsia="Arial" w:hAnsi="Arial"/>
                <w:sz w:val="18"/>
                <w:szCs w:val="18"/>
                <w:color w:val="auto"/>
              </w:rPr>
              <w:t>and Itron, Inc., dated February 25, 2007.</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2.2</w:t>
            </w:r>
          </w:p>
        </w:tc>
        <w:tc>
          <w:tcPr>
            <w:tcW w:w="8920" w:type="dxa"/>
            <w:vAlign w:val="bottom"/>
            <w:gridSpan w:val="2"/>
          </w:tcPr>
          <w:p>
            <w:pPr>
              <w:ind w:left="440"/>
              <w:spacing w:after="0"/>
              <w:rPr>
                <w:sz w:val="20"/>
                <w:szCs w:val="20"/>
                <w:color w:val="auto"/>
              </w:rPr>
            </w:pPr>
            <w:r>
              <w:rPr>
                <w:rFonts w:ascii="Arial" w:cs="Arial" w:eastAsia="Arial" w:hAnsi="Arial"/>
                <w:sz w:val="18"/>
                <w:szCs w:val="18"/>
                <w:color w:val="auto"/>
                <w:w w:val="91"/>
              </w:rPr>
              <w:t>Amendment No. 1 to Stock Purchase Agreement between Actaris Metering Systems S.A., LBO France Gestion SAS</w:t>
            </w:r>
          </w:p>
        </w:tc>
      </w:tr>
      <w:tr>
        <w:trPr>
          <w:trHeight w:val="216"/>
        </w:trPr>
        <w:tc>
          <w:tcPr>
            <w:tcW w:w="2500" w:type="dxa"/>
            <w:vAlign w:val="bottom"/>
          </w:tcPr>
          <w:p>
            <w:pPr>
              <w:spacing w:after="0"/>
              <w:rPr>
                <w:sz w:val="18"/>
                <w:szCs w:val="18"/>
                <w:color w:val="auto"/>
              </w:rPr>
            </w:pPr>
          </w:p>
        </w:tc>
        <w:tc>
          <w:tcPr>
            <w:tcW w:w="8920" w:type="dxa"/>
            <w:vAlign w:val="bottom"/>
            <w:gridSpan w:val="2"/>
          </w:tcPr>
          <w:p>
            <w:pPr>
              <w:ind w:left="440"/>
              <w:spacing w:after="0"/>
              <w:rPr>
                <w:sz w:val="20"/>
                <w:szCs w:val="20"/>
                <w:color w:val="auto"/>
              </w:rPr>
            </w:pPr>
            <w:r>
              <w:rPr>
                <w:rFonts w:ascii="Arial" w:cs="Arial" w:eastAsia="Arial" w:hAnsi="Arial"/>
                <w:sz w:val="18"/>
                <w:szCs w:val="18"/>
                <w:color w:val="auto"/>
              </w:rPr>
              <w:t>and Itron, Inc., dated April 18, 2007.</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4.1</w:t>
            </w:r>
          </w:p>
        </w:tc>
        <w:tc>
          <w:tcPr>
            <w:tcW w:w="8920" w:type="dxa"/>
            <w:vAlign w:val="bottom"/>
            <w:gridSpan w:val="2"/>
          </w:tcPr>
          <w:p>
            <w:pPr>
              <w:ind w:left="440"/>
              <w:spacing w:after="0"/>
              <w:rPr>
                <w:sz w:val="20"/>
                <w:szCs w:val="20"/>
                <w:color w:val="auto"/>
              </w:rPr>
            </w:pPr>
            <w:r>
              <w:rPr>
                <w:rFonts w:ascii="Arial" w:cs="Arial" w:eastAsia="Arial" w:hAnsi="Arial"/>
                <w:sz w:val="18"/>
                <w:szCs w:val="18"/>
                <w:color w:val="auto"/>
                <w:w w:val="94"/>
              </w:rPr>
              <w:t>Credit Agreement dated April 18, 2007, among Itron, Inc. and the subsidiary guarantors and UBS Securities LLC,</w:t>
            </w:r>
          </w:p>
        </w:tc>
      </w:tr>
      <w:tr>
        <w:trPr>
          <w:trHeight w:val="216"/>
        </w:trPr>
        <w:tc>
          <w:tcPr>
            <w:tcW w:w="2500" w:type="dxa"/>
            <w:vAlign w:val="bottom"/>
          </w:tcPr>
          <w:p>
            <w:pPr>
              <w:spacing w:after="0"/>
              <w:rPr>
                <w:sz w:val="18"/>
                <w:szCs w:val="18"/>
                <w:color w:val="auto"/>
              </w:rPr>
            </w:pPr>
          </w:p>
        </w:tc>
        <w:tc>
          <w:tcPr>
            <w:tcW w:w="8920" w:type="dxa"/>
            <w:vAlign w:val="bottom"/>
            <w:gridSpan w:val="2"/>
          </w:tcPr>
          <w:p>
            <w:pPr>
              <w:ind w:left="440"/>
              <w:spacing w:after="0"/>
              <w:rPr>
                <w:sz w:val="20"/>
                <w:szCs w:val="20"/>
                <w:color w:val="auto"/>
              </w:rPr>
            </w:pPr>
            <w:r>
              <w:rPr>
                <w:rFonts w:ascii="Arial" w:cs="Arial" w:eastAsia="Arial" w:hAnsi="Arial"/>
                <w:sz w:val="18"/>
                <w:szCs w:val="18"/>
                <w:color w:val="auto"/>
              </w:rPr>
              <w:t>Wells Fargo Bank, National Association and Mizuho Corporate Bank, Ltd..</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4.2</w:t>
            </w:r>
          </w:p>
        </w:tc>
        <w:tc>
          <w:tcPr>
            <w:tcW w:w="8920" w:type="dxa"/>
            <w:vAlign w:val="bottom"/>
            <w:gridSpan w:val="2"/>
          </w:tcPr>
          <w:p>
            <w:pPr>
              <w:ind w:left="440"/>
              <w:spacing w:after="0"/>
              <w:rPr>
                <w:sz w:val="20"/>
                <w:szCs w:val="20"/>
                <w:color w:val="auto"/>
              </w:rPr>
            </w:pPr>
            <w:r>
              <w:rPr>
                <w:rFonts w:ascii="Arial" w:cs="Arial" w:eastAsia="Arial" w:hAnsi="Arial"/>
                <w:sz w:val="18"/>
                <w:szCs w:val="18"/>
                <w:color w:val="auto"/>
                <w:w w:val="94"/>
              </w:rPr>
              <w:t>Security Agreement dated April 18, 2007, among Itron, Inc. and the subsidiary guarantors and Wells Fargo Bank,</w:t>
            </w:r>
          </w:p>
        </w:tc>
      </w:tr>
      <w:tr>
        <w:trPr>
          <w:trHeight w:val="216"/>
        </w:trPr>
        <w:tc>
          <w:tcPr>
            <w:tcW w:w="2500" w:type="dxa"/>
            <w:vAlign w:val="bottom"/>
          </w:tcPr>
          <w:p>
            <w:pPr>
              <w:spacing w:after="0"/>
              <w:rPr>
                <w:sz w:val="18"/>
                <w:szCs w:val="18"/>
                <w:color w:val="auto"/>
              </w:rPr>
            </w:pPr>
          </w:p>
        </w:tc>
        <w:tc>
          <w:tcPr>
            <w:tcW w:w="8920" w:type="dxa"/>
            <w:vAlign w:val="bottom"/>
            <w:gridSpan w:val="2"/>
          </w:tcPr>
          <w:p>
            <w:pPr>
              <w:ind w:left="440"/>
              <w:spacing w:after="0"/>
              <w:rPr>
                <w:sz w:val="20"/>
                <w:szCs w:val="20"/>
                <w:color w:val="auto"/>
              </w:rPr>
            </w:pPr>
            <w:r>
              <w:rPr>
                <w:rFonts w:ascii="Arial" w:cs="Arial" w:eastAsia="Arial" w:hAnsi="Arial"/>
                <w:sz w:val="18"/>
                <w:szCs w:val="18"/>
                <w:color w:val="auto"/>
              </w:rPr>
              <w:t>National Association as Collateral Agent.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10.1</w:t>
            </w:r>
          </w:p>
        </w:tc>
        <w:tc>
          <w:tcPr>
            <w:tcW w:w="8920" w:type="dxa"/>
            <w:vAlign w:val="bottom"/>
            <w:gridSpan w:val="2"/>
          </w:tcPr>
          <w:p>
            <w:pPr>
              <w:ind w:left="440"/>
              <w:spacing w:after="0"/>
              <w:rPr>
                <w:sz w:val="20"/>
                <w:szCs w:val="20"/>
                <w:color w:val="auto"/>
              </w:rPr>
            </w:pPr>
            <w:r>
              <w:rPr>
                <w:rFonts w:ascii="Arial" w:cs="Arial" w:eastAsia="Arial" w:hAnsi="Arial"/>
                <w:sz w:val="18"/>
                <w:szCs w:val="18"/>
                <w:color w:val="auto"/>
              </w:rPr>
              <w:t>Foreign Assignment Program agreement between Malcolm Unsworth and Itron, Inc.</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99.1</w:t>
            </w:r>
          </w:p>
        </w:tc>
        <w:tc>
          <w:tcPr>
            <w:tcW w:w="8920" w:type="dxa"/>
            <w:vAlign w:val="bottom"/>
            <w:gridSpan w:val="2"/>
          </w:tcPr>
          <w:p>
            <w:pPr>
              <w:ind w:left="440"/>
              <w:spacing w:after="0"/>
              <w:rPr>
                <w:sz w:val="20"/>
                <w:szCs w:val="20"/>
                <w:color w:val="auto"/>
              </w:rPr>
            </w:pPr>
            <w:r>
              <w:rPr>
                <w:rFonts w:ascii="Arial" w:cs="Arial" w:eastAsia="Arial" w:hAnsi="Arial"/>
                <w:sz w:val="18"/>
                <w:szCs w:val="18"/>
                <w:color w:val="auto"/>
              </w:rPr>
              <w:t>Press release dated April 18, 2007</w:t>
            </w:r>
          </w:p>
        </w:tc>
      </w:tr>
    </w:tbl>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STOCK PURCHASE AGREEMENT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THE STOCKHOLDERS OF ACTARIS METERING SYSTEMS S.A.,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as the Stockholders,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LBO FRANCE GESTION SAS,</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as the Stockholder Representative,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ACTARIS METERING SYSTEMS S.A.,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as the Buyer</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Dated as of February 25,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392430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1440" w:top="391" w:right="559" w:bottom="1440" w:gutter="0" w:footer="0" w:header="0"/>
        </w:sectPr>
      </w:pPr>
    </w:p>
    <w:bookmarkStart w:id="7" w:name="page8"/>
    <w:bookmarkEnd w:id="7"/>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b w:val="1"/>
                <w:bCs w:val="1"/>
                <w:color w:val="auto"/>
                <w:w w:val="78"/>
              </w:rPr>
              <w:t>Page</w:t>
            </w:r>
          </w:p>
        </w:tc>
      </w:tr>
      <w:tr>
        <w:trPr>
          <w:trHeight w:val="465"/>
        </w:trPr>
        <w:tc>
          <w:tcPr>
            <w:tcW w:w="5920" w:type="dxa"/>
            <w:vAlign w:val="bottom"/>
          </w:tcPr>
          <w:p>
            <w:pPr>
              <w:spacing w:after="0"/>
              <w:rPr>
                <w:sz w:val="20"/>
                <w:szCs w:val="20"/>
                <w:color w:val="auto"/>
              </w:rPr>
            </w:pPr>
            <w:r>
              <w:rPr>
                <w:rFonts w:ascii="Arial" w:cs="Arial" w:eastAsia="Arial" w:hAnsi="Arial"/>
                <w:sz w:val="18"/>
                <w:szCs w:val="18"/>
                <w:color w:val="auto"/>
              </w:rPr>
              <w:t>ARTICLE I DEFINITIONS</w:t>
            </w:r>
          </w:p>
        </w:tc>
        <w:tc>
          <w:tcPr>
            <w:tcW w:w="458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5</w:t>
            </w:r>
          </w:p>
        </w:tc>
        <w:tc>
          <w:tcPr>
            <w:tcW w:w="360" w:type="dxa"/>
            <w:vAlign w:val="bottom"/>
            <w:tcBorders>
              <w:top w:val="single" w:sz="8" w:color="auto"/>
            </w:tcBorders>
          </w:tcPr>
          <w:p>
            <w:pPr>
              <w:spacing w:after="0"/>
              <w:rPr>
                <w:sz w:val="24"/>
                <w:szCs w:val="24"/>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1.1</w:t>
            </w:r>
          </w:p>
        </w:tc>
        <w:tc>
          <w:tcPr>
            <w:tcW w:w="4580" w:type="dxa"/>
            <w:vAlign w:val="bottom"/>
          </w:tcPr>
          <w:p>
            <w:pPr>
              <w:ind w:left="40"/>
              <w:spacing w:after="0"/>
              <w:rPr>
                <w:sz w:val="20"/>
                <w:szCs w:val="20"/>
                <w:color w:val="auto"/>
              </w:rPr>
            </w:pPr>
            <w:r>
              <w:rPr>
                <w:rFonts w:ascii="Arial" w:cs="Arial" w:eastAsia="Arial" w:hAnsi="Arial"/>
                <w:sz w:val="18"/>
                <w:szCs w:val="18"/>
                <w:color w:val="auto"/>
              </w:rPr>
              <w:t>Certain Defined Terms</w:t>
            </w:r>
          </w:p>
        </w:tc>
        <w:tc>
          <w:tcPr>
            <w:tcW w:w="560" w:type="dxa"/>
            <w:vAlign w:val="bottom"/>
          </w:tcPr>
          <w:p>
            <w:pPr>
              <w:ind w:left="30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Section 1.2</w:t>
            </w:r>
          </w:p>
        </w:tc>
        <w:tc>
          <w:tcPr>
            <w:tcW w:w="4580" w:type="dxa"/>
            <w:vAlign w:val="bottom"/>
          </w:tcPr>
          <w:p>
            <w:pPr>
              <w:ind w:left="40"/>
              <w:spacing w:after="0"/>
              <w:rPr>
                <w:sz w:val="20"/>
                <w:szCs w:val="20"/>
                <w:color w:val="auto"/>
              </w:rPr>
            </w:pPr>
            <w:r>
              <w:rPr>
                <w:rFonts w:ascii="Arial" w:cs="Arial" w:eastAsia="Arial" w:hAnsi="Arial"/>
                <w:sz w:val="18"/>
                <w:szCs w:val="18"/>
                <w:color w:val="auto"/>
              </w:rPr>
              <w:t>Table of Definitions</w:t>
            </w:r>
          </w:p>
        </w:tc>
        <w:tc>
          <w:tcPr>
            <w:tcW w:w="560" w:type="dxa"/>
            <w:vAlign w:val="bottom"/>
          </w:tcPr>
          <w:p>
            <w:pPr>
              <w:ind w:left="30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0"/>
                <w:szCs w:val="20"/>
                <w:color w:val="auto"/>
              </w:rPr>
            </w:pPr>
          </w:p>
        </w:tc>
      </w:tr>
      <w:tr>
        <w:trPr>
          <w:trHeight w:val="445"/>
        </w:trPr>
        <w:tc>
          <w:tcPr>
            <w:tcW w:w="5920" w:type="dxa"/>
            <w:vAlign w:val="bottom"/>
          </w:tcPr>
          <w:p>
            <w:pPr>
              <w:spacing w:after="0"/>
              <w:rPr>
                <w:sz w:val="20"/>
                <w:szCs w:val="20"/>
                <w:color w:val="auto"/>
              </w:rPr>
            </w:pPr>
            <w:r>
              <w:rPr>
                <w:rFonts w:ascii="Arial" w:cs="Arial" w:eastAsia="Arial" w:hAnsi="Arial"/>
                <w:sz w:val="18"/>
                <w:szCs w:val="18"/>
                <w:color w:val="auto"/>
              </w:rPr>
              <w:t>ARTICLE II PURCHASE AND SALE</w:t>
            </w:r>
          </w:p>
        </w:tc>
        <w:tc>
          <w:tcPr>
            <w:tcW w:w="458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2.1</w:t>
            </w:r>
          </w:p>
        </w:tc>
        <w:tc>
          <w:tcPr>
            <w:tcW w:w="4580" w:type="dxa"/>
            <w:vAlign w:val="bottom"/>
          </w:tcPr>
          <w:p>
            <w:pPr>
              <w:ind w:left="40"/>
              <w:spacing w:after="0"/>
              <w:rPr>
                <w:sz w:val="20"/>
                <w:szCs w:val="20"/>
                <w:color w:val="auto"/>
              </w:rPr>
            </w:pPr>
            <w:r>
              <w:rPr>
                <w:rFonts w:ascii="Arial" w:cs="Arial" w:eastAsia="Arial" w:hAnsi="Arial"/>
                <w:sz w:val="18"/>
                <w:szCs w:val="18"/>
                <w:color w:val="auto"/>
              </w:rPr>
              <w:t>Purchase and Sale</w:t>
            </w:r>
          </w:p>
        </w:tc>
        <w:tc>
          <w:tcPr>
            <w:tcW w:w="560" w:type="dxa"/>
            <w:vAlign w:val="bottom"/>
          </w:tcPr>
          <w:p>
            <w:pPr>
              <w:ind w:left="30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2.2</w:t>
            </w:r>
          </w:p>
        </w:tc>
        <w:tc>
          <w:tcPr>
            <w:tcW w:w="4580" w:type="dxa"/>
            <w:vAlign w:val="bottom"/>
          </w:tcPr>
          <w:p>
            <w:pPr>
              <w:ind w:left="40"/>
              <w:spacing w:after="0"/>
              <w:rPr>
                <w:sz w:val="20"/>
                <w:szCs w:val="20"/>
                <w:color w:val="auto"/>
              </w:rPr>
            </w:pPr>
            <w:r>
              <w:rPr>
                <w:rFonts w:ascii="Arial" w:cs="Arial" w:eastAsia="Arial" w:hAnsi="Arial"/>
                <w:sz w:val="18"/>
                <w:szCs w:val="18"/>
                <w:color w:val="auto"/>
              </w:rPr>
              <w:t>Closing</w:t>
            </w:r>
          </w:p>
        </w:tc>
        <w:tc>
          <w:tcPr>
            <w:tcW w:w="560" w:type="dxa"/>
            <w:vAlign w:val="bottom"/>
          </w:tcPr>
          <w:p>
            <w:pPr>
              <w:ind w:left="30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Section 2.3</w:t>
            </w:r>
          </w:p>
        </w:tc>
        <w:tc>
          <w:tcPr>
            <w:tcW w:w="4580" w:type="dxa"/>
            <w:vAlign w:val="bottom"/>
          </w:tcPr>
          <w:p>
            <w:pPr>
              <w:ind w:left="40"/>
              <w:spacing w:after="0"/>
              <w:rPr>
                <w:sz w:val="20"/>
                <w:szCs w:val="20"/>
                <w:color w:val="auto"/>
              </w:rPr>
            </w:pPr>
            <w:r>
              <w:rPr>
                <w:rFonts w:ascii="Arial" w:cs="Arial" w:eastAsia="Arial" w:hAnsi="Arial"/>
                <w:sz w:val="18"/>
                <w:szCs w:val="18"/>
                <w:color w:val="auto"/>
              </w:rPr>
              <w:t>Stockholder Representative</w:t>
            </w:r>
          </w:p>
        </w:tc>
        <w:tc>
          <w:tcPr>
            <w:tcW w:w="560" w:type="dxa"/>
            <w:vAlign w:val="bottom"/>
          </w:tcPr>
          <w:p>
            <w:pPr>
              <w:ind w:left="30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0"/>
                <w:szCs w:val="20"/>
                <w:color w:val="auto"/>
              </w:rPr>
            </w:pPr>
          </w:p>
        </w:tc>
      </w:tr>
      <w:tr>
        <w:trPr>
          <w:trHeight w:val="445"/>
        </w:trPr>
        <w:tc>
          <w:tcPr>
            <w:tcW w:w="5920" w:type="dxa"/>
            <w:vAlign w:val="bottom"/>
          </w:tcPr>
          <w:p>
            <w:pPr>
              <w:spacing w:after="0"/>
              <w:rPr>
                <w:sz w:val="20"/>
                <w:szCs w:val="20"/>
                <w:color w:val="auto"/>
              </w:rPr>
            </w:pPr>
            <w:r>
              <w:rPr>
                <w:rFonts w:ascii="Arial" w:cs="Arial" w:eastAsia="Arial" w:hAnsi="Arial"/>
                <w:sz w:val="18"/>
                <w:szCs w:val="18"/>
                <w:color w:val="auto"/>
                <w:w w:val="96"/>
              </w:rPr>
              <w:t>ARTICLE III REPRESENTATIONS AND WARRANTIES OF THE COMPANY</w:t>
            </w:r>
          </w:p>
        </w:tc>
        <w:tc>
          <w:tcPr>
            <w:tcW w:w="458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4"/>
                <w:szCs w:val="24"/>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3.1</w:t>
            </w:r>
          </w:p>
        </w:tc>
        <w:tc>
          <w:tcPr>
            <w:tcW w:w="4580" w:type="dxa"/>
            <w:vAlign w:val="bottom"/>
          </w:tcPr>
          <w:p>
            <w:pPr>
              <w:ind w:left="40"/>
              <w:spacing w:after="0"/>
              <w:rPr>
                <w:sz w:val="20"/>
                <w:szCs w:val="20"/>
                <w:color w:val="auto"/>
              </w:rPr>
            </w:pPr>
            <w:r>
              <w:rPr>
                <w:rFonts w:ascii="Arial" w:cs="Arial" w:eastAsia="Arial" w:hAnsi="Arial"/>
                <w:sz w:val="18"/>
                <w:szCs w:val="18"/>
                <w:color w:val="auto"/>
              </w:rPr>
              <w:t>Organization and Qualification</w:t>
            </w:r>
          </w:p>
        </w:tc>
        <w:tc>
          <w:tcPr>
            <w:tcW w:w="560" w:type="dxa"/>
            <w:vAlign w:val="bottom"/>
          </w:tcPr>
          <w:p>
            <w:pPr>
              <w:ind w:left="30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3.2</w:t>
            </w:r>
          </w:p>
        </w:tc>
        <w:tc>
          <w:tcPr>
            <w:tcW w:w="4580" w:type="dxa"/>
            <w:vAlign w:val="bottom"/>
          </w:tcPr>
          <w:p>
            <w:pPr>
              <w:ind w:left="40"/>
              <w:spacing w:after="0"/>
              <w:rPr>
                <w:sz w:val="20"/>
                <w:szCs w:val="20"/>
                <w:color w:val="auto"/>
              </w:rPr>
            </w:pPr>
            <w:r>
              <w:rPr>
                <w:rFonts w:ascii="Arial" w:cs="Arial" w:eastAsia="Arial" w:hAnsi="Arial"/>
                <w:sz w:val="18"/>
                <w:szCs w:val="18"/>
                <w:color w:val="auto"/>
              </w:rPr>
              <w:t>Authority</w:t>
            </w:r>
          </w:p>
        </w:tc>
        <w:tc>
          <w:tcPr>
            <w:tcW w:w="560" w:type="dxa"/>
            <w:vAlign w:val="bottom"/>
          </w:tcPr>
          <w:p>
            <w:pPr>
              <w:ind w:left="30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3.3</w:t>
            </w:r>
          </w:p>
        </w:tc>
        <w:tc>
          <w:tcPr>
            <w:tcW w:w="4580" w:type="dxa"/>
            <w:vAlign w:val="bottom"/>
          </w:tcPr>
          <w:p>
            <w:pPr>
              <w:ind w:left="40"/>
              <w:spacing w:after="0"/>
              <w:rPr>
                <w:sz w:val="20"/>
                <w:szCs w:val="20"/>
                <w:color w:val="auto"/>
              </w:rPr>
            </w:pPr>
            <w:r>
              <w:rPr>
                <w:rFonts w:ascii="Arial" w:cs="Arial" w:eastAsia="Arial" w:hAnsi="Arial"/>
                <w:sz w:val="18"/>
                <w:szCs w:val="18"/>
                <w:color w:val="auto"/>
              </w:rPr>
              <w:t>No Conflict; Required Filings and Consents</w:t>
            </w:r>
          </w:p>
        </w:tc>
        <w:tc>
          <w:tcPr>
            <w:tcW w:w="560" w:type="dxa"/>
            <w:vAlign w:val="bottom"/>
          </w:tcPr>
          <w:p>
            <w:pPr>
              <w:ind w:left="30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3.4</w:t>
            </w:r>
          </w:p>
        </w:tc>
        <w:tc>
          <w:tcPr>
            <w:tcW w:w="4580" w:type="dxa"/>
            <w:vAlign w:val="bottom"/>
          </w:tcPr>
          <w:p>
            <w:pPr>
              <w:ind w:left="40"/>
              <w:spacing w:after="0"/>
              <w:rPr>
                <w:sz w:val="20"/>
                <w:szCs w:val="20"/>
                <w:color w:val="auto"/>
              </w:rPr>
            </w:pPr>
            <w:r>
              <w:rPr>
                <w:rFonts w:ascii="Arial" w:cs="Arial" w:eastAsia="Arial" w:hAnsi="Arial"/>
                <w:sz w:val="18"/>
                <w:szCs w:val="18"/>
                <w:color w:val="auto"/>
              </w:rPr>
              <w:t>Capitalization</w:t>
            </w:r>
          </w:p>
        </w:tc>
        <w:tc>
          <w:tcPr>
            <w:tcW w:w="560" w:type="dxa"/>
            <w:vAlign w:val="bottom"/>
          </w:tcPr>
          <w:p>
            <w:pPr>
              <w:ind w:left="30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3.5</w:t>
            </w:r>
          </w:p>
        </w:tc>
        <w:tc>
          <w:tcPr>
            <w:tcW w:w="4580" w:type="dxa"/>
            <w:vAlign w:val="bottom"/>
          </w:tcPr>
          <w:p>
            <w:pPr>
              <w:ind w:left="40"/>
              <w:spacing w:after="0"/>
              <w:rPr>
                <w:sz w:val="20"/>
                <w:szCs w:val="20"/>
                <w:color w:val="auto"/>
              </w:rPr>
            </w:pPr>
            <w:r>
              <w:rPr>
                <w:rFonts w:ascii="Arial" w:cs="Arial" w:eastAsia="Arial" w:hAnsi="Arial"/>
                <w:sz w:val="18"/>
                <w:szCs w:val="18"/>
                <w:color w:val="auto"/>
              </w:rPr>
              <w:t>Equity Interests</w:t>
            </w:r>
          </w:p>
        </w:tc>
        <w:tc>
          <w:tcPr>
            <w:tcW w:w="560" w:type="dxa"/>
            <w:vAlign w:val="bottom"/>
          </w:tcPr>
          <w:p>
            <w:pPr>
              <w:ind w:left="30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3.6</w:t>
            </w:r>
          </w:p>
        </w:tc>
        <w:tc>
          <w:tcPr>
            <w:tcW w:w="4580" w:type="dxa"/>
            <w:vAlign w:val="bottom"/>
          </w:tcPr>
          <w:p>
            <w:pPr>
              <w:ind w:left="40"/>
              <w:spacing w:after="0"/>
              <w:rPr>
                <w:sz w:val="20"/>
                <w:szCs w:val="20"/>
                <w:color w:val="auto"/>
              </w:rPr>
            </w:pPr>
            <w:r>
              <w:rPr>
                <w:rFonts w:ascii="Arial" w:cs="Arial" w:eastAsia="Arial" w:hAnsi="Arial"/>
                <w:sz w:val="18"/>
                <w:szCs w:val="18"/>
                <w:color w:val="auto"/>
              </w:rPr>
              <w:t>Financial Statements; No Undisclosed Liabilities</w:t>
            </w:r>
          </w:p>
        </w:tc>
        <w:tc>
          <w:tcPr>
            <w:tcW w:w="560" w:type="dxa"/>
            <w:vAlign w:val="bottom"/>
          </w:tcPr>
          <w:p>
            <w:pPr>
              <w:ind w:left="30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3.7</w:t>
            </w:r>
          </w:p>
        </w:tc>
        <w:tc>
          <w:tcPr>
            <w:tcW w:w="4580" w:type="dxa"/>
            <w:vAlign w:val="bottom"/>
          </w:tcPr>
          <w:p>
            <w:pPr>
              <w:ind w:left="40"/>
              <w:spacing w:after="0"/>
              <w:rPr>
                <w:sz w:val="20"/>
                <w:szCs w:val="20"/>
                <w:color w:val="auto"/>
              </w:rPr>
            </w:pPr>
            <w:r>
              <w:rPr>
                <w:rFonts w:ascii="Arial" w:cs="Arial" w:eastAsia="Arial" w:hAnsi="Arial"/>
                <w:sz w:val="18"/>
                <w:szCs w:val="18"/>
                <w:color w:val="auto"/>
              </w:rPr>
              <w:t>Absence of Certain Changes or Events.</w:t>
            </w:r>
          </w:p>
        </w:tc>
        <w:tc>
          <w:tcPr>
            <w:tcW w:w="560" w:type="dxa"/>
            <w:vAlign w:val="bottom"/>
          </w:tcPr>
          <w:p>
            <w:pPr>
              <w:ind w:left="30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3.8</w:t>
            </w:r>
          </w:p>
        </w:tc>
        <w:tc>
          <w:tcPr>
            <w:tcW w:w="4580" w:type="dxa"/>
            <w:vAlign w:val="bottom"/>
          </w:tcPr>
          <w:p>
            <w:pPr>
              <w:ind w:left="40"/>
              <w:spacing w:after="0"/>
              <w:rPr>
                <w:sz w:val="20"/>
                <w:szCs w:val="20"/>
                <w:color w:val="auto"/>
              </w:rPr>
            </w:pPr>
            <w:r>
              <w:rPr>
                <w:rFonts w:ascii="Arial" w:cs="Arial" w:eastAsia="Arial" w:hAnsi="Arial"/>
                <w:sz w:val="18"/>
                <w:szCs w:val="18"/>
                <w:color w:val="auto"/>
              </w:rPr>
              <w:t>Compliance with Law; Permits</w:t>
            </w:r>
          </w:p>
        </w:tc>
        <w:tc>
          <w:tcPr>
            <w:tcW w:w="560" w:type="dxa"/>
            <w:vAlign w:val="bottom"/>
          </w:tcPr>
          <w:p>
            <w:pPr>
              <w:ind w:left="30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3.9</w:t>
            </w:r>
          </w:p>
        </w:tc>
        <w:tc>
          <w:tcPr>
            <w:tcW w:w="458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560" w:type="dxa"/>
            <w:vAlign w:val="bottom"/>
          </w:tcPr>
          <w:p>
            <w:pPr>
              <w:ind w:left="30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3.10</w:t>
            </w:r>
          </w:p>
        </w:tc>
        <w:tc>
          <w:tcPr>
            <w:tcW w:w="4580" w:type="dxa"/>
            <w:vAlign w:val="bottom"/>
          </w:tcPr>
          <w:p>
            <w:pPr>
              <w:ind w:left="40"/>
              <w:spacing w:after="0"/>
              <w:rPr>
                <w:sz w:val="20"/>
                <w:szCs w:val="20"/>
                <w:color w:val="auto"/>
              </w:rPr>
            </w:pPr>
            <w:r>
              <w:rPr>
                <w:rFonts w:ascii="Arial" w:cs="Arial" w:eastAsia="Arial" w:hAnsi="Arial"/>
                <w:sz w:val="18"/>
                <w:szCs w:val="18"/>
                <w:color w:val="auto"/>
              </w:rPr>
              <w:t>Employee Benefit Plans</w:t>
            </w:r>
          </w:p>
        </w:tc>
        <w:tc>
          <w:tcPr>
            <w:tcW w:w="560" w:type="dxa"/>
            <w:vAlign w:val="bottom"/>
          </w:tcPr>
          <w:p>
            <w:pPr>
              <w:ind w:left="30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3.11</w:t>
            </w:r>
          </w:p>
        </w:tc>
        <w:tc>
          <w:tcPr>
            <w:tcW w:w="4580" w:type="dxa"/>
            <w:vAlign w:val="bottom"/>
          </w:tcPr>
          <w:p>
            <w:pPr>
              <w:ind w:left="40"/>
              <w:spacing w:after="0"/>
              <w:rPr>
                <w:sz w:val="20"/>
                <w:szCs w:val="20"/>
                <w:color w:val="auto"/>
              </w:rPr>
            </w:pPr>
            <w:r>
              <w:rPr>
                <w:rFonts w:ascii="Arial" w:cs="Arial" w:eastAsia="Arial" w:hAnsi="Arial"/>
                <w:sz w:val="18"/>
                <w:szCs w:val="18"/>
                <w:color w:val="auto"/>
              </w:rPr>
              <w:t>Labor and Employment Matters</w:t>
            </w:r>
          </w:p>
        </w:tc>
        <w:tc>
          <w:tcPr>
            <w:tcW w:w="560" w:type="dxa"/>
            <w:vAlign w:val="bottom"/>
          </w:tcPr>
          <w:p>
            <w:pPr>
              <w:ind w:left="30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3.12</w:t>
            </w:r>
          </w:p>
        </w:tc>
        <w:tc>
          <w:tcPr>
            <w:tcW w:w="4580" w:type="dxa"/>
            <w:vAlign w:val="bottom"/>
          </w:tcPr>
          <w:p>
            <w:pPr>
              <w:ind w:left="40"/>
              <w:spacing w:after="0"/>
              <w:rPr>
                <w:sz w:val="20"/>
                <w:szCs w:val="20"/>
                <w:color w:val="auto"/>
              </w:rPr>
            </w:pPr>
            <w:r>
              <w:rPr>
                <w:rFonts w:ascii="Arial" w:cs="Arial" w:eastAsia="Arial" w:hAnsi="Arial"/>
                <w:sz w:val="18"/>
                <w:szCs w:val="18"/>
                <w:color w:val="auto"/>
              </w:rPr>
              <w:t>Title to and Condition of Assets</w:t>
            </w:r>
          </w:p>
        </w:tc>
        <w:tc>
          <w:tcPr>
            <w:tcW w:w="560" w:type="dxa"/>
            <w:vAlign w:val="bottom"/>
          </w:tcPr>
          <w:p>
            <w:pPr>
              <w:ind w:left="30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3.13</w:t>
            </w:r>
          </w:p>
        </w:tc>
        <w:tc>
          <w:tcPr>
            <w:tcW w:w="4580" w:type="dxa"/>
            <w:vAlign w:val="bottom"/>
          </w:tcPr>
          <w:p>
            <w:pPr>
              <w:ind w:left="40"/>
              <w:spacing w:after="0"/>
              <w:rPr>
                <w:sz w:val="20"/>
                <w:szCs w:val="20"/>
                <w:color w:val="auto"/>
              </w:rPr>
            </w:pPr>
            <w:r>
              <w:rPr>
                <w:rFonts w:ascii="Arial" w:cs="Arial" w:eastAsia="Arial" w:hAnsi="Arial"/>
                <w:sz w:val="18"/>
                <w:szCs w:val="18"/>
                <w:color w:val="auto"/>
              </w:rPr>
              <w:t>Real Property</w:t>
            </w:r>
          </w:p>
        </w:tc>
        <w:tc>
          <w:tcPr>
            <w:tcW w:w="560" w:type="dxa"/>
            <w:vAlign w:val="bottom"/>
          </w:tcPr>
          <w:p>
            <w:pPr>
              <w:ind w:left="30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3.14</w:t>
            </w:r>
          </w:p>
        </w:tc>
        <w:tc>
          <w:tcPr>
            <w:tcW w:w="4580" w:type="dxa"/>
            <w:vAlign w:val="bottom"/>
          </w:tcPr>
          <w:p>
            <w:pPr>
              <w:ind w:left="40"/>
              <w:spacing w:after="0"/>
              <w:rPr>
                <w:sz w:val="20"/>
                <w:szCs w:val="20"/>
                <w:color w:val="auto"/>
              </w:rPr>
            </w:pPr>
            <w:r>
              <w:rPr>
                <w:rFonts w:ascii="Arial" w:cs="Arial" w:eastAsia="Arial" w:hAnsi="Arial"/>
                <w:sz w:val="18"/>
                <w:szCs w:val="18"/>
                <w:color w:val="auto"/>
              </w:rPr>
              <w:t>Intellectual Property</w:t>
            </w:r>
          </w:p>
        </w:tc>
        <w:tc>
          <w:tcPr>
            <w:tcW w:w="560" w:type="dxa"/>
            <w:vAlign w:val="bottom"/>
          </w:tcPr>
          <w:p>
            <w:pPr>
              <w:ind w:left="30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3.15</w:t>
            </w:r>
          </w:p>
        </w:tc>
        <w:tc>
          <w:tcPr>
            <w:tcW w:w="4580" w:type="dxa"/>
            <w:vAlign w:val="bottom"/>
          </w:tcPr>
          <w:p>
            <w:pPr>
              <w:ind w:left="40"/>
              <w:spacing w:after="0"/>
              <w:rPr>
                <w:sz w:val="20"/>
                <w:szCs w:val="20"/>
                <w:color w:val="auto"/>
              </w:rPr>
            </w:pPr>
            <w:r>
              <w:rPr>
                <w:rFonts w:ascii="Arial" w:cs="Arial" w:eastAsia="Arial" w:hAnsi="Arial"/>
                <w:sz w:val="18"/>
                <w:szCs w:val="18"/>
                <w:color w:val="auto"/>
              </w:rPr>
              <w:t>Taxes</w:t>
            </w:r>
          </w:p>
        </w:tc>
        <w:tc>
          <w:tcPr>
            <w:tcW w:w="560" w:type="dxa"/>
            <w:vAlign w:val="bottom"/>
          </w:tcPr>
          <w:p>
            <w:pPr>
              <w:ind w:left="30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3.16</w:t>
            </w:r>
          </w:p>
        </w:tc>
        <w:tc>
          <w:tcPr>
            <w:tcW w:w="4580" w:type="dxa"/>
            <w:vAlign w:val="bottom"/>
          </w:tcPr>
          <w:p>
            <w:pPr>
              <w:ind w:left="40"/>
              <w:spacing w:after="0"/>
              <w:rPr>
                <w:sz w:val="20"/>
                <w:szCs w:val="20"/>
                <w:color w:val="auto"/>
              </w:rPr>
            </w:pPr>
            <w:r>
              <w:rPr>
                <w:rFonts w:ascii="Arial" w:cs="Arial" w:eastAsia="Arial" w:hAnsi="Arial"/>
                <w:sz w:val="18"/>
                <w:szCs w:val="18"/>
                <w:color w:val="auto"/>
              </w:rPr>
              <w:t>Environmental Matters</w:t>
            </w:r>
          </w:p>
        </w:tc>
        <w:tc>
          <w:tcPr>
            <w:tcW w:w="560" w:type="dxa"/>
            <w:vAlign w:val="bottom"/>
          </w:tcPr>
          <w:p>
            <w:pPr>
              <w:ind w:left="30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3.17</w:t>
            </w:r>
          </w:p>
        </w:tc>
        <w:tc>
          <w:tcPr>
            <w:tcW w:w="4580" w:type="dxa"/>
            <w:vAlign w:val="bottom"/>
          </w:tcPr>
          <w:p>
            <w:pPr>
              <w:ind w:left="40"/>
              <w:spacing w:after="0"/>
              <w:rPr>
                <w:sz w:val="20"/>
                <w:szCs w:val="20"/>
                <w:color w:val="auto"/>
              </w:rPr>
            </w:pPr>
            <w:r>
              <w:rPr>
                <w:rFonts w:ascii="Arial" w:cs="Arial" w:eastAsia="Arial" w:hAnsi="Arial"/>
                <w:sz w:val="18"/>
                <w:szCs w:val="18"/>
                <w:color w:val="auto"/>
              </w:rPr>
              <w:t>Material Contracts</w:t>
            </w:r>
          </w:p>
        </w:tc>
        <w:tc>
          <w:tcPr>
            <w:tcW w:w="560" w:type="dxa"/>
            <w:vAlign w:val="bottom"/>
          </w:tcPr>
          <w:p>
            <w:pPr>
              <w:ind w:left="30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3.18</w:t>
            </w:r>
          </w:p>
        </w:tc>
        <w:tc>
          <w:tcPr>
            <w:tcW w:w="4580" w:type="dxa"/>
            <w:vAlign w:val="bottom"/>
          </w:tcPr>
          <w:p>
            <w:pPr>
              <w:ind w:left="40"/>
              <w:spacing w:after="0"/>
              <w:rPr>
                <w:sz w:val="20"/>
                <w:szCs w:val="20"/>
                <w:color w:val="auto"/>
              </w:rPr>
            </w:pPr>
            <w:r>
              <w:rPr>
                <w:rFonts w:ascii="Arial" w:cs="Arial" w:eastAsia="Arial" w:hAnsi="Arial"/>
                <w:sz w:val="18"/>
                <w:szCs w:val="18"/>
                <w:color w:val="auto"/>
              </w:rPr>
              <w:t>Affiliate Interests and Transactions</w:t>
            </w:r>
          </w:p>
        </w:tc>
        <w:tc>
          <w:tcPr>
            <w:tcW w:w="560" w:type="dxa"/>
            <w:vAlign w:val="bottom"/>
          </w:tcPr>
          <w:p>
            <w:pPr>
              <w:ind w:left="30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3.19</w:t>
            </w:r>
          </w:p>
        </w:tc>
        <w:tc>
          <w:tcPr>
            <w:tcW w:w="4580" w:type="dxa"/>
            <w:vAlign w:val="bottom"/>
          </w:tcPr>
          <w:p>
            <w:pPr>
              <w:ind w:left="40"/>
              <w:spacing w:after="0"/>
              <w:rPr>
                <w:sz w:val="20"/>
                <w:szCs w:val="20"/>
                <w:color w:val="auto"/>
              </w:rPr>
            </w:pPr>
            <w:r>
              <w:rPr>
                <w:rFonts w:ascii="Arial" w:cs="Arial" w:eastAsia="Arial" w:hAnsi="Arial"/>
                <w:sz w:val="18"/>
                <w:szCs w:val="18"/>
                <w:color w:val="auto"/>
              </w:rPr>
              <w:t>Insurance</w:t>
            </w:r>
          </w:p>
        </w:tc>
        <w:tc>
          <w:tcPr>
            <w:tcW w:w="560" w:type="dxa"/>
            <w:vAlign w:val="bottom"/>
          </w:tcPr>
          <w:p>
            <w:pPr>
              <w:ind w:left="30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3.20</w:t>
            </w:r>
          </w:p>
        </w:tc>
        <w:tc>
          <w:tcPr>
            <w:tcW w:w="4580" w:type="dxa"/>
            <w:vAlign w:val="bottom"/>
          </w:tcPr>
          <w:p>
            <w:pPr>
              <w:ind w:left="40"/>
              <w:spacing w:after="0"/>
              <w:rPr>
                <w:sz w:val="20"/>
                <w:szCs w:val="20"/>
                <w:color w:val="auto"/>
              </w:rPr>
            </w:pPr>
            <w:r>
              <w:rPr>
                <w:rFonts w:ascii="Arial" w:cs="Arial" w:eastAsia="Arial" w:hAnsi="Arial"/>
                <w:sz w:val="18"/>
                <w:szCs w:val="18"/>
                <w:color w:val="auto"/>
              </w:rPr>
              <w:t>Customers and Suppliers</w:t>
            </w:r>
          </w:p>
        </w:tc>
        <w:tc>
          <w:tcPr>
            <w:tcW w:w="560" w:type="dxa"/>
            <w:vAlign w:val="bottom"/>
          </w:tcPr>
          <w:p>
            <w:pPr>
              <w:ind w:left="30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3.21</w:t>
            </w:r>
          </w:p>
        </w:tc>
        <w:tc>
          <w:tcPr>
            <w:tcW w:w="4580" w:type="dxa"/>
            <w:vAlign w:val="bottom"/>
          </w:tcPr>
          <w:p>
            <w:pPr>
              <w:ind w:left="40"/>
              <w:spacing w:after="0"/>
              <w:rPr>
                <w:sz w:val="20"/>
                <w:szCs w:val="20"/>
                <w:color w:val="auto"/>
              </w:rPr>
            </w:pPr>
            <w:r>
              <w:rPr>
                <w:rFonts w:ascii="Arial" w:cs="Arial" w:eastAsia="Arial" w:hAnsi="Arial"/>
                <w:sz w:val="18"/>
                <w:szCs w:val="18"/>
                <w:color w:val="auto"/>
              </w:rPr>
              <w:t>Product Liability</w:t>
            </w:r>
          </w:p>
        </w:tc>
        <w:tc>
          <w:tcPr>
            <w:tcW w:w="560" w:type="dxa"/>
            <w:vAlign w:val="bottom"/>
          </w:tcPr>
          <w:p>
            <w:pPr>
              <w:ind w:left="30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3.22</w:t>
            </w:r>
          </w:p>
        </w:tc>
        <w:tc>
          <w:tcPr>
            <w:tcW w:w="4580" w:type="dxa"/>
            <w:vAlign w:val="bottom"/>
          </w:tcPr>
          <w:p>
            <w:pPr>
              <w:ind w:left="40"/>
              <w:spacing w:after="0"/>
              <w:rPr>
                <w:sz w:val="20"/>
                <w:szCs w:val="20"/>
                <w:color w:val="auto"/>
              </w:rPr>
            </w:pPr>
            <w:r>
              <w:rPr>
                <w:rFonts w:ascii="Arial" w:cs="Arial" w:eastAsia="Arial" w:hAnsi="Arial"/>
                <w:sz w:val="18"/>
                <w:szCs w:val="18"/>
                <w:color w:val="auto"/>
              </w:rPr>
              <w:t>Government Contracts</w:t>
            </w:r>
          </w:p>
        </w:tc>
        <w:tc>
          <w:tcPr>
            <w:tcW w:w="560" w:type="dxa"/>
            <w:vAlign w:val="bottom"/>
          </w:tcPr>
          <w:p>
            <w:pPr>
              <w:ind w:left="30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3.23</w:t>
            </w:r>
          </w:p>
        </w:tc>
        <w:tc>
          <w:tcPr>
            <w:tcW w:w="4580" w:type="dxa"/>
            <w:vAlign w:val="bottom"/>
          </w:tcPr>
          <w:p>
            <w:pPr>
              <w:ind w:left="40"/>
              <w:spacing w:after="0"/>
              <w:rPr>
                <w:sz w:val="20"/>
                <w:szCs w:val="20"/>
                <w:color w:val="auto"/>
              </w:rPr>
            </w:pPr>
            <w:r>
              <w:rPr>
                <w:rFonts w:ascii="Arial" w:cs="Arial" w:eastAsia="Arial" w:hAnsi="Arial"/>
                <w:sz w:val="18"/>
                <w:szCs w:val="18"/>
                <w:color w:val="auto"/>
              </w:rPr>
              <w:t>Orders and Warranties</w:t>
            </w:r>
          </w:p>
        </w:tc>
        <w:tc>
          <w:tcPr>
            <w:tcW w:w="560" w:type="dxa"/>
            <w:vAlign w:val="bottom"/>
          </w:tcPr>
          <w:p>
            <w:pPr>
              <w:ind w:left="30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3.24</w:t>
            </w:r>
          </w:p>
        </w:tc>
        <w:tc>
          <w:tcPr>
            <w:tcW w:w="4580" w:type="dxa"/>
            <w:vAlign w:val="bottom"/>
          </w:tcPr>
          <w:p>
            <w:pPr>
              <w:ind w:left="40"/>
              <w:spacing w:after="0"/>
              <w:rPr>
                <w:sz w:val="20"/>
                <w:szCs w:val="20"/>
                <w:color w:val="auto"/>
              </w:rPr>
            </w:pPr>
            <w:r>
              <w:rPr>
                <w:rFonts w:ascii="Arial" w:cs="Arial" w:eastAsia="Arial" w:hAnsi="Arial"/>
                <w:sz w:val="18"/>
                <w:szCs w:val="18"/>
                <w:color w:val="auto"/>
              </w:rPr>
              <w:t>Export Controls and Trade Sanctions</w:t>
            </w:r>
          </w:p>
        </w:tc>
        <w:tc>
          <w:tcPr>
            <w:tcW w:w="560" w:type="dxa"/>
            <w:vAlign w:val="bottom"/>
          </w:tcPr>
          <w:p>
            <w:pPr>
              <w:ind w:left="30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Section 3.25</w:t>
            </w:r>
          </w:p>
        </w:tc>
        <w:tc>
          <w:tcPr>
            <w:tcW w:w="4580" w:type="dxa"/>
            <w:vAlign w:val="bottom"/>
          </w:tcPr>
          <w:p>
            <w:pPr>
              <w:ind w:left="40"/>
              <w:spacing w:after="0"/>
              <w:rPr>
                <w:sz w:val="20"/>
                <w:szCs w:val="20"/>
                <w:color w:val="auto"/>
              </w:rPr>
            </w:pPr>
            <w:r>
              <w:rPr>
                <w:rFonts w:ascii="Arial" w:cs="Arial" w:eastAsia="Arial" w:hAnsi="Arial"/>
                <w:sz w:val="18"/>
                <w:szCs w:val="18"/>
                <w:color w:val="auto"/>
              </w:rPr>
              <w:t>Brokers</w:t>
            </w:r>
          </w:p>
        </w:tc>
        <w:tc>
          <w:tcPr>
            <w:tcW w:w="560" w:type="dxa"/>
            <w:vAlign w:val="bottom"/>
          </w:tcPr>
          <w:p>
            <w:pPr>
              <w:ind w:left="30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0"/>
                <w:szCs w:val="20"/>
                <w:color w:val="auto"/>
              </w:rPr>
            </w:pPr>
          </w:p>
        </w:tc>
      </w:tr>
      <w:tr>
        <w:trPr>
          <w:trHeight w:val="445"/>
        </w:trPr>
        <w:tc>
          <w:tcPr>
            <w:tcW w:w="5920" w:type="dxa"/>
            <w:vAlign w:val="bottom"/>
          </w:tcPr>
          <w:p>
            <w:pPr>
              <w:spacing w:after="0"/>
              <w:rPr>
                <w:sz w:val="20"/>
                <w:szCs w:val="20"/>
                <w:color w:val="auto"/>
              </w:rPr>
            </w:pPr>
            <w:r>
              <w:rPr>
                <w:rFonts w:ascii="Arial" w:cs="Arial" w:eastAsia="Arial" w:hAnsi="Arial"/>
                <w:sz w:val="18"/>
                <w:szCs w:val="18"/>
                <w:color w:val="auto"/>
              </w:rPr>
              <w:t>ARTICLE IV REPRESENTATIONS AND WARRANTIES OF THE</w:t>
            </w:r>
          </w:p>
        </w:tc>
        <w:tc>
          <w:tcPr>
            <w:tcW w:w="458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STOCKHOLDERS</w:t>
            </w:r>
          </w:p>
        </w:tc>
        <w:tc>
          <w:tcPr>
            <w:tcW w:w="4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4.1</w:t>
            </w:r>
          </w:p>
        </w:tc>
        <w:tc>
          <w:tcPr>
            <w:tcW w:w="4580" w:type="dxa"/>
            <w:vAlign w:val="bottom"/>
          </w:tcPr>
          <w:p>
            <w:pPr>
              <w:ind w:left="40"/>
              <w:spacing w:after="0"/>
              <w:rPr>
                <w:sz w:val="20"/>
                <w:szCs w:val="20"/>
                <w:color w:val="auto"/>
              </w:rPr>
            </w:pPr>
            <w:r>
              <w:rPr>
                <w:rFonts w:ascii="Arial" w:cs="Arial" w:eastAsia="Arial" w:hAnsi="Arial"/>
                <w:sz w:val="18"/>
                <w:szCs w:val="18"/>
                <w:color w:val="auto"/>
              </w:rPr>
              <w:t>Organization</w:t>
            </w:r>
          </w:p>
        </w:tc>
        <w:tc>
          <w:tcPr>
            <w:tcW w:w="560" w:type="dxa"/>
            <w:vAlign w:val="bottom"/>
          </w:tcPr>
          <w:p>
            <w:pPr>
              <w:ind w:left="30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4.2</w:t>
            </w:r>
          </w:p>
        </w:tc>
        <w:tc>
          <w:tcPr>
            <w:tcW w:w="4580" w:type="dxa"/>
            <w:vAlign w:val="bottom"/>
          </w:tcPr>
          <w:p>
            <w:pPr>
              <w:ind w:left="40"/>
              <w:spacing w:after="0"/>
              <w:rPr>
                <w:sz w:val="20"/>
                <w:szCs w:val="20"/>
                <w:color w:val="auto"/>
              </w:rPr>
            </w:pPr>
            <w:r>
              <w:rPr>
                <w:rFonts w:ascii="Arial" w:cs="Arial" w:eastAsia="Arial" w:hAnsi="Arial"/>
                <w:sz w:val="18"/>
                <w:szCs w:val="18"/>
                <w:color w:val="auto"/>
              </w:rPr>
              <w:t>Authority</w:t>
            </w:r>
          </w:p>
        </w:tc>
        <w:tc>
          <w:tcPr>
            <w:tcW w:w="560" w:type="dxa"/>
            <w:vAlign w:val="bottom"/>
          </w:tcPr>
          <w:p>
            <w:pPr>
              <w:ind w:left="30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4.3</w:t>
            </w:r>
          </w:p>
        </w:tc>
        <w:tc>
          <w:tcPr>
            <w:tcW w:w="4580" w:type="dxa"/>
            <w:vAlign w:val="bottom"/>
          </w:tcPr>
          <w:p>
            <w:pPr>
              <w:ind w:left="40"/>
              <w:spacing w:after="0"/>
              <w:rPr>
                <w:sz w:val="20"/>
                <w:szCs w:val="20"/>
                <w:color w:val="auto"/>
              </w:rPr>
            </w:pPr>
            <w:r>
              <w:rPr>
                <w:rFonts w:ascii="Arial" w:cs="Arial" w:eastAsia="Arial" w:hAnsi="Arial"/>
                <w:sz w:val="18"/>
                <w:szCs w:val="18"/>
                <w:color w:val="auto"/>
              </w:rPr>
              <w:t>No Conflict; Required Filings and Consents</w:t>
            </w:r>
          </w:p>
        </w:tc>
        <w:tc>
          <w:tcPr>
            <w:tcW w:w="560" w:type="dxa"/>
            <w:vAlign w:val="bottom"/>
          </w:tcPr>
          <w:p>
            <w:pPr>
              <w:ind w:left="30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Section 4.4</w:t>
            </w:r>
          </w:p>
        </w:tc>
        <w:tc>
          <w:tcPr>
            <w:tcW w:w="4580" w:type="dxa"/>
            <w:vAlign w:val="bottom"/>
          </w:tcPr>
          <w:p>
            <w:pPr>
              <w:ind w:left="40"/>
              <w:spacing w:after="0"/>
              <w:rPr>
                <w:sz w:val="20"/>
                <w:szCs w:val="20"/>
                <w:color w:val="auto"/>
              </w:rPr>
            </w:pPr>
            <w:r>
              <w:rPr>
                <w:rFonts w:ascii="Arial" w:cs="Arial" w:eastAsia="Arial" w:hAnsi="Arial"/>
                <w:sz w:val="18"/>
                <w:szCs w:val="18"/>
                <w:color w:val="auto"/>
              </w:rPr>
              <w:t>Ownership of Common Stock and Convertible Bonds</w:t>
            </w:r>
          </w:p>
        </w:tc>
        <w:tc>
          <w:tcPr>
            <w:tcW w:w="560" w:type="dxa"/>
            <w:vAlign w:val="bottom"/>
          </w:tcPr>
          <w:p>
            <w:pPr>
              <w:ind w:left="30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0"/>
                <w:szCs w:val="20"/>
                <w:color w:val="auto"/>
              </w:rPr>
            </w:pPr>
          </w:p>
        </w:tc>
      </w:tr>
      <w:tr>
        <w:trPr>
          <w:trHeight w:val="445"/>
        </w:trPr>
        <w:tc>
          <w:tcPr>
            <w:tcW w:w="5920" w:type="dxa"/>
            <w:vAlign w:val="bottom"/>
          </w:tcPr>
          <w:p>
            <w:pPr>
              <w:spacing w:after="0"/>
              <w:rPr>
                <w:sz w:val="20"/>
                <w:szCs w:val="20"/>
                <w:color w:val="auto"/>
              </w:rPr>
            </w:pPr>
            <w:r>
              <w:rPr>
                <w:rFonts w:ascii="Arial" w:cs="Arial" w:eastAsia="Arial" w:hAnsi="Arial"/>
                <w:sz w:val="18"/>
                <w:szCs w:val="18"/>
                <w:color w:val="auto"/>
              </w:rPr>
              <w:t>ARTICLE V REPRESENTATIONS AND WARRANTIES OF THE BUYER</w:t>
            </w:r>
          </w:p>
        </w:tc>
        <w:tc>
          <w:tcPr>
            <w:tcW w:w="458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4"/>
                <w:szCs w:val="24"/>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5.1</w:t>
            </w:r>
          </w:p>
        </w:tc>
        <w:tc>
          <w:tcPr>
            <w:tcW w:w="4580" w:type="dxa"/>
            <w:vAlign w:val="bottom"/>
          </w:tcPr>
          <w:p>
            <w:pPr>
              <w:ind w:left="40"/>
              <w:spacing w:after="0"/>
              <w:rPr>
                <w:sz w:val="20"/>
                <w:szCs w:val="20"/>
                <w:color w:val="auto"/>
              </w:rPr>
            </w:pPr>
            <w:r>
              <w:rPr>
                <w:rFonts w:ascii="Arial" w:cs="Arial" w:eastAsia="Arial" w:hAnsi="Arial"/>
                <w:sz w:val="18"/>
                <w:szCs w:val="18"/>
                <w:color w:val="auto"/>
              </w:rPr>
              <w:t>Organization</w:t>
            </w:r>
          </w:p>
        </w:tc>
        <w:tc>
          <w:tcPr>
            <w:tcW w:w="560" w:type="dxa"/>
            <w:vAlign w:val="bottom"/>
          </w:tcPr>
          <w:p>
            <w:pPr>
              <w:ind w:left="30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5.2</w:t>
            </w:r>
          </w:p>
        </w:tc>
        <w:tc>
          <w:tcPr>
            <w:tcW w:w="4580" w:type="dxa"/>
            <w:vAlign w:val="bottom"/>
          </w:tcPr>
          <w:p>
            <w:pPr>
              <w:ind w:left="40"/>
              <w:spacing w:after="0"/>
              <w:rPr>
                <w:sz w:val="20"/>
                <w:szCs w:val="20"/>
                <w:color w:val="auto"/>
              </w:rPr>
            </w:pPr>
            <w:r>
              <w:rPr>
                <w:rFonts w:ascii="Arial" w:cs="Arial" w:eastAsia="Arial" w:hAnsi="Arial"/>
                <w:sz w:val="18"/>
                <w:szCs w:val="18"/>
                <w:color w:val="auto"/>
              </w:rPr>
              <w:t>Authority</w:t>
            </w:r>
          </w:p>
        </w:tc>
        <w:tc>
          <w:tcPr>
            <w:tcW w:w="560" w:type="dxa"/>
            <w:vAlign w:val="bottom"/>
          </w:tcPr>
          <w:p>
            <w:pPr>
              <w:ind w:left="30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5.3</w:t>
            </w:r>
          </w:p>
        </w:tc>
        <w:tc>
          <w:tcPr>
            <w:tcW w:w="4580" w:type="dxa"/>
            <w:vAlign w:val="bottom"/>
          </w:tcPr>
          <w:p>
            <w:pPr>
              <w:ind w:left="40"/>
              <w:spacing w:after="0"/>
              <w:rPr>
                <w:sz w:val="20"/>
                <w:szCs w:val="20"/>
                <w:color w:val="auto"/>
              </w:rPr>
            </w:pPr>
            <w:r>
              <w:rPr>
                <w:rFonts w:ascii="Arial" w:cs="Arial" w:eastAsia="Arial" w:hAnsi="Arial"/>
                <w:sz w:val="18"/>
                <w:szCs w:val="18"/>
                <w:color w:val="auto"/>
              </w:rPr>
              <w:t>No Conflict; Required Filings and Consents</w:t>
            </w:r>
          </w:p>
        </w:tc>
        <w:tc>
          <w:tcPr>
            <w:tcW w:w="560" w:type="dxa"/>
            <w:vAlign w:val="bottom"/>
          </w:tcPr>
          <w:p>
            <w:pPr>
              <w:ind w:left="30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5.4</w:t>
            </w:r>
          </w:p>
        </w:tc>
        <w:tc>
          <w:tcPr>
            <w:tcW w:w="4580" w:type="dxa"/>
            <w:vAlign w:val="bottom"/>
          </w:tcPr>
          <w:p>
            <w:pPr>
              <w:ind w:left="40"/>
              <w:spacing w:after="0"/>
              <w:rPr>
                <w:sz w:val="20"/>
                <w:szCs w:val="20"/>
                <w:color w:val="auto"/>
              </w:rPr>
            </w:pPr>
            <w:r>
              <w:rPr>
                <w:rFonts w:ascii="Arial" w:cs="Arial" w:eastAsia="Arial" w:hAnsi="Arial"/>
                <w:sz w:val="18"/>
                <w:szCs w:val="18"/>
                <w:color w:val="auto"/>
              </w:rPr>
              <w:t>Financing</w:t>
            </w:r>
          </w:p>
        </w:tc>
        <w:tc>
          <w:tcPr>
            <w:tcW w:w="560" w:type="dxa"/>
            <w:vAlign w:val="bottom"/>
          </w:tcPr>
          <w:p>
            <w:pPr>
              <w:ind w:left="30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5.5</w:t>
            </w:r>
          </w:p>
        </w:tc>
        <w:tc>
          <w:tcPr>
            <w:tcW w:w="4580" w:type="dxa"/>
            <w:vAlign w:val="bottom"/>
          </w:tcPr>
          <w:p>
            <w:pPr>
              <w:ind w:left="40"/>
              <w:spacing w:after="0"/>
              <w:rPr>
                <w:sz w:val="20"/>
                <w:szCs w:val="20"/>
                <w:color w:val="auto"/>
              </w:rPr>
            </w:pPr>
            <w:r>
              <w:rPr>
                <w:rFonts w:ascii="Arial" w:cs="Arial" w:eastAsia="Arial" w:hAnsi="Arial"/>
                <w:sz w:val="18"/>
                <w:szCs w:val="18"/>
                <w:color w:val="auto"/>
              </w:rPr>
              <w:t>Brokers</w:t>
            </w:r>
          </w:p>
        </w:tc>
        <w:tc>
          <w:tcPr>
            <w:tcW w:w="560" w:type="dxa"/>
            <w:vAlign w:val="bottom"/>
          </w:tcPr>
          <w:p>
            <w:pPr>
              <w:ind w:left="30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5.6</w:t>
            </w:r>
          </w:p>
        </w:tc>
        <w:tc>
          <w:tcPr>
            <w:tcW w:w="4580" w:type="dxa"/>
            <w:vAlign w:val="bottom"/>
          </w:tcPr>
          <w:p>
            <w:pPr>
              <w:ind w:left="40"/>
              <w:spacing w:after="0"/>
              <w:rPr>
                <w:sz w:val="20"/>
                <w:szCs w:val="20"/>
                <w:color w:val="auto"/>
              </w:rPr>
            </w:pPr>
            <w:r>
              <w:rPr>
                <w:rFonts w:ascii="Arial" w:cs="Arial" w:eastAsia="Arial" w:hAnsi="Arial"/>
                <w:sz w:val="18"/>
                <w:szCs w:val="18"/>
                <w:color w:val="auto"/>
              </w:rPr>
              <w:t>The Buyer’s Examination</w:t>
            </w:r>
          </w:p>
        </w:tc>
        <w:tc>
          <w:tcPr>
            <w:tcW w:w="560" w:type="dxa"/>
            <w:vAlign w:val="bottom"/>
          </w:tcPr>
          <w:p>
            <w:pPr>
              <w:ind w:left="30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5.7</w:t>
            </w:r>
          </w:p>
        </w:tc>
        <w:tc>
          <w:tcPr>
            <w:tcW w:w="4580" w:type="dxa"/>
            <w:vAlign w:val="bottom"/>
          </w:tcPr>
          <w:p>
            <w:pPr>
              <w:ind w:left="40"/>
              <w:spacing w:after="0"/>
              <w:rPr>
                <w:sz w:val="20"/>
                <w:szCs w:val="20"/>
                <w:color w:val="auto"/>
              </w:rPr>
            </w:pPr>
            <w:r>
              <w:rPr>
                <w:rFonts w:ascii="Arial" w:cs="Arial" w:eastAsia="Arial" w:hAnsi="Arial"/>
                <w:sz w:val="18"/>
                <w:szCs w:val="18"/>
                <w:color w:val="auto"/>
              </w:rPr>
              <w:t>Investigation; Limitation on Warranties.</w:t>
            </w:r>
          </w:p>
        </w:tc>
        <w:tc>
          <w:tcPr>
            <w:tcW w:w="560" w:type="dxa"/>
            <w:vAlign w:val="bottom"/>
          </w:tcPr>
          <w:p>
            <w:pPr>
              <w:ind w:left="30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5.8</w:t>
            </w:r>
          </w:p>
        </w:tc>
        <w:tc>
          <w:tcPr>
            <w:tcW w:w="4580" w:type="dxa"/>
            <w:vAlign w:val="bottom"/>
          </w:tcPr>
          <w:p>
            <w:pPr>
              <w:ind w:left="40"/>
              <w:spacing w:after="0"/>
              <w:rPr>
                <w:sz w:val="20"/>
                <w:szCs w:val="20"/>
                <w:color w:val="auto"/>
              </w:rPr>
            </w:pPr>
            <w:r>
              <w:rPr>
                <w:rFonts w:ascii="Arial" w:cs="Arial" w:eastAsia="Arial" w:hAnsi="Arial"/>
                <w:sz w:val="18"/>
                <w:szCs w:val="18"/>
                <w:color w:val="auto"/>
              </w:rPr>
              <w:t>Solvency</w:t>
            </w:r>
          </w:p>
        </w:tc>
        <w:tc>
          <w:tcPr>
            <w:tcW w:w="560" w:type="dxa"/>
            <w:vAlign w:val="bottom"/>
          </w:tcPr>
          <w:p>
            <w:pPr>
              <w:ind w:left="30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5.9</w:t>
            </w:r>
          </w:p>
        </w:tc>
        <w:tc>
          <w:tcPr>
            <w:tcW w:w="4580" w:type="dxa"/>
            <w:vAlign w:val="bottom"/>
          </w:tcPr>
          <w:p>
            <w:pPr>
              <w:ind w:left="40"/>
              <w:spacing w:after="0"/>
              <w:rPr>
                <w:sz w:val="20"/>
                <w:szCs w:val="20"/>
                <w:color w:val="auto"/>
              </w:rPr>
            </w:pPr>
            <w:r>
              <w:rPr>
                <w:rFonts w:ascii="Arial" w:cs="Arial" w:eastAsia="Arial" w:hAnsi="Arial"/>
                <w:sz w:val="18"/>
                <w:szCs w:val="18"/>
                <w:color w:val="auto"/>
              </w:rPr>
              <w:t>Acquisition for Investment</w:t>
            </w:r>
          </w:p>
        </w:tc>
        <w:tc>
          <w:tcPr>
            <w:tcW w:w="560" w:type="dxa"/>
            <w:vAlign w:val="bottom"/>
          </w:tcPr>
          <w:p>
            <w:pPr>
              <w:ind w:left="30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Section 5.10</w:t>
            </w:r>
          </w:p>
        </w:tc>
        <w:tc>
          <w:tcPr>
            <w:tcW w:w="4580" w:type="dxa"/>
            <w:vAlign w:val="bottom"/>
          </w:tcPr>
          <w:p>
            <w:pPr>
              <w:ind w:left="40"/>
              <w:spacing w:after="0"/>
              <w:rPr>
                <w:sz w:val="20"/>
                <w:szCs w:val="20"/>
                <w:color w:val="auto"/>
              </w:rPr>
            </w:pPr>
            <w:r>
              <w:rPr>
                <w:rFonts w:ascii="Arial" w:cs="Arial" w:eastAsia="Arial" w:hAnsi="Arial"/>
                <w:sz w:val="18"/>
                <w:szCs w:val="18"/>
                <w:color w:val="auto"/>
              </w:rPr>
              <w:t>Repayment of the Credit Facility Agreements</w:t>
            </w:r>
          </w:p>
        </w:tc>
        <w:tc>
          <w:tcPr>
            <w:tcW w:w="560" w:type="dxa"/>
            <w:vAlign w:val="bottom"/>
          </w:tcPr>
          <w:p>
            <w:pPr>
              <w:ind w:left="30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0"/>
                <w:szCs w:val="20"/>
                <w:color w:val="auto"/>
              </w:rPr>
            </w:pPr>
          </w:p>
        </w:tc>
      </w:tr>
      <w:tr>
        <w:trPr>
          <w:trHeight w:val="445"/>
        </w:trPr>
        <w:tc>
          <w:tcPr>
            <w:tcW w:w="5920" w:type="dxa"/>
            <w:vAlign w:val="bottom"/>
          </w:tcPr>
          <w:p>
            <w:pPr>
              <w:spacing w:after="0"/>
              <w:rPr>
                <w:sz w:val="20"/>
                <w:szCs w:val="20"/>
                <w:color w:val="auto"/>
              </w:rPr>
            </w:pPr>
            <w:r>
              <w:rPr>
                <w:rFonts w:ascii="Arial" w:cs="Arial" w:eastAsia="Arial" w:hAnsi="Arial"/>
                <w:sz w:val="18"/>
                <w:szCs w:val="18"/>
                <w:color w:val="auto"/>
              </w:rPr>
              <w:t>ARTICLE VI COVENANTS</w:t>
            </w:r>
          </w:p>
        </w:tc>
        <w:tc>
          <w:tcPr>
            <w:tcW w:w="458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4"/>
                <w:szCs w:val="24"/>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6.1</w:t>
            </w:r>
          </w:p>
        </w:tc>
        <w:tc>
          <w:tcPr>
            <w:tcW w:w="4580" w:type="dxa"/>
            <w:vAlign w:val="bottom"/>
          </w:tcPr>
          <w:p>
            <w:pPr>
              <w:ind w:left="40"/>
              <w:spacing w:after="0"/>
              <w:rPr>
                <w:sz w:val="20"/>
                <w:szCs w:val="20"/>
                <w:color w:val="auto"/>
              </w:rPr>
            </w:pPr>
            <w:r>
              <w:rPr>
                <w:rFonts w:ascii="Arial" w:cs="Arial" w:eastAsia="Arial" w:hAnsi="Arial"/>
                <w:sz w:val="18"/>
                <w:szCs w:val="18"/>
                <w:color w:val="auto"/>
              </w:rPr>
              <w:t>Conduct of Business Prior to the Closing</w:t>
            </w:r>
          </w:p>
        </w:tc>
        <w:tc>
          <w:tcPr>
            <w:tcW w:w="560" w:type="dxa"/>
            <w:vAlign w:val="bottom"/>
          </w:tcPr>
          <w:p>
            <w:pPr>
              <w:ind w:left="30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6.2</w:t>
            </w:r>
          </w:p>
        </w:tc>
        <w:tc>
          <w:tcPr>
            <w:tcW w:w="4580" w:type="dxa"/>
            <w:vAlign w:val="bottom"/>
          </w:tcPr>
          <w:p>
            <w:pPr>
              <w:ind w:left="40"/>
              <w:spacing w:after="0"/>
              <w:rPr>
                <w:sz w:val="20"/>
                <w:szCs w:val="20"/>
                <w:color w:val="auto"/>
              </w:rPr>
            </w:pPr>
            <w:r>
              <w:rPr>
                <w:rFonts w:ascii="Arial" w:cs="Arial" w:eastAsia="Arial" w:hAnsi="Arial"/>
                <w:sz w:val="18"/>
                <w:szCs w:val="18"/>
                <w:color w:val="auto"/>
              </w:rPr>
              <w:t>Covenants Regarding Information</w:t>
            </w:r>
          </w:p>
        </w:tc>
        <w:tc>
          <w:tcPr>
            <w:tcW w:w="560" w:type="dxa"/>
            <w:vAlign w:val="bottom"/>
          </w:tcPr>
          <w:p>
            <w:pPr>
              <w:ind w:left="30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6.3</w:t>
            </w:r>
          </w:p>
        </w:tc>
        <w:tc>
          <w:tcPr>
            <w:tcW w:w="4580" w:type="dxa"/>
            <w:vAlign w:val="bottom"/>
          </w:tcPr>
          <w:p>
            <w:pPr>
              <w:ind w:left="40"/>
              <w:spacing w:after="0"/>
              <w:rPr>
                <w:sz w:val="20"/>
                <w:szCs w:val="20"/>
                <w:color w:val="auto"/>
              </w:rPr>
            </w:pPr>
            <w:r>
              <w:rPr>
                <w:rFonts w:ascii="Arial" w:cs="Arial" w:eastAsia="Arial" w:hAnsi="Arial"/>
                <w:sz w:val="18"/>
                <w:szCs w:val="18"/>
                <w:color w:val="auto"/>
              </w:rPr>
              <w:t>Exclusivity</w:t>
            </w:r>
          </w:p>
        </w:tc>
        <w:tc>
          <w:tcPr>
            <w:tcW w:w="560" w:type="dxa"/>
            <w:vAlign w:val="bottom"/>
          </w:tcPr>
          <w:p>
            <w:pPr>
              <w:ind w:left="30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6.4</w:t>
            </w:r>
          </w:p>
        </w:tc>
        <w:tc>
          <w:tcPr>
            <w:tcW w:w="4580" w:type="dxa"/>
            <w:vAlign w:val="bottom"/>
          </w:tcPr>
          <w:p>
            <w:pPr>
              <w:ind w:left="40"/>
              <w:spacing w:after="0"/>
              <w:rPr>
                <w:sz w:val="20"/>
                <w:szCs w:val="20"/>
                <w:color w:val="auto"/>
              </w:rPr>
            </w:pPr>
            <w:r>
              <w:rPr>
                <w:rFonts w:ascii="Arial" w:cs="Arial" w:eastAsia="Arial" w:hAnsi="Arial"/>
                <w:sz w:val="18"/>
                <w:szCs w:val="18"/>
                <w:color w:val="auto"/>
                <w:w w:val="98"/>
              </w:rPr>
              <w:t>Notification of Certain Matters; Supplements to Disclosure</w:t>
            </w:r>
          </w:p>
        </w:tc>
        <w:tc>
          <w:tcPr>
            <w:tcW w:w="560" w:type="dxa"/>
            <w:vAlign w:val="bottom"/>
          </w:tcPr>
          <w:p>
            <w:pPr>
              <w:ind w:left="30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18"/>
                <w:szCs w:val="18"/>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Schedules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6.5</w:t>
            </w:r>
          </w:p>
        </w:tc>
        <w:tc>
          <w:tcPr>
            <w:tcW w:w="4580" w:type="dxa"/>
            <w:vAlign w:val="bottom"/>
          </w:tcPr>
          <w:p>
            <w:pPr>
              <w:ind w:left="40"/>
              <w:spacing w:after="0"/>
              <w:rPr>
                <w:sz w:val="20"/>
                <w:szCs w:val="20"/>
                <w:color w:val="auto"/>
              </w:rPr>
            </w:pPr>
            <w:r>
              <w:rPr>
                <w:rFonts w:ascii="Arial" w:cs="Arial" w:eastAsia="Arial" w:hAnsi="Arial"/>
                <w:sz w:val="18"/>
                <w:szCs w:val="18"/>
                <w:color w:val="auto"/>
              </w:rPr>
              <w:t>Release of Indemnity Obligations.</w:t>
            </w:r>
          </w:p>
        </w:tc>
        <w:tc>
          <w:tcPr>
            <w:tcW w:w="560" w:type="dxa"/>
            <w:vAlign w:val="bottom"/>
          </w:tcPr>
          <w:p>
            <w:pPr>
              <w:ind w:left="30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6.6</w:t>
            </w:r>
          </w:p>
        </w:tc>
        <w:tc>
          <w:tcPr>
            <w:tcW w:w="4580" w:type="dxa"/>
            <w:vAlign w:val="bottom"/>
          </w:tcPr>
          <w:p>
            <w:pPr>
              <w:ind w:left="40"/>
              <w:spacing w:after="0"/>
              <w:rPr>
                <w:sz w:val="20"/>
                <w:szCs w:val="20"/>
                <w:color w:val="auto"/>
              </w:rPr>
            </w:pPr>
            <w:r>
              <w:rPr>
                <w:rFonts w:ascii="Arial" w:cs="Arial" w:eastAsia="Arial" w:hAnsi="Arial"/>
                <w:sz w:val="18"/>
                <w:szCs w:val="18"/>
                <w:color w:val="auto"/>
              </w:rPr>
              <w:t>Stockholder Arrangements</w:t>
            </w:r>
          </w:p>
        </w:tc>
        <w:tc>
          <w:tcPr>
            <w:tcW w:w="560" w:type="dxa"/>
            <w:vAlign w:val="bottom"/>
          </w:tcPr>
          <w:p>
            <w:pPr>
              <w:ind w:left="30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6.7</w:t>
            </w:r>
          </w:p>
        </w:tc>
        <w:tc>
          <w:tcPr>
            <w:tcW w:w="4580" w:type="dxa"/>
            <w:vAlign w:val="bottom"/>
          </w:tcPr>
          <w:p>
            <w:pPr>
              <w:ind w:left="40"/>
              <w:spacing w:after="0"/>
              <w:rPr>
                <w:sz w:val="20"/>
                <w:szCs w:val="20"/>
                <w:color w:val="auto"/>
              </w:rPr>
            </w:pPr>
            <w:r>
              <w:rPr>
                <w:rFonts w:ascii="Arial" w:cs="Arial" w:eastAsia="Arial" w:hAnsi="Arial"/>
                <w:sz w:val="18"/>
                <w:szCs w:val="18"/>
                <w:color w:val="auto"/>
              </w:rPr>
              <w:t>Director Resignations</w:t>
            </w:r>
          </w:p>
        </w:tc>
        <w:tc>
          <w:tcPr>
            <w:tcW w:w="560" w:type="dxa"/>
            <w:vAlign w:val="bottom"/>
          </w:tcPr>
          <w:p>
            <w:pPr>
              <w:ind w:left="30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6.8</w:t>
            </w:r>
          </w:p>
        </w:tc>
        <w:tc>
          <w:tcPr>
            <w:tcW w:w="458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560" w:type="dxa"/>
            <w:vAlign w:val="bottom"/>
          </w:tcPr>
          <w:p>
            <w:pPr>
              <w:ind w:left="30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6.9</w:t>
            </w:r>
          </w:p>
        </w:tc>
        <w:tc>
          <w:tcPr>
            <w:tcW w:w="4580" w:type="dxa"/>
            <w:vAlign w:val="bottom"/>
          </w:tcPr>
          <w:p>
            <w:pPr>
              <w:ind w:left="40"/>
              <w:spacing w:after="0"/>
              <w:rPr>
                <w:sz w:val="20"/>
                <w:szCs w:val="20"/>
                <w:color w:val="auto"/>
              </w:rPr>
            </w:pPr>
            <w:r>
              <w:rPr>
                <w:rFonts w:ascii="Arial" w:cs="Arial" w:eastAsia="Arial" w:hAnsi="Arial"/>
                <w:sz w:val="18"/>
                <w:szCs w:val="18"/>
                <w:color w:val="auto"/>
              </w:rPr>
              <w:t>Consents and Filings</w:t>
            </w:r>
          </w:p>
        </w:tc>
        <w:tc>
          <w:tcPr>
            <w:tcW w:w="560" w:type="dxa"/>
            <w:vAlign w:val="bottom"/>
          </w:tcPr>
          <w:p>
            <w:pPr>
              <w:ind w:left="30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6.10</w:t>
            </w:r>
          </w:p>
        </w:tc>
        <w:tc>
          <w:tcPr>
            <w:tcW w:w="4580" w:type="dxa"/>
            <w:vAlign w:val="bottom"/>
          </w:tcPr>
          <w:p>
            <w:pPr>
              <w:ind w:left="40"/>
              <w:spacing w:after="0"/>
              <w:rPr>
                <w:sz w:val="20"/>
                <w:szCs w:val="20"/>
                <w:color w:val="auto"/>
              </w:rPr>
            </w:pPr>
            <w:r>
              <w:rPr>
                <w:rFonts w:ascii="Arial" w:cs="Arial" w:eastAsia="Arial" w:hAnsi="Arial"/>
                <w:sz w:val="18"/>
                <w:szCs w:val="18"/>
                <w:color w:val="auto"/>
              </w:rPr>
              <w:t>Public Announcements</w:t>
            </w:r>
          </w:p>
        </w:tc>
        <w:tc>
          <w:tcPr>
            <w:tcW w:w="560" w:type="dxa"/>
            <w:vAlign w:val="bottom"/>
          </w:tcPr>
          <w:p>
            <w:pPr>
              <w:ind w:left="30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Section 6.11</w:t>
            </w:r>
          </w:p>
        </w:tc>
        <w:tc>
          <w:tcPr>
            <w:tcW w:w="4580" w:type="dxa"/>
            <w:vAlign w:val="bottom"/>
          </w:tcPr>
          <w:p>
            <w:pPr>
              <w:ind w:left="40"/>
              <w:spacing w:after="0"/>
              <w:rPr>
                <w:sz w:val="20"/>
                <w:szCs w:val="20"/>
                <w:color w:val="auto"/>
              </w:rPr>
            </w:pPr>
            <w:r>
              <w:rPr>
                <w:rFonts w:ascii="Arial" w:cs="Arial" w:eastAsia="Arial" w:hAnsi="Arial"/>
                <w:sz w:val="18"/>
                <w:szCs w:val="18"/>
                <w:color w:val="auto"/>
              </w:rPr>
              <w:t>Repayment of Group Indebtedness</w:t>
            </w:r>
          </w:p>
        </w:tc>
        <w:tc>
          <w:tcPr>
            <w:tcW w:w="560" w:type="dxa"/>
            <w:vAlign w:val="bottom"/>
          </w:tcPr>
          <w:p>
            <w:pPr>
              <w:ind w:left="30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0"/>
                <w:szCs w:val="20"/>
                <w:color w:val="auto"/>
              </w:rPr>
            </w:pPr>
          </w:p>
        </w:tc>
      </w:tr>
    </w:tbl>
    <w:p>
      <w:pPr>
        <w:sectPr>
          <w:pgSz w:w="11900" w:h="16843" w:orient="portrait"/>
          <w:cols w:equalWidth="0" w:num="1">
            <w:col w:w="11420"/>
          </w:cols>
          <w:pgMar w:left="240" w:top="841"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Section 6.12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6.13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6.16</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ARTICLE VII CONDITIONS TO CLOSING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ARTICLE VIII INDEMNIFICATION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ARTICLE IX TERMINATION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ARTICLE X GENERAL PROVISIONS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10.22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Employment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Tax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Indemnification of Directors and 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w w:val="93"/>
              </w:rPr>
              <w:t>Preservation of Records; Post-Closing Access and Cooperation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Indonesian Subsidiary</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4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General Conditions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w w:val="93"/>
              </w:rPr>
              <w:t>Conditions to Obligations of the Company and the Stockholders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Conditions to Obligations of the Buyer</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4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Survival of Representations, Warranties and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Indemnification by the Stockholders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Indemnification by the Buyer</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Indemnification Exclusive Remedy</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Indemnification Limits.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4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Effect of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4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Fees and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Amendment and Modification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Waiver</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Entire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 Third-Party Beneficiaries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Submission to Jurisdiction</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Assignment; 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Enforcement</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Currency</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Facsimile Signature</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Time of Essence</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 Presumption Against Drafting Party</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Disclosure Schedule</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Provision Respecting Representation of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w w:val="93"/>
              </w:rPr>
              <w:t>Authority and Rights of Stockholder Representative; 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on Liability</w:t>
            </w:r>
          </w:p>
        </w:tc>
        <w:tc>
          <w:tcPr>
            <w:tcW w:w="28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French Tax Declaration</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220980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240" w:space="720"/>
            <w:col w:w="5020"/>
          </w:cols>
          <w:pgMar w:left="240" w:top="125" w:right="679" w:bottom="1440" w:gutter="0" w:footer="0" w:header="0"/>
        </w:sectPr>
      </w:pPr>
    </w:p>
    <w:bookmarkStart w:id="9" w:name="page10"/>
    <w:bookmarkEnd w:id="9"/>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PURCHASE AGREEMENT</w:t>
      </w:r>
    </w:p>
    <w:p>
      <w:pPr>
        <w:spacing w:after="0" w:line="200" w:lineRule="exact"/>
        <w:rPr>
          <w:sz w:val="20"/>
          <w:szCs w:val="20"/>
          <w:color w:val="auto"/>
        </w:rPr>
      </w:pPr>
    </w:p>
    <w:p>
      <w:pPr>
        <w:spacing w:after="0" w:line="29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STOCK PURCHASE AGREEMENT, dated as of February 25, 2007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Actaris Metering Systems S.A., a Luxembourg public limited liability company, having its registered office at 26, rue de Louvigny, L-1946, Luxembourg and registered with the Luxembourg Trade and Companies Register under the number B 108445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the stockholders of the Company, each of which is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Stockholder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Stockholders</w:t>
      </w:r>
      <w:r>
        <w:rPr>
          <w:rFonts w:ascii="Arial" w:cs="Arial" w:eastAsia="Arial" w:hAnsi="Arial"/>
          <w:sz w:val="18"/>
          <w:szCs w:val="18"/>
          <w:color w:val="auto"/>
        </w:rPr>
        <w:t>"), LBO France Gestion SAS, as agent and attorney-in-fact for the Stockholders (the "</w:t>
      </w:r>
      <w:r>
        <w:rPr>
          <w:rFonts w:ascii="Arial" w:cs="Arial" w:eastAsia="Arial" w:hAnsi="Arial"/>
          <w:sz w:val="18"/>
          <w:szCs w:val="18"/>
          <w:u w:val="single" w:color="auto"/>
          <w:color w:val="auto"/>
        </w:rPr>
        <w:t>Stockholder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Representative</w:t>
      </w:r>
      <w:r>
        <w:rPr>
          <w:rFonts w:ascii="Arial" w:cs="Arial" w:eastAsia="Arial" w:hAnsi="Arial"/>
          <w:sz w:val="18"/>
          <w:szCs w:val="18"/>
          <w:color w:val="auto"/>
        </w:rPr>
        <w:t>"), and Itron, Inc., a Washington corporation (the "</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ind w:right="20" w:firstLine="656"/>
        <w:spacing w:after="0" w:line="264" w:lineRule="auto"/>
        <w:tabs>
          <w:tab w:leader="none" w:pos="1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engaged, directly and indirectly through its Subsidiaries, in the manufacturing, marketing, selling, distributing, service and support operations of, and research and development activities related to, electricity, water, gas and energy metering hardware and systems at various locations around the world (the "</w:t>
      </w:r>
      <w:r>
        <w:rPr>
          <w:rFonts w:ascii="Arial" w:cs="Arial" w:eastAsia="Arial" w:hAnsi="Arial"/>
          <w:sz w:val="18"/>
          <w:szCs w:val="18"/>
          <w:u w:val="single" w:color="auto"/>
          <w:color w:val="auto"/>
        </w:rPr>
        <w:t>Business</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right="360" w:firstLine="656"/>
        <w:spacing w:after="0" w:line="277" w:lineRule="auto"/>
        <w:tabs>
          <w:tab w:leader="none" w:pos="1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Stockholders collectively own 100% of (i) the issued and outstanding shares of common stock, par value €25 per share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xml:space="preserve">"), of the Company and (ii) the outstanding convertible bonds issued by the Company (the </w:t>
      </w:r>
      <w:r>
        <w:rPr>
          <w:rFonts w:ascii="Arial" w:cs="Arial" w:eastAsia="Arial" w:hAnsi="Arial"/>
          <w:sz w:val="18"/>
          <w:szCs w:val="18"/>
          <w:u w:val="single" w:color="auto"/>
          <w:color w:val="auto"/>
        </w:rPr>
        <w:t>"Convertible Bonds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20" w:hanging="664"/>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Stockholders wish to sell to the Buyer, and the Buyer wishes to purchase from the Stockholders, the Shares and the Convertible Bonds.</w:t>
      </w:r>
    </w:p>
    <w:p>
      <w:pPr>
        <w:spacing w:after="0" w:line="271"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consideration of the foregoing and the mutual covenants and agreements herein contained, and intending to be legally bound hereby, the parties hereto agree as follows: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7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8"/>
          <w:szCs w:val="18"/>
          <w:b w:val="1"/>
          <w:bCs w:val="1"/>
          <w:u w:val="single" w:color="auto"/>
          <w:color w:val="auto"/>
        </w:rPr>
        <w:t>CERTAIN DEFINED TERMS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For purposes of this Agreement:</w:t>
      </w:r>
    </w:p>
    <w:p>
      <w:pPr>
        <w:spacing w:after="0" w:line="252"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2006 Financial Statements</w:t>
      </w:r>
      <w:r>
        <w:rPr>
          <w:rFonts w:ascii="Arial" w:cs="Arial" w:eastAsia="Arial" w:hAnsi="Arial"/>
          <w:sz w:val="18"/>
          <w:szCs w:val="18"/>
          <w:color w:val="auto"/>
        </w:rPr>
        <w:t>" means, collectively, true and complete copies of the audited consolidated balance sheet of the Company and its Subsidiaries as at December 31, 2006 and the related audited consolidated statements of income, retained earnings, stockholders' equity and changes in financial position of the Company and its Subsidiaries, together with all related notes and schedules thereto, accompanied by the reports thereon of Ernst &amp; Young LLP.</w:t>
      </w:r>
    </w:p>
    <w:p>
      <w:pPr>
        <w:spacing w:after="0" w:line="214"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notice, action, suit, inquiry, proceeding, audit or investigation by or before any Governmental Authority, or any other arbitration, mediation or similar proceeding.</w:t>
      </w:r>
    </w:p>
    <w:p>
      <w:pPr>
        <w:spacing w:after="0" w:line="197"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Brazilian Act</w:t>
      </w:r>
      <w:r>
        <w:rPr>
          <w:rFonts w:ascii="Arial" w:cs="Arial" w:eastAsia="Arial" w:hAnsi="Arial"/>
          <w:sz w:val="18"/>
          <w:szCs w:val="18"/>
          <w:color w:val="auto"/>
        </w:rPr>
        <w:t>" means the Brazilian Competition Law No 8.884/94 of June 11, 1994, as amended.</w:t>
      </w:r>
    </w:p>
    <w:p>
      <w:pPr>
        <w:spacing w:after="0" w:line="252"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other day on which banks are required or authorized by Law to be closed in the City of New York or the Grand Duchy of Luxembourg.</w:t>
      </w:r>
    </w:p>
    <w:p>
      <w:pPr>
        <w:spacing w:after="0" w:line="19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Employee</w:t>
      </w:r>
      <w:r>
        <w:rPr>
          <w:rFonts w:ascii="Arial" w:cs="Arial" w:eastAsia="Arial" w:hAnsi="Arial"/>
          <w:sz w:val="18"/>
          <w:szCs w:val="18"/>
          <w:color w:val="auto"/>
        </w:rPr>
        <w:t>" means, collectively, (i) each individual employed as of the Closing Date by the Company or any Subsidiary of the Company and (ii) employees of AMS Industries whose employment contracts entitle them to be employed by the Company upon termination of employment with AMS Industries.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written contract, agreement, arrangement or understanding, whether express or implied.</w:t>
      </w:r>
    </w:p>
    <w:p>
      <w:pPr>
        <w:spacing w:after="0" w:line="252"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as trustee or executor, as general partner or managing member, by Contract or otherwise, including the ownership, directly or indirectly, of securities having the power to elect a majority of the board of directors or similar body governing the affairs of such Person.</w:t>
      </w:r>
    </w:p>
    <w:p>
      <w:pPr>
        <w:spacing w:after="0" w:line="214"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 Agreements</w:t>
      </w:r>
      <w:r>
        <w:rPr>
          <w:rFonts w:ascii="Arial" w:cs="Arial" w:eastAsia="Arial" w:hAnsi="Arial"/>
          <w:sz w:val="18"/>
          <w:szCs w:val="18"/>
          <w:color w:val="auto"/>
        </w:rPr>
        <w:t>" means, collectively, (i) the credit facility agreement entered into on June 20, 2005 between, among others, Mizuho Corporate Bank Ltd. and the Company, as amended by an amendment letter dated July 28, 2005 and (ii) the mezzanine credit facility agreement entered into on June 20, 2005 between, among others, Mizuho Corporate Bank Ltd. and the Company, as amended by an amendment letter dated July 28, 2005.</w:t>
      </w:r>
    </w:p>
    <w:p>
      <w:pPr>
        <w:spacing w:after="0" w:line="214"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shall mean any pension, profit sharing, retirement, deferred compensation, stock purchase, stock option, stock appreciation, phantom stock or other equity based arrangement, compensation, incentive, bonus, commission, performance, vacation, termination, retention, change of control, severance, work place guarantee, golden parachute, disability, hospitalization, medical, permanent health, dental, vision, disability, life insurance, cafeteria, flexible spending account, or other employee benefit plan, program, policy, agreement or arrangement, including any "employee benefit plan" (as defined under Section 3(3) of ERISA), which (i) is sponsored, maintained or contributed to by the Company or any Subsidiary of the Company that</w:t>
      </w:r>
    </w:p>
    <w:p>
      <w:pPr>
        <w:sectPr>
          <w:pgSz w:w="11900" w:h="16860" w:orient="portrait"/>
          <w:cols w:equalWidth="0" w:num="1">
            <w:col w:w="11400"/>
          </w:cols>
          <w:pgMar w:left="240" w:top="850" w:right="259" w:bottom="0" w:gutter="0" w:footer="0" w:header="0"/>
        </w:sectPr>
      </w:pPr>
    </w:p>
    <w:bookmarkStart w:id="10" w:name="page11"/>
    <w:bookmarkEnd w:id="10"/>
    <w:p>
      <w:pPr>
        <w:ind w:right="60"/>
        <w:spacing w:after="0" w:line="264" w:lineRule="auto"/>
        <w:rPr>
          <w:sz w:val="20"/>
          <w:szCs w:val="20"/>
          <w:color w:val="auto"/>
        </w:rPr>
      </w:pPr>
      <w:r>
        <w:rPr>
          <w:rFonts w:ascii="Arial" w:cs="Arial" w:eastAsia="Arial" w:hAnsi="Arial"/>
          <w:sz w:val="18"/>
          <w:szCs w:val="18"/>
          <w:color w:val="auto"/>
        </w:rPr>
        <w:t xml:space="preserve">provides benefits to any Business Employee, (ii) with respect to which the Company or any Subsidiary of the Company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has any current or future liability, whether contingent or otherwise, or (iii) with respect to which the Buyer or an Affiliate of the Buyer may have any liability (whether contingent or direct) as a result of the transactions contemplated by this Agreement.</w:t>
      </w:r>
    </w:p>
    <w:p>
      <w:pPr>
        <w:spacing w:after="0" w:line="208"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charge, claim, equitable interest, mortgage, lien, option, pledge, security interest, easement, encroachment, right of first refusal, adverse claim or restriction of any kind, including any restriction on or transfer of any attribute of ownership.</w:t>
      </w:r>
    </w:p>
    <w:p>
      <w:pPr>
        <w:spacing w:after="0" w:line="19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Laws of any Governmental Authority relating to: (i) management, Releases or threatened Releases, investigation or remediation, of Hazardous Substances or materials containing Hazardous Substances; (ii) the manufacture, handling, transport, use, treatment, storage or disposal of Hazardous Substances or materials containing Hazardous Substances; (iii) pollution or protection of the environment, health, safety or natural resources; or (iv) the exposure of persons to Hazardous Substances.</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Permits under any Environmental Law.</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and practices.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German Act</w:t>
      </w:r>
      <w:r>
        <w:rPr>
          <w:rFonts w:ascii="Arial" w:cs="Arial" w:eastAsia="Arial" w:hAnsi="Arial"/>
          <w:sz w:val="16"/>
          <w:szCs w:val="16"/>
          <w:color w:val="auto"/>
        </w:rPr>
        <w:t>" means the German Act against Restrictions of Competition of 1957, restated as of July 15, 2005 and as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38"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national, supranational, European Union, federal, state, provincial, local or similar legislative body, government, governmental, quasi-governmental, statutory, regulatory or administrative authority, branch, agency or commission or any court, tribunal, or arbitral or judicial body.</w:t>
      </w:r>
    </w:p>
    <w:p>
      <w:pPr>
        <w:spacing w:after="0" w:line="208"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Indebtedness</w:t>
      </w:r>
      <w:r>
        <w:rPr>
          <w:rFonts w:ascii="Arial" w:cs="Arial" w:eastAsia="Arial" w:hAnsi="Arial"/>
          <w:sz w:val="18"/>
          <w:szCs w:val="18"/>
          <w:color w:val="auto"/>
        </w:rPr>
        <w:t>" means all outstanding and unpaid amounts, other than any outstanding and unpaid amounts arising from or relating to the Convertible Bonds, owing at Closing (including principal, interests, penalties and any other sums) by the Company and/or its Subsidiaries pursuant to or in connection with the Credit Facility Agreements (including, for the avoidance of doubt, any amounts that may be due upon termination of any hedging arrangements entered into in connection with the Credit Facility Agreements).</w:t>
      </w:r>
    </w:p>
    <w:p>
      <w:pPr>
        <w:spacing w:after="0" w:line="214"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any substance, material, or waste: (i) the Release, handling, storage, transportation, use or presence of which requires permission, investigation or remediation under any Environmental Law, (ii) that contains petroleum or petroleum products, including crude oil and any fractions thereof, natural gas, synthetic gas, or any mixtures thereof, (iii) that contains polychlorinated biphenyls, asbestos, or radon, (iv) that is defined under any Environmental Law as a "pollutant", "contaminant", "hazardous substance", "hazardous waste", or "hazardous material", or (v) that is regulated by any Governmental Authority pursuant to any Environmental Law.</w:t>
      </w:r>
    </w:p>
    <w:p>
      <w:pPr>
        <w:spacing w:after="0" w:line="21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w:t>
      </w:r>
      <w:r>
        <w:rPr>
          <w:rFonts w:ascii="Arial" w:cs="Arial" w:eastAsia="Arial" w:hAnsi="Arial"/>
          <w:sz w:val="18"/>
          <w:szCs w:val="18"/>
          <w:color w:val="auto"/>
        </w:rPr>
        <w:t>", with respect to any specified Person, means such Person's spouse, parents, children and siblings, including adoptive relationships and relationships through marriage, or any other relative of such Person that shares such Person's home.</w:t>
      </w:r>
    </w:p>
    <w:p>
      <w:pPr>
        <w:spacing w:after="0" w:line="197"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rights arising from or associated with the following protected, created, arising or subsisting under the laws of any jurisdiction: (i) trade names, trademarks and service marks (registered and unregistered), domain names and other Internet addresses or identifiers, trade dress and similar rights, registrations and applications (including intent to use applications) to register any of the foregoing (collectively, "</w:t>
      </w:r>
      <w:r>
        <w:rPr>
          <w:rFonts w:ascii="Arial" w:cs="Arial" w:eastAsia="Arial" w:hAnsi="Arial"/>
          <w:sz w:val="16"/>
          <w:szCs w:val="16"/>
          <w:u w:val="single" w:color="auto"/>
          <w:color w:val="auto"/>
        </w:rPr>
        <w:t>Marks</w:t>
      </w:r>
      <w:r>
        <w:rPr>
          <w:rFonts w:ascii="Arial" w:cs="Arial" w:eastAsia="Arial" w:hAnsi="Arial"/>
          <w:sz w:val="16"/>
          <w:szCs w:val="16"/>
          <w:color w:val="auto"/>
        </w:rPr>
        <w:t>");</w:t>
      </w:r>
    </w:p>
    <w:p>
      <w:pPr>
        <w:ind w:right="60" w:firstLine="8"/>
        <w:spacing w:after="0" w:line="252"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patents and patent applications (collectively, "</w:t>
      </w:r>
      <w:r>
        <w:rPr>
          <w:rFonts w:ascii="Arial" w:cs="Arial" w:eastAsia="Arial" w:hAnsi="Arial"/>
          <w:sz w:val="18"/>
          <w:szCs w:val="18"/>
          <w:u w:val="single" w:color="auto"/>
          <w:color w:val="auto"/>
        </w:rPr>
        <w:t>Patents</w:t>
      </w:r>
      <w:r>
        <w:rPr>
          <w:rFonts w:ascii="Arial" w:cs="Arial" w:eastAsia="Arial" w:hAnsi="Arial"/>
          <w:sz w:val="18"/>
          <w:szCs w:val="18"/>
          <w:color w:val="auto"/>
        </w:rPr>
        <w:t>") and inventions; (iii) copyrights (registered and unregistered) and registrations and applications for registration (collectively, "</w:t>
      </w:r>
      <w:r>
        <w:rPr>
          <w:rFonts w:ascii="Arial" w:cs="Arial" w:eastAsia="Arial" w:hAnsi="Arial"/>
          <w:sz w:val="18"/>
          <w:szCs w:val="18"/>
          <w:u w:val="single" w:color="auto"/>
          <w:color w:val="auto"/>
        </w:rPr>
        <w:t>Copyrights</w:t>
      </w:r>
      <w:r>
        <w:rPr>
          <w:rFonts w:ascii="Arial" w:cs="Arial" w:eastAsia="Arial" w:hAnsi="Arial"/>
          <w:sz w:val="18"/>
          <w:szCs w:val="18"/>
          <w:color w:val="auto"/>
        </w:rPr>
        <w:t>") and all works of authorship and other copyrightable expression; (iv) know-how, inventions, methods, processes, technical data, specifications, research and development information, technology, product roadmaps, customer lists and any other information, in each case to the extent any of the foregoing derives economic value (actual or potential) from not being generally known to other persons who can obtain economic value from its disclosure or use (collectively, "</w:t>
      </w:r>
      <w:r>
        <w:rPr>
          <w:rFonts w:ascii="Arial" w:cs="Arial" w:eastAsia="Arial" w:hAnsi="Arial"/>
          <w:sz w:val="18"/>
          <w:szCs w:val="18"/>
          <w:u w:val="single" w:color="auto"/>
          <w:color w:val="auto"/>
        </w:rPr>
        <w:t>Trade Secrets</w:t>
      </w:r>
      <w:r>
        <w:rPr>
          <w:rFonts w:ascii="Arial" w:cs="Arial" w:eastAsia="Arial" w:hAnsi="Arial"/>
          <w:sz w:val="18"/>
          <w:szCs w:val="18"/>
          <w:color w:val="auto"/>
        </w:rPr>
        <w:t>"); and (v) moral rights, publicity rights, data base rights, rights in industrial designs, rights in mask works, and any other proprietary or intellectual property rights of any kind or nature that do not comprise or are not protected by Marks, Patents, Copyrights or Trade Secrets.</w:t>
      </w:r>
    </w:p>
    <w:p>
      <w:pPr>
        <w:spacing w:after="0" w:line="220"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xml:space="preserve">" with respect to (i) the Company, means the actual (not constructive) personal knowledge, without imputation of actual or constructive knowledge of any other Person, and expressly without independent inquiry, verification or investigation or any duty or obligation to conduct any inquiry, verification or investigation, of each individual set forth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(it being understood and agreed that no such individuals shall have any personal liability with respect to any matter set forth in this Agreement or otherwise in any way related to the transactions contemplated hereby, without prejudice to the liabilities of the Stockholders under this Agreement) and (ii) each of the Stockholders, means the actual (not constructive) personal knowledge, without imputation of actual or constructive knowledge of any other Person, and expressly without independent inquiry, verification or investigation or any duty or obligation to conduct any inquiry, verification or investigation, of the individuals set forth opposite such Stockholder's name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(it being understood and agreed that no such individuals shall have any personal liability with respect to any matter set forth in this Agreement or otherwise in any way related to the transactions contemplated hereby, without prejudice to the liabilities of the Stockholders under this Agreement) .</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statute, law, ordinance, regulation, rule, code, executive order, injunction, judgment, decree or order of any Governmental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238"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collectively, any losses, damages, liabilities, deficiencies, claims, interest, awards, judgments, penalties, costs and expenses (including attorneys’ fees, costs and other out-of-pocket expenses incurred in defending the foregoing, but not including special, speculative, punitive, indirect, incidental, or consequential damages or damages relating to business interruption or lost profits (even if advised of the possibility thereof), and, in particular, no "multiple of profits" or "multiple of cash flow" or similar valuation methodology shall be used in the calculating the amount of any Losses).</w:t>
      </w:r>
    </w:p>
    <w:p>
      <w:pPr>
        <w:spacing w:after="0" w:line="215"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Leased Real Property</w:t>
      </w:r>
      <w:r>
        <w:rPr>
          <w:rFonts w:ascii="Arial" w:cs="Arial" w:eastAsia="Arial" w:hAnsi="Arial"/>
          <w:sz w:val="16"/>
          <w:szCs w:val="16"/>
          <w:color w:val="auto"/>
        </w:rPr>
        <w:t>" means all real property that is leased, subleased or licensed to the Company or any of its Subsidiaries and that is material to the operation of the Business as currently conducted (other than Owned Real Property) or which the Company or any of its Subsidiaries otherwise has a right or option to use or occupy, together with all structures, facilities, fixtures, systems, improvements and items of property located thereon on the date hereof or at any time hereafter, or attached or appurtenant thereto, and all easements, rights and appurtenances relating to the foregoing.</w:t>
      </w:r>
    </w:p>
    <w:p>
      <w:pPr>
        <w:sectPr>
          <w:pgSz w:w="11900" w:h="16838" w:orient="portrait"/>
          <w:cols w:equalWidth="0" w:num="1">
            <w:col w:w="11420"/>
          </w:cols>
          <w:pgMar w:left="240" w:top="125" w:right="239" w:bottom="0" w:gutter="0" w:footer="0" w:header="0"/>
        </w:sectPr>
      </w:pPr>
    </w:p>
    <w:bookmarkStart w:id="11" w:name="page12"/>
    <w:bookmarkEnd w:id="11"/>
    <w:p>
      <w:pPr>
        <w:spacing w:after="0" w:line="59"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Event that has or would reasonably be expected to have an impact at least equal to €6.2 million, calculated after giving effect to (i), (ii) and (iii) of Section 8.6(e).</w:t>
      </w:r>
    </w:p>
    <w:p>
      <w:pPr>
        <w:spacing w:after="0" w:line="197" w:lineRule="exact"/>
        <w:rPr>
          <w:sz w:val="20"/>
          <w:szCs w:val="20"/>
          <w:color w:val="auto"/>
        </w:rPr>
      </w:pPr>
    </w:p>
    <w:p>
      <w:pPr>
        <w:ind w:right="120"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Event</w:t>
      </w:r>
      <w:r>
        <w:rPr>
          <w:rFonts w:ascii="Arial" w:cs="Arial" w:eastAsia="Arial" w:hAnsi="Arial"/>
          <w:sz w:val="17"/>
          <w:szCs w:val="17"/>
          <w:color w:val="auto"/>
        </w:rPr>
        <w:t xml:space="preserve">" means any event, change, circumstance or development that is or would reasonably be expected to be materially adverse to (i) the business, financial condition or operations of the Company and its Subsidiaries, taken as a whole or (ii) the ability of the Company to perform its obligations under this Agreement or to consummate the transactions contemplated 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Material Adverse Event shall not include any circumstance, change, development, event or state of facts arising out of or attributable to any of the following, either alone or in combination: (1) the markets in which the Company and its Subsidiaries operate generally (so long as the Company and its Subsidiaries are not specifically and disproportionately affected thereby) or purchase their raw materials (non-ferrous metals on the London metal exchange market); (2) general economic, business, industry or political conditions (including those affecting the securities markets); (3) the taking of any action required or permitted by this Agreement; (4) the announcement or pendency of the transactions contemplated by this Agreement, including any suit, action or proceeding in connection with such transactions, (5) acts of war, sabotage, terrorism, military actions or the escalation thereof; (6) any changes in applicable Laws, regulations or accounting rules, including GAAP as applied on a consistent basis; or (7) any event or occurrence specifically disclosed in the Disclosure Schedules, to the extent disclosed therein.</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Intellectual Property</w:t>
      </w:r>
      <w:r>
        <w:rPr>
          <w:rFonts w:ascii="Arial" w:cs="Arial" w:eastAsia="Arial" w:hAnsi="Arial"/>
          <w:sz w:val="17"/>
          <w:szCs w:val="17"/>
          <w:color w:val="auto"/>
        </w:rPr>
        <w:t>" means all Intellectual Property that is material to the operation of the Business as currently conducted.</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Owned Real Property</w:t>
      </w:r>
      <w:r>
        <w:rPr>
          <w:rFonts w:ascii="Arial" w:cs="Arial" w:eastAsia="Arial" w:hAnsi="Arial"/>
          <w:sz w:val="16"/>
          <w:szCs w:val="16"/>
          <w:color w:val="auto"/>
        </w:rPr>
        <w:t>" means all Owned Real Property that is material to the operation of the Business as currently conducted.</w:t>
      </w:r>
    </w:p>
    <w:p>
      <w:pPr>
        <w:spacing w:after="0" w:line="27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means all real property that is owned by the Company or any of its Subsidiaries, together with all structures, facilities, fixtures, systems, improvements and items of property located thereon on the date hereof or at any time hereafter, or attached or appurtenant thereto, and all easements, rights and appurtenances relating to the foregoing.</w:t>
      </w:r>
    </w:p>
    <w:p>
      <w:pPr>
        <w:spacing w:after="0" w:line="208"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Community that adopts or has adopted the Euro as its lawful currency in accordance with legislation of the European Community relating to Economic and Monetary Union.</w:t>
      </w:r>
    </w:p>
    <w:p>
      <w:pPr>
        <w:spacing w:after="0" w:line="197" w:lineRule="exact"/>
        <w:rPr>
          <w:sz w:val="20"/>
          <w:szCs w:val="20"/>
          <w:color w:val="auto"/>
        </w:rPr>
      </w:pPr>
    </w:p>
    <w:p>
      <w:pPr>
        <w:ind w:right="30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corporation, partnership, limited liability company, limited liability partnership, person, trust, association, organization or other entity, including any Governmental Authority and including any successor, by merger or otherwise, of any of the foregoing.</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Portuguese Act</w:t>
      </w:r>
      <w:r>
        <w:rPr>
          <w:rFonts w:ascii="Arial" w:cs="Arial" w:eastAsia="Arial" w:hAnsi="Arial"/>
          <w:sz w:val="18"/>
          <w:szCs w:val="18"/>
          <w:color w:val="auto"/>
        </w:rPr>
        <w:t>" means the Portuguese Competition Act No 18/2003 of June 11, 2003, as amended.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Shares and the Convertible Bonds means an amount equal to €800,000,000.</w:t>
      </w:r>
    </w:p>
    <w:p>
      <w:pPr>
        <w:spacing w:after="0" w:line="252"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with respect to any specified Person, means: (i) any Affiliate of such specified Person, or any director, executive officer, partner or member of such Affiliate; (ii) any Person who serves as a director, executive officer, partner, member or in a similar capacity of such specified Person; (iii) any Immediate Family member of a Person described in clause (ii); or (iv) any other Person who holds, individually or together with any Affiliate of such other Person and any member(s) of such Person's Immediate Family, more than 5% of the outstanding equity or ownership interests of such specified Person.</w:t>
      </w:r>
    </w:p>
    <w:p>
      <w:pPr>
        <w:spacing w:after="0" w:line="215" w:lineRule="exact"/>
        <w:rPr>
          <w:sz w:val="20"/>
          <w:szCs w:val="20"/>
          <w:color w:val="auto"/>
        </w:rPr>
      </w:pPr>
    </w:p>
    <w:p>
      <w:pPr>
        <w:ind w:right="22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when used in connection with Hazardous Substances, means any spilling, leaking, pumping, pouring, emitting, emptying, discharging, injecting, escaping, leaching, dumping, or disposing into the environment (including the abandonment or discarding of barrels, containers, and other closed receptacles containing any Hazardous Substance or pollutant or contaminant), including (i) any release which results in exposure to persons solely within a workplace, with respect to a claim which such persons may assert against the employer of such persons, and (ii) the normal application of fertilizer.</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w:t>
      </w:r>
      <w:r>
        <w:rPr>
          <w:rFonts w:ascii="Arial" w:cs="Arial" w:eastAsia="Arial" w:hAnsi="Arial"/>
          <w:sz w:val="16"/>
          <w:szCs w:val="16"/>
          <w:color w:val="auto"/>
        </w:rPr>
        <w:t>" means any return, declaration, report, statement, information statement and other document required to be filed with respect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all of the shares of Common Stock held by the Stockholders on the date hereof.</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Spanish Act</w:t>
      </w:r>
      <w:r>
        <w:rPr>
          <w:rFonts w:ascii="Arial" w:cs="Arial" w:eastAsia="Arial" w:hAnsi="Arial"/>
          <w:sz w:val="18"/>
          <w:szCs w:val="18"/>
          <w:color w:val="auto"/>
        </w:rPr>
        <w:t>" means the Spanish Law for the Defence of Competition 16/1989, as amended.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other Person controlled by such first Person, directly or indirectly, through one or more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intermediaries.</w:t>
      </w:r>
    </w:p>
    <w:p>
      <w:pPr>
        <w:spacing w:after="0" w:line="238" w:lineRule="exact"/>
        <w:rPr>
          <w:sz w:val="20"/>
          <w:szCs w:val="20"/>
          <w:color w:val="auto"/>
        </w:rPr>
      </w:pPr>
    </w:p>
    <w:p>
      <w:pPr>
        <w:ind w:right="14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direct and indirect national, supranational, federal, state, provincial, local and other net income, gross income, gross receipts, sales, use, ad valorem, transfer, franchise, profits, registration, license, lease, service, service use, withholding, payroll, employment, social security contributions, excise, severance, stamp, occupation, premium, property, windfall profits, customs, duties or other taxes, fees, assessments or charges of any kind whatsoever, together with any interest and any penalties, additions to tax or additional amounts with respect thereto.</w:t>
      </w:r>
    </w:p>
    <w:p>
      <w:pPr>
        <w:spacing w:after="0" w:line="181"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means all fees and expenses payable by the Stockholders, the Company and its Subsidiaries in connection with the transactions contemplated by this Agreement, including fees and expenses payable to all attorneys, accountants, financial advisors and other professionals and bankers', brokers' or finders' fees for persons not specifically engaged by the Buyer.</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Ukrainian Act</w:t>
      </w:r>
      <w:r>
        <w:rPr>
          <w:rFonts w:ascii="Arial" w:cs="Arial" w:eastAsia="Arial" w:hAnsi="Arial"/>
          <w:sz w:val="18"/>
          <w:szCs w:val="18"/>
          <w:color w:val="auto"/>
        </w:rPr>
        <w:t>" means the Ukrainian Law No 22-10 on Protection of Economic Competition of January 11, 2001, as amended.</w:t>
      </w:r>
    </w:p>
    <w:p>
      <w:pPr>
        <w:spacing w:after="0" w:line="27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8"/>
          <w:szCs w:val="18"/>
          <w:b w:val="1"/>
          <w:bCs w:val="1"/>
          <w:u w:val="single" w:color="auto"/>
          <w:color w:val="auto"/>
        </w:rPr>
        <w:t>TABLE OF DEFINITIONS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have the meanings set forth in the Sections referenced below:</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040" w:type="dxa"/>
            <w:vAlign w:val="bottom"/>
            <w:gridSpan w:val="2"/>
          </w:tcPr>
          <w:p>
            <w:pPr>
              <w:spacing w:after="0"/>
              <w:rPr>
                <w:sz w:val="20"/>
                <w:szCs w:val="20"/>
                <w:color w:val="auto"/>
              </w:rPr>
            </w:pPr>
            <w:r>
              <w:rPr>
                <w:rFonts w:ascii="Arial" w:cs="Arial" w:eastAsia="Arial" w:hAnsi="Arial"/>
                <w:sz w:val="18"/>
                <w:szCs w:val="18"/>
                <w:color w:val="auto"/>
              </w:rPr>
              <w:t>Definition</w:t>
            </w:r>
          </w:p>
        </w:tc>
        <w:tc>
          <w:tcPr>
            <w:tcW w:w="3840" w:type="dxa"/>
            <w:vAlign w:val="bottom"/>
            <w:gridSpan w:val="2"/>
          </w:tcPr>
          <w:p>
            <w:pPr>
              <w:ind w:left="3200"/>
              <w:spacing w:after="0"/>
              <w:rPr>
                <w:sz w:val="20"/>
                <w:szCs w:val="20"/>
                <w:color w:val="auto"/>
              </w:rPr>
            </w:pPr>
            <w:r>
              <w:rPr>
                <w:rFonts w:ascii="Arial" w:cs="Arial" w:eastAsia="Arial" w:hAnsi="Arial"/>
                <w:sz w:val="18"/>
                <w:szCs w:val="18"/>
                <w:color w:val="auto"/>
                <w:w w:val="91"/>
              </w:rPr>
              <w:t>Location</w:t>
            </w:r>
          </w:p>
        </w:tc>
      </w:tr>
      <w:tr>
        <w:trPr>
          <w:trHeight w:val="20"/>
        </w:trPr>
        <w:tc>
          <w:tcPr>
            <w:tcW w:w="7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2"/>
        </w:trPr>
        <w:tc>
          <w:tcPr>
            <w:tcW w:w="2040" w:type="dxa"/>
            <w:vAlign w:val="bottom"/>
            <w:gridSpan w:val="2"/>
          </w:tcPr>
          <w:p>
            <w:pPr>
              <w:spacing w:after="0"/>
              <w:rPr>
                <w:sz w:val="20"/>
                <w:szCs w:val="20"/>
                <w:color w:val="auto"/>
              </w:rPr>
            </w:pPr>
            <w:r>
              <w:rPr>
                <w:rFonts w:ascii="Arial" w:cs="Arial" w:eastAsia="Arial" w:hAnsi="Arial"/>
                <w:sz w:val="18"/>
                <w:szCs w:val="18"/>
                <w:color w:val="auto"/>
              </w:rPr>
              <w:t>409A Authorities</w:t>
            </w:r>
          </w:p>
        </w:tc>
        <w:tc>
          <w:tcPr>
            <w:tcW w:w="3840" w:type="dxa"/>
            <w:vAlign w:val="bottom"/>
            <w:gridSpan w:val="2"/>
          </w:tcPr>
          <w:p>
            <w:pPr>
              <w:ind w:left="780"/>
              <w:spacing w:after="0"/>
              <w:rPr>
                <w:sz w:val="20"/>
                <w:szCs w:val="20"/>
                <w:color w:val="auto"/>
              </w:rPr>
            </w:pPr>
            <w:r>
              <w:rPr>
                <w:rFonts w:ascii="Arial" w:cs="Arial" w:eastAsia="Arial" w:hAnsi="Arial"/>
                <w:sz w:val="18"/>
                <w:szCs w:val="18"/>
                <w:color w:val="auto"/>
              </w:rPr>
              <w:t>3.10(h)</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3840" w:type="dxa"/>
            <w:vAlign w:val="bottom"/>
            <w:gridSpan w:val="2"/>
          </w:tcPr>
          <w:p>
            <w:pPr>
              <w:ind w:left="780"/>
              <w:spacing w:after="0"/>
              <w:rPr>
                <w:sz w:val="20"/>
                <w:szCs w:val="20"/>
                <w:color w:val="auto"/>
              </w:rPr>
            </w:pPr>
            <w:r>
              <w:rPr>
                <w:rFonts w:ascii="Arial" w:cs="Arial" w:eastAsia="Arial" w:hAnsi="Arial"/>
                <w:sz w:val="18"/>
                <w:szCs w:val="18"/>
                <w:color w:val="auto"/>
              </w:rPr>
              <w:t>Preamble</w:t>
            </w: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AJCA</w:t>
            </w:r>
          </w:p>
        </w:tc>
        <w:tc>
          <w:tcPr>
            <w:tcW w:w="3840" w:type="dxa"/>
            <w:vAlign w:val="bottom"/>
            <w:gridSpan w:val="2"/>
          </w:tcPr>
          <w:p>
            <w:pPr>
              <w:ind w:left="780"/>
              <w:spacing w:after="0"/>
              <w:rPr>
                <w:sz w:val="20"/>
                <w:szCs w:val="20"/>
                <w:color w:val="auto"/>
              </w:rPr>
            </w:pPr>
            <w:r>
              <w:rPr>
                <w:rFonts w:ascii="Arial" w:cs="Arial" w:eastAsia="Arial" w:hAnsi="Arial"/>
                <w:sz w:val="18"/>
                <w:szCs w:val="18"/>
                <w:color w:val="auto"/>
              </w:rPr>
              <w:t>3.10(h)</w:t>
            </w:r>
          </w:p>
        </w:tc>
      </w:tr>
    </w:tbl>
    <w:p>
      <w:pPr>
        <w:sectPr>
          <w:pgSz w:w="11900" w:h="16897" w:orient="portrait"/>
          <w:cols w:equalWidth="0" w:num="1">
            <w:col w:w="11420"/>
          </w:cols>
          <w:pgMar w:left="240" w:top="125" w:right="239" w:bottom="0" w:gutter="0" w:footer="0" w:header="0"/>
        </w:sectPr>
      </w:pPr>
    </w:p>
    <w:bookmarkStart w:id="12" w:name="page13"/>
    <w:bookmarkEnd w:id="12"/>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Alternative Arrangements</w:t>
            </w:r>
          </w:p>
        </w:tc>
        <w:tc>
          <w:tcPr>
            <w:tcW w:w="780" w:type="dxa"/>
            <w:vAlign w:val="bottom"/>
          </w:tcPr>
          <w:p>
            <w:pPr>
              <w:ind w:left="60"/>
              <w:spacing w:after="0"/>
              <w:rPr>
                <w:sz w:val="20"/>
                <w:szCs w:val="20"/>
                <w:color w:val="auto"/>
              </w:rPr>
            </w:pPr>
            <w:r>
              <w:rPr>
                <w:rFonts w:ascii="Arial" w:cs="Arial" w:eastAsia="Arial" w:hAnsi="Arial"/>
                <w:sz w:val="18"/>
                <w:szCs w:val="18"/>
                <w:color w:val="auto"/>
              </w:rPr>
              <w:t>8.6(e)</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Balance Sheet</w:t>
            </w:r>
          </w:p>
        </w:tc>
        <w:tc>
          <w:tcPr>
            <w:tcW w:w="780" w:type="dxa"/>
            <w:vAlign w:val="bottom"/>
          </w:tcPr>
          <w:p>
            <w:pPr>
              <w:ind w:left="60"/>
              <w:spacing w:after="0"/>
              <w:rPr>
                <w:sz w:val="20"/>
                <w:szCs w:val="20"/>
                <w:color w:val="auto"/>
              </w:rPr>
            </w:pPr>
            <w:r>
              <w:rPr>
                <w:rFonts w:ascii="Arial" w:cs="Arial" w:eastAsia="Arial" w:hAnsi="Arial"/>
                <w:sz w:val="18"/>
                <w:szCs w:val="18"/>
                <w:color w:val="auto"/>
              </w:rPr>
              <w:t>3.6(a)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Business</w:t>
            </w:r>
          </w:p>
        </w:tc>
        <w:tc>
          <w:tcPr>
            <w:tcW w:w="780" w:type="dxa"/>
            <w:vAlign w:val="bottom"/>
          </w:tcPr>
          <w:p>
            <w:pPr>
              <w:ind w:left="60"/>
              <w:spacing w:after="0"/>
              <w:rPr>
                <w:sz w:val="20"/>
                <w:szCs w:val="20"/>
                <w:color w:val="auto"/>
              </w:rPr>
            </w:pPr>
            <w:r>
              <w:rPr>
                <w:rFonts w:ascii="Arial" w:cs="Arial" w:eastAsia="Arial" w:hAnsi="Arial"/>
                <w:sz w:val="18"/>
                <w:szCs w:val="18"/>
                <w:color w:val="auto"/>
              </w:rPr>
              <w:t>Recitals</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Buyer</w:t>
            </w:r>
          </w:p>
        </w:tc>
        <w:tc>
          <w:tcPr>
            <w:tcW w:w="780" w:type="dxa"/>
            <w:vAlign w:val="bottom"/>
          </w:tcPr>
          <w:p>
            <w:pPr>
              <w:ind w:left="60"/>
              <w:spacing w:after="0"/>
              <w:rPr>
                <w:sz w:val="20"/>
                <w:szCs w:val="20"/>
                <w:color w:val="auto"/>
              </w:rPr>
            </w:pPr>
            <w:r>
              <w:rPr>
                <w:rFonts w:ascii="Arial" w:cs="Arial" w:eastAsia="Arial" w:hAnsi="Arial"/>
                <w:sz w:val="18"/>
                <w:szCs w:val="18"/>
                <w:color w:val="auto"/>
                <w:w w:val="90"/>
              </w:rPr>
              <w:t>Preamble</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Claims</w:t>
            </w:r>
          </w:p>
        </w:tc>
        <w:tc>
          <w:tcPr>
            <w:tcW w:w="780" w:type="dxa"/>
            <w:vAlign w:val="bottom"/>
          </w:tcPr>
          <w:p>
            <w:pPr>
              <w:ind w:left="60"/>
              <w:spacing w:after="0"/>
              <w:rPr>
                <w:sz w:val="20"/>
                <w:szCs w:val="20"/>
                <w:color w:val="auto"/>
              </w:rPr>
            </w:pPr>
            <w:r>
              <w:rPr>
                <w:rFonts w:ascii="Arial" w:cs="Arial" w:eastAsia="Arial" w:hAnsi="Arial"/>
                <w:sz w:val="18"/>
                <w:szCs w:val="18"/>
                <w:color w:val="auto"/>
              </w:rPr>
              <w:t>8.6(h)</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Closing</w:t>
            </w:r>
          </w:p>
        </w:tc>
        <w:tc>
          <w:tcPr>
            <w:tcW w:w="780" w:type="dxa"/>
            <w:vAlign w:val="bottom"/>
          </w:tcPr>
          <w:p>
            <w:pPr>
              <w:ind w:left="60"/>
              <w:spacing w:after="0"/>
              <w:rPr>
                <w:sz w:val="20"/>
                <w:szCs w:val="20"/>
                <w:color w:val="auto"/>
              </w:rPr>
            </w:pPr>
            <w:r>
              <w:rPr>
                <w:rFonts w:ascii="Arial" w:cs="Arial" w:eastAsia="Arial" w:hAnsi="Arial"/>
                <w:sz w:val="18"/>
                <w:szCs w:val="18"/>
                <w:color w:val="auto"/>
              </w:rPr>
              <w:t>2.2(a)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Closing Date</w:t>
            </w:r>
          </w:p>
        </w:tc>
        <w:tc>
          <w:tcPr>
            <w:tcW w:w="780" w:type="dxa"/>
            <w:vAlign w:val="bottom"/>
          </w:tcPr>
          <w:p>
            <w:pPr>
              <w:ind w:left="60"/>
              <w:spacing w:after="0"/>
              <w:rPr>
                <w:sz w:val="20"/>
                <w:szCs w:val="20"/>
                <w:color w:val="auto"/>
              </w:rPr>
            </w:pPr>
            <w:r>
              <w:rPr>
                <w:rFonts w:ascii="Arial" w:cs="Arial" w:eastAsia="Arial" w:hAnsi="Arial"/>
                <w:sz w:val="18"/>
                <w:szCs w:val="18"/>
                <w:color w:val="auto"/>
              </w:rPr>
              <w:t>2.2(a)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Code</w:t>
            </w:r>
          </w:p>
        </w:tc>
        <w:tc>
          <w:tcPr>
            <w:tcW w:w="780" w:type="dxa"/>
            <w:vAlign w:val="bottom"/>
          </w:tcPr>
          <w:p>
            <w:pPr>
              <w:ind w:left="60"/>
              <w:spacing w:after="0"/>
              <w:rPr>
                <w:sz w:val="20"/>
                <w:szCs w:val="20"/>
                <w:color w:val="auto"/>
              </w:rPr>
            </w:pPr>
            <w:r>
              <w:rPr>
                <w:rFonts w:ascii="Arial" w:cs="Arial" w:eastAsia="Arial" w:hAnsi="Arial"/>
                <w:sz w:val="18"/>
                <w:szCs w:val="18"/>
                <w:color w:val="auto"/>
              </w:rPr>
              <w:t>3.10(c)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Common Stock</w:t>
            </w:r>
          </w:p>
        </w:tc>
        <w:tc>
          <w:tcPr>
            <w:tcW w:w="780" w:type="dxa"/>
            <w:vAlign w:val="bottom"/>
          </w:tcPr>
          <w:p>
            <w:pPr>
              <w:ind w:left="60"/>
              <w:spacing w:after="0"/>
              <w:rPr>
                <w:sz w:val="20"/>
                <w:szCs w:val="20"/>
                <w:color w:val="auto"/>
              </w:rPr>
            </w:pPr>
            <w:r>
              <w:rPr>
                <w:rFonts w:ascii="Arial" w:cs="Arial" w:eastAsia="Arial" w:hAnsi="Arial"/>
                <w:sz w:val="18"/>
                <w:szCs w:val="18"/>
                <w:color w:val="auto"/>
              </w:rPr>
              <w:t>Recitals</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Company</w:t>
            </w:r>
          </w:p>
        </w:tc>
        <w:tc>
          <w:tcPr>
            <w:tcW w:w="780" w:type="dxa"/>
            <w:vAlign w:val="bottom"/>
          </w:tcPr>
          <w:p>
            <w:pPr>
              <w:ind w:left="60"/>
              <w:spacing w:after="0"/>
              <w:rPr>
                <w:sz w:val="20"/>
                <w:szCs w:val="20"/>
                <w:color w:val="auto"/>
              </w:rPr>
            </w:pPr>
            <w:r>
              <w:rPr>
                <w:rFonts w:ascii="Arial" w:cs="Arial" w:eastAsia="Arial" w:hAnsi="Arial"/>
                <w:sz w:val="18"/>
                <w:szCs w:val="18"/>
                <w:color w:val="auto"/>
                <w:w w:val="90"/>
              </w:rPr>
              <w:t>Preamble</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Company Registered IP</w:t>
            </w:r>
          </w:p>
        </w:tc>
        <w:tc>
          <w:tcPr>
            <w:tcW w:w="780" w:type="dxa"/>
            <w:vAlign w:val="bottom"/>
          </w:tcPr>
          <w:p>
            <w:pPr>
              <w:ind w:left="60"/>
              <w:spacing w:after="0"/>
              <w:rPr>
                <w:sz w:val="20"/>
                <w:szCs w:val="20"/>
                <w:color w:val="auto"/>
              </w:rPr>
            </w:pPr>
            <w:r>
              <w:rPr>
                <w:rFonts w:ascii="Arial" w:cs="Arial" w:eastAsia="Arial" w:hAnsi="Arial"/>
                <w:sz w:val="18"/>
                <w:szCs w:val="18"/>
                <w:color w:val="auto"/>
              </w:rPr>
              <w:t>3.14(e)</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Confidential Information</w:t>
            </w:r>
          </w:p>
        </w:tc>
        <w:tc>
          <w:tcPr>
            <w:tcW w:w="780" w:type="dxa"/>
            <w:vAlign w:val="bottom"/>
          </w:tcPr>
          <w:p>
            <w:pPr>
              <w:ind w:left="60"/>
              <w:spacing w:after="0"/>
              <w:rPr>
                <w:sz w:val="20"/>
                <w:szCs w:val="20"/>
                <w:color w:val="auto"/>
              </w:rPr>
            </w:pPr>
            <w:r>
              <w:rPr>
                <w:rFonts w:ascii="Arial" w:cs="Arial" w:eastAsia="Arial" w:hAnsi="Arial"/>
                <w:sz w:val="18"/>
                <w:szCs w:val="18"/>
                <w:color w:val="auto"/>
              </w:rPr>
              <w:t>6.8(b)</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Continuing Employees</w:t>
            </w:r>
          </w:p>
        </w:tc>
        <w:tc>
          <w:tcPr>
            <w:tcW w:w="780" w:type="dxa"/>
            <w:vAlign w:val="bottom"/>
          </w:tcPr>
          <w:p>
            <w:pPr>
              <w:ind w:left="60"/>
              <w:spacing w:after="0"/>
              <w:rPr>
                <w:sz w:val="20"/>
                <w:szCs w:val="20"/>
                <w:color w:val="auto"/>
              </w:rPr>
            </w:pPr>
            <w:r>
              <w:rPr>
                <w:rFonts w:ascii="Arial" w:cs="Arial" w:eastAsia="Arial" w:hAnsi="Arial"/>
                <w:sz w:val="18"/>
                <w:szCs w:val="18"/>
                <w:color w:val="auto"/>
              </w:rPr>
              <w:t>6.12(a)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Convertible Bonds</w:t>
            </w:r>
          </w:p>
        </w:tc>
        <w:tc>
          <w:tcPr>
            <w:tcW w:w="780" w:type="dxa"/>
            <w:vAlign w:val="bottom"/>
          </w:tcPr>
          <w:p>
            <w:pPr>
              <w:ind w:left="60"/>
              <w:spacing w:after="0"/>
              <w:rPr>
                <w:sz w:val="20"/>
                <w:szCs w:val="20"/>
                <w:color w:val="auto"/>
              </w:rPr>
            </w:pPr>
            <w:r>
              <w:rPr>
                <w:rFonts w:ascii="Arial" w:cs="Arial" w:eastAsia="Arial" w:hAnsi="Arial"/>
                <w:sz w:val="18"/>
                <w:szCs w:val="18"/>
                <w:color w:val="auto"/>
              </w:rPr>
              <w:t>Recitals</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Core Representations</w:t>
            </w:r>
          </w:p>
        </w:tc>
        <w:tc>
          <w:tcPr>
            <w:tcW w:w="780" w:type="dxa"/>
            <w:vAlign w:val="bottom"/>
          </w:tcPr>
          <w:p>
            <w:pPr>
              <w:ind w:left="60"/>
              <w:spacing w:after="0"/>
              <w:rPr>
                <w:sz w:val="20"/>
                <w:szCs w:val="20"/>
                <w:color w:val="auto"/>
              </w:rPr>
            </w:pPr>
            <w:r>
              <w:rPr>
                <w:rFonts w:ascii="Arial" w:cs="Arial" w:eastAsia="Arial" w:hAnsi="Arial"/>
                <w:sz w:val="18"/>
                <w:szCs w:val="18"/>
                <w:color w:val="auto"/>
              </w:rPr>
              <w:t>8.1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Covered Affiliates</w:t>
            </w:r>
          </w:p>
        </w:tc>
        <w:tc>
          <w:tcPr>
            <w:tcW w:w="780" w:type="dxa"/>
            <w:vAlign w:val="bottom"/>
          </w:tcPr>
          <w:p>
            <w:pPr>
              <w:ind w:left="60"/>
              <w:spacing w:after="0"/>
              <w:rPr>
                <w:sz w:val="20"/>
                <w:szCs w:val="20"/>
                <w:color w:val="auto"/>
              </w:rPr>
            </w:pPr>
            <w:r>
              <w:rPr>
                <w:rFonts w:ascii="Arial" w:cs="Arial" w:eastAsia="Arial" w:hAnsi="Arial"/>
                <w:sz w:val="18"/>
                <w:szCs w:val="18"/>
                <w:color w:val="auto"/>
              </w:rPr>
              <w:t>6.14(c)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Credit Facilities Liens</w:t>
            </w:r>
          </w:p>
        </w:tc>
        <w:tc>
          <w:tcPr>
            <w:tcW w:w="780" w:type="dxa"/>
            <w:vAlign w:val="bottom"/>
          </w:tcPr>
          <w:p>
            <w:pPr>
              <w:ind w:left="60"/>
              <w:spacing w:after="0"/>
              <w:rPr>
                <w:sz w:val="20"/>
                <w:szCs w:val="20"/>
                <w:color w:val="auto"/>
              </w:rPr>
            </w:pPr>
            <w:r>
              <w:rPr>
                <w:rFonts w:ascii="Arial" w:cs="Arial" w:eastAsia="Arial" w:hAnsi="Arial"/>
                <w:sz w:val="18"/>
                <w:szCs w:val="18"/>
                <w:color w:val="auto"/>
              </w:rPr>
              <w:t>3.12(a)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D&amp;O Costs</w:t>
            </w:r>
          </w:p>
        </w:tc>
        <w:tc>
          <w:tcPr>
            <w:tcW w:w="780" w:type="dxa"/>
            <w:vAlign w:val="bottom"/>
          </w:tcPr>
          <w:p>
            <w:pPr>
              <w:ind w:left="60"/>
              <w:spacing w:after="0"/>
              <w:rPr>
                <w:sz w:val="20"/>
                <w:szCs w:val="20"/>
                <w:color w:val="auto"/>
              </w:rPr>
            </w:pPr>
            <w:r>
              <w:rPr>
                <w:rFonts w:ascii="Arial" w:cs="Arial" w:eastAsia="Arial" w:hAnsi="Arial"/>
                <w:sz w:val="18"/>
                <w:szCs w:val="18"/>
                <w:color w:val="auto"/>
              </w:rPr>
              <w:t>6.14(c)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D&amp;O Expenses</w:t>
            </w:r>
          </w:p>
        </w:tc>
        <w:tc>
          <w:tcPr>
            <w:tcW w:w="780" w:type="dxa"/>
            <w:vAlign w:val="bottom"/>
          </w:tcPr>
          <w:p>
            <w:pPr>
              <w:ind w:left="60"/>
              <w:spacing w:after="0"/>
              <w:rPr>
                <w:sz w:val="20"/>
                <w:szCs w:val="20"/>
                <w:color w:val="auto"/>
              </w:rPr>
            </w:pPr>
            <w:r>
              <w:rPr>
                <w:rFonts w:ascii="Arial" w:cs="Arial" w:eastAsia="Arial" w:hAnsi="Arial"/>
                <w:sz w:val="18"/>
                <w:szCs w:val="18"/>
                <w:color w:val="auto"/>
              </w:rPr>
              <w:t>6.14(c)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D&amp;O Indemnifiable Claim</w:t>
            </w:r>
          </w:p>
        </w:tc>
        <w:tc>
          <w:tcPr>
            <w:tcW w:w="780" w:type="dxa"/>
            <w:vAlign w:val="bottom"/>
          </w:tcPr>
          <w:p>
            <w:pPr>
              <w:ind w:left="60"/>
              <w:spacing w:after="0"/>
              <w:rPr>
                <w:sz w:val="20"/>
                <w:szCs w:val="20"/>
                <w:color w:val="auto"/>
              </w:rPr>
            </w:pPr>
            <w:r>
              <w:rPr>
                <w:rFonts w:ascii="Arial" w:cs="Arial" w:eastAsia="Arial" w:hAnsi="Arial"/>
                <w:sz w:val="18"/>
                <w:szCs w:val="18"/>
                <w:color w:val="auto"/>
              </w:rPr>
              <w:t>6.14(c)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D&amp;O Indemnifying Party</w:t>
            </w:r>
          </w:p>
        </w:tc>
        <w:tc>
          <w:tcPr>
            <w:tcW w:w="780" w:type="dxa"/>
            <w:vAlign w:val="bottom"/>
          </w:tcPr>
          <w:p>
            <w:pPr>
              <w:ind w:left="60"/>
              <w:spacing w:after="0"/>
              <w:rPr>
                <w:sz w:val="20"/>
                <w:szCs w:val="20"/>
                <w:color w:val="auto"/>
              </w:rPr>
            </w:pPr>
            <w:r>
              <w:rPr>
                <w:rFonts w:ascii="Arial" w:cs="Arial" w:eastAsia="Arial" w:hAnsi="Arial"/>
                <w:sz w:val="18"/>
                <w:szCs w:val="18"/>
                <w:color w:val="auto"/>
              </w:rPr>
              <w:t>6.14(c)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D&amp;O Indemnitee</w:t>
            </w:r>
          </w:p>
        </w:tc>
        <w:tc>
          <w:tcPr>
            <w:tcW w:w="780" w:type="dxa"/>
            <w:vAlign w:val="bottom"/>
          </w:tcPr>
          <w:p>
            <w:pPr>
              <w:ind w:left="60"/>
              <w:spacing w:after="0"/>
              <w:rPr>
                <w:sz w:val="20"/>
                <w:szCs w:val="20"/>
                <w:color w:val="auto"/>
              </w:rPr>
            </w:pPr>
            <w:r>
              <w:rPr>
                <w:rFonts w:ascii="Arial" w:cs="Arial" w:eastAsia="Arial" w:hAnsi="Arial"/>
                <w:sz w:val="18"/>
                <w:szCs w:val="18"/>
                <w:color w:val="auto"/>
              </w:rPr>
              <w:t>6.14(c)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D&amp;O Indemnitees</w:t>
            </w:r>
          </w:p>
        </w:tc>
        <w:tc>
          <w:tcPr>
            <w:tcW w:w="780" w:type="dxa"/>
            <w:vAlign w:val="bottom"/>
          </w:tcPr>
          <w:p>
            <w:pPr>
              <w:ind w:left="60"/>
              <w:spacing w:after="0"/>
              <w:rPr>
                <w:sz w:val="20"/>
                <w:szCs w:val="20"/>
                <w:color w:val="auto"/>
              </w:rPr>
            </w:pPr>
            <w:r>
              <w:rPr>
                <w:rFonts w:ascii="Arial" w:cs="Arial" w:eastAsia="Arial" w:hAnsi="Arial"/>
                <w:sz w:val="18"/>
                <w:szCs w:val="18"/>
                <w:color w:val="auto"/>
              </w:rPr>
              <w:t>6.14(c)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Data Room</w:t>
            </w:r>
          </w:p>
        </w:tc>
        <w:tc>
          <w:tcPr>
            <w:tcW w:w="780" w:type="dxa"/>
            <w:vAlign w:val="bottom"/>
          </w:tcPr>
          <w:p>
            <w:pPr>
              <w:ind w:left="60"/>
              <w:spacing w:after="0"/>
              <w:rPr>
                <w:sz w:val="20"/>
                <w:szCs w:val="20"/>
                <w:color w:val="auto"/>
              </w:rPr>
            </w:pPr>
            <w:r>
              <w:rPr>
                <w:rFonts w:ascii="Arial" w:cs="Arial" w:eastAsia="Arial" w:hAnsi="Arial"/>
                <w:sz w:val="18"/>
                <w:szCs w:val="18"/>
                <w:color w:val="auto"/>
              </w:rPr>
              <w:t>5.6</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Designated Contacts</w:t>
            </w:r>
          </w:p>
        </w:tc>
        <w:tc>
          <w:tcPr>
            <w:tcW w:w="780" w:type="dxa"/>
            <w:vAlign w:val="bottom"/>
          </w:tcPr>
          <w:p>
            <w:pPr>
              <w:ind w:left="60"/>
              <w:spacing w:after="0"/>
              <w:rPr>
                <w:sz w:val="20"/>
                <w:szCs w:val="20"/>
                <w:color w:val="auto"/>
              </w:rPr>
            </w:pPr>
            <w:r>
              <w:rPr>
                <w:rFonts w:ascii="Arial" w:cs="Arial" w:eastAsia="Arial" w:hAnsi="Arial"/>
                <w:sz w:val="18"/>
                <w:szCs w:val="18"/>
                <w:color w:val="auto"/>
              </w:rPr>
              <w:t>6.2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Disclosure Schedules</w:t>
            </w:r>
          </w:p>
        </w:tc>
        <w:tc>
          <w:tcPr>
            <w:tcW w:w="780" w:type="dxa"/>
            <w:vAlign w:val="bottom"/>
          </w:tcPr>
          <w:p>
            <w:pPr>
              <w:ind w:left="60"/>
              <w:spacing w:after="0"/>
              <w:rPr>
                <w:sz w:val="20"/>
                <w:szCs w:val="20"/>
                <w:color w:val="auto"/>
              </w:rPr>
            </w:pPr>
            <w:r>
              <w:rPr>
                <w:rFonts w:ascii="Arial" w:cs="Arial" w:eastAsia="Arial" w:hAnsi="Arial"/>
                <w:sz w:val="18"/>
                <w:szCs w:val="18"/>
                <w:color w:val="auto"/>
                <w:w w:val="99"/>
              </w:rPr>
              <w:t>Article III</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FCPR</w:t>
            </w:r>
          </w:p>
        </w:tc>
        <w:tc>
          <w:tcPr>
            <w:tcW w:w="780" w:type="dxa"/>
            <w:vAlign w:val="bottom"/>
          </w:tcPr>
          <w:p>
            <w:pPr>
              <w:ind w:left="60"/>
              <w:spacing w:after="0"/>
              <w:rPr>
                <w:sz w:val="20"/>
                <w:szCs w:val="20"/>
                <w:color w:val="auto"/>
              </w:rPr>
            </w:pPr>
            <w:r>
              <w:rPr>
                <w:rFonts w:ascii="Arial" w:cs="Arial" w:eastAsia="Arial" w:hAnsi="Arial"/>
                <w:sz w:val="18"/>
                <w:szCs w:val="18"/>
                <w:color w:val="auto"/>
                <w:w w:val="97"/>
              </w:rPr>
              <w:t>Article IV</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ind w:left="60"/>
              <w:spacing w:after="0"/>
              <w:rPr>
                <w:sz w:val="20"/>
                <w:szCs w:val="20"/>
                <w:color w:val="auto"/>
              </w:rPr>
            </w:pPr>
            <w:r>
              <w:rPr>
                <w:rFonts w:ascii="Arial" w:cs="Arial" w:eastAsia="Arial" w:hAnsi="Arial"/>
                <w:sz w:val="18"/>
                <w:szCs w:val="18"/>
                <w:color w:val="auto"/>
              </w:rPr>
              <w:t>3.6(a)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6"/>
              </w:rPr>
              <w:t>German and UK Subsidiaries Buyer</w:t>
            </w:r>
          </w:p>
        </w:tc>
        <w:tc>
          <w:tcPr>
            <w:tcW w:w="780" w:type="dxa"/>
            <w:vAlign w:val="bottom"/>
          </w:tcPr>
          <w:p>
            <w:pPr>
              <w:ind w:left="60"/>
              <w:spacing w:after="0"/>
              <w:rPr>
                <w:sz w:val="20"/>
                <w:szCs w:val="20"/>
                <w:color w:val="auto"/>
              </w:rPr>
            </w:pPr>
            <w:r>
              <w:rPr>
                <w:rFonts w:ascii="Arial" w:cs="Arial" w:eastAsia="Arial" w:hAnsi="Arial"/>
                <w:sz w:val="18"/>
                <w:szCs w:val="18"/>
                <w:color w:val="auto"/>
              </w:rPr>
              <w:t>2.1(d)</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1"/>
              </w:rPr>
              <w:t>German and UK Subsidiary Purchase</w:t>
            </w:r>
          </w:p>
        </w:tc>
        <w:tc>
          <w:tcPr>
            <w:tcW w:w="780" w:type="dxa"/>
            <w:vAlign w:val="bottom"/>
          </w:tcPr>
          <w:p>
            <w:pPr>
              <w:ind w:left="60"/>
              <w:spacing w:after="0"/>
              <w:rPr>
                <w:sz w:val="20"/>
                <w:szCs w:val="20"/>
                <w:color w:val="auto"/>
              </w:rPr>
            </w:pPr>
            <w:r>
              <w:rPr>
                <w:rFonts w:ascii="Arial" w:cs="Arial" w:eastAsia="Arial" w:hAnsi="Arial"/>
                <w:sz w:val="18"/>
                <w:szCs w:val="18"/>
                <w:color w:val="auto"/>
              </w:rPr>
              <w:t>2.1(d)</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German Subsidiary</w:t>
            </w:r>
          </w:p>
        </w:tc>
        <w:tc>
          <w:tcPr>
            <w:tcW w:w="780" w:type="dxa"/>
            <w:vAlign w:val="bottom"/>
          </w:tcPr>
          <w:p>
            <w:pPr>
              <w:ind w:left="60"/>
              <w:spacing w:after="0"/>
              <w:rPr>
                <w:sz w:val="20"/>
                <w:szCs w:val="20"/>
                <w:color w:val="auto"/>
              </w:rPr>
            </w:pPr>
            <w:r>
              <w:rPr>
                <w:rFonts w:ascii="Arial" w:cs="Arial" w:eastAsia="Arial" w:hAnsi="Arial"/>
                <w:sz w:val="18"/>
                <w:szCs w:val="18"/>
                <w:color w:val="auto"/>
              </w:rPr>
              <w:t>2.1(d)</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German Subsidiary Check</w:t>
            </w:r>
          </w:p>
        </w:tc>
        <w:tc>
          <w:tcPr>
            <w:tcW w:w="780" w:type="dxa"/>
            <w:vAlign w:val="bottom"/>
          </w:tcPr>
          <w:p>
            <w:pPr>
              <w:ind w:left="60"/>
              <w:spacing w:after="0"/>
              <w:rPr>
                <w:sz w:val="20"/>
                <w:szCs w:val="20"/>
                <w:color w:val="auto"/>
              </w:rPr>
            </w:pPr>
            <w:r>
              <w:rPr>
                <w:rFonts w:ascii="Arial" w:cs="Arial" w:eastAsia="Arial" w:hAnsi="Arial"/>
                <w:sz w:val="18"/>
                <w:szCs w:val="18"/>
                <w:color w:val="auto"/>
              </w:rPr>
              <w:t>2.1(d)</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German Subsidiary Purchase</w:t>
            </w:r>
          </w:p>
        </w:tc>
        <w:tc>
          <w:tcPr>
            <w:tcW w:w="780" w:type="dxa"/>
            <w:vAlign w:val="bottom"/>
          </w:tcPr>
          <w:p>
            <w:pPr>
              <w:ind w:left="60"/>
              <w:spacing w:after="0"/>
              <w:rPr>
                <w:sz w:val="20"/>
                <w:szCs w:val="20"/>
                <w:color w:val="auto"/>
              </w:rPr>
            </w:pPr>
            <w:r>
              <w:rPr>
                <w:rFonts w:ascii="Arial" w:cs="Arial" w:eastAsia="Arial" w:hAnsi="Arial"/>
                <w:sz w:val="18"/>
                <w:szCs w:val="18"/>
                <w:color w:val="auto"/>
              </w:rPr>
              <w:t>2.1(d)</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German Subsidiary Stock</w:t>
            </w:r>
          </w:p>
        </w:tc>
        <w:tc>
          <w:tcPr>
            <w:tcW w:w="780" w:type="dxa"/>
            <w:vAlign w:val="bottom"/>
          </w:tcPr>
          <w:p>
            <w:pPr>
              <w:ind w:left="60"/>
              <w:spacing w:after="0"/>
              <w:rPr>
                <w:sz w:val="20"/>
                <w:szCs w:val="20"/>
                <w:color w:val="auto"/>
              </w:rPr>
            </w:pPr>
            <w:r>
              <w:rPr>
                <w:rFonts w:ascii="Arial" w:cs="Arial" w:eastAsia="Arial" w:hAnsi="Arial"/>
                <w:sz w:val="18"/>
                <w:szCs w:val="18"/>
                <w:color w:val="auto"/>
              </w:rPr>
              <w:t>2.1(d)</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Governmental Approvals</w:t>
            </w:r>
          </w:p>
        </w:tc>
        <w:tc>
          <w:tcPr>
            <w:tcW w:w="780" w:type="dxa"/>
            <w:vAlign w:val="bottom"/>
          </w:tcPr>
          <w:p>
            <w:pPr>
              <w:ind w:left="60"/>
              <w:spacing w:after="0"/>
              <w:rPr>
                <w:sz w:val="20"/>
                <w:szCs w:val="20"/>
                <w:color w:val="auto"/>
              </w:rPr>
            </w:pPr>
            <w:r>
              <w:rPr>
                <w:rFonts w:ascii="Arial" w:cs="Arial" w:eastAsia="Arial" w:hAnsi="Arial"/>
                <w:sz w:val="18"/>
                <w:szCs w:val="18"/>
                <w:color w:val="auto"/>
              </w:rPr>
              <w:t>6.9(a)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Indemnified Party</w:t>
            </w:r>
          </w:p>
        </w:tc>
        <w:tc>
          <w:tcPr>
            <w:tcW w:w="780" w:type="dxa"/>
            <w:vAlign w:val="bottom"/>
          </w:tcPr>
          <w:p>
            <w:pPr>
              <w:ind w:left="60"/>
              <w:spacing w:after="0"/>
              <w:rPr>
                <w:sz w:val="20"/>
                <w:szCs w:val="20"/>
                <w:color w:val="auto"/>
              </w:rPr>
            </w:pPr>
            <w:r>
              <w:rPr>
                <w:rFonts w:ascii="Arial" w:cs="Arial" w:eastAsia="Arial" w:hAnsi="Arial"/>
                <w:sz w:val="18"/>
                <w:szCs w:val="18"/>
                <w:color w:val="auto"/>
              </w:rPr>
              <w:t>8.4(a)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Indemnifying Party</w:t>
            </w:r>
          </w:p>
        </w:tc>
        <w:tc>
          <w:tcPr>
            <w:tcW w:w="780" w:type="dxa"/>
            <w:vAlign w:val="bottom"/>
          </w:tcPr>
          <w:p>
            <w:pPr>
              <w:ind w:left="60"/>
              <w:spacing w:after="0"/>
              <w:rPr>
                <w:sz w:val="20"/>
                <w:szCs w:val="20"/>
                <w:color w:val="auto"/>
              </w:rPr>
            </w:pPr>
            <w:r>
              <w:rPr>
                <w:rFonts w:ascii="Arial" w:cs="Arial" w:eastAsia="Arial" w:hAnsi="Arial"/>
                <w:sz w:val="18"/>
                <w:szCs w:val="18"/>
                <w:color w:val="auto"/>
              </w:rPr>
              <w:t>8.4(a)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Licensed IP</w:t>
            </w:r>
          </w:p>
        </w:tc>
        <w:tc>
          <w:tcPr>
            <w:tcW w:w="780" w:type="dxa"/>
            <w:vAlign w:val="bottom"/>
          </w:tcPr>
          <w:p>
            <w:pPr>
              <w:ind w:left="60"/>
              <w:spacing w:after="0"/>
              <w:rPr>
                <w:sz w:val="20"/>
                <w:szCs w:val="20"/>
                <w:color w:val="auto"/>
              </w:rPr>
            </w:pPr>
            <w:r>
              <w:rPr>
                <w:rFonts w:ascii="Arial" w:cs="Arial" w:eastAsia="Arial" w:hAnsi="Arial"/>
                <w:sz w:val="18"/>
                <w:szCs w:val="18"/>
                <w:color w:val="auto"/>
              </w:rPr>
              <w:t>3.14(c)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Majority Holders</w:t>
            </w:r>
          </w:p>
        </w:tc>
        <w:tc>
          <w:tcPr>
            <w:tcW w:w="780" w:type="dxa"/>
            <w:vAlign w:val="bottom"/>
          </w:tcPr>
          <w:p>
            <w:pPr>
              <w:ind w:left="60"/>
              <w:spacing w:after="0"/>
              <w:rPr>
                <w:sz w:val="20"/>
                <w:szCs w:val="20"/>
                <w:color w:val="auto"/>
              </w:rPr>
            </w:pPr>
            <w:r>
              <w:rPr>
                <w:rFonts w:ascii="Arial" w:cs="Arial" w:eastAsia="Arial" w:hAnsi="Arial"/>
                <w:sz w:val="18"/>
                <w:szCs w:val="18"/>
                <w:color w:val="auto"/>
              </w:rPr>
              <w:t>2.3(b)</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Material Contracts</w:t>
            </w:r>
          </w:p>
        </w:tc>
        <w:tc>
          <w:tcPr>
            <w:tcW w:w="780" w:type="dxa"/>
            <w:vAlign w:val="bottom"/>
          </w:tcPr>
          <w:p>
            <w:pPr>
              <w:ind w:left="60"/>
              <w:spacing w:after="0"/>
              <w:rPr>
                <w:sz w:val="20"/>
                <w:szCs w:val="20"/>
                <w:color w:val="auto"/>
              </w:rPr>
            </w:pPr>
            <w:r>
              <w:rPr>
                <w:rFonts w:ascii="Arial" w:cs="Arial" w:eastAsia="Arial" w:hAnsi="Arial"/>
                <w:sz w:val="18"/>
                <w:szCs w:val="18"/>
                <w:color w:val="auto"/>
              </w:rPr>
              <w:t>3.17(a)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w w:val="92"/>
              </w:rPr>
              <w:t>Nonqualified Deferred Compensation</w:t>
            </w:r>
          </w:p>
        </w:tc>
        <w:tc>
          <w:tcPr>
            <w:tcW w:w="780" w:type="dxa"/>
            <w:vAlign w:val="bottom"/>
          </w:tcPr>
          <w:p>
            <w:pPr>
              <w:ind w:left="60"/>
              <w:spacing w:after="0"/>
              <w:rPr>
                <w:sz w:val="20"/>
                <w:szCs w:val="20"/>
                <w:color w:val="auto"/>
              </w:rPr>
            </w:pPr>
            <w:r>
              <w:rPr>
                <w:rFonts w:ascii="Arial" w:cs="Arial" w:eastAsia="Arial" w:hAnsi="Arial"/>
                <w:sz w:val="18"/>
                <w:szCs w:val="18"/>
                <w:color w:val="auto"/>
              </w:rPr>
              <w:t>3.10(h)</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Plan</w:t>
            </w:r>
          </w:p>
        </w:tc>
        <w:tc>
          <w:tcPr>
            <w:tcW w:w="78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Permits</w:t>
            </w:r>
          </w:p>
        </w:tc>
        <w:tc>
          <w:tcPr>
            <w:tcW w:w="780" w:type="dxa"/>
            <w:vAlign w:val="bottom"/>
          </w:tcPr>
          <w:p>
            <w:pPr>
              <w:ind w:left="60"/>
              <w:spacing w:after="0"/>
              <w:rPr>
                <w:sz w:val="20"/>
                <w:szCs w:val="20"/>
                <w:color w:val="auto"/>
              </w:rPr>
            </w:pPr>
            <w:r>
              <w:rPr>
                <w:rFonts w:ascii="Arial" w:cs="Arial" w:eastAsia="Arial" w:hAnsi="Arial"/>
                <w:sz w:val="18"/>
                <w:szCs w:val="18"/>
                <w:color w:val="auto"/>
              </w:rPr>
              <w:t>3.8(b)</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Permitted Encumbrances</w:t>
            </w:r>
          </w:p>
        </w:tc>
        <w:tc>
          <w:tcPr>
            <w:tcW w:w="780" w:type="dxa"/>
            <w:vAlign w:val="bottom"/>
          </w:tcPr>
          <w:p>
            <w:pPr>
              <w:ind w:left="60"/>
              <w:spacing w:after="0"/>
              <w:rPr>
                <w:sz w:val="20"/>
                <w:szCs w:val="20"/>
                <w:color w:val="auto"/>
              </w:rPr>
            </w:pPr>
            <w:r>
              <w:rPr>
                <w:rFonts w:ascii="Arial" w:cs="Arial" w:eastAsia="Arial" w:hAnsi="Arial"/>
                <w:sz w:val="18"/>
                <w:szCs w:val="18"/>
                <w:color w:val="auto"/>
              </w:rPr>
              <w:t>3.12(a)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Releasee</w:t>
            </w:r>
          </w:p>
        </w:tc>
        <w:tc>
          <w:tcPr>
            <w:tcW w:w="780" w:type="dxa"/>
            <w:vAlign w:val="bottom"/>
          </w:tcPr>
          <w:p>
            <w:pPr>
              <w:ind w:left="60"/>
              <w:spacing w:after="0"/>
              <w:rPr>
                <w:sz w:val="20"/>
                <w:szCs w:val="20"/>
                <w:color w:val="auto"/>
              </w:rPr>
            </w:pPr>
            <w:r>
              <w:rPr>
                <w:rFonts w:ascii="Arial" w:cs="Arial" w:eastAsia="Arial" w:hAnsi="Arial"/>
                <w:sz w:val="18"/>
                <w:szCs w:val="18"/>
                <w:color w:val="auto"/>
              </w:rPr>
              <w:t>8.6(h)</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Releasor</w:t>
            </w:r>
          </w:p>
        </w:tc>
        <w:tc>
          <w:tcPr>
            <w:tcW w:w="780" w:type="dxa"/>
            <w:vAlign w:val="bottom"/>
          </w:tcPr>
          <w:p>
            <w:pPr>
              <w:ind w:left="60"/>
              <w:spacing w:after="0"/>
              <w:rPr>
                <w:sz w:val="20"/>
                <w:szCs w:val="20"/>
                <w:color w:val="auto"/>
              </w:rPr>
            </w:pPr>
            <w:r>
              <w:rPr>
                <w:rFonts w:ascii="Arial" w:cs="Arial" w:eastAsia="Arial" w:hAnsi="Arial"/>
                <w:sz w:val="18"/>
                <w:szCs w:val="18"/>
                <w:color w:val="auto"/>
              </w:rPr>
              <w:t>8.6(h)</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Representatives</w:t>
            </w:r>
          </w:p>
        </w:tc>
        <w:tc>
          <w:tcPr>
            <w:tcW w:w="780" w:type="dxa"/>
            <w:vAlign w:val="bottom"/>
          </w:tcPr>
          <w:p>
            <w:pPr>
              <w:ind w:left="60"/>
              <w:spacing w:after="0"/>
              <w:rPr>
                <w:sz w:val="20"/>
                <w:szCs w:val="20"/>
                <w:color w:val="auto"/>
              </w:rPr>
            </w:pPr>
            <w:r>
              <w:rPr>
                <w:rFonts w:ascii="Arial" w:cs="Arial" w:eastAsia="Arial" w:hAnsi="Arial"/>
                <w:sz w:val="18"/>
                <w:szCs w:val="18"/>
                <w:color w:val="auto"/>
              </w:rPr>
              <w:t>6.2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Scheduled IP</w:t>
            </w:r>
          </w:p>
        </w:tc>
        <w:tc>
          <w:tcPr>
            <w:tcW w:w="780" w:type="dxa"/>
            <w:vAlign w:val="bottom"/>
          </w:tcPr>
          <w:p>
            <w:pPr>
              <w:ind w:left="60"/>
              <w:spacing w:after="0"/>
              <w:rPr>
                <w:sz w:val="20"/>
                <w:szCs w:val="20"/>
                <w:color w:val="auto"/>
              </w:rPr>
            </w:pPr>
            <w:r>
              <w:rPr>
                <w:rFonts w:ascii="Arial" w:cs="Arial" w:eastAsia="Arial" w:hAnsi="Arial"/>
                <w:sz w:val="18"/>
                <w:szCs w:val="18"/>
                <w:color w:val="auto"/>
              </w:rPr>
              <w:t>3.14(a)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Seller Group</w:t>
            </w:r>
          </w:p>
        </w:tc>
        <w:tc>
          <w:tcPr>
            <w:tcW w:w="780" w:type="dxa"/>
            <w:vAlign w:val="bottom"/>
          </w:tcPr>
          <w:p>
            <w:pPr>
              <w:ind w:left="60"/>
              <w:spacing w:after="0"/>
              <w:rPr>
                <w:sz w:val="20"/>
                <w:szCs w:val="20"/>
                <w:color w:val="auto"/>
              </w:rPr>
            </w:pPr>
            <w:r>
              <w:rPr>
                <w:rFonts w:ascii="Arial" w:cs="Arial" w:eastAsia="Arial" w:hAnsi="Arial"/>
                <w:sz w:val="18"/>
                <w:szCs w:val="18"/>
                <w:color w:val="auto"/>
              </w:rPr>
              <w:t>10.20</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Stockholder</w:t>
            </w:r>
          </w:p>
        </w:tc>
        <w:tc>
          <w:tcPr>
            <w:tcW w:w="780" w:type="dxa"/>
            <w:vAlign w:val="bottom"/>
          </w:tcPr>
          <w:p>
            <w:pPr>
              <w:ind w:left="60"/>
              <w:spacing w:after="0"/>
              <w:rPr>
                <w:sz w:val="20"/>
                <w:szCs w:val="20"/>
                <w:color w:val="auto"/>
              </w:rPr>
            </w:pPr>
            <w:r>
              <w:rPr>
                <w:rFonts w:ascii="Arial" w:cs="Arial" w:eastAsia="Arial" w:hAnsi="Arial"/>
                <w:sz w:val="18"/>
                <w:szCs w:val="18"/>
                <w:color w:val="auto"/>
                <w:w w:val="90"/>
              </w:rPr>
              <w:t>Preamble</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Stockholder Representative</w:t>
            </w:r>
          </w:p>
        </w:tc>
        <w:tc>
          <w:tcPr>
            <w:tcW w:w="780" w:type="dxa"/>
            <w:vAlign w:val="bottom"/>
          </w:tcPr>
          <w:p>
            <w:pPr>
              <w:ind w:left="60"/>
              <w:spacing w:after="0"/>
              <w:rPr>
                <w:sz w:val="20"/>
                <w:szCs w:val="20"/>
                <w:color w:val="auto"/>
              </w:rPr>
            </w:pPr>
            <w:r>
              <w:rPr>
                <w:rFonts w:ascii="Arial" w:cs="Arial" w:eastAsia="Arial" w:hAnsi="Arial"/>
                <w:sz w:val="18"/>
                <w:szCs w:val="18"/>
                <w:color w:val="auto"/>
                <w:w w:val="90"/>
              </w:rPr>
              <w:t>Preamble</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Stockholders</w:t>
            </w:r>
          </w:p>
        </w:tc>
        <w:tc>
          <w:tcPr>
            <w:tcW w:w="780" w:type="dxa"/>
            <w:vAlign w:val="bottom"/>
          </w:tcPr>
          <w:p>
            <w:pPr>
              <w:ind w:left="60"/>
              <w:spacing w:after="0"/>
              <w:rPr>
                <w:sz w:val="20"/>
                <w:szCs w:val="20"/>
                <w:color w:val="auto"/>
              </w:rPr>
            </w:pPr>
            <w:r>
              <w:rPr>
                <w:rFonts w:ascii="Arial" w:cs="Arial" w:eastAsia="Arial" w:hAnsi="Arial"/>
                <w:sz w:val="18"/>
                <w:szCs w:val="18"/>
                <w:color w:val="auto"/>
                <w:w w:val="90"/>
              </w:rPr>
              <w:t>Preamble</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Third Party Claim</w:t>
            </w:r>
          </w:p>
        </w:tc>
        <w:tc>
          <w:tcPr>
            <w:tcW w:w="780" w:type="dxa"/>
            <w:vAlign w:val="bottom"/>
          </w:tcPr>
          <w:p>
            <w:pPr>
              <w:ind w:left="60"/>
              <w:spacing w:after="0"/>
              <w:rPr>
                <w:sz w:val="20"/>
                <w:szCs w:val="20"/>
                <w:color w:val="auto"/>
              </w:rPr>
            </w:pPr>
            <w:r>
              <w:rPr>
                <w:rFonts w:ascii="Arial" w:cs="Arial" w:eastAsia="Arial" w:hAnsi="Arial"/>
                <w:sz w:val="18"/>
                <w:szCs w:val="18"/>
                <w:color w:val="auto"/>
              </w:rPr>
              <w:t>8.4(a)</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Transfer Taxes</w:t>
            </w:r>
          </w:p>
        </w:tc>
        <w:tc>
          <w:tcPr>
            <w:tcW w:w="780" w:type="dxa"/>
            <w:vAlign w:val="bottom"/>
          </w:tcPr>
          <w:p>
            <w:pPr>
              <w:ind w:left="60"/>
              <w:spacing w:after="0"/>
              <w:rPr>
                <w:sz w:val="20"/>
                <w:szCs w:val="20"/>
                <w:color w:val="auto"/>
              </w:rPr>
            </w:pPr>
            <w:r>
              <w:rPr>
                <w:rFonts w:ascii="Arial" w:cs="Arial" w:eastAsia="Arial" w:hAnsi="Arial"/>
                <w:sz w:val="18"/>
                <w:szCs w:val="18"/>
                <w:color w:val="auto"/>
              </w:rPr>
              <w:t>6.13(c)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UK Subsidiary</w:t>
            </w:r>
          </w:p>
        </w:tc>
        <w:tc>
          <w:tcPr>
            <w:tcW w:w="780" w:type="dxa"/>
            <w:vAlign w:val="bottom"/>
          </w:tcPr>
          <w:p>
            <w:pPr>
              <w:ind w:left="60"/>
              <w:spacing w:after="0"/>
              <w:rPr>
                <w:sz w:val="20"/>
                <w:szCs w:val="20"/>
                <w:color w:val="auto"/>
              </w:rPr>
            </w:pPr>
            <w:r>
              <w:rPr>
                <w:rFonts w:ascii="Arial" w:cs="Arial" w:eastAsia="Arial" w:hAnsi="Arial"/>
                <w:sz w:val="18"/>
                <w:szCs w:val="18"/>
                <w:color w:val="auto"/>
              </w:rPr>
              <w:t>2.1(d)</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UK Subsidiary Check</w:t>
            </w:r>
          </w:p>
        </w:tc>
        <w:tc>
          <w:tcPr>
            <w:tcW w:w="780" w:type="dxa"/>
            <w:vAlign w:val="bottom"/>
          </w:tcPr>
          <w:p>
            <w:pPr>
              <w:ind w:left="60"/>
              <w:spacing w:after="0"/>
              <w:rPr>
                <w:sz w:val="20"/>
                <w:szCs w:val="20"/>
                <w:color w:val="auto"/>
              </w:rPr>
            </w:pPr>
            <w:r>
              <w:rPr>
                <w:rFonts w:ascii="Arial" w:cs="Arial" w:eastAsia="Arial" w:hAnsi="Arial"/>
                <w:sz w:val="18"/>
                <w:szCs w:val="18"/>
                <w:color w:val="auto"/>
              </w:rPr>
              <w:t>2.1(d)</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UK Subsidiary Purchase</w:t>
            </w:r>
          </w:p>
        </w:tc>
        <w:tc>
          <w:tcPr>
            <w:tcW w:w="780" w:type="dxa"/>
            <w:vAlign w:val="bottom"/>
          </w:tcPr>
          <w:p>
            <w:pPr>
              <w:ind w:left="60"/>
              <w:spacing w:after="0"/>
              <w:rPr>
                <w:sz w:val="20"/>
                <w:szCs w:val="20"/>
                <w:color w:val="auto"/>
              </w:rPr>
            </w:pPr>
            <w:r>
              <w:rPr>
                <w:rFonts w:ascii="Arial" w:cs="Arial" w:eastAsia="Arial" w:hAnsi="Arial"/>
                <w:sz w:val="18"/>
                <w:szCs w:val="18"/>
                <w:color w:val="auto"/>
              </w:rPr>
              <w:t>2.1(d)</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UK Subsidiary Stock</w:t>
            </w:r>
          </w:p>
        </w:tc>
        <w:tc>
          <w:tcPr>
            <w:tcW w:w="780" w:type="dxa"/>
            <w:vAlign w:val="bottom"/>
          </w:tcPr>
          <w:p>
            <w:pPr>
              <w:ind w:left="60"/>
              <w:spacing w:after="0"/>
              <w:rPr>
                <w:sz w:val="20"/>
                <w:szCs w:val="20"/>
                <w:color w:val="auto"/>
              </w:rPr>
            </w:pPr>
            <w:r>
              <w:rPr>
                <w:rFonts w:ascii="Arial" w:cs="Arial" w:eastAsia="Arial" w:hAnsi="Arial"/>
                <w:sz w:val="18"/>
                <w:szCs w:val="18"/>
                <w:color w:val="auto"/>
              </w:rPr>
              <w:t>2.1(d)</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Unaudited Financial Statements</w:t>
            </w:r>
          </w:p>
        </w:tc>
        <w:tc>
          <w:tcPr>
            <w:tcW w:w="780" w:type="dxa"/>
            <w:vAlign w:val="bottom"/>
          </w:tcPr>
          <w:p>
            <w:pPr>
              <w:ind w:left="60"/>
              <w:spacing w:after="0"/>
              <w:rPr>
                <w:sz w:val="20"/>
                <w:szCs w:val="20"/>
                <w:color w:val="auto"/>
              </w:rPr>
            </w:pPr>
            <w:r>
              <w:rPr>
                <w:rFonts w:ascii="Arial" w:cs="Arial" w:eastAsia="Arial" w:hAnsi="Arial"/>
                <w:sz w:val="18"/>
                <w:szCs w:val="18"/>
                <w:color w:val="auto"/>
              </w:rPr>
              <w:t>3.6(a)</w:t>
            </w:r>
          </w:p>
        </w:tc>
      </w:tr>
    </w:tbl>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II</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PURCHASE AND SALE</w:t>
      </w:r>
    </w:p>
    <w:p>
      <w:pPr>
        <w:spacing w:after="0" w:line="27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7"/>
          <w:szCs w:val="17"/>
          <w:b w:val="1"/>
          <w:bCs w:val="1"/>
          <w:u w:val="single" w:color="auto"/>
          <w:color w:val="auto"/>
        </w:rPr>
        <w:t>PURCHASE AND SALE</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Upon the terms and subject to the conditions of this Agreement, at the Closing, (i) (A) each Stockholder shall sell, assign, transfer, convey and deliver to the Buyer, and the Buyer shall purchase from such Stockholder, the amount of Common Stock and Convertible Bonds set forth opposite such Stockholder’s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free and clear of all Encumbrances, and (B) the Buyer shall pay to such Stockholder the amount of the Purchase Price set forth opposite such Stockholder’s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(which amount shall be provided in an updated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shall be based on such Stockholder’s percentage ownership of Shares and Convertible Bonds at Closing), by wire transfer of immediately available funds in Euro, and (ii) the Buyer shall pay to the Company the Group Indebtedness. Ten Business Days prior to the anticipated Closing Date, the Company shall deliver to the Buyer a schedule setting forth the amount of Group Indebtedness to be paid by the Company at the Closing. The Buyer acknowledges and</w:t>
      </w:r>
    </w:p>
    <w:p>
      <w:pPr>
        <w:sectPr>
          <w:pgSz w:w="11900" w:h="16838" w:orient="portrait"/>
          <w:cols w:equalWidth="0" w:num="1">
            <w:col w:w="11240"/>
          </w:cols>
          <w:pgMar w:left="240" w:top="125" w:right="419" w:bottom="0" w:gutter="0" w:footer="0" w:header="0"/>
        </w:sectPr>
      </w:pPr>
    </w:p>
    <w:bookmarkStart w:id="13" w:name="page14"/>
    <w:bookmarkEnd w:id="13"/>
    <w:p>
      <w:pPr>
        <w:ind w:right="20"/>
        <w:spacing w:after="0" w:line="287" w:lineRule="auto"/>
        <w:rPr>
          <w:sz w:val="20"/>
          <w:szCs w:val="20"/>
          <w:color w:val="auto"/>
        </w:rPr>
      </w:pPr>
      <w:r>
        <w:rPr>
          <w:rFonts w:ascii="Arial" w:cs="Arial" w:eastAsia="Arial" w:hAnsi="Arial"/>
          <w:sz w:val="16"/>
          <w:szCs w:val="16"/>
          <w:color w:val="auto"/>
        </w:rPr>
        <w:t xml:space="preserve">agrees that the Stockholders may transfer a certain amount of Common Stock and/or Convertible Bonds among themselves prior to the Closing and that the amount of the Common Stock and Convertible Bonds, the percentage ownership of Shares and Convertible Bonds, and the Purchase Price set forth opposite each Stockholder’s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updated by the Stockholder Representative to reflect the amounts of Common Stock and Convertible Bonds owned by, the percentage ownership of Shares and Convertible Bonds of, and the amount of the Purchase Price to be paid to, each Stockholder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between the date of this Agreement and the Closing, no amount of Common Stock or Convertible Bonds may be transferred by any Stockholder to a Person that is not a Stockholder as of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updated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delivered to the Buyer by the Stockholder Representative at least ten Business Days prior to the Closing Date. Such updated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also set forth a bank account opposite each Stockholder’s name into which the Buyer shall deposit the amount of the Purchase Price to be paid to such Stockholder at the Closing. The Stockholder Representative shall be the sole responsible for the allocation of the Purchase Price among the Stockholders and each Stockholder acknowledges that the Buyer shall be fully discharged from its obligation to pay the Purchase Price by paying to each Stockholder such amount of the Purchase Price as shall have been set forth opposite such Stockholder’s name in the updated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accordance with this Section 2.1(a). The Stockholders may be entitled to receive an additional payment to be calculated and to be allocated among the Stockholders as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Buyer and the Stockholders instruct and authorize the Company and further empower, with full power of substitution, any director of the Company, acting under such director’s signature, to register on the Closing Date, in their name and on their behalf, the sale, assignment, transfer, conveyance and delivery of (i) the Shares in the stockholders’ register of the Company and (ii) the Convertible Bonds in the bondholders’ register of the Company.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Provided the Buyer has (i) paid the Purchase Price and (ii) paid to the Company the Group Indebtedness, this Agreement transfers the rights to the Shares and to the Convertible Bonds and all rights and obligations attached thereto, including the right to dividends or other distributions pertaining to the Shares, as from the Closing Date.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offices of Loyens Winandy, at 14, rue Edward Steichen, L-2540 Luxembourg, on the Closing Date, or at such other place or at such other time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the Buyer and the Stockholder Representative mutually may agree in writing, provided that the conditions set forth in this Agreement are met (or waived,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applicable), the Company shall sell, assign, transfer, convey and deliver to a wholly-owned Subsidiary of the Buyer (the “</w:t>
      </w:r>
      <w:r>
        <w:rPr>
          <w:rFonts w:ascii="Arial" w:cs="Arial" w:eastAsia="Arial" w:hAnsi="Arial"/>
          <w:sz w:val="16"/>
          <w:szCs w:val="16"/>
          <w:u w:val="single" w:color="auto"/>
          <w:color w:val="auto"/>
        </w:rPr>
        <w:t>German and UK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Buyer</w:t>
      </w:r>
      <w:r>
        <w:rPr>
          <w:rFonts w:ascii="Arial" w:cs="Arial" w:eastAsia="Arial" w:hAnsi="Arial"/>
          <w:sz w:val="17"/>
          <w:szCs w:val="17"/>
          <w:color w:val="auto"/>
        </w:rPr>
        <w:t>”), which shall purchase from the Company, (i) immediately prior to the Closing, all of the issued and outstanding shares of capital stock of Actaris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UK II (the “</w:t>
      </w:r>
      <w:r>
        <w:rPr>
          <w:rFonts w:ascii="Arial" w:cs="Arial" w:eastAsia="Arial" w:hAnsi="Arial"/>
          <w:sz w:val="16"/>
          <w:szCs w:val="16"/>
          <w:u w:val="single" w:color="auto"/>
          <w:color w:val="auto"/>
        </w:rPr>
        <w:t>UK Subsidiary Stock</w:t>
      </w:r>
      <w:r>
        <w:rPr>
          <w:rFonts w:ascii="Arial" w:cs="Arial" w:eastAsia="Arial" w:hAnsi="Arial"/>
          <w:sz w:val="16"/>
          <w:szCs w:val="16"/>
          <w:color w:val="auto"/>
        </w:rPr>
        <w:t>”), a company organized under the laws of the United Kingdom and wholly-owned Subsidiary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UK Subsidiary</w:t>
      </w:r>
      <w:r>
        <w:rPr>
          <w:rFonts w:ascii="Arial" w:cs="Arial" w:eastAsia="Arial" w:hAnsi="Arial"/>
          <w:sz w:val="16"/>
          <w:szCs w:val="16"/>
          <w:color w:val="auto"/>
        </w:rPr>
        <w:t>”), and the German and UK Subsidiaries Buyer shall deliver to the Company a check made by the Buyer payable to the Company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of €169,000,000 (the “</w:t>
      </w:r>
      <w:r>
        <w:rPr>
          <w:rFonts w:ascii="Arial" w:cs="Arial" w:eastAsia="Arial" w:hAnsi="Arial"/>
          <w:sz w:val="17"/>
          <w:szCs w:val="17"/>
          <w:u w:val="single" w:color="auto"/>
          <w:color w:val="auto"/>
        </w:rPr>
        <w:t>UK Subsidiary Check</w:t>
      </w:r>
      <w:r>
        <w:rPr>
          <w:rFonts w:ascii="Arial" w:cs="Arial" w:eastAsia="Arial" w:hAnsi="Arial"/>
          <w:sz w:val="17"/>
          <w:szCs w:val="17"/>
          <w:color w:val="auto"/>
        </w:rPr>
        <w:t>”) in exchange therefor (the “</w:t>
      </w:r>
      <w:r>
        <w:rPr>
          <w:rFonts w:ascii="Arial" w:cs="Arial" w:eastAsia="Arial" w:hAnsi="Arial"/>
          <w:sz w:val="17"/>
          <w:szCs w:val="17"/>
          <w:u w:val="single" w:color="auto"/>
          <w:color w:val="auto"/>
        </w:rPr>
        <w:t>UK Subsidiary Purchase</w:t>
      </w:r>
      <w:r>
        <w:rPr>
          <w:rFonts w:ascii="Arial" w:cs="Arial" w:eastAsia="Arial" w:hAnsi="Arial"/>
          <w:sz w:val="17"/>
          <w:szCs w:val="17"/>
          <w:color w:val="auto"/>
        </w:rPr>
        <w:t>”), and (ii) immediately following the UK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Subsidiary Purchase and prior to the Closing, all of the issued and outstanding shares of capital stock of Actaris Development Germany (the “</w:t>
      </w:r>
      <w:r>
        <w:rPr>
          <w:rFonts w:ascii="Arial" w:cs="Arial" w:eastAsia="Arial" w:hAnsi="Arial"/>
          <w:sz w:val="17"/>
          <w:szCs w:val="17"/>
          <w:u w:val="single" w:color="auto"/>
          <w:color w:val="auto"/>
        </w:rPr>
        <w:t>German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Subsidiary Stock</w:t>
      </w:r>
      <w:r>
        <w:rPr>
          <w:rFonts w:ascii="Arial" w:cs="Arial" w:eastAsia="Arial" w:hAnsi="Arial"/>
          <w:sz w:val="17"/>
          <w:szCs w:val="17"/>
          <w:color w:val="auto"/>
        </w:rPr>
        <w:t>”), a company organized under the laws of Germany and wholly-owned Subsidiary of the Company (the “</w:t>
      </w:r>
      <w:r>
        <w:rPr>
          <w:rFonts w:ascii="Arial" w:cs="Arial" w:eastAsia="Arial" w:hAnsi="Arial"/>
          <w:sz w:val="17"/>
          <w:szCs w:val="17"/>
          <w:u w:val="single" w:color="auto"/>
          <w:color w:val="auto"/>
        </w:rPr>
        <w:t>German Subsidiary</w:t>
      </w:r>
      <w:r>
        <w:rPr>
          <w:rFonts w:ascii="Arial" w:cs="Arial" w:eastAsia="Arial" w:hAnsi="Arial"/>
          <w:sz w:val="17"/>
          <w:szCs w:val="17"/>
          <w:color w:val="auto"/>
        </w:rPr>
        <w:t>”),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German and UK Subsidiaries Buyer shall deliver to the Company a check made by the Buyer payable to the Company in the amount of €114,000,000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German Subsidiary Check</w:t>
      </w:r>
      <w:r>
        <w:rPr>
          <w:rFonts w:ascii="Arial" w:cs="Arial" w:eastAsia="Arial" w:hAnsi="Arial"/>
          <w:sz w:val="16"/>
          <w:szCs w:val="16"/>
          <w:color w:val="auto"/>
        </w:rPr>
        <w:t>”) in exchange therefor (the “</w:t>
      </w:r>
      <w:r>
        <w:rPr>
          <w:rFonts w:ascii="Arial" w:cs="Arial" w:eastAsia="Arial" w:hAnsi="Arial"/>
          <w:sz w:val="16"/>
          <w:szCs w:val="16"/>
          <w:u w:val="single" w:color="auto"/>
          <w:color w:val="auto"/>
        </w:rPr>
        <w:t>German Subsidiary Purchase</w:t>
      </w:r>
      <w:r>
        <w:rPr>
          <w:rFonts w:ascii="Arial" w:cs="Arial" w:eastAsia="Arial" w:hAnsi="Arial"/>
          <w:sz w:val="16"/>
          <w:szCs w:val="16"/>
          <w:color w:val="auto"/>
        </w:rPr>
        <w:t>” and, together with the UK Subsidiary Purchase, the “</w:t>
      </w:r>
      <w:r>
        <w:rPr>
          <w:rFonts w:ascii="Arial" w:cs="Arial" w:eastAsia="Arial" w:hAnsi="Arial"/>
          <w:sz w:val="16"/>
          <w:szCs w:val="16"/>
          <w:u w:val="single" w:color="auto"/>
          <w:color w:val="auto"/>
        </w:rPr>
        <w:t>German and UK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Subsidiary Purchase</w:t>
      </w:r>
      <w:r>
        <w:rPr>
          <w:rFonts w:ascii="Arial" w:cs="Arial" w:eastAsia="Arial" w:hAnsi="Arial"/>
          <w:sz w:val="16"/>
          <w:szCs w:val="16"/>
          <w:color w:val="auto"/>
        </w:rPr>
        <w:t>”). Each of the Company and the German and UK Subsidiaries Buyer shall deliver all documents, in form and substance reasonably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satisfactory to the Buyer and the Company, respectively, as such party may request or as may be otherwise necessary or desirable to evidence and effect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 and UK Subsidiaries Purchase. For the avoidance of doubt, the UK Subsidiary Stock and the German Subsidiary Stock shall be subject to Permitted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Encumbrances at the time of the consummation of the German and UK Subsidiary Purchase. Upon consummation of the Closing, the UK Subsidiary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German Subsidiary Stock shall be free and clear of all Encumbrances.</w:t>
      </w:r>
    </w:p>
    <w:p>
      <w:pPr>
        <w:spacing w:after="0" w:line="26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w:t>
      </w:r>
    </w:p>
    <w:p>
      <w:pPr>
        <w:spacing w:after="0" w:line="25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If, following the consummation of the German and UK Subsidiaries Purchase in accordance with </w:t>
      </w:r>
      <w:r>
        <w:rPr>
          <w:rFonts w:ascii="Arial" w:cs="Arial" w:eastAsia="Arial" w:hAnsi="Arial"/>
          <w:sz w:val="16"/>
          <w:szCs w:val="16"/>
          <w:u w:val="single" w:color="auto"/>
          <w:color w:val="auto"/>
        </w:rPr>
        <w:t>Section 2.1(d)</w:t>
      </w:r>
      <w:r>
        <w:rPr>
          <w:rFonts w:ascii="Arial" w:cs="Arial" w:eastAsia="Arial" w:hAnsi="Arial"/>
          <w:sz w:val="16"/>
          <w:szCs w:val="16"/>
          <w:color w:val="auto"/>
        </w:rPr>
        <w:t>, the Closing does not take place for any reason whatsoever, the parties agree that the German and UK Subsidiaries Purchase shall be automatically cancelled and deemed null and void and (i) the German Subsidiary Stock and the UK Subsidiary Stock shall remain the property the Company and (ii) the German Subsidiary Check and the UK Subsidiary Check shall be cancelled and shall have no force or effect. Each of the Company and the German and UK Subsidiaries Buyer shall take all actions and shall deliver all documents as may be necessary or desirable to evidence such cancellations. The German and UK Subsidiaries Buyer further undertakes that it shall pay all taxes and fees incurred in connection with such cancellations and that it shall indemnify and hold harmless the Company from and against any and all Losses incurred by the Company arising from or relating to the cancellation of the German and UK Subsidiary Purchase, except for any such Losses arising from or relating to the failure of any Stockholder or the Company to fulfill any covenant or obligation of such party under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parties agree that, if, for any reason (other than the failure of any Stockholder or the Company to fulfill any covenant or obligation of such party under this Agreement), the consummation of the German and UK Subsidiaries Purchase does not take place, so long as all conditions set forth in this Agreement are met (or waived, as applicable), the Closing will occur as provided herein and none of the Company or the Stockholders shall be held liable to the Buyer or any of its Affiliates, including the German Subsidiary and the UK Subsidiary.</w:t>
      </w:r>
    </w:p>
    <w:p>
      <w:pPr>
        <w:spacing w:after="0" w:line="23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8"/>
          <w:szCs w:val="18"/>
          <w:b w:val="1"/>
          <w:bCs w:val="1"/>
          <w:u w:val="single" w:color="auto"/>
          <w:color w:val="auto"/>
        </w:rPr>
        <w:t>CLOSING</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purchase and sale of the Shares and of the Convertible Bonds shall take place at a closing (the "</w:t>
      </w:r>
      <w:r>
        <w:rPr>
          <w:rFonts w:ascii="Arial" w:cs="Arial" w:eastAsia="Arial" w:hAnsi="Arial"/>
          <w:sz w:val="18"/>
          <w:szCs w:val="18"/>
          <w:u w:val="single" w:color="auto"/>
          <w:color w:val="auto"/>
        </w:rPr>
        <w:t>Closing</w:t>
      </w:r>
      <w:r>
        <w:rPr>
          <w:rFonts w:ascii="Arial" w:cs="Arial" w:eastAsia="Arial" w:hAnsi="Arial"/>
          <w:sz w:val="18"/>
          <w:szCs w:val="18"/>
          <w:color w:val="auto"/>
        </w:rPr>
        <w:t>") to be simultaneously held in Luxembourg at the offices of Loyens Winandy, at 14, rue Edward Steichen, L-2540 Luxembourg, and at the offices of Gibson, Dunn &amp; Crutcher LLP, 200 Park Avenue, New York, New York, 10166, at 4:00 P.M., Luxembourg Time, at the latest on the first Business Day following the 64th day following the date of this Agreement, or at such other place or at such other time or on such other date as the Buyer and the Stockholder Representative mutually may agree in writing, provided that the conditions set forth in this Agreement are met (or waived, as applicable). The day on which the Closing takes place is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ectPr>
          <w:pgSz w:w="11900" w:h="16838" w:orient="portrait"/>
          <w:cols w:equalWidth="0" w:num="1">
            <w:col w:w="11420"/>
          </w:cols>
          <w:pgMar w:left="240" w:top="125" w:right="239" w:bottom="27" w:gutter="0" w:footer="0" w:header="0"/>
        </w:sectPr>
      </w:pPr>
    </w:p>
    <w:bookmarkStart w:id="14" w:name="page15"/>
    <w:bookmarkEnd w:id="14"/>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Closing, each Stockholder shall deliver, or cause to be delivered, to the Buyer the following documents:</w:t>
      </w:r>
    </w:p>
    <w:p>
      <w:pPr>
        <w:spacing w:after="0" w:line="275" w:lineRule="exact"/>
        <w:rPr>
          <w:sz w:val="20"/>
          <w:szCs w:val="20"/>
          <w:color w:val="auto"/>
        </w:rPr>
      </w:pPr>
    </w:p>
    <w:p>
      <w:pPr>
        <w:ind w:firstLine="1953"/>
        <w:spacing w:after="0" w:line="258" w:lineRule="auto"/>
        <w:tabs>
          <w:tab w:leader="none" w:pos="256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CERTIFICATES REPRESENTING THE COMMON STOCK AND THE AMOUNT OF THE CONVERTIBLE BONDS SET FORTH OPPOSITE SUCH STOCKHOLDER’S NAME ON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DULY ENDORSED IN BLANK OR ACCOMPANIED BY STOCK POWERS DULY ENDORSED IN BLANK IN PROPER FORM FOR TRANSFER, WITH APPROPRIATE TRANSFER STAMPS, IF ANY, AFFIXED, OR ANY OTHER EQUIVALENT DULY SIGNED INSTRUMENTS EVIDENCING THE TRANSFER OF SUCH COMMON STOCK AND CONVERTIBLE BONDS;</w:t>
      </w:r>
    </w:p>
    <w:p>
      <w:pPr>
        <w:spacing w:after="0" w:line="238" w:lineRule="exact"/>
        <w:rPr>
          <w:sz w:val="20"/>
          <w:szCs w:val="20"/>
          <w:color w:val="auto"/>
        </w:rPr>
      </w:pPr>
    </w:p>
    <w:p>
      <w:pPr>
        <w:ind w:right="140" w:firstLine="1953"/>
        <w:spacing w:after="0" w:line="282" w:lineRule="auto"/>
        <w:tabs>
          <w:tab w:leader="none" w:pos="263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CERTIFIED RESOLUTIONS OF THE BOARD OF DIRECTORS, OR EQUIVALENT GOVERNING BODY, OF SUCH STOCKHOLDER, IF APPLICABLE, AUTHORIZING THE TRANSACTIONS CONTEMPLATED BY THIS AGREEMENT;</w:t>
      </w:r>
    </w:p>
    <w:p>
      <w:pPr>
        <w:spacing w:after="0" w:line="216" w:lineRule="exact"/>
        <w:rPr>
          <w:sz w:val="20"/>
          <w:szCs w:val="20"/>
          <w:color w:val="auto"/>
        </w:rPr>
      </w:pPr>
    </w:p>
    <w:p>
      <w:pPr>
        <w:ind w:right="80" w:firstLine="1953"/>
        <w:spacing w:after="0" w:line="266" w:lineRule="auto"/>
        <w:tabs>
          <w:tab w:leader="none" w:pos="270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 DULY EXECUTED CERTIFICATE OF THE SECRETARY, OR EQUIVALENT OFFICER, OF SUCH STOCKHOLDER, IF APPLICABLE, AS TO INCUMBENCY AND SPECIMEN SIGNATURE OF THE OFFICER OF SUCH STOCKHOLDER EXECUTING THIS AGREEMENT; AND</w:t>
      </w:r>
    </w:p>
    <w:p>
      <w:pPr>
        <w:spacing w:after="0" w:line="230" w:lineRule="exact"/>
        <w:rPr>
          <w:sz w:val="20"/>
          <w:szCs w:val="20"/>
          <w:color w:val="auto"/>
        </w:rPr>
      </w:pPr>
    </w:p>
    <w:p>
      <w:pPr>
        <w:ind w:right="40" w:firstLine="1945"/>
        <w:spacing w:after="0" w:line="261" w:lineRule="auto"/>
        <w:rPr>
          <w:sz w:val="20"/>
          <w:szCs w:val="20"/>
          <w:color w:val="auto"/>
        </w:rPr>
      </w:pPr>
      <w:r>
        <w:rPr>
          <w:rFonts w:ascii="Arial" w:cs="Arial" w:eastAsia="Arial" w:hAnsi="Arial"/>
          <w:sz w:val="18"/>
          <w:szCs w:val="18"/>
          <w:b w:val="1"/>
          <w:bCs w:val="1"/>
          <w:color w:val="auto"/>
        </w:rPr>
        <w:t xml:space="preserve">(IV) SUCH OTHER DOCUMENTS, IN FORM AND SUBSTANCE REASONABLY SATISFACTORY TO THE BUYER, AS THE BUYER MAY REASONABLY REQUEST OR AS MAY BE OTHERWISE NECESSARY OR DESIRABLE TO EVIDENCE AND EFFECT THE SALE, ASSIGNMENT, TRANSFER, CONVEYANCE AND DELIVERY OF THE COMMON STOCK AND THE AMOUNT OF THE CONVERTIBLE BONDS SET FORTH OPPOSITE SUCH STOCKHOLDER’S NAME ON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TO THE BUYER.</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Closing, the Company shall deliver, or cause to be delivered, to the Buyer the following documents:</w:t>
      </w:r>
    </w:p>
    <w:p>
      <w:pPr>
        <w:spacing w:after="0" w:line="275" w:lineRule="exact"/>
        <w:rPr>
          <w:sz w:val="20"/>
          <w:szCs w:val="20"/>
          <w:color w:val="auto"/>
        </w:rPr>
      </w:pPr>
    </w:p>
    <w:p>
      <w:pPr>
        <w:ind w:right="120" w:firstLine="1953"/>
        <w:spacing w:after="0" w:line="282" w:lineRule="auto"/>
        <w:tabs>
          <w:tab w:leader="none" w:pos="256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CERTIFIED COPIES OF THE ARTICLES OF INCORPORATION, OR EQUIVALENT ORGANIZATIONAL DOCUMENTS, OF THE COMPANY;</w:t>
      </w:r>
    </w:p>
    <w:p>
      <w:pPr>
        <w:spacing w:after="0" w:line="216" w:lineRule="exact"/>
        <w:rPr>
          <w:sz w:val="20"/>
          <w:szCs w:val="20"/>
          <w:color w:val="auto"/>
        </w:rPr>
      </w:pPr>
    </w:p>
    <w:p>
      <w:pPr>
        <w:ind w:right="140" w:firstLine="1953"/>
        <w:spacing w:after="0" w:line="282" w:lineRule="auto"/>
        <w:tabs>
          <w:tab w:leader="none" w:pos="2637"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CERTIFIED RESOLUTIONS OF THE BOARD OF DIRECTORS, OR EQUIVALENT GOVERNING BODY, OF THE COMPANY, AUTHORIZING THE TRANSACTIONS CONTEMPLATED BY THIS AGREEMENT;</w:t>
      </w:r>
    </w:p>
    <w:p>
      <w:pPr>
        <w:spacing w:after="0" w:line="216" w:lineRule="exact"/>
        <w:rPr>
          <w:sz w:val="20"/>
          <w:szCs w:val="20"/>
          <w:color w:val="auto"/>
        </w:rPr>
      </w:pPr>
    </w:p>
    <w:p>
      <w:pPr>
        <w:ind w:right="540" w:firstLine="1953"/>
        <w:spacing w:after="0" w:line="266" w:lineRule="auto"/>
        <w:tabs>
          <w:tab w:leader="none" w:pos="270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 DULY EXECUTED CERTIFICATE OF THE SECRETARY, OR EQUIVALENT OFFICER, OF THE COMPANY, AS TO INCUMBENCY AND SPECIMEN SIGNATURE OF THE OFFICER OF THE COMPANY EXECUTING THIS AGREEMENT;</w:t>
      </w:r>
    </w:p>
    <w:p>
      <w:pPr>
        <w:spacing w:after="0" w:line="230" w:lineRule="exact"/>
        <w:rPr>
          <w:sz w:val="20"/>
          <w:szCs w:val="20"/>
          <w:color w:val="auto"/>
        </w:rPr>
      </w:pPr>
    </w:p>
    <w:p>
      <w:pPr>
        <w:ind w:right="160" w:firstLine="1945"/>
        <w:spacing w:after="0" w:line="282" w:lineRule="auto"/>
        <w:rPr>
          <w:sz w:val="20"/>
          <w:szCs w:val="20"/>
          <w:color w:val="auto"/>
        </w:rPr>
      </w:pPr>
      <w:r>
        <w:rPr>
          <w:rFonts w:ascii="Arial" w:cs="Arial" w:eastAsia="Arial" w:hAnsi="Arial"/>
          <w:sz w:val="18"/>
          <w:szCs w:val="18"/>
          <w:b w:val="1"/>
          <w:bCs w:val="1"/>
          <w:color w:val="auto"/>
        </w:rPr>
        <w:t xml:space="preserve">(IV) A DULY EXECUTED CERTIFICATE OF AN EXECUTIVE OFFICER OF THE COMPANY CERTIFYING THE FULFILLMENT OF THE CONDITIONS SET FORTH IN </w:t>
      </w:r>
      <w:r>
        <w:rPr>
          <w:rFonts w:ascii="Arial" w:cs="Arial" w:eastAsia="Arial" w:hAnsi="Arial"/>
          <w:sz w:val="18"/>
          <w:szCs w:val="18"/>
          <w:b w:val="1"/>
          <w:bCs w:val="1"/>
          <w:u w:val="single" w:color="auto"/>
          <w:color w:val="auto"/>
        </w:rPr>
        <w:t>SECTION 7.3(A)</w:t>
      </w:r>
      <w:r>
        <w:rPr>
          <w:rFonts w:ascii="Arial" w:cs="Arial" w:eastAsia="Arial" w:hAnsi="Arial"/>
          <w:sz w:val="18"/>
          <w:szCs w:val="18"/>
          <w:b w:val="1"/>
          <w:bCs w:val="1"/>
          <w:color w:val="auto"/>
        </w:rPr>
        <w:t>;</w:t>
      </w:r>
    </w:p>
    <w:p>
      <w:pPr>
        <w:spacing w:after="0" w:line="216" w:lineRule="exact"/>
        <w:rPr>
          <w:sz w:val="20"/>
          <w:szCs w:val="20"/>
          <w:color w:val="auto"/>
        </w:rPr>
      </w:pPr>
    </w:p>
    <w:p>
      <w:pPr>
        <w:ind w:right="720" w:firstLine="1953"/>
        <w:spacing w:after="0" w:line="282" w:lineRule="auto"/>
        <w:tabs>
          <w:tab w:leader="none" w:pos="2627"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 DULY EXECUTED CERTIFICATE OF THE COMPANY FOR PURPOSES OF SATISFYING THE COMPANY'S OBLIGATIONS UNDER TREASURY REGULATION SECTION 1.1445-2(C)(3);</w:t>
      </w:r>
    </w:p>
    <w:p>
      <w:pPr>
        <w:spacing w:after="0" w:line="216" w:lineRule="exact"/>
        <w:rPr>
          <w:sz w:val="20"/>
          <w:szCs w:val="20"/>
          <w:color w:val="auto"/>
        </w:rPr>
      </w:pPr>
    </w:p>
    <w:p>
      <w:pPr>
        <w:jc w:val="both"/>
        <w:ind w:right="280" w:firstLine="1945"/>
        <w:spacing w:after="0" w:line="261" w:lineRule="auto"/>
        <w:rPr>
          <w:sz w:val="20"/>
          <w:szCs w:val="20"/>
          <w:color w:val="auto"/>
        </w:rPr>
      </w:pPr>
      <w:r>
        <w:rPr>
          <w:rFonts w:ascii="Arial" w:cs="Arial" w:eastAsia="Arial" w:hAnsi="Arial"/>
          <w:sz w:val="18"/>
          <w:szCs w:val="18"/>
          <w:b w:val="1"/>
          <w:bCs w:val="1"/>
          <w:color w:val="auto"/>
        </w:rPr>
        <w:t>(VI) SUCH OTHER DOCUMENTS, IN FORM AND SUBSTANCE REASONABLY SATISFACTORY TO THE BUYER, AS THE BUYER MAY REASONABLY REQUEST OR AS MAY BE OTHERWISE NECESSARY OR DESIRABLE TO EVIDENCE AND EFFECT THE SALE, ASSIGNMENT, TRANSFER, CONVEYANCE AND DELIVERY OF THE SHARES AND THE CONVERTIBLE BONDS TO THE BUYER.</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Closing, the Buyer shall deliver, or cause to be delivered, to the Stockholder Representative the following documents:</w:t>
      </w:r>
    </w:p>
    <w:p>
      <w:pPr>
        <w:spacing w:after="0" w:line="275" w:lineRule="exact"/>
        <w:rPr>
          <w:sz w:val="20"/>
          <w:szCs w:val="20"/>
          <w:color w:val="auto"/>
        </w:rPr>
      </w:pPr>
    </w:p>
    <w:p>
      <w:pPr>
        <w:ind w:left="2580" w:hanging="627"/>
        <w:spacing w:after="0"/>
        <w:tabs>
          <w:tab w:leader="none" w:pos="2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CERTIFIED COPIES OF THE CERTIFICATE OF INCORPORATION AND BYLAWS OF THE BUYER;</w:t>
      </w:r>
    </w:p>
    <w:p>
      <w:pPr>
        <w:spacing w:after="0" w:line="279" w:lineRule="exact"/>
        <w:rPr>
          <w:sz w:val="20"/>
          <w:szCs w:val="20"/>
          <w:color w:val="auto"/>
        </w:rPr>
      </w:pPr>
    </w:p>
    <w:p>
      <w:pPr>
        <w:ind w:right="300" w:firstLine="1953"/>
        <w:spacing w:after="0" w:line="282" w:lineRule="auto"/>
        <w:tabs>
          <w:tab w:leader="none" w:pos="2637"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CERTIFIED RESOLUTIONS OF THE BOARD OF DIRECTORS OF THE BUYER AUTHORIZING THE TRANSACTIONS CONTEMPLATED BY THIS AGREEMENT;</w:t>
      </w:r>
    </w:p>
    <w:p>
      <w:pPr>
        <w:spacing w:after="0" w:line="216" w:lineRule="exact"/>
        <w:rPr>
          <w:sz w:val="20"/>
          <w:szCs w:val="20"/>
          <w:color w:val="auto"/>
        </w:rPr>
      </w:pPr>
    </w:p>
    <w:p>
      <w:pPr>
        <w:ind w:right="20" w:firstLine="1953"/>
        <w:spacing w:after="0" w:line="282" w:lineRule="auto"/>
        <w:tabs>
          <w:tab w:leader="none" w:pos="2707"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 DULY EXECUTED CERTIFICATE OF THE SECRETARY OF THE BUYER AS TO INCUMBENCY AND SPECIMEN SIGNATURE OF THE OFFICER OF THE BUYER EXECUTING THIS AGREEMENT;</w:t>
      </w:r>
    </w:p>
    <w:p>
      <w:pPr>
        <w:spacing w:after="0" w:line="216" w:lineRule="exact"/>
        <w:rPr>
          <w:sz w:val="20"/>
          <w:szCs w:val="20"/>
          <w:color w:val="auto"/>
        </w:rPr>
      </w:pPr>
    </w:p>
    <w:p>
      <w:pPr>
        <w:ind w:right="20" w:firstLine="1945"/>
        <w:spacing w:after="0" w:line="282" w:lineRule="auto"/>
        <w:rPr>
          <w:sz w:val="20"/>
          <w:szCs w:val="20"/>
          <w:color w:val="auto"/>
        </w:rPr>
      </w:pPr>
      <w:r>
        <w:rPr>
          <w:rFonts w:ascii="Arial" w:cs="Arial" w:eastAsia="Arial" w:hAnsi="Arial"/>
          <w:sz w:val="18"/>
          <w:szCs w:val="18"/>
          <w:b w:val="1"/>
          <w:bCs w:val="1"/>
          <w:color w:val="auto"/>
        </w:rPr>
        <w:t xml:space="preserve">(IV) A DULY EXECUTED CERTIFICATE OF AN EXECUTIVE OFFICER OF THE BUYER CERTIFYING THE FULFILLMENT OF THE CONDITIONS SET FORTH IN </w:t>
      </w:r>
      <w:r>
        <w:rPr>
          <w:rFonts w:ascii="Arial" w:cs="Arial" w:eastAsia="Arial" w:hAnsi="Arial"/>
          <w:sz w:val="18"/>
          <w:szCs w:val="18"/>
          <w:b w:val="1"/>
          <w:bCs w:val="1"/>
          <w:u w:val="single" w:color="auto"/>
          <w:color w:val="auto"/>
        </w:rPr>
        <w:t>SECTION 7.2(A)</w:t>
      </w:r>
      <w:r>
        <w:rPr>
          <w:rFonts w:ascii="Arial" w:cs="Arial" w:eastAsia="Arial" w:hAnsi="Arial"/>
          <w:sz w:val="18"/>
          <w:szCs w:val="18"/>
          <w:b w:val="1"/>
          <w:bCs w:val="1"/>
          <w:color w:val="auto"/>
        </w:rPr>
        <w:t>; AND</w:t>
      </w:r>
    </w:p>
    <w:p>
      <w:pPr>
        <w:spacing w:after="0" w:line="216" w:lineRule="exact"/>
        <w:rPr>
          <w:sz w:val="20"/>
          <w:szCs w:val="20"/>
          <w:color w:val="auto"/>
        </w:rPr>
      </w:pPr>
    </w:p>
    <w:p>
      <w:pPr>
        <w:jc w:val="both"/>
        <w:ind w:right="80" w:firstLine="1953"/>
        <w:spacing w:after="0" w:line="258" w:lineRule="auto"/>
        <w:tabs>
          <w:tab w:leader="none" w:pos="2627"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SUCH OTHER DOCUMENTS, IN FORM AND SUBSTANCE REASONABLY SATISFACTORY TO THE STOCKHOLDER REPRESENTATIVE, AS THE STOCKHOLDER REPRESENTATIVE MAY REASONABLY REQUEST OR AS MAY BE OTHERWISE NECESSARY OR DESIRABLE TO EVIDENCE AND EFFECT THE SALE, ASSIGNMENT, TRANSFER, CONVEYANCE AND DELIVERY OF THE SHARES AND THE CONVERTIBLE BONDS TO THE BUYER AND THE PAYMENT OF THE PURCHASE PRICE TO THE STOCKHOLDERS.</w:t>
      </w:r>
    </w:p>
    <w:p>
      <w:pPr>
        <w:spacing w:after="0" w:line="23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8"/>
          <w:szCs w:val="18"/>
          <w:b w:val="1"/>
          <w:bCs w:val="1"/>
          <w:u w:val="single" w:color="auto"/>
          <w:color w:val="auto"/>
        </w:rPr>
        <w:t>STOCKHOLDER REPRESENTATIVE</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ectPr>
          <w:pgSz w:w="11900" w:h="16838" w:orient="portrait"/>
          <w:cols w:equalWidth="0" w:num="1">
            <w:col w:w="11300"/>
          </w:cols>
          <w:pgMar w:left="240" w:top="148" w:right="359" w:bottom="0" w:gutter="0" w:footer="0" w:header="0"/>
        </w:sectPr>
      </w:pPr>
    </w:p>
    <w:bookmarkStart w:id="15" w:name="page16"/>
    <w:bookmarkEnd w:id="15"/>
    <w:p>
      <w:pPr>
        <w:ind w:right="120" w:firstLine="648"/>
        <w:spacing w:after="0" w:line="255" w:lineRule="auto"/>
        <w:rPr>
          <w:sz w:val="20"/>
          <w:szCs w:val="20"/>
          <w:color w:val="auto"/>
        </w:rPr>
      </w:pPr>
      <w:r>
        <w:rPr>
          <w:rFonts w:ascii="Arial" w:cs="Arial" w:eastAsia="Arial" w:hAnsi="Arial"/>
          <w:sz w:val="18"/>
          <w:szCs w:val="18"/>
          <w:color w:val="auto"/>
        </w:rPr>
        <w:t>Immediately upon execution of this Agreement by all the Stockholders, each Stockholder shall be deemed to have consented to the appointment of the Stockholder Representative as such Stockholder's representative and attorney-in-fact, with full power of substitution to act on behalf of such Stockholder to the extent and in the manner set forth in this Agreement. All decisions, actions, consents and instructions by the Stockholder Representative shall be binding upon each of the Stockholders, and no Stockholder shall have the right to object to, dissent from, protest or otherwise contest the same. The Buyer shall be entitled to rely on any decision, action, consent or instruction of the Stockholder Representative as being the decision, action, consent or instruction of each the Stockholders, and the Buyer is hereby relieved from any liability to any Person for acts done by it or them in accordance with any such decision, act, consent or instruction.</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Stockholder Representative may resign at any time, and may be removed for any reason or no reason by the vote or written consent of the Stockholders holding a majority of the Common Stock of the Company, on an as-converted, fully-diluted basis (the "</w:t>
      </w:r>
      <w:r>
        <w:rPr>
          <w:rFonts w:ascii="Arial" w:cs="Arial" w:eastAsia="Arial" w:hAnsi="Arial"/>
          <w:sz w:val="18"/>
          <w:szCs w:val="18"/>
          <w:u w:val="single" w:color="auto"/>
          <w:color w:val="auto"/>
        </w:rPr>
        <w:t>Majority Holders</w:t>
      </w:r>
      <w:r>
        <w:rPr>
          <w:rFonts w:ascii="Arial" w:cs="Arial" w:eastAsia="Arial" w:hAnsi="Arial"/>
          <w:sz w:val="18"/>
          <w:szCs w:val="18"/>
          <w:color w:val="auto"/>
        </w:rPr>
        <w:t>"), immediately prior to the Closing. In the event of the death, incapacity, resignation or removal of the Stockholder Representative, a new Stockholder Representative shall be appointed by the vote or written consent of the Majority Holders. Notice of such vote or a copy of the written consent appointing such new Stockholder Representative shall be sent to the Buyer, such appointment to be effective upon the later of the date indicated in such consent or the date such consent is received by the Buyer.</w:t>
      </w:r>
    </w:p>
    <w:p>
      <w:pPr>
        <w:spacing w:after="0" w:line="21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ARTICLE III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COMPANY</w:t>
      </w:r>
    </w:p>
    <w:p>
      <w:pPr>
        <w:spacing w:after="0" w:line="256"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Except as set forth in the corresponding sections or subsections of the Disclosure Schedules attached hereto (collectively, the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Schedules</w:t>
      </w:r>
      <w:r>
        <w:rPr>
          <w:rFonts w:ascii="Arial" w:cs="Arial" w:eastAsia="Arial" w:hAnsi="Arial"/>
          <w:sz w:val="17"/>
          <w:szCs w:val="17"/>
          <w:color w:val="auto"/>
        </w:rPr>
        <w:t>"), the Company hereby represents and warrants as of the date hereof (except with respect to Core Representations, with respect to which the Company represents and warrants as of the date hereof and as of the Closing Date) to the Buyer as follows:</w:t>
      </w:r>
    </w:p>
    <w:p>
      <w:pPr>
        <w:spacing w:after="0" w:line="216"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8"/>
          <w:szCs w:val="18"/>
          <w:b w:val="1"/>
          <w:bCs w:val="1"/>
          <w:u w:val="single" w:color="auto"/>
          <w:color w:val="auto"/>
        </w:rPr>
        <w:t>ORGANIZATION AND QUALIFICATION</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and each of its Subsidiaries is (i) a corporation or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as applicable, duly organized, validly existing and in good standing under the laws of the jurisdiction of its incorporation, and has full corporate power and authority to own, lease and operate its properties and to carry on its business as it is now being conducted and (ii) duly qualified or licensed as a foreign corporation to do business, and is in good standing, in each jurisdiction where the character of the properties owned, leased or operated by it or the nature of its business makes such qualification or licensing necessary, except for any such failures to be so qualified or licensed and in good standing that would not, individually or in the aggregate, constitute a Material Adverse Event.</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3.1(b)</w:t>
      </w:r>
      <w:r>
        <w:rPr>
          <w:rFonts w:ascii="Arial" w:cs="Arial" w:eastAsia="Arial" w:hAnsi="Arial"/>
          <w:sz w:val="18"/>
          <w:szCs w:val="18"/>
          <w:color w:val="auto"/>
        </w:rPr>
        <w:t xml:space="preserve"> of the Disclosure Schedules, the Company owns, directly or indirectly, all of the outstanding capital stock of each Subsidiary of the Company. The Company has heretofore furnished to the Buyer a complete and correct copy of the certificate of incorporation and bylaws or equivalent organizational documents providing evidence of due incorporation, good standing, and actual corporate constitution under applicable Laws, each as amended to date, of the Company and each of its Subsidiaries. Such certificates of incorporation, bylaws or equivalent organizational documents are in full force and effect. None of the Company or any of its Subsidiaries is in violation of any of the material provisions of its certificate of incorporation, bylaws or equivalent organizational documents. The transfer books, minute books and any other applicable statutory books and filings of each of the Company and, where applicable, its Subsidiaries that have been made available for inspection by the Buyer prior to the date hereof are true and complete.</w:t>
      </w:r>
    </w:p>
    <w:p>
      <w:pPr>
        <w:spacing w:after="0" w:line="242"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8"/>
          <w:szCs w:val="18"/>
          <w:b w:val="1"/>
          <w:bCs w:val="1"/>
          <w:u w:val="single" w:color="auto"/>
          <w:color w:val="auto"/>
        </w:rPr>
        <w:t>AUTHORITY</w:t>
      </w:r>
    </w:p>
    <w:p>
      <w:pPr>
        <w:spacing w:after="0" w:line="256" w:lineRule="exact"/>
        <w:rPr>
          <w:sz w:val="20"/>
          <w:szCs w:val="20"/>
          <w:color w:val="auto"/>
        </w:rPr>
      </w:pPr>
    </w:p>
    <w:p>
      <w:pPr>
        <w:ind w:firstLine="656"/>
        <w:spacing w:after="0" w:line="273" w:lineRule="auto"/>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has full corporate power and authority to execute and deliver this Agreement, to perform its obligations hereunder and to consummate the transactions contemplated hereby. The execution, delivery and performance by the Company of this Agreement and the consummation by the Company of the transactions contemplated hereby have been duly and validly authorized by all necessary corporate action. This Agreement has been duly executed and delivered by the Company. This Agreement constitutes the legal, valid and binding obligation of the Company, enforceable against the Company in accordance with its terms, except as such enforceability may be limited by applicable bankruptcy, insolvency, moratorium, reorganization or similar Laws in effect which affect the enforcement of creditor’s rights generally and by equitable principles.</w:t>
      </w:r>
    </w:p>
    <w:p>
      <w:pPr>
        <w:spacing w:after="0" w:line="22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8"/>
          <w:szCs w:val="18"/>
          <w:b w:val="1"/>
          <w:bCs w:val="1"/>
          <w:u w:val="single" w:color="auto"/>
          <w:color w:val="auto"/>
        </w:rPr>
        <w:t>NO CONFLICT; REQUIRED FILINGS AND CONSENTS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The execution, delivery and performance by the Company of this Agreement and the consummation of the transactions contemplated hereby, do not and will not:</w:t>
      </w:r>
    </w:p>
    <w:p>
      <w:pPr>
        <w:spacing w:after="0" w:line="220" w:lineRule="exact"/>
        <w:rPr>
          <w:sz w:val="20"/>
          <w:szCs w:val="20"/>
          <w:color w:val="auto"/>
        </w:rPr>
      </w:pPr>
    </w:p>
    <w:p>
      <w:pPr>
        <w:ind w:right="180" w:firstLine="1953"/>
        <w:spacing w:after="0" w:line="282" w:lineRule="auto"/>
        <w:tabs>
          <w:tab w:leader="none" w:pos="2567"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CONFLICT WITH OR VIOLATE THE ARTICLES OF INCORPORATION OR BYLAWS, OR EQUIVALENT ORGANIZATIONAL DOCUMENTS, OF THE COMPANY OR ANY OF ITS SUBSIDIARIES;</w:t>
      </w:r>
    </w:p>
    <w:p>
      <w:pPr>
        <w:spacing w:after="0" w:line="216" w:lineRule="exact"/>
        <w:rPr>
          <w:sz w:val="20"/>
          <w:szCs w:val="20"/>
          <w:color w:val="auto"/>
        </w:rPr>
      </w:pPr>
    </w:p>
    <w:p>
      <w:pPr>
        <w:ind w:right="920" w:firstLine="1953"/>
        <w:spacing w:after="0" w:line="282" w:lineRule="auto"/>
        <w:tabs>
          <w:tab w:leader="none" w:pos="263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CONFLICT WITH OR VIOLATE ANY LAW APPLICABLE TO THE COMPANY OR ANY OF ITS SUBSIDIARIES OR BY WHICH ANY PROPERTY OR ASSET OF THE BUSINESS IS BOUND OR AFFECTED; OR</w:t>
      </w:r>
    </w:p>
    <w:p>
      <w:pPr>
        <w:sectPr>
          <w:pgSz w:w="11900" w:h="16838" w:orient="portrait"/>
          <w:cols w:equalWidth="0" w:num="1">
            <w:col w:w="11420"/>
          </w:cols>
          <w:pgMar w:left="240" w:top="368" w:right="239" w:bottom="0" w:gutter="0" w:footer="0" w:header="0"/>
        </w:sectPr>
      </w:pPr>
    </w:p>
    <w:bookmarkStart w:id="16" w:name="page17"/>
    <w:bookmarkEnd w:id="16"/>
    <w:p>
      <w:pPr>
        <w:spacing w:after="0" w:line="137" w:lineRule="exact"/>
        <w:rPr>
          <w:sz w:val="20"/>
          <w:szCs w:val="20"/>
          <w:color w:val="auto"/>
        </w:rPr>
      </w:pPr>
    </w:p>
    <w:p>
      <w:pPr>
        <w:ind w:right="40" w:firstLine="1953"/>
        <w:spacing w:after="0" w:line="256" w:lineRule="auto"/>
        <w:tabs>
          <w:tab w:leader="none" w:pos="2707"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RESULT IN ANY MATERIAL BREACH OF, CONSTITUTE A MATERIAL DEFAULT (OR AN EVENT THAT, WITH NOTICE OR LAPSE OF TIME OR BOTH, WOULD BECOME A MATERIAL DEFAULT) UNDER, REQUIRE ANY CONSENT OF OR NOTICE TO ANY PERSON PURSUANT TO, OR GIVE TO OTHERS ANY RIGHT OF TERMINATION, AMENDMENT, MODIFICATION, ACCELERATION OR CANCELLATION OF ANY MATERIAL CONTRACT TO WHICH THE COMPANY OR ANY OF ITS SUBSIDIARIES IS A PARTY OR BY WHICH ANY OF ITS OR THEIR RESPECTIVE PROPERTIES, ASSETS OR RIGHTS ARE BOUND OR AFFECTED.</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None of the Company or any of its Subsidiaries is required to file, seek or obtain any notice, authorization, approval, order, permit or consent of or with any Governmental Authority in connection with the execution, delivery and performance by the Company of this Agreement or the consummation of the transactions contemplated hereby or in order to prevent the termination of any right, privilege, license or qualification of the Business, except for (i) any filings required to be made by the Buyer (with the cooperation of the Company) under the German Act, the Spanish Act, the Brazilian Act, the Portuguese Act and the Ukrainian Act, and (ii) any other filings required to be made under any applicable antitrust or competition laws of any Governmental Authority, other than those to be made by the Buyer.</w:t>
      </w:r>
    </w:p>
    <w:p>
      <w:pPr>
        <w:spacing w:after="0" w:line="24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8"/>
          <w:szCs w:val="18"/>
          <w:b w:val="1"/>
          <w:bCs w:val="1"/>
          <w:u w:val="single" w:color="auto"/>
          <w:color w:val="auto"/>
        </w:rPr>
        <w:t>CAPITALIZATION</w:t>
      </w:r>
    </w:p>
    <w:p>
      <w:pPr>
        <w:spacing w:after="0" w:line="256" w:lineRule="exact"/>
        <w:rPr>
          <w:sz w:val="20"/>
          <w:szCs w:val="20"/>
          <w:color w:val="auto"/>
        </w:rPr>
      </w:pPr>
    </w:p>
    <w:p>
      <w:pPr>
        <w:ind w:firstLine="656"/>
        <w:spacing w:after="0" w:line="285"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subscribed capital of the Company is fixed at €1,630,200, represented by 33,200 shares of class A 1 Common Stock, 28,008 shares of class A 2 Common Stock, and 4,000 shares of class A 3 Common Stock, collectively constituting the Shares. The Company has issued (i) 2,016,336 A 1 convertible bonds, (ii) 360,060 A 2 convertible bonds, (iii) 3,461,136 B 1 convertible bonds and (iv) 618,060 B 2 convertible bonds, collectively constituting the Convertible Bonds.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of the Disclosure Schedules sets forth, for each Subsidiary of the Company, the amount of its authorized capital stock, the amount of its outstanding capital stock and the record and beneficial owners of its outstanding capital stock. Except as set forth in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of the Disclosure Schedules, neither the Company nor any of its Subsidiaries has issued or agreed to issue any: (i) share of capital stock or other equity or ownership interest; (ii) option, warrant or interest convertible into or exchangeable or exercisable for the purchase of shares of capital stock or other equity or ownership interests; (iii) stock appreciation right, phantom stock, interest in the ownership of the Company or any of its Subsidiaries or other equity equivalent or equity-based award or right; or (iv) bond, debenture or other indebtedness having the right to vote or convertible or exchangeable for capital stock or other equity or ownership interests or for securities having the right to vote. Each outstanding share of capital stock or other equity or ownership interest of the Company and each of its Subsidiaries is duly authorized, validly issued, fully paid and nonassessable, and in the case of the Subsidiaries of the Company, except as set forth in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of the Disclosure Schedules, each such share or other equity or ownership interest is owned by the Company or another Subsidiary of the Company, free and clear of any Encumbrance other than the Permitted Encumbrances (a list of which, to the extent they relate to shares or equity ownership interest of the Company and its Subsidiaries, is set forth in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of the Disclosure Schedules). All of the aforesaid shares or other equity or ownership interests have been offered, sold and delivered by the Company or a Subsidiary in compliance with all applicable securities Laws. Except for rights granted to the Buyer under this Agreement, there are no outstanding obligations of the Company or any of its Subsidiaries to issue, sell or transfer or repurchase, redeem or otherwise acquire, or that relate to the voting or disposition of, or that restrict the transfer of, the issued or unissued capital stock or other equity or ownership interests of the Company or any of its Subsidiaries. No shares of capital stock or other equity or ownership interests of the Company or any of its Subsidiaries have been issued in violation of any rights, agreements, arrangements or commitments under any provision of applicable Law or the articles of incorporation or bylaws, or equivalent organizational documents, of the Company or any of its Subsidiaries.</w:t>
      </w:r>
    </w:p>
    <w:p>
      <w:pPr>
        <w:spacing w:after="0" w:line="21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8"/>
          <w:szCs w:val="18"/>
          <w:b w:val="1"/>
          <w:bCs w:val="1"/>
          <w:u w:val="single" w:color="auto"/>
          <w:color w:val="auto"/>
        </w:rPr>
        <w:t>EQUITY INTERESTS</w:t>
      </w:r>
    </w:p>
    <w:p>
      <w:pPr>
        <w:spacing w:after="0" w:line="256" w:lineRule="exact"/>
        <w:rPr>
          <w:sz w:val="20"/>
          <w:szCs w:val="20"/>
          <w:color w:val="auto"/>
        </w:rPr>
      </w:pPr>
    </w:p>
    <w:p>
      <w:pPr>
        <w:ind w:right="280" w:firstLine="656"/>
        <w:spacing w:after="0" w:line="279" w:lineRule="auto"/>
        <w:tabs>
          <w:tab w:leader="none" w:pos="783"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Except for the Subsidiaries of the Company listed on </w:t>
      </w:r>
      <w:r>
        <w:rPr>
          <w:rFonts w:ascii="Arial" w:cs="Arial" w:eastAsia="Arial" w:hAnsi="Arial"/>
          <w:sz w:val="17"/>
          <w:szCs w:val="17"/>
          <w:u w:val="single" w:color="auto"/>
          <w:color w:val="auto"/>
        </w:rPr>
        <w:t>Schedule 3.4</w:t>
      </w:r>
      <w:r>
        <w:rPr>
          <w:rFonts w:ascii="Arial" w:cs="Arial" w:eastAsia="Arial" w:hAnsi="Arial"/>
          <w:sz w:val="17"/>
          <w:szCs w:val="17"/>
          <w:color w:val="auto"/>
        </w:rPr>
        <w:t xml:space="preserve"> of the Disclosure Schedules, neither the Company nor any of its Subsidiaries directly or indirectly owns any equity, partnership, membership or similar interest in, or any interest convertible into, exercisable for the purchase of or exchangeable for any such equity, partnership, membership or similar interest or is under any current or prospective obligation to form or participate in, provide funds to, make any loan, capital contribution or other investment in or assume any liability or obligation of, any Person.</w:t>
      </w:r>
    </w:p>
    <w:p>
      <w:pPr>
        <w:spacing w:after="0" w:line="221"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8"/>
          <w:szCs w:val="18"/>
          <w:b w:val="1"/>
          <w:bCs w:val="1"/>
          <w:u w:val="single" w:color="auto"/>
          <w:color w:val="auto"/>
        </w:rPr>
        <w:t>FINANCIAL STATEMENTS; NO UNDISCLOSED LIABILITIES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True and complete copies of the audited consolidated balance sheet of the Company and its Subsidiaries as at December 31, 2004 and 2005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the related audited consolidated statements of income, retained earnings, stockholders' equity and changes in financial position of the Company and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Subsidiaries, together with all related notes and schedules thereto, accompanied by the reports thereon of the Company's independent auditors (collectively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as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and the unaudited consolidated balance sheet of the Company and its Subsidiaries as at December 31, 2006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Balance Sheet</w:t>
      </w:r>
      <w:r>
        <w:rPr>
          <w:rFonts w:ascii="Arial" w:cs="Arial" w:eastAsia="Arial" w:hAnsi="Arial"/>
          <w:sz w:val="16"/>
          <w:szCs w:val="16"/>
          <w:color w:val="auto"/>
        </w:rPr>
        <w:t>"), and the related consolidated statements of income, retained earnings, stockholders' equity and changes in financial position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its Subsidiaries, together with all related notes and schedules thereto (collectively referred to as the "</w:t>
      </w:r>
      <w:r>
        <w:rPr>
          <w:rFonts w:ascii="Arial" w:cs="Arial" w:eastAsia="Arial" w:hAnsi="Arial"/>
          <w:sz w:val="16"/>
          <w:szCs w:val="16"/>
          <w:u w:val="single" w:color="auto"/>
          <w:color w:val="auto"/>
        </w:rPr>
        <w:t>Unaudited Financial Statements</w:t>
      </w:r>
      <w:r>
        <w:rPr>
          <w:rFonts w:ascii="Arial" w:cs="Arial" w:eastAsia="Arial" w:hAnsi="Arial"/>
          <w:sz w:val="16"/>
          <w:szCs w:val="16"/>
          <w:color w:val="auto"/>
        </w:rPr>
        <w:t>") are attached hereto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w:t>
      </w:r>
      <w:r>
        <w:rPr>
          <w:rFonts w:ascii="Arial" w:cs="Arial" w:eastAsia="Arial" w:hAnsi="Arial"/>
          <w:sz w:val="16"/>
          <w:szCs w:val="16"/>
          <w:u w:val="single" w:color="auto"/>
          <w:color w:val="auto"/>
        </w:rPr>
        <w:t>Schedule 3.6(a)</w:t>
      </w:r>
      <w:r>
        <w:rPr>
          <w:rFonts w:ascii="Arial" w:cs="Arial" w:eastAsia="Arial" w:hAnsi="Arial"/>
          <w:sz w:val="16"/>
          <w:szCs w:val="16"/>
          <w:color w:val="auto"/>
        </w:rPr>
        <w:t xml:space="preserve"> of the Disclosure Schedules. Each of the Financial Statements and the Unaudited Financial Statements (i) are correct and complete in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material respects and have been prepared in accordance with the books and records of the Company and its Subsidiaries, (ii) except as set forth on </w:t>
      </w:r>
      <w:r>
        <w:rPr>
          <w:rFonts w:ascii="Arial" w:cs="Arial" w:eastAsia="Arial" w:hAnsi="Arial"/>
          <w:sz w:val="16"/>
          <w:szCs w:val="16"/>
          <w:u w:val="single" w:color="auto"/>
          <w:color w:val="auto"/>
        </w:rPr>
        <w:t>Schedule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3.6(a)</w:t>
      </w:r>
      <w:r>
        <w:rPr>
          <w:rFonts w:ascii="Arial" w:cs="Arial" w:eastAsia="Arial" w:hAnsi="Arial"/>
          <w:sz w:val="16"/>
          <w:szCs w:val="16"/>
          <w:color w:val="auto"/>
        </w:rPr>
        <w:t xml:space="preserve"> of the Disclosure Schedules, have been prepared in accordance with GAAP applied on a consistent basis throughout the periods indicated (except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indicated in the notes thereto) and (iii) fairly present, in all material respects, the consolidated financial position, results of operations and cash flows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 and its Subsidiaries as at the respective dates thereof and for the respective periods indicated therein, except as otherwise noted therein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except that interim financial statements omit footnotes and are subject to customary year-end adjustments and accruals.</w:t>
      </w:r>
    </w:p>
    <w:p>
      <w:pPr>
        <w:spacing w:after="0" w:line="26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As of the date hereof, the Group Indebtedness is €480,600,000 and set forth on </w:t>
      </w:r>
      <w:r>
        <w:rPr>
          <w:rFonts w:ascii="Arial" w:cs="Arial" w:eastAsia="Arial" w:hAnsi="Arial"/>
          <w:sz w:val="18"/>
          <w:szCs w:val="18"/>
          <w:u w:val="single" w:color="auto"/>
          <w:color w:val="auto"/>
        </w:rPr>
        <w:t>Schedule 3.6(b)</w:t>
      </w:r>
      <w:r>
        <w:rPr>
          <w:rFonts w:ascii="Arial" w:cs="Arial" w:eastAsia="Arial" w:hAnsi="Arial"/>
          <w:sz w:val="18"/>
          <w:szCs w:val="18"/>
          <w:color w:val="auto"/>
        </w:rPr>
        <w:t xml:space="preserve"> of the Disclosure Schedules are fair and carefully prepared estimates (which includes the Group Indebtedness’ estimate as of the date hereof), produced by the Company in good faith and reflecting the past business history of the Company, of the amount of Group Indebtedness that will be paid to the Company if the Closing Date were on the dates indicated in such schedule.</w:t>
      </w:r>
    </w:p>
    <w:p>
      <w:pPr>
        <w:spacing w:after="0" w:line="23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7"/>
          <w:szCs w:val="17"/>
          <w:b w:val="1"/>
          <w:bCs w:val="1"/>
          <w:u w:val="single" w:color="auto"/>
          <w:color w:val="auto"/>
        </w:rPr>
        <w:t>ABSENCE OF CERTAIN CHANGES OR EVENTS.</w:t>
      </w:r>
    </w:p>
    <w:p>
      <w:pPr>
        <w:spacing w:after="0" w:line="256" w:lineRule="exact"/>
        <w:rPr>
          <w:sz w:val="20"/>
          <w:szCs w:val="20"/>
          <w:color w:val="auto"/>
        </w:rPr>
      </w:pPr>
    </w:p>
    <w:p>
      <w:pPr>
        <w:jc w:val="both"/>
        <w:ind w:right="320" w:firstLine="738"/>
        <w:spacing w:after="0" w:line="342" w:lineRule="auto"/>
        <w:rPr>
          <w:sz w:val="20"/>
          <w:szCs w:val="20"/>
          <w:color w:val="auto"/>
        </w:rPr>
      </w:pPr>
      <w:r>
        <w:rPr>
          <w:rFonts w:ascii="Arial" w:cs="Arial" w:eastAsia="Arial" w:hAnsi="Arial"/>
          <w:sz w:val="16"/>
          <w:szCs w:val="16"/>
          <w:color w:val="auto"/>
        </w:rPr>
        <w:t>Since the date of the Balance Sheet: (i) the Company and its Subsidiaries have conducted their businesses only in the ordinary course consistent with past practice; (ii) there has not been any Material Adverse Event; (iii) neither the Company nor any of its Subsidiaries has suffered any material loss,</w:t>
      </w:r>
    </w:p>
    <w:p>
      <w:pPr>
        <w:sectPr>
          <w:pgSz w:w="11900" w:h="16975" w:orient="portrait"/>
          <w:cols w:equalWidth="0" w:num="1">
            <w:col w:w="11420"/>
          </w:cols>
          <w:pgMar w:left="240" w:top="148" w:right="239" w:bottom="0" w:gutter="0" w:footer="0" w:header="0"/>
        </w:sectPr>
      </w:pPr>
    </w:p>
    <w:bookmarkStart w:id="17" w:name="page18"/>
    <w:bookmarkEnd w:id="17"/>
    <w:p>
      <w:pPr>
        <w:ind w:right="100"/>
        <w:spacing w:after="0" w:line="264" w:lineRule="auto"/>
        <w:rPr>
          <w:sz w:val="20"/>
          <w:szCs w:val="20"/>
          <w:color w:val="auto"/>
        </w:rPr>
      </w:pPr>
      <w:r>
        <w:rPr>
          <w:rFonts w:ascii="Arial" w:cs="Arial" w:eastAsia="Arial" w:hAnsi="Arial"/>
          <w:sz w:val="18"/>
          <w:szCs w:val="18"/>
          <w:color w:val="auto"/>
        </w:rPr>
        <w:t xml:space="preserve">damage, destruction or other casualty affecting any of its material properties or assets, whether or not covered by insurance; and (iv) none of the Company or any of its Subsidiaries has taken any action that, if taken after the date of this Agreement, would constitute a breach of any of the covenants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31"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3.8</w:t>
      </w:r>
      <w:r>
        <w:rPr>
          <w:sz w:val="20"/>
          <w:szCs w:val="20"/>
          <w:color w:val="auto"/>
        </w:rPr>
        <w:tab/>
      </w:r>
      <w:r>
        <w:rPr>
          <w:rFonts w:ascii="Arial" w:cs="Arial" w:eastAsia="Arial" w:hAnsi="Arial"/>
          <w:sz w:val="18"/>
          <w:szCs w:val="18"/>
          <w:b w:val="1"/>
          <w:bCs w:val="1"/>
          <w:u w:val="single" w:color="auto"/>
          <w:color w:val="auto"/>
        </w:rPr>
        <w:t>COMPLIANCE WITH LAW; PERMITS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To the Knowledge of the Company, each of the Company and its Subsidiaries, and the Material Leased Real Property and the Material Owned Real Property, is and has been in compliance in all material respects with all Laws applicable to it. None of the Company, any of its Subsidiaries or any of its or their executive officers has received during the past three years, nor, to the Knowledge of the Company, is there any basis for, any notice, order, complaint or other communication from any Governmental Authority or any other Person that the Company or any of its Subsidiaries is not in compliance in any material respect with any Law applicable to it.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To the Knowledge of the Company, each of the Company and its Subsidiaries are in possession of all permits, licenses, franchises,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approvals, certificates, consents, waivers, concessions, exemptions, orders, registrations, notices or other authorizations issued to, or required to be obtained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maintained by, it in order to own, lease and operate its properties and to carry on its business in all material respects as currently conducted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Permits</w:t>
      </w:r>
      <w:r>
        <w:rPr>
          <w:rFonts w:ascii="Arial" w:cs="Arial" w:eastAsia="Arial" w:hAnsi="Arial"/>
          <w:sz w:val="17"/>
          <w:szCs w:val="17"/>
          <w:color w:val="auto"/>
        </w:rPr>
        <w:t>"). To the Knowledge of the Company, the Company and its Subsidiaries are and have been in compliance in all material respects with all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Permits. No suspension, cancellation, modification, revocation or nonrenewal of any Permits is pending or, to the Knowledge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threatened. To the Knowledge of the Company, no Permits are held in the name of any employee, officer, director, stockholder, agent or otherwise on behalf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or any of its Subsidiaries.</w:t>
      </w:r>
    </w:p>
    <w:p>
      <w:pPr>
        <w:spacing w:after="0" w:line="261"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3.9</w:t>
      </w:r>
      <w:r>
        <w:rPr>
          <w:sz w:val="20"/>
          <w:szCs w:val="20"/>
          <w:color w:val="auto"/>
        </w:rPr>
        <w:tab/>
      </w:r>
      <w:r>
        <w:rPr>
          <w:rFonts w:ascii="Arial" w:cs="Arial" w:eastAsia="Arial" w:hAnsi="Arial"/>
          <w:sz w:val="18"/>
          <w:szCs w:val="18"/>
          <w:b w:val="1"/>
          <w:bCs w:val="1"/>
          <w:u w:val="single" w:color="auto"/>
          <w:color w:val="auto"/>
        </w:rPr>
        <w:t>LITIGATION</w:t>
      </w:r>
    </w:p>
    <w:p>
      <w:pPr>
        <w:spacing w:after="0" w:line="256" w:lineRule="exact"/>
        <w:rPr>
          <w:sz w:val="20"/>
          <w:szCs w:val="20"/>
          <w:color w:val="auto"/>
        </w:rPr>
      </w:pPr>
    </w:p>
    <w:p>
      <w:pPr>
        <w:ind w:firstLine="656"/>
        <w:spacing w:after="0" w:line="270" w:lineRule="auto"/>
        <w:tabs>
          <w:tab w:leader="none" w:pos="783"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3.9</w:t>
      </w:r>
      <w:r>
        <w:rPr>
          <w:rFonts w:ascii="Arial" w:cs="Arial" w:eastAsia="Arial" w:hAnsi="Arial"/>
          <w:sz w:val="17"/>
          <w:szCs w:val="17"/>
          <w:color w:val="auto"/>
        </w:rPr>
        <w:t xml:space="preserve"> of the Disclosure Schedules, there is no Action (except for any individual Action commenced by Persons other than Governmental Authorities that would not reasonably be expected to result in a liability or loss to the Company or its Subsidiaries of more than €500,000) pending or, to the Knowledge of the Company, threatened against the Company or any of its Subsidiaries, or any material property or asset of the Company or any of its Subsidiaries, or any of the officers or directors of the Company or any of its Subsidiaries, in regards to their actions as such, nor, to the Knowledge of the Company, is there any basis for any such Action. There is no Action pending or, to the Knowledge of the Company, threatened seeking to prevent, hinder, modify, delay or challenge the transactions contemplated by this Agreement. There is no outstanding order, writ, judgment, injunction, decree, determination or award of, or pending or, to the Knowledge of the Company, threatened investigation by, any Governmental Authority relating to the Company, any of its Subsidiaries, any of their respective officers or directors (in regards to their actions as such), any of their respective properties or assets or the transactions contemplated by this Agreement. There is no Action by the Company or any of its Subsidiaries pending, or which the Company or any of its Subsidiaries has commenced preparations to initiate, against any other Person.</w:t>
      </w:r>
    </w:p>
    <w:p>
      <w:pPr>
        <w:spacing w:after="0" w:line="228"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3.10</w:t>
      </w:r>
      <w:r>
        <w:rPr>
          <w:sz w:val="20"/>
          <w:szCs w:val="20"/>
          <w:color w:val="auto"/>
        </w:rPr>
        <w:tab/>
      </w:r>
      <w:r>
        <w:rPr>
          <w:rFonts w:ascii="Arial" w:cs="Arial" w:eastAsia="Arial" w:hAnsi="Arial"/>
          <w:sz w:val="18"/>
          <w:szCs w:val="18"/>
          <w:b w:val="1"/>
          <w:bCs w:val="1"/>
          <w:u w:val="single" w:color="auto"/>
          <w:color w:val="auto"/>
        </w:rPr>
        <w:t>EMPLOYEE BENEFIT PLANS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The Company has made available to the Buyer correct and complete copies of, as applicable, (i) each material Employee Benefit Plan (or, in the case of any such material Employee Benefit Plan that is unwritten, descriptions thereof), (ii) the most recent summary plan description for each material Employee Benefit Plan and any subsequent summaries of material modifications, (iii) the most recent determination or opinion letter issued by the United States Internal Revenue Service, (iv) the most recent annual report filed on Form 5500 with respect to each material Employee Benefit Plan, and (v) the most recent actuarial report with respect to any material Employee Benefit Plan.</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Each material Employee Benefit Plan has been administered in all material respects in accordance with its terms and applicable Law.</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The Company has received a favorable determination or opinion letter from the United States Internal Revenue Service with respect to each material Employee Benefit Plan that is intended to be tax qualified under Section 401(a) of the United States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to the Knowledge of the Company, nothing has occurred since the date of such letter that could adversely impact the tax-qualified status of any such Employee Benefit Plan.</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ind w:right="320" w:firstLine="1297"/>
        <w:spacing w:after="0" w:line="308" w:lineRule="auto"/>
        <w:rPr>
          <w:sz w:val="20"/>
          <w:szCs w:val="20"/>
          <w:color w:val="auto"/>
        </w:rPr>
      </w:pPr>
      <w:r>
        <w:rPr>
          <w:rFonts w:ascii="Arial" w:cs="Arial" w:eastAsia="Arial" w:hAnsi="Arial"/>
          <w:sz w:val="17"/>
          <w:szCs w:val="17"/>
          <w:color w:val="auto"/>
        </w:rPr>
        <w:t>All contributions, premiums, and benefit payments under or in connection with the material Employee Benefit Plans that are required to have been made as of the date hereof in accordance with the terms of such material Employee Benefit Plans have been timely made.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 Employee Benefit Plan is subject to Title IV of ERISA or is a multiemployer plan within the meaning of Section 3(37)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ERISA. Neither the Company nor any Subsidiary has incurred or would be reasonably expected to incur any material liability with respect to any single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employer plan subject to Title IV of ERISA.</w:t>
      </w:r>
    </w:p>
    <w:p>
      <w:pPr>
        <w:spacing w:after="0" w:line="26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w:t>
      </w:r>
    </w:p>
    <w:p>
      <w:pPr>
        <w:sectPr>
          <w:pgSz w:w="11900" w:h="16838" w:orient="portrait"/>
          <w:cols w:equalWidth="0" w:num="1">
            <w:col w:w="11420"/>
          </w:cols>
          <w:pgMar w:left="240" w:top="125" w:right="239" w:bottom="225" w:gutter="0" w:footer="0" w:header="0"/>
        </w:sectPr>
      </w:pPr>
    </w:p>
    <w:bookmarkStart w:id="18" w:name="page19"/>
    <w:bookmarkEnd w:id="18"/>
    <w:p>
      <w:pPr>
        <w:spacing w:after="0" w:line="14"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There are no material pending (or, to the Company's Knowledge, threatened) claims (other than routine benefit claims) or lawsuits that have been asserted or instituted by, against, or relating to, any Employee Benefit Plan. No Employee Benefit Plan is or within the preceding two years has been under investigation, audit or examination (nor has notice been received of a potential audit or examination) by any Governmental Authority (including the United States Internal Revenue Service and the United States Department of Labor).</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w:t>
      </w:r>
    </w:p>
    <w:p>
      <w:pPr>
        <w:spacing w:after="0" w:line="256"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No Employee Benefit Plan contains any provision that would accelerate or vest any benefit or require severance, termination or other additional payments or trigger any additional material liabilities as a result of the transactions contemplated by this Agreement. No amount, economic benefit or other entitlement that would be received (whether in cash or property or the vesting of property) as a result of any of the transactions contemplated by this Agreement (alone or in combination with any other event) by any Person who is a "disqualified individual" (as defined in United States Treasury Regulation Section 1.280G-1) with respect to the Company would be characterized as an "excess parachute payment" (as defined in Section 280G(b)(1) of the Code), and no such disqualified individual is entitled to receive any additional payment from the Company, any of its Subsidiaries or any other Person in the event that the excise tax required by Section 4999(a) of the Code is imposed on such disqualified individual.</w:t>
      </w: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w:t>
      </w:r>
    </w:p>
    <w:p>
      <w:pPr>
        <w:spacing w:after="0" w:line="256"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Each Employee Benefit Plan that is a "nonqualified deferred compensation plan" within the meaning of Section 409A(d)(1) of the Code (a "</w:t>
      </w:r>
      <w:r>
        <w:rPr>
          <w:rFonts w:ascii="Arial" w:cs="Arial" w:eastAsia="Arial" w:hAnsi="Arial"/>
          <w:sz w:val="16"/>
          <w:szCs w:val="16"/>
          <w:u w:val="single" w:color="auto"/>
          <w:color w:val="auto"/>
        </w:rPr>
        <w:t>Nonqualified Deferred Compensation Plan</w:t>
      </w:r>
      <w:r>
        <w:rPr>
          <w:rFonts w:ascii="Arial" w:cs="Arial" w:eastAsia="Arial" w:hAnsi="Arial"/>
          <w:sz w:val="16"/>
          <w:szCs w:val="16"/>
          <w:color w:val="auto"/>
        </w:rPr>
        <w:t>") subject to Section 409A of the Code has been operated in all material respects in compliance with Section 409A of the Code since January 1, 2005, based upon a good faith, reasonable interpretation of (i) Section 409A of the Code and (ii)(X) the Proposed Regulations issued thereunder or (Y) IRS Notice 2005-1, in each case as modified by IRS Notice 2006-79 (clauses (i) and (ii), together, the "</w:t>
      </w:r>
      <w:r>
        <w:rPr>
          <w:rFonts w:ascii="Arial" w:cs="Arial" w:eastAsia="Arial" w:hAnsi="Arial"/>
          <w:sz w:val="16"/>
          <w:szCs w:val="16"/>
          <w:u w:val="single" w:color="auto"/>
          <w:color w:val="auto"/>
        </w:rPr>
        <w:t>409A Authorities</w:t>
      </w:r>
      <w:r>
        <w:rPr>
          <w:rFonts w:ascii="Arial" w:cs="Arial" w:eastAsia="Arial" w:hAnsi="Arial"/>
          <w:sz w:val="16"/>
          <w:szCs w:val="16"/>
          <w:color w:val="auto"/>
        </w:rPr>
        <w:t>"). No Employee Benefit Plan that would be a Nonqualified Deferred Compensation Plan subject to Section 409A of the Code but for the effective date provisions that are applicable to Section 409A of the Code, as set forth in Section 885(d) of the American Jobs Creation Act of 2004, as amended (the "</w:t>
      </w:r>
      <w:r>
        <w:rPr>
          <w:rFonts w:ascii="Arial" w:cs="Arial" w:eastAsia="Arial" w:hAnsi="Arial"/>
          <w:sz w:val="16"/>
          <w:szCs w:val="16"/>
          <w:u w:val="single" w:color="auto"/>
          <w:color w:val="auto"/>
        </w:rPr>
        <w:t>AJCA</w:t>
      </w:r>
      <w:r>
        <w:rPr>
          <w:rFonts w:ascii="Arial" w:cs="Arial" w:eastAsia="Arial" w:hAnsi="Arial"/>
          <w:sz w:val="16"/>
          <w:szCs w:val="16"/>
          <w:color w:val="auto"/>
        </w:rPr>
        <w:t>"), has been "materially modified" within the meaning of Section 885(d)(2)(B) of the AJCA after October 3, 2004, based upon a good faith reasonable interpretation of the AJCA and the 409A Authorities or has been operated in violation of the 409A Authorities. No individual is entitled to any gross-up, make-whole or other additional payment from the Company or any of its Subsidiaries in respect of any Tax or interest or penalty related thereto. Each Employee Benefit Plan that qualifies as company pension within the meaning of the German Company Pension Act (</w:t>
      </w:r>
      <w:r>
        <w:rPr>
          <w:rFonts w:ascii="Arial" w:cs="Arial" w:eastAsia="Arial" w:hAnsi="Arial"/>
          <w:sz w:val="16"/>
          <w:szCs w:val="16"/>
          <w:i w:val="1"/>
          <w:iCs w:val="1"/>
          <w:color w:val="auto"/>
        </w:rPr>
        <w:t>Betriebsrentengesetz 1974</w:t>
      </w:r>
      <w:r>
        <w:rPr>
          <w:rFonts w:ascii="Arial" w:cs="Arial" w:eastAsia="Arial" w:hAnsi="Arial"/>
          <w:sz w:val="16"/>
          <w:szCs w:val="16"/>
          <w:color w:val="auto"/>
        </w:rPr>
        <w:t>) has been operated in all material respects in compliance with such Act and with the provisions of such Employee Benefit Plan and no backlog adjustments of the pension payments (</w:t>
      </w:r>
      <w:r>
        <w:rPr>
          <w:rFonts w:ascii="Arial" w:cs="Arial" w:eastAsia="Arial" w:hAnsi="Arial"/>
          <w:sz w:val="16"/>
          <w:szCs w:val="16"/>
          <w:i w:val="1"/>
          <w:iCs w:val="1"/>
          <w:color w:val="auto"/>
        </w:rPr>
        <w:t>nachträgliche oder nachholende Anpassung</w:t>
      </w:r>
      <w:r>
        <w:rPr>
          <w:rFonts w:ascii="Arial" w:cs="Arial" w:eastAsia="Arial" w:hAnsi="Arial"/>
          <w:sz w:val="16"/>
          <w:szCs w:val="16"/>
          <w:color w:val="auto"/>
        </w:rPr>
        <w:t>) to pensioners are required to be made for periods prior to the Closing.</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w:t>
      </w:r>
    </w:p>
    <w:p>
      <w:pPr>
        <w:spacing w:after="0" w:line="252" w:lineRule="exact"/>
        <w:rPr>
          <w:sz w:val="20"/>
          <w:szCs w:val="20"/>
          <w:color w:val="auto"/>
        </w:rPr>
      </w:pPr>
    </w:p>
    <w:p>
      <w:pPr>
        <w:ind w:right="480" w:firstLine="1297"/>
        <w:spacing w:after="0" w:line="282" w:lineRule="auto"/>
        <w:rPr>
          <w:sz w:val="20"/>
          <w:szCs w:val="20"/>
          <w:color w:val="auto"/>
        </w:rPr>
      </w:pPr>
      <w:r>
        <w:rPr>
          <w:rFonts w:ascii="Arial" w:cs="Arial" w:eastAsia="Arial" w:hAnsi="Arial"/>
          <w:sz w:val="18"/>
          <w:szCs w:val="18"/>
          <w:b w:val="1"/>
          <w:bCs w:val="1"/>
          <w:color w:val="auto"/>
        </w:rPr>
        <w:t>NO EMPLOYEE BENEFIT PLAN PROVIDES POST-RETIREMENT WELFARE BENEFITS EXCEPT TO THE EXTENT REQUIRED BY SECTION 4980B OF THE CODE.</w:t>
      </w:r>
    </w:p>
    <w:p>
      <w:pPr>
        <w:spacing w:after="0" w:line="216"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b w:val="1"/>
          <w:bCs w:val="1"/>
          <w:color w:val="auto"/>
        </w:rPr>
        <w:t>SECTION 3.11</w:t>
      </w:r>
      <w:r>
        <w:rPr>
          <w:sz w:val="20"/>
          <w:szCs w:val="20"/>
          <w:color w:val="auto"/>
        </w:rPr>
        <w:tab/>
      </w:r>
      <w:r>
        <w:rPr>
          <w:rFonts w:ascii="Arial" w:cs="Arial" w:eastAsia="Arial" w:hAnsi="Arial"/>
          <w:sz w:val="18"/>
          <w:szCs w:val="18"/>
          <w:b w:val="1"/>
          <w:bCs w:val="1"/>
          <w:u w:val="single" w:color="auto"/>
          <w:color w:val="auto"/>
        </w:rPr>
        <w:t>LABOR AND EMPLOYMENT MATTERS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Except for the organizations and agreements set forth in </w:t>
      </w:r>
      <w:r>
        <w:rPr>
          <w:rFonts w:ascii="Arial" w:cs="Arial" w:eastAsia="Arial" w:hAnsi="Arial"/>
          <w:sz w:val="17"/>
          <w:szCs w:val="17"/>
          <w:u w:val="single" w:color="auto"/>
          <w:color w:val="auto"/>
        </w:rPr>
        <w:t>Schedule 3.11(a)</w:t>
      </w:r>
      <w:r>
        <w:rPr>
          <w:rFonts w:ascii="Arial" w:cs="Arial" w:eastAsia="Arial" w:hAnsi="Arial"/>
          <w:sz w:val="17"/>
          <w:szCs w:val="17"/>
          <w:color w:val="auto"/>
        </w:rPr>
        <w:t xml:space="preserve"> of the Disclosure Schedules, to the Knowledge of the Company, none of the Business Employees is a member of, represented by or otherwise subject to any (i) trade or labor union, works council, employee consultation/information body, staff association or similar organization or (ii) collective bargaining agreement, industry-wide collective bargaining agreement or any similar collective agreement, in each case with respect to such employee’s employment by the Company or any Subsidiary of the Company, and the Company and its Subsidiaries do not have any obligation (including to inform or consult with any such employees or their representatives in respect of the transactions contemplated by this Agreement) with respect to any such organization or agreement. Since January 1, 2004, there has been no, and there currently is no, labor strike, request for representation or recognition, union organization attempt, slowdown or stoppage actually pending or, to the Knowledge of the Company, threatened against or affecting the Company or any of its Subsidiaries. Since January 1, 2004, no question concerning representation has been raised or is, to the Knowledge of the Company, threatened respecting the employees of the Company or any of its Subsidiaries. No grievance or arbitration proceeding arising out of a collective bargaining or recognition agreement is pending or, to the Knowledge of the Company, threatened against the Company or any of its Subsidiaries.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Since the Balance Sheet Date, neither the Company nor any of its Subsidiaries have made, announced or formally proposed to Business Employees any changes to any Employee Benefit Plan or to the remuneration of any Business Employee other than in the ordinary course of business consistent with past practice as described on </w:t>
      </w:r>
      <w:r>
        <w:rPr>
          <w:rFonts w:ascii="Arial" w:cs="Arial" w:eastAsia="Arial" w:hAnsi="Arial"/>
          <w:sz w:val="18"/>
          <w:szCs w:val="18"/>
          <w:u w:val="single" w:color="auto"/>
          <w:color w:val="auto"/>
        </w:rPr>
        <w:t>Schedule 3.11(b)</w:t>
      </w:r>
      <w:r>
        <w:rPr>
          <w:rFonts w:ascii="Arial" w:cs="Arial" w:eastAsia="Arial" w:hAnsi="Arial"/>
          <w:sz w:val="18"/>
          <w:szCs w:val="18"/>
          <w:color w:val="auto"/>
        </w:rPr>
        <w:t xml:space="preserve"> of the Disclosure Schedules, and no negotiations are currently ongoing with any trade/labor union or other similar employee representatives.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are no outstanding material amounts owed to any Business Employees (other than amounts representing remuneration accrued for the current pay period or reimbursement of expenses).</w:t>
      </w:r>
    </w:p>
    <w:p>
      <w:pPr>
        <w:spacing w:after="0" w:line="220"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3.12</w:t>
      </w:r>
      <w:r>
        <w:rPr>
          <w:sz w:val="20"/>
          <w:szCs w:val="20"/>
          <w:color w:val="auto"/>
        </w:rPr>
        <w:tab/>
      </w:r>
      <w:r>
        <w:rPr>
          <w:rFonts w:ascii="Arial" w:cs="Arial" w:eastAsia="Arial" w:hAnsi="Arial"/>
          <w:sz w:val="18"/>
          <w:szCs w:val="18"/>
          <w:b w:val="1"/>
          <w:bCs w:val="1"/>
          <w:u w:val="single" w:color="auto"/>
          <w:color w:val="auto"/>
        </w:rPr>
        <w:t>TITLE TO AND CONDITION OF ASSETS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6"/>
          <w:szCs w:val="16"/>
          <w:color w:val="auto"/>
        </w:rPr>
        <w:t>The Company and its Subsidiaries have good and valid title to or a valid leasehold interest in all of their material assets, including all of the assets reflected on the Balance Sheet or acquired in the ordinary course of business since the date of the Balance Sheet, except those sold or otherwise disposed of for fair value since the date of the Balance Sheet in the ordinary course of business consistent with past practice. None of the assets owned or leased by the Company or any of its Subsidiaries is subject to any Encumbrance, other than (i) liens for current Taxes and assessments not yet due and payable,</w:t>
      </w:r>
    </w:p>
    <w:p>
      <w:pPr>
        <w:spacing w:after="0" w:line="2" w:lineRule="exact"/>
        <w:rPr>
          <w:sz w:val="20"/>
          <w:szCs w:val="20"/>
          <w:color w:val="auto"/>
        </w:rPr>
      </w:pPr>
    </w:p>
    <w:p>
      <w:pPr>
        <w:ind w:right="280" w:firstLine="8"/>
        <w:spacing w:after="0" w:line="323" w:lineRule="auto"/>
        <w:tabs>
          <w:tab w:leader="none" w:pos="2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mechanics', workmen's, repairmen's, warehousemen's and carriers' liens arising in the ordinary course of business of the Company or such Subsidiaries consistent with past practice, (iii) any such matters of record, Encumbrances and other imperfections of title that do not, individually or in the aggregate,</w:t>
      </w:r>
    </w:p>
    <w:p>
      <w:pPr>
        <w:sectPr>
          <w:pgSz w:w="11900" w:h="16852" w:orient="portrait"/>
          <w:cols w:equalWidth="0" w:num="1">
            <w:col w:w="11420"/>
          </w:cols>
          <w:pgMar w:left="240" w:top="125" w:right="239" w:bottom="0" w:gutter="0" w:footer="0" w:header="0"/>
        </w:sectPr>
      </w:pPr>
    </w:p>
    <w:bookmarkStart w:id="19" w:name="page20"/>
    <w:bookmarkEnd w:id="19"/>
    <w:p>
      <w:pPr>
        <w:ind w:right="20"/>
        <w:spacing w:after="0" w:line="264" w:lineRule="auto"/>
        <w:rPr>
          <w:sz w:val="20"/>
          <w:szCs w:val="20"/>
          <w:color w:val="auto"/>
        </w:rPr>
      </w:pPr>
      <w:r>
        <w:rPr>
          <w:rFonts w:ascii="Arial" w:cs="Arial" w:eastAsia="Arial" w:hAnsi="Arial"/>
          <w:sz w:val="18"/>
          <w:szCs w:val="18"/>
          <w:color w:val="auto"/>
        </w:rPr>
        <w:t>materially impair the continued ownership, use and operation of the assets to which they relate in the Business, (iv) liens granted pursuant to the Credit Facility Agreements and which shall be removed prior to or at Closing (the "</w:t>
      </w:r>
      <w:r>
        <w:rPr>
          <w:rFonts w:ascii="Arial" w:cs="Arial" w:eastAsia="Arial" w:hAnsi="Arial"/>
          <w:sz w:val="18"/>
          <w:szCs w:val="18"/>
          <w:u w:val="single" w:color="auto"/>
          <w:color w:val="auto"/>
        </w:rPr>
        <w:t>Credit Facilities Liens</w:t>
      </w:r>
      <w:r>
        <w:rPr>
          <w:rFonts w:ascii="Arial" w:cs="Arial" w:eastAsia="Arial" w:hAnsi="Arial"/>
          <w:sz w:val="18"/>
          <w:szCs w:val="18"/>
          <w:color w:val="auto"/>
        </w:rPr>
        <w:t>"), and (v) assets which are leased and Intellectual Property that is licensed (collectively, "</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All material tangible assets owned or leased by the Company or its Subsidiaries have been maintained in all material respects in accordance with generally accepted industry practice, are in all material respects in good operating condition and repair, ordinary wear and tear excepted, and are adequate for the uses to which they are being put.</w:t>
      </w:r>
    </w:p>
    <w:p>
      <w:pPr>
        <w:spacing w:after="0" w:line="231"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3.13</w:t>
      </w:r>
      <w:r>
        <w:rPr>
          <w:sz w:val="20"/>
          <w:szCs w:val="20"/>
          <w:color w:val="auto"/>
        </w:rPr>
        <w:tab/>
      </w:r>
      <w:r>
        <w:rPr>
          <w:rFonts w:ascii="Arial" w:cs="Arial" w:eastAsia="Arial" w:hAnsi="Arial"/>
          <w:sz w:val="17"/>
          <w:szCs w:val="17"/>
          <w:b w:val="1"/>
          <w:bCs w:val="1"/>
          <w:u w:val="single" w:color="auto"/>
          <w:color w:val="auto"/>
        </w:rPr>
        <w:t>REAL PROPERTY</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140" w:firstLine="1297"/>
        <w:spacing w:after="0" w:line="286" w:lineRule="auto"/>
        <w:rPr>
          <w:sz w:val="20"/>
          <w:szCs w:val="20"/>
          <w:color w:val="auto"/>
        </w:rPr>
      </w:pPr>
      <w:r>
        <w:rPr>
          <w:rFonts w:ascii="Arial" w:cs="Arial" w:eastAsia="Arial" w:hAnsi="Arial"/>
          <w:sz w:val="16"/>
          <w:szCs w:val="16"/>
          <w:u w:val="single" w:color="auto"/>
          <w:color w:val="auto"/>
        </w:rPr>
        <w:t>Schedule 3.13</w:t>
      </w:r>
      <w:r>
        <w:rPr>
          <w:rFonts w:ascii="Arial" w:cs="Arial" w:eastAsia="Arial" w:hAnsi="Arial"/>
          <w:sz w:val="16"/>
          <w:szCs w:val="16"/>
          <w:color w:val="auto"/>
        </w:rPr>
        <w:t xml:space="preserve"> of the Disclosure Schedules sets forth a true and complete list of all Owned Real Property and all Material Leased Real Property. The Company and its Subsidiaries have (i) good, insurable and marketable title in fee simple to all Material Owned Real Property and (ii) good, insurable and marketable leasehold title to all Material Leased Real Property, in each case, free and clear of all Encumbrances except Permitted Encumbrances. No parcel of Material Owned Real Property or Material Leased Real Property is subject to any governmental decree or order to be sold or is being condemned, expropriated or otherwise taken by any public authority with or without payment of compensation therefor, nor, to the Knowledge of the Company, has any such condemnation, expropriation or taking been proposed. To the Knowledge of the Company, all leases of Material Leased Real Property and all amendments and modifications thereto are in full force and effect and are valid, binding and enforceable obligations of the parties thereto, and there exists no default under any such lease by the Company, any of its Subsidiaries or, to the Knowledge of the Company, any other party thereto, nor any event which, with notice or lapse of time or both, would constitute a default thereunder by the Company, any of its Subsidiaries or, to the Knowledge of the Company, any other party thereto. All leases of Material Leased Real Property shall remain valid, binding and enforceable against the Company or its Subsidiaries in accordance with their terms following the Closing. The Company has delivered to the Buyer a true, correct and complete copy of each lease of Material Leased Real Property. No Material Leased Real Property or Material Owned Real Property has been sublet or licensed by the Company, nor has the Company or any of its Subsidiaries granted any other Person any right to use any Material Leased Real Property or Material Owned Real Property.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160" w:firstLine="1297"/>
        <w:spacing w:after="0" w:line="272" w:lineRule="auto"/>
        <w:rPr>
          <w:sz w:val="20"/>
          <w:szCs w:val="20"/>
          <w:color w:val="auto"/>
        </w:rPr>
      </w:pPr>
      <w:r>
        <w:rPr>
          <w:rFonts w:ascii="Arial" w:cs="Arial" w:eastAsia="Arial" w:hAnsi="Arial"/>
          <w:sz w:val="17"/>
          <w:szCs w:val="17"/>
          <w:color w:val="auto"/>
        </w:rPr>
        <w:t>There are no contractual or legal restrictions that preclude or restrict the ability to use any Material Owned Real Property or Material Leased Real Property by the Company or any of its Subsidiaries for the current or contemplated use of such Material Owned Real Property or Material Leased Real Property, in each case except as would not, in the aggregate, constitute a Material Adverse Event. To the Knowledge of the Company, there are no material latent defects or material adverse physical conditions affecting the Material Owned Real Property or Material Leased Real Property. All plants, warehouses, distribution centers, structures and other buildings on the Material Owned Real Property or Material Leased Real Property are adequately maintained and are in good operating condition and repair for the requirements of the Business as currently conducted, in each case except as would not, in the aggregate, constitute a Material Adverse Event.</w:t>
      </w:r>
    </w:p>
    <w:p>
      <w:pPr>
        <w:spacing w:after="0" w:line="228"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3.14</w:t>
      </w:r>
      <w:r>
        <w:rPr>
          <w:sz w:val="20"/>
          <w:szCs w:val="20"/>
          <w:color w:val="auto"/>
        </w:rPr>
        <w:tab/>
      </w:r>
      <w:r>
        <w:rPr>
          <w:rFonts w:ascii="Arial" w:cs="Arial" w:eastAsia="Arial" w:hAnsi="Arial"/>
          <w:sz w:val="18"/>
          <w:szCs w:val="18"/>
          <w:b w:val="1"/>
          <w:bCs w:val="1"/>
          <w:u w:val="single" w:color="auto"/>
          <w:color w:val="auto"/>
        </w:rPr>
        <w:t>INTELLECTUAL PROPERTY</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160" w:firstLine="1297"/>
        <w:spacing w:after="0" w:line="276" w:lineRule="auto"/>
        <w:rPr>
          <w:sz w:val="20"/>
          <w:szCs w:val="20"/>
          <w:color w:val="auto"/>
        </w:rPr>
      </w:pPr>
      <w:r>
        <w:rPr>
          <w:rFonts w:ascii="Arial" w:cs="Arial" w:eastAsia="Arial" w:hAnsi="Arial"/>
          <w:sz w:val="17"/>
          <w:szCs w:val="17"/>
          <w:u w:val="single" w:color="auto"/>
          <w:color w:val="auto"/>
        </w:rPr>
        <w:t>Schedule 3.14</w:t>
      </w:r>
      <w:r>
        <w:rPr>
          <w:rFonts w:ascii="Arial" w:cs="Arial" w:eastAsia="Arial" w:hAnsi="Arial"/>
          <w:sz w:val="17"/>
          <w:szCs w:val="17"/>
          <w:color w:val="auto"/>
        </w:rPr>
        <w:t xml:space="preserve"> of the Disclosure Schedules sets forth a true and complete list of all registered and unregistered Marks, all Patents, all registered Copyrights, including any pending applications for Patents or to register any Mark or Copyright or other Intellectual Property right, owned (in whole or in part) by or exclusively licensed to the Company or any of its Subsidiaries and material to the operation of the Business as currently conducted (collectively, the "</w:t>
      </w:r>
      <w:r>
        <w:rPr>
          <w:rFonts w:ascii="Arial" w:cs="Arial" w:eastAsia="Arial" w:hAnsi="Arial"/>
          <w:sz w:val="17"/>
          <w:szCs w:val="17"/>
          <w:u w:val="single" w:color="auto"/>
          <w:color w:val="auto"/>
        </w:rPr>
        <w:t>Scheduled IP</w:t>
      </w:r>
      <w:r>
        <w:rPr>
          <w:rFonts w:ascii="Arial" w:cs="Arial" w:eastAsia="Arial" w:hAnsi="Arial"/>
          <w:sz w:val="17"/>
          <w:szCs w:val="17"/>
          <w:color w:val="auto"/>
        </w:rPr>
        <w:t>"), identifying for each all owners thereof, the application date and number, any Encumbrances or other interests held by any third party therein or relating thereto, and, if applicable, the patent or registration number and the date of issuance.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No Mark included in the Scheduled IP has been or is now involved in any opposition, cancellation or similar proceeding and, to the Knowledge of the Company, no such proceeding is or has been threatened with respect to any of such Marks and, to the Knowledge of the Company, there is no reasonable basis to support any such opposition, cancellation or similar proceeding. No Patent included in the Scheduled IP has been or is now involved in any interference, reissue, reexamination or similar proceeding and, to the Knowledge of the Company, no such proceeding is or has been threatened with respect to any of such Patents and, to the Knowledge of the Company, there is no reasonable basis to support any such interference, reissue, reexamination or similar proceeding.</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right="40" w:firstLine="1297"/>
        <w:spacing w:after="0" w:line="268" w:lineRule="auto"/>
        <w:rPr>
          <w:sz w:val="20"/>
          <w:szCs w:val="20"/>
          <w:color w:val="auto"/>
        </w:rPr>
      </w:pPr>
      <w:r>
        <w:rPr>
          <w:rFonts w:ascii="Arial" w:cs="Arial" w:eastAsia="Arial" w:hAnsi="Arial"/>
          <w:sz w:val="17"/>
          <w:szCs w:val="17"/>
          <w:color w:val="auto"/>
        </w:rPr>
        <w:t xml:space="preserve">The Company or its Subsidiaries exclusively own, free and clear of any and all Encumbrances (other than Permitted Encumbrances), all Scheduled IP designated on </w:t>
      </w:r>
      <w:r>
        <w:rPr>
          <w:rFonts w:ascii="Arial" w:cs="Arial" w:eastAsia="Arial" w:hAnsi="Arial"/>
          <w:sz w:val="17"/>
          <w:szCs w:val="17"/>
          <w:u w:val="single" w:color="auto"/>
          <w:color w:val="auto"/>
        </w:rPr>
        <w:t>Schedule 3.14</w:t>
      </w:r>
      <w:r>
        <w:rPr>
          <w:rFonts w:ascii="Arial" w:cs="Arial" w:eastAsia="Arial" w:hAnsi="Arial"/>
          <w:sz w:val="17"/>
          <w:szCs w:val="17"/>
          <w:color w:val="auto"/>
        </w:rPr>
        <w:t xml:space="preserve"> of the Disclosure Schedules as owned thereby and all other Material Intellectual Property other than Material Intellectual Property that is licensed to the Company or any of its Subsidiaries by a third party licensor pursuant to a written license agreement that remains in effect ("</w:t>
      </w:r>
      <w:r>
        <w:rPr>
          <w:rFonts w:ascii="Arial" w:cs="Arial" w:eastAsia="Arial" w:hAnsi="Arial"/>
          <w:sz w:val="17"/>
          <w:szCs w:val="17"/>
          <w:u w:val="single" w:color="auto"/>
          <w:color w:val="auto"/>
        </w:rPr>
        <w:t>Licensed IP</w:t>
      </w:r>
      <w:r>
        <w:rPr>
          <w:rFonts w:ascii="Arial" w:cs="Arial" w:eastAsia="Arial" w:hAnsi="Arial"/>
          <w:sz w:val="17"/>
          <w:szCs w:val="17"/>
          <w:color w:val="auto"/>
        </w:rPr>
        <w:t xml:space="preserve">"). Neither the Company nor any of its Subsidiaries has received any notice or claim challenging its exclusive ownership of any of the Material Intellectual Property other than the Licensed IP, nor to the Knowledge of the Company is there a reasonable basis for any claim that the Company does not so own any of such Material Intellectual Property. To the Knowledge of the Company and except as set forth on </w:t>
      </w:r>
      <w:r>
        <w:rPr>
          <w:rFonts w:ascii="Arial" w:cs="Arial" w:eastAsia="Arial" w:hAnsi="Arial"/>
          <w:sz w:val="17"/>
          <w:szCs w:val="17"/>
          <w:u w:val="single" w:color="auto"/>
          <w:color w:val="auto"/>
        </w:rPr>
        <w:t>Schedule 3.14</w:t>
      </w:r>
      <w:r>
        <w:rPr>
          <w:rFonts w:ascii="Arial" w:cs="Arial" w:eastAsia="Arial" w:hAnsi="Arial"/>
          <w:sz w:val="17"/>
          <w:szCs w:val="17"/>
          <w:color w:val="auto"/>
        </w:rPr>
        <w:t xml:space="preserve"> of the Disclosure Schedules, (i) all acquisitions of Material Intellectual Property other than Licensed IP by the Company or any Subsidiary of the Company have been properly recorded or registered with the appropriate Governmental Authority or department thereof whenever such recordation or registration is necessary to protect the Company's or such Subsidiary's rights in or ownership of such Material Intellectual Property except, in each case, for any defaults of registration or recordation that would not, in the aggregate, reasonably be expected to constitute a Material Adverse Event; and (ii) with regard to any service inventions ("</w:t>
      </w:r>
      <w:r>
        <w:rPr>
          <w:rFonts w:ascii="Arial" w:cs="Arial" w:eastAsia="Arial" w:hAnsi="Arial"/>
          <w:sz w:val="17"/>
          <w:szCs w:val="17"/>
          <w:i w:val="1"/>
          <w:iCs w:val="1"/>
          <w:color w:val="auto"/>
        </w:rPr>
        <w:t>Diensterfindung</w:t>
      </w:r>
      <w:r>
        <w:rPr>
          <w:rFonts w:ascii="Arial" w:cs="Arial" w:eastAsia="Arial" w:hAnsi="Arial"/>
          <w:sz w:val="17"/>
          <w:szCs w:val="17"/>
          <w:color w:val="auto"/>
        </w:rPr>
        <w:t xml:space="preserve">") with respect to which Company or any of its Subsidiaries has been notified on or before the date hereof by any Business Employee in accordance with Section 5 of the German Law on Employee Inventions (§ 5 </w:t>
      </w:r>
      <w:r>
        <w:rPr>
          <w:rFonts w:ascii="Arial" w:cs="Arial" w:eastAsia="Arial" w:hAnsi="Arial"/>
          <w:sz w:val="17"/>
          <w:szCs w:val="17"/>
          <w:i w:val="1"/>
          <w:iCs w:val="1"/>
          <w:color w:val="auto"/>
        </w:rPr>
        <w:t>Arbeitnehmererfindungsgesetz</w:t>
      </w:r>
      <w:r>
        <w:rPr>
          <w:rFonts w:ascii="Arial" w:cs="Arial" w:eastAsia="Arial" w:hAnsi="Arial"/>
          <w:sz w:val="17"/>
          <w:szCs w:val="17"/>
          <w:color w:val="auto"/>
        </w:rPr>
        <w:t>), the Company or such Subsidiary has timely exercised in writing vis-à-vis such Business Employee any and all claims under Section 6 of the German Law on Employee Inventions by means of an unlimited claim.</w:t>
      </w:r>
    </w:p>
    <w:p>
      <w:pPr>
        <w:sectPr>
          <w:pgSz w:w="11900" w:h="16838" w:orient="portrait"/>
          <w:cols w:equalWidth="0" w:num="1">
            <w:col w:w="11420"/>
          </w:cols>
          <w:pgMar w:left="240" w:top="125" w:right="239" w:bottom="0" w:gutter="0" w:footer="0" w:header="0"/>
        </w:sectPr>
      </w:pPr>
    </w:p>
    <w:bookmarkStart w:id="20" w:name="page21"/>
    <w:bookmarkEnd w:id="20"/>
    <w:p>
      <w:pPr>
        <w:ind w:left="1300"/>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Each of the Company and its Subsidiaries has taken all reasonable steps in accordance with standard industry practices to protect its rights in and maintain its Material Intellectual Property and, to the Knowledge of the Company, at all times has maintained the confidentiality of all information that constitutes a material Trade Secret.</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w:t>
      </w:r>
    </w:p>
    <w:p>
      <w:pPr>
        <w:spacing w:after="0" w:line="256" w:lineRule="exact"/>
        <w:rPr>
          <w:sz w:val="20"/>
          <w:szCs w:val="20"/>
          <w:color w:val="auto"/>
        </w:rPr>
      </w:pPr>
    </w:p>
    <w:p>
      <w:pPr>
        <w:ind w:right="60" w:firstLine="1297"/>
        <w:spacing w:after="0" w:line="287" w:lineRule="auto"/>
        <w:rPr>
          <w:sz w:val="20"/>
          <w:szCs w:val="20"/>
          <w:color w:val="auto"/>
        </w:rPr>
      </w:pPr>
      <w:r>
        <w:rPr>
          <w:rFonts w:ascii="Arial" w:cs="Arial" w:eastAsia="Arial" w:hAnsi="Arial"/>
          <w:sz w:val="16"/>
          <w:szCs w:val="16"/>
          <w:color w:val="auto"/>
        </w:rPr>
        <w:t xml:space="preserve">All registered Marks, issued Patents and registered Copyrights identified on </w:t>
      </w:r>
      <w:r>
        <w:rPr>
          <w:rFonts w:ascii="Arial" w:cs="Arial" w:eastAsia="Arial" w:hAnsi="Arial"/>
          <w:sz w:val="16"/>
          <w:szCs w:val="16"/>
          <w:u w:val="single" w:color="auto"/>
          <w:color w:val="auto"/>
        </w:rPr>
        <w:t>Schedule 3.14</w:t>
      </w:r>
      <w:r>
        <w:rPr>
          <w:rFonts w:ascii="Arial" w:cs="Arial" w:eastAsia="Arial" w:hAnsi="Arial"/>
          <w:sz w:val="16"/>
          <w:szCs w:val="16"/>
          <w:color w:val="auto"/>
        </w:rPr>
        <w:t xml:space="preserve"> of the Disclosure Schedules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Registered IP</w:t>
      </w:r>
      <w:r>
        <w:rPr>
          <w:rFonts w:ascii="Arial" w:cs="Arial" w:eastAsia="Arial" w:hAnsi="Arial"/>
          <w:sz w:val="16"/>
          <w:szCs w:val="16"/>
          <w:color w:val="auto"/>
        </w:rPr>
        <w:t>") are valid, enforceable and subsisting, and neither the Company nor any of its Subsidiaries has received any notice or claim challenging the validity or enforceability of any Company Registered IP or alleging any misuse of such Company Registered IP, nor to the Knowledge of the Company is there any reasonable basis (including misuse of any Intellectual Property) to challenge the validity or enforceability of any Company Registered IP. Since January 1, 2004, no registered Mark included in the Company Registered IP has been or is now involved in any opposition or cancellation proceeding and, to the Knowledge of the Company, no such proceeding is or has been threatened with respect to any of such Marks. Since January 1, 2004, no Patent included in the Company Registered IP has been or is now involved in any interference, reissue or reexamination proceeding and, to the Knowledge of the Company, no such proceeding is or has been threatened with respect to any such Patents. Since January 1, 2004, neither the Company nor any of its Subsidiaries has taken any action or failed to take any action that would reasonably be expected to result in the abandonment, cancellation, forfeiture, relinquishment, invalidation or unenforceability of any of the Company Registered IP (including the failure to pay any filing, examination, issuance, post registration and maintenance fees, annuities and the like and the failure to disclose any known material prior art in connection with the prosecution of patent applications), except for any actions or failure to take any actions that would not, in the aggregate, reasonably be expected to constitute a Material Adverse Event.</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w:t>
      </w:r>
    </w:p>
    <w:p>
      <w:pPr>
        <w:spacing w:after="0" w:line="256" w:lineRule="exact"/>
        <w:rPr>
          <w:sz w:val="20"/>
          <w:szCs w:val="20"/>
          <w:color w:val="auto"/>
        </w:rPr>
      </w:pPr>
    </w:p>
    <w:p>
      <w:pPr>
        <w:ind w:right="20" w:firstLine="1297"/>
        <w:spacing w:after="0" w:line="253" w:lineRule="auto"/>
        <w:rPr>
          <w:sz w:val="20"/>
          <w:szCs w:val="20"/>
          <w:color w:val="auto"/>
        </w:rPr>
      </w:pPr>
      <w:r>
        <w:rPr>
          <w:rFonts w:ascii="Arial" w:cs="Arial" w:eastAsia="Arial" w:hAnsi="Arial"/>
          <w:sz w:val="18"/>
          <w:szCs w:val="18"/>
          <w:color w:val="auto"/>
        </w:rPr>
        <w:t>To the Knowledge of the Company, since January 1, 2004, the development, manufacture, sale, distribution or other commercial exploitation of products, and the provision of any services, by or on behalf of the Company or any of its Subsidiaries, and all of the other activities or operations of the Company and its Subsidiaries, have not infringed upon, misappropriated, violated, diluted or constituted the unauthorized use of, any Intellectual Property of any third party, and none of the Company or any of its Subsidiaries has received any notice or claim asserting or suggesting that any such infringement, misappropriation, violation, dilution or unauthorized use is or may be occurring or has or may have occurred. To the Knowledge of the Company, no Material Intellectual Property owned by or licensed to the Company or any of its Subsidiaries is subject to any outstanding order, judgment, decree, stipulation or agreement restricting the use or licensing thereof by the Company or its Subsidiaries. To the Knowledge of the Company, no third party is misappropriating, infringing, diluting or violating any Material Intellectual Property owned by or exclusively licensed to the Company or any of its Subsidiaries.</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w:t>
      </w:r>
    </w:p>
    <w:p>
      <w:pPr>
        <w:spacing w:after="0" w:line="256"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Since January 1, 2004, none of the Company or any of its Subsidiaries has transferred ownership of, or granted any exclusive license with respect to, any Material Intellectual Property.</w:t>
      </w:r>
    </w:p>
    <w:p>
      <w:pPr>
        <w:spacing w:after="0" w:line="220"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3.15</w:t>
      </w:r>
      <w:r>
        <w:rPr>
          <w:sz w:val="20"/>
          <w:szCs w:val="20"/>
          <w:color w:val="auto"/>
        </w:rPr>
        <w:tab/>
      </w:r>
      <w:r>
        <w:rPr>
          <w:rFonts w:ascii="Arial" w:cs="Arial" w:eastAsia="Arial" w:hAnsi="Arial"/>
          <w:sz w:val="17"/>
          <w:szCs w:val="17"/>
          <w:b w:val="1"/>
          <w:bCs w:val="1"/>
          <w:u w:val="single" w:color="auto"/>
          <w:color w:val="auto"/>
        </w:rPr>
        <w:t>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3.15</w:t>
      </w:r>
      <w:r>
        <w:rPr>
          <w:rFonts w:ascii="Arial" w:cs="Arial" w:eastAsia="Arial" w:hAnsi="Arial"/>
          <w:sz w:val="18"/>
          <w:szCs w:val="18"/>
          <w:color w:val="auto"/>
        </w:rPr>
        <w:t xml:space="preserve"> of the Disclosure Schedules:</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The Company and its Subsidiaries have paid or have had paid on their behalf all material Taxes due and payable. The Company and its Subsidiaries have properly deducted and transferred all social security contributions and wages taxes owed under applicable Law. The Company and its Subsidiaries have filed or have had filed on their behalf on a timely basis with the appropriate Governmental Authorities all material Returns required to be filed on or prior to the Closing Date which are required by the applicable Laws of any jurisdiction and all such Returns are true, correct, and complete in all material respects.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The Company and its Subsidiaries have established, in accordance with GAAP applied on a basis consistent with that of preceding periods, adequate reserves on the Unaudited Financial Statements for the payment of all unpaid Tax liabilities of the Company and its Subsidiaries that have accrued with respect to or are applicable for all periods through and including the Closing Date.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right="300" w:firstLine="1297"/>
        <w:spacing w:after="0" w:line="286" w:lineRule="auto"/>
        <w:rPr>
          <w:sz w:val="20"/>
          <w:szCs w:val="20"/>
          <w:color w:val="auto"/>
        </w:rPr>
      </w:pPr>
      <w:r>
        <w:rPr>
          <w:rFonts w:ascii="Arial" w:cs="Arial" w:eastAsia="Arial" w:hAnsi="Arial"/>
          <w:sz w:val="17"/>
          <w:szCs w:val="17"/>
          <w:color w:val="auto"/>
        </w:rPr>
        <w:t>To the Knowledge of the Company, no investigation, audit or claim by any Governmental Authority with respect to any income or other material Taxes of the Company or any of its Subsidiaries is pending or threatened in writing, and none of the Company or any of its Subsidiaries has any obligation under any agreement (either with any Affiliate or any Governmental Authority) with respect to Taxes.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 extensions or waivers of statutes of limitations with respect to any Returns have been given by or requested from the Company or any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Subsidiaries.</w:t>
      </w:r>
    </w:p>
    <w:p>
      <w:pPr>
        <w:spacing w:after="0" w:line="26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There are no liens for Taxes (other than for current Taxes not yet due and payable) upon the assets of the Company or any of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ectPr>
          <w:pgSz w:w="11900" w:h="16838" w:orient="portrait"/>
          <w:cols w:equalWidth="0" w:num="1">
            <w:col w:w="11400"/>
          </w:cols>
          <w:pgMar w:left="240" w:top="391" w:right="259" w:bottom="0" w:gutter="0" w:footer="0" w:header="0"/>
        </w:sectPr>
      </w:pPr>
    </w:p>
    <w:bookmarkStart w:id="21" w:name="page22"/>
    <w:bookmarkEnd w:id="21"/>
    <w:p>
      <w:pPr>
        <w:spacing w:after="0" w:line="4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w:t>
      </w:r>
    </w:p>
    <w:p>
      <w:pPr>
        <w:spacing w:after="0" w:line="256"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To the Knowledge of the Company, none of the Company or any of its Subsidiaries has any liability for Taxes due by or attributable to any other Person under any applicable Tax law, as transferee or successor, as withholding agent, or by contract or otherwise.</w:t>
      </w:r>
    </w:p>
    <w:p>
      <w:pPr>
        <w:spacing w:after="0" w:line="220"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3.16</w:t>
      </w:r>
      <w:r>
        <w:rPr>
          <w:sz w:val="20"/>
          <w:szCs w:val="20"/>
          <w:color w:val="auto"/>
        </w:rPr>
        <w:tab/>
      </w:r>
      <w:r>
        <w:rPr>
          <w:rFonts w:ascii="Arial" w:cs="Arial" w:eastAsia="Arial" w:hAnsi="Arial"/>
          <w:sz w:val="18"/>
          <w:szCs w:val="18"/>
          <w:b w:val="1"/>
          <w:bCs w:val="1"/>
          <w:u w:val="single" w:color="auto"/>
          <w:color w:val="auto"/>
        </w:rPr>
        <w:t>ENVIRONMENTAL MATTERS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To the Knowledge of the Company, each of the Company and its Subsidiaries is and has been in compliance with all Environmental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Laws. None of the Company, any of its Subsidiaries or any of its or their executive officers has received, nor, to the Knowledge of the Company, is there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for, any written or oral communication or complaint from a Governmental Authority or other Person alleging that the Company or its Subsidiaries has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liability under any Environmental Law or is not in compliance with any Environmental Law.</w:t>
      </w:r>
    </w:p>
    <w:p>
      <w:pPr>
        <w:spacing w:after="0" w:line="26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To the Knowledge of the Company, there is and has been no Release or threatened Release of Hazardous Substances nor any clean-up or corrective action of any kind relating thereto, at, on or under (i) any properties (including any buildings, structures, improvements, soils and surface, subsurface and ground waters thereof) currently or formerly owned, leased or operated by or for the Company, its Subsidiaries or any of their respective predecessors in interest, (ii) any location to which the Company or its Subsidiaries has sent any waste for disposal, or (iii) any other location with respect to which the Company or its Subsidiaries may be liable. To the Knowledge of the Company, no underground improvement, including any treatment or storage tank, or water, gas, or oil well, is or has been located on any property described in the foregoing sentence. To the Knowledge of the Company, neither the Company nor its Subsidiaries is or has been actually liable for any Release, threatened Release, or contamination, of or by Hazardous Substances, or otherwise under any Environmental Law. Since January 1, 2004, there has been no pending or, to the Knowledge of the Company, threatened investigation by any Governmental Authority, nor any pending or, to the Knowledge of the Company, threatened Action with respect to the Company or its Subsidiaries relating to Hazardous Substances or otherwise under any Environmental Law.</w:t>
      </w: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To the Knowledge of the Company, each of the Company and its Subsidiaries has obtained all Environmental Permits and is and has been in compliance therewith. To the Knowledge of the Company, neither the execution, delivery or performance of this Agreement nor the consummation of the transactions contemplated hereby will (i) require any notice to or consent of any Governmental Authority or other Person pursuant to any applicable Environmental Law or Environmental Permit or (ii) subject any Environmental Permit to suspension, cancellation, modification, revocation or nonrenewal.</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The Company and its Subsidiaries have provided to the Buyer all "Phase I", "Phase II" and other environmental assessment reports in their possession addressing properties or locations ever owned, operated or leased by the Company or any of its Subsidiaries or any of their respective predecessors in interest or at which the Company or any of its Subsidiaries actually, potentially or allegedly may have liability under any Environmental Law.</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w:t>
      </w:r>
    </w:p>
    <w:p>
      <w:pPr>
        <w:spacing w:after="0" w:line="256"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To the Knowledge of the Company, neither the Company nor its Subsidiaries has been subject to any actual or threatened claims or litigation arising out of alleged exposure to asbestos or asbestos containing material, or has ever manufactured, produced, repaired, sold, conveyed, installed, or otherwise put into the stream of commerce any product, part, component, merchandise, manufactured good, or other item, comprised of or containing asbestos.</w:t>
      </w:r>
    </w:p>
    <w:p>
      <w:pPr>
        <w:spacing w:after="0" w:line="237"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3.17</w:t>
      </w:r>
      <w:r>
        <w:rPr>
          <w:sz w:val="20"/>
          <w:szCs w:val="20"/>
          <w:color w:val="auto"/>
        </w:rPr>
        <w:tab/>
      </w:r>
      <w:r>
        <w:rPr>
          <w:rFonts w:ascii="Arial" w:cs="Arial" w:eastAsia="Arial" w:hAnsi="Arial"/>
          <w:sz w:val="18"/>
          <w:szCs w:val="18"/>
          <w:b w:val="1"/>
          <w:bCs w:val="1"/>
          <w:u w:val="single" w:color="auto"/>
          <w:color w:val="auto"/>
        </w:rPr>
        <w:t>MATERIAL CONTRACTS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3.17</w:t>
      </w:r>
      <w:r>
        <w:rPr>
          <w:rFonts w:ascii="Arial" w:cs="Arial" w:eastAsia="Arial" w:hAnsi="Arial"/>
          <w:sz w:val="18"/>
          <w:szCs w:val="18"/>
          <w:color w:val="auto"/>
        </w:rPr>
        <w:t xml:space="preserve"> of the Disclosure Schedules, neither the Company nor any of its Subsidiaries is a party to or is bound by any Contract of the following nature (such Contracts as are required to be set forth on </w:t>
      </w:r>
      <w:r>
        <w:rPr>
          <w:rFonts w:ascii="Arial" w:cs="Arial" w:eastAsia="Arial" w:hAnsi="Arial"/>
          <w:sz w:val="18"/>
          <w:szCs w:val="18"/>
          <w:u w:val="single" w:color="auto"/>
          <w:color w:val="auto"/>
        </w:rPr>
        <w:t>Schedule 3.17</w:t>
      </w:r>
      <w:r>
        <w:rPr>
          <w:rFonts w:ascii="Arial" w:cs="Arial" w:eastAsia="Arial" w:hAnsi="Arial"/>
          <w:sz w:val="18"/>
          <w:szCs w:val="18"/>
          <w:color w:val="auto"/>
        </w:rPr>
        <w:t xml:space="preserve"> of the Disclosure Schedules, together with the Contracts listed on </w:t>
      </w:r>
      <w:r>
        <w:rPr>
          <w:rFonts w:ascii="Arial" w:cs="Arial" w:eastAsia="Arial" w:hAnsi="Arial"/>
          <w:sz w:val="18"/>
          <w:szCs w:val="18"/>
          <w:u w:val="single" w:color="auto"/>
          <w:color w:val="auto"/>
        </w:rPr>
        <w:t>Schedules 3.20(a)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3.20(b)</w:t>
      </w:r>
      <w:r>
        <w:rPr>
          <w:rFonts w:ascii="Arial" w:cs="Arial" w:eastAsia="Arial" w:hAnsi="Arial"/>
          <w:sz w:val="18"/>
          <w:szCs w:val="18"/>
          <w:color w:val="auto"/>
        </w:rPr>
        <w:t>, being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31" w:lineRule="exact"/>
        <w:rPr>
          <w:sz w:val="20"/>
          <w:szCs w:val="20"/>
          <w:color w:val="auto"/>
        </w:rPr>
      </w:pPr>
    </w:p>
    <w:p>
      <w:pPr>
        <w:ind w:right="60" w:firstLine="1953"/>
        <w:spacing w:after="0" w:line="266" w:lineRule="auto"/>
        <w:tabs>
          <w:tab w:leader="none" w:pos="2567"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ANY CONTRACT RELATING TO OR EVIDENCING INDEBTEDNESS OF THE COMPANY OR ANY OF ITS SUBSIDIARIES, INCLUDING MORTGAGES, OTHER GRANTS OF SECURITY INTERESTS, GUARANTEES OR NOTES IN EXCESS OF €500,000;</w:t>
      </w:r>
    </w:p>
    <w:p>
      <w:pPr>
        <w:spacing w:after="0" w:line="230" w:lineRule="exact"/>
        <w:rPr>
          <w:sz w:val="20"/>
          <w:szCs w:val="20"/>
          <w:color w:val="auto"/>
        </w:rPr>
      </w:pPr>
    </w:p>
    <w:p>
      <w:pPr>
        <w:ind w:firstLine="1953"/>
        <w:spacing w:after="0" w:line="266" w:lineRule="auto"/>
        <w:tabs>
          <w:tab w:leader="none" w:pos="2637"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ANY CONTRACT PURSUANT TO WHICH THE COMPANY OR ANY OF ITS SUBSIDIARIES HAS PROVIDED FUNDS TO OR MADE ANY LOAN, CAPITAL CONTRIBUTION OR OTHER INVESTMENT IN, OR ASSUMED ANY LIABILITY OR OBLIGATION OF, ANY PERSON, INCLUDING TAKE-OR-PAY CONTRACTS IN EXCESS OF €500,000;</w:t>
      </w:r>
    </w:p>
    <w:p>
      <w:pPr>
        <w:spacing w:after="0" w:line="230" w:lineRule="exact"/>
        <w:rPr>
          <w:sz w:val="20"/>
          <w:szCs w:val="20"/>
          <w:color w:val="auto"/>
        </w:rPr>
      </w:pPr>
    </w:p>
    <w:p>
      <w:pPr>
        <w:ind w:right="680" w:firstLine="1953"/>
        <w:spacing w:after="0" w:line="266" w:lineRule="auto"/>
        <w:tabs>
          <w:tab w:leader="none" w:pos="2707"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ANY MATERIAL CONTRACT WITH ANY GOVERNMENTAL AUTHORITY (OTHER THAN CONTRACTS PURSUANT TO WHICH A GOVERNMENTAL AUTHORITY IS MERELY A CUSTOMER OF THE COMPANY OR ITS SUBSIDIARIES);</w:t>
      </w:r>
    </w:p>
    <w:p>
      <w:pPr>
        <w:spacing w:after="0" w:line="230"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ANY CONTRACT WITH ANY RELATED PARTY OF THE COMPANY OR ANY OF ITS SUBSIDIARIES;</w:t>
      </w:r>
    </w:p>
    <w:p>
      <w:pPr>
        <w:spacing w:after="0" w:line="279" w:lineRule="exact"/>
        <w:rPr>
          <w:sz w:val="20"/>
          <w:szCs w:val="20"/>
          <w:color w:val="auto"/>
        </w:rPr>
      </w:pPr>
    </w:p>
    <w:p>
      <w:pPr>
        <w:ind w:right="500" w:firstLine="1953"/>
        <w:spacing w:after="0" w:line="282" w:lineRule="auto"/>
        <w:tabs>
          <w:tab w:leader="none" w:pos="2627"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ANY EMPLOYMENT CONTRACT, OTHER THAN CONTRACTS FOR EMPLOYMENT COVERED IN CLAUSE (IV), THAT INVOLVES GROSS REMUNERATION IN EXCESS OF €150,000;</w:t>
      </w:r>
    </w:p>
    <w:p>
      <w:pPr>
        <w:sectPr>
          <w:pgSz w:w="11900" w:h="16879" w:orient="portrait"/>
          <w:cols w:equalWidth="0" w:num="1">
            <w:col w:w="11420"/>
          </w:cols>
          <w:pgMar w:left="240" w:top="391" w:right="239" w:bottom="0" w:gutter="0" w:footer="0" w:header="0"/>
        </w:sectPr>
      </w:pPr>
    </w:p>
    <w:bookmarkStart w:id="22" w:name="page23"/>
    <w:bookmarkEnd w:id="22"/>
    <w:p>
      <w:pPr>
        <w:spacing w:after="0" w:line="5" w:lineRule="exact"/>
        <w:rPr>
          <w:sz w:val="20"/>
          <w:szCs w:val="20"/>
          <w:color w:val="auto"/>
        </w:rPr>
      </w:pPr>
    </w:p>
    <w:p>
      <w:pPr>
        <w:ind w:firstLine="1945"/>
        <w:spacing w:after="0" w:line="261" w:lineRule="auto"/>
        <w:rPr>
          <w:sz w:val="20"/>
          <w:szCs w:val="20"/>
          <w:color w:val="auto"/>
        </w:rPr>
      </w:pPr>
      <w:r>
        <w:rPr>
          <w:rFonts w:ascii="Arial" w:cs="Arial" w:eastAsia="Arial" w:hAnsi="Arial"/>
          <w:sz w:val="18"/>
          <w:szCs w:val="18"/>
          <w:b w:val="1"/>
          <w:bCs w:val="1"/>
          <w:color w:val="auto"/>
        </w:rPr>
        <w:t>(VI) ANY CONTRACT THAT LIMITS, OR PURPORTS TO LIMIT, THE ABILITY OF THE COMPANY OR ANY OF ITS SUBSIDIARIES TO COMPETE IN ANY LINE OF BUSINESS OR WITH ANY PERSON OR IN ANY GEOGRAPHIC AREA OR DURING ANY PERIOD OF TIME, OR THAT RESTRICTS THE RIGHT OF THE COMPANY OR ANY OF ITS SUBSIDIARIES TO SELL TO OR PURCHASE FROM ANY PERSON;</w:t>
      </w:r>
    </w:p>
    <w:p>
      <w:pPr>
        <w:spacing w:after="0" w:line="234" w:lineRule="exact"/>
        <w:rPr>
          <w:sz w:val="20"/>
          <w:szCs w:val="20"/>
          <w:color w:val="auto"/>
        </w:rPr>
      </w:pPr>
    </w:p>
    <w:p>
      <w:pPr>
        <w:ind w:right="560" w:firstLine="1945"/>
        <w:spacing w:after="0" w:line="266" w:lineRule="auto"/>
        <w:rPr>
          <w:sz w:val="20"/>
          <w:szCs w:val="20"/>
          <w:color w:val="auto"/>
        </w:rPr>
      </w:pPr>
      <w:r>
        <w:rPr>
          <w:rFonts w:ascii="Arial" w:cs="Arial" w:eastAsia="Arial" w:hAnsi="Arial"/>
          <w:sz w:val="18"/>
          <w:szCs w:val="18"/>
          <w:b w:val="1"/>
          <w:bCs w:val="1"/>
          <w:color w:val="auto"/>
        </w:rPr>
        <w:t>(VII) ANY MATERIAL CONTRACT THAT REQUIRES A CONSENT TO OR OTHERWISE CONTAINS A PROVISION RELATING TO A "CHANGE OF CONTROL," OR THAT WOULD PROHIBIT THE CONSUMMATION OF THE TRANSACTIONS CONTEMPLATED BY THIS AGREEMENT;</w:t>
      </w:r>
    </w:p>
    <w:p>
      <w:pPr>
        <w:spacing w:after="0" w:line="230" w:lineRule="exact"/>
        <w:rPr>
          <w:sz w:val="20"/>
          <w:szCs w:val="20"/>
          <w:color w:val="auto"/>
        </w:rPr>
      </w:pPr>
    </w:p>
    <w:p>
      <w:pPr>
        <w:ind w:left="1960"/>
        <w:spacing w:after="0"/>
        <w:tabs>
          <w:tab w:leader="none" w:pos="2820" w:val="left"/>
        </w:tabs>
        <w:rPr>
          <w:sz w:val="20"/>
          <w:szCs w:val="20"/>
          <w:color w:val="auto"/>
        </w:rPr>
      </w:pPr>
      <w:r>
        <w:rPr>
          <w:rFonts w:ascii="Arial" w:cs="Arial" w:eastAsia="Arial" w:hAnsi="Arial"/>
          <w:sz w:val="18"/>
          <w:szCs w:val="18"/>
          <w:b w:val="1"/>
          <w:bCs w:val="1"/>
          <w:color w:val="auto"/>
        </w:rPr>
        <w:t>(VIII)</w:t>
      </w:r>
      <w:r>
        <w:rPr>
          <w:sz w:val="20"/>
          <w:szCs w:val="20"/>
          <w:color w:val="auto"/>
        </w:rPr>
        <w:tab/>
      </w:r>
      <w:r>
        <w:rPr>
          <w:rFonts w:ascii="Arial" w:cs="Arial" w:eastAsia="Arial" w:hAnsi="Arial"/>
          <w:sz w:val="18"/>
          <w:szCs w:val="18"/>
          <w:b w:val="1"/>
          <w:bCs w:val="1"/>
          <w:color w:val="auto"/>
        </w:rPr>
        <w:t>ANY CONTRACT PURSUANT TO WHICH THE COMPANY OR ANY OF ITS SUBSIDIARIES IS THE</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LESSEE OR LESSOR OF, OR HOLDS, USES, OR MAKES AVAILABLE FOR USE TO ANY PERSON (OTHER THAN THE COMPANY OR A SUBSIDIARY THEREOF), (A) ANY MATERIAL OWNED REAL PROPERTY OR MATERIAL LEASED REAL PROPERTY OR (B) ANY TANGIBLE PERSONAL PROPERTY THAT IS MATERIAL TO THE OPERATION OF THE BUSINESS AS CURRENTLY CONDUCTED AND, IN THE CASE OF CLAUSE (B), THAT INVOLVES ANNUAL EXPENDITURES IN EXCESS OF €500,000;</w:t>
      </w:r>
    </w:p>
    <w:p>
      <w:pPr>
        <w:spacing w:after="0" w:line="240" w:lineRule="exact"/>
        <w:rPr>
          <w:sz w:val="20"/>
          <w:szCs w:val="20"/>
          <w:color w:val="auto"/>
        </w:rPr>
      </w:pPr>
    </w:p>
    <w:p>
      <w:pPr>
        <w:ind w:right="180" w:firstLine="1945"/>
        <w:spacing w:after="0" w:line="282" w:lineRule="auto"/>
        <w:rPr>
          <w:sz w:val="20"/>
          <w:szCs w:val="20"/>
          <w:color w:val="auto"/>
        </w:rPr>
      </w:pPr>
      <w:r>
        <w:rPr>
          <w:rFonts w:ascii="Arial" w:cs="Arial" w:eastAsia="Arial" w:hAnsi="Arial"/>
          <w:sz w:val="18"/>
          <w:szCs w:val="18"/>
          <w:b w:val="1"/>
          <w:bCs w:val="1"/>
          <w:color w:val="auto"/>
        </w:rPr>
        <w:t>(IX) ANY CONTRACT FOR THE SALE OR PURCHASE OF ANY REAL PROPERTY, OR FOR THE SALE OR PURCHASE OF ANY TANGIBLE PERSONAL PROPERTY IN AN AMOUNT IN EXCESS OF €500,000;</w:t>
      </w:r>
    </w:p>
    <w:p>
      <w:pPr>
        <w:spacing w:after="0" w:line="216" w:lineRule="exact"/>
        <w:rPr>
          <w:sz w:val="20"/>
          <w:szCs w:val="20"/>
          <w:color w:val="auto"/>
        </w:rPr>
      </w:pPr>
    </w:p>
    <w:p>
      <w:pPr>
        <w:ind w:right="280" w:firstLine="1953"/>
        <w:spacing w:after="0" w:line="261" w:lineRule="auto"/>
        <w:tabs>
          <w:tab w:leader="none" w:pos="2627"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ANY CONTRACT PROVIDING FOR INDEMNIFICATION FROM ANY PERSON WITH RESPECT TO LIABILITIES RELATING TO THE ACQUISITION OF ANY CURRENT BUSINESS OF THE COMPANY, ANY OF ITS SUBSIDIARIES OR ANY PREDECESSOR PERSON, WHICH LIABILITIES, REASONABLY COULD BE EXPECTED TO INVOLVE AGGREGATE FUTURE RECEIVABLES, AS THE CASE MAY BE, IN EXCESS OF €500,000 ("</w:t>
      </w:r>
      <w:r>
        <w:rPr>
          <w:rFonts w:ascii="Arial" w:cs="Arial" w:eastAsia="Arial" w:hAnsi="Arial"/>
          <w:sz w:val="18"/>
          <w:szCs w:val="18"/>
          <w:b w:val="1"/>
          <w:bCs w:val="1"/>
          <w:u w:val="single" w:color="auto"/>
          <w:color w:val="auto"/>
        </w:rPr>
        <w:t>PRIOR ACQUISITION AGREEMENTS</w:t>
      </w:r>
      <w:r>
        <w:rPr>
          <w:rFonts w:ascii="Arial" w:cs="Arial" w:eastAsia="Arial" w:hAnsi="Arial"/>
          <w:sz w:val="18"/>
          <w:szCs w:val="18"/>
          <w:b w:val="1"/>
          <w:bCs w:val="1"/>
          <w:color w:val="auto"/>
        </w:rPr>
        <w:t>");</w:t>
      </w:r>
    </w:p>
    <w:p>
      <w:pPr>
        <w:spacing w:after="0" w:line="234" w:lineRule="exact"/>
        <w:rPr>
          <w:sz w:val="20"/>
          <w:szCs w:val="20"/>
          <w:color w:val="auto"/>
        </w:rPr>
      </w:pPr>
    </w:p>
    <w:p>
      <w:pPr>
        <w:ind w:right="20" w:firstLine="1945"/>
        <w:spacing w:after="0" w:line="261" w:lineRule="auto"/>
        <w:rPr>
          <w:sz w:val="20"/>
          <w:szCs w:val="20"/>
          <w:color w:val="auto"/>
        </w:rPr>
      </w:pPr>
      <w:r>
        <w:rPr>
          <w:rFonts w:ascii="Arial" w:cs="Arial" w:eastAsia="Arial" w:hAnsi="Arial"/>
          <w:sz w:val="18"/>
          <w:szCs w:val="18"/>
          <w:b w:val="1"/>
          <w:bCs w:val="1"/>
          <w:color w:val="auto"/>
        </w:rPr>
        <w:t>(XI) ANY MATERIAL CONTRACT RELATING IN WHOLE OR IN PART TO ANY LICENSED IP EXCLUSIVELY LICENSED TO OR FROM THE COMPANY OR ITS SUBSIDIARIES OR OTHERWISE INVOLVING ANNUAL PAYMENTS IN EXCESS OF €500,000 (OTHER THAN STANDARD CONTRACTS FOR OFF-THE-SHELF COMMERCIAL SOFTWARE IN CONNECTION WITH WHICH ANNUAL EXPENDITURES BY THE COMPANY OR ITS SUBSIDIARIES HAS NOT AND SHALL NOT EXCEED €100,000);</w:t>
      </w:r>
    </w:p>
    <w:p>
      <w:pPr>
        <w:sectPr>
          <w:pgSz w:w="11900" w:h="16843" w:orient="portrait"/>
          <w:cols w:equalWidth="0" w:num="1">
            <w:col w:w="11380"/>
          </w:cols>
          <w:pgMar w:left="240" w:top="391" w:right="279" w:bottom="0" w:gutter="0" w:footer="0" w:header="0"/>
        </w:sectPr>
      </w:pPr>
    </w:p>
    <w:p>
      <w:pPr>
        <w:spacing w:after="0" w:line="234"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(XII)</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DIVESTITURE CONTRACT;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JOINT VENTURE OR PARTNERSHIP, MERGER, ASSET OR STOCK PURCHASE OR</w:t>
      </w:r>
    </w:p>
    <w:p>
      <w:pPr>
        <w:spacing w:after="0" w:line="445" w:lineRule="exact"/>
        <w:rPr>
          <w:sz w:val="20"/>
          <w:szCs w:val="20"/>
          <w:color w:val="auto"/>
        </w:rPr>
      </w:pPr>
    </w:p>
    <w:p>
      <w:pPr>
        <w:sectPr>
          <w:pgSz w:w="11900" w:h="16843" w:orient="portrait"/>
          <w:cols w:equalWidth="0" w:num="2">
            <w:col w:w="2380" w:space="400"/>
            <w:col w:w="8600"/>
          </w:cols>
          <w:pgMar w:left="240" w:top="391" w:right="279" w:bottom="0" w:gutter="0" w:footer="0" w:header="0"/>
          <w:type w:val="continuous"/>
        </w:sectPr>
      </w:pPr>
    </w:p>
    <w:p>
      <w:pPr>
        <w:spacing w:after="0" w:line="6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(XIII)</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CONTRACT WITH ANY LABOR UNION;</w:t>
      </w:r>
    </w:p>
    <w:p>
      <w:pPr>
        <w:spacing w:after="0" w:line="200" w:lineRule="exact"/>
        <w:rPr>
          <w:sz w:val="20"/>
          <w:szCs w:val="20"/>
          <w:color w:val="auto"/>
        </w:rPr>
      </w:pPr>
    </w:p>
    <w:p>
      <w:pPr>
        <w:sectPr>
          <w:pgSz w:w="11900" w:h="16843" w:orient="portrait"/>
          <w:cols w:equalWidth="0" w:num="2">
            <w:col w:w="2420" w:space="420"/>
            <w:col w:w="8540"/>
          </w:cols>
          <w:pgMar w:left="240" w:top="391" w:right="279" w:bottom="0" w:gutter="0" w:footer="0" w:header="0"/>
          <w:type w:val="continuous"/>
        </w:sectPr>
      </w:pPr>
    </w:p>
    <w:p>
      <w:pPr>
        <w:spacing w:after="0" w:line="79" w:lineRule="exact"/>
        <w:rPr>
          <w:sz w:val="20"/>
          <w:szCs w:val="20"/>
          <w:color w:val="auto"/>
        </w:rPr>
      </w:pPr>
    </w:p>
    <w:p>
      <w:pPr>
        <w:ind w:right="140" w:firstLine="1945"/>
        <w:spacing w:after="0" w:line="261" w:lineRule="auto"/>
        <w:rPr>
          <w:sz w:val="20"/>
          <w:szCs w:val="20"/>
          <w:color w:val="auto"/>
        </w:rPr>
      </w:pPr>
      <w:r>
        <w:rPr>
          <w:rFonts w:ascii="Arial" w:cs="Arial" w:eastAsia="Arial" w:hAnsi="Arial"/>
          <w:sz w:val="18"/>
          <w:szCs w:val="18"/>
          <w:b w:val="1"/>
          <w:bCs w:val="1"/>
          <w:color w:val="auto"/>
        </w:rPr>
        <w:t>(XIV) ANY CONTRACT FOR THE PURCHASE OF ANY DEBT OR EQUITY SECURITY OR OTHER OWNERSHIP INTEREST OF ANY PERSON, OR FOR THE ISSUANCE OF ANY DEBT OR EQUITY SECURITY OR OTHER OWNERSHIP INTEREST, OR THE CONVERSION OF ANY OBLIGATION, INSTRUMENT OR SECURITY INTO DEBT OR EQUITY SECURITIES OR OTHER OWNERSHIP INTERESTS OF, THE COMPANY OR ANY OF ITS SUBSIDIARIES;</w:t>
      </w:r>
    </w:p>
    <w:p>
      <w:pPr>
        <w:spacing w:after="0" w:line="234"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b w:val="1"/>
          <w:bCs w:val="1"/>
          <w:color w:val="auto"/>
        </w:rPr>
        <w:t>(XV)</w:t>
      </w:r>
      <w:r>
        <w:rPr>
          <w:sz w:val="20"/>
          <w:szCs w:val="20"/>
          <w:color w:val="auto"/>
        </w:rPr>
        <w:tab/>
      </w:r>
      <w:r>
        <w:rPr>
          <w:rFonts w:ascii="Arial" w:cs="Arial" w:eastAsia="Arial" w:hAnsi="Arial"/>
          <w:sz w:val="18"/>
          <w:szCs w:val="18"/>
          <w:b w:val="1"/>
          <w:bCs w:val="1"/>
          <w:color w:val="auto"/>
        </w:rPr>
        <w:t>ANY CONTRACT RELATING TO SETTLEMENT OF ANY ADMINISTRATIVE OR JUDICIAL</w:t>
      </w:r>
    </w:p>
    <w:p>
      <w:pPr>
        <w:sectPr>
          <w:pgSz w:w="11900" w:h="16843" w:orient="portrait"/>
          <w:cols w:equalWidth="0" w:num="1">
            <w:col w:w="11380"/>
          </w:cols>
          <w:pgMar w:left="240" w:top="391" w:right="279" w:bottom="0" w:gutter="0" w:footer="0" w:header="0"/>
          <w:type w:val="continuous"/>
        </w:sectPr>
      </w:pP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PROCEEDINGS WITHIN THE PAST FIVE YEARS AND PURSUANT TO WHICH THE COMPANY OR ANY OF ITS SUBSIDIARIES HAVE MATERIAL CONTINUING CONTRACTUAL OBLIGATIONS;</w:t>
      </w:r>
    </w:p>
    <w:p>
      <w:pPr>
        <w:spacing w:after="0" w:line="234" w:lineRule="exact"/>
        <w:rPr>
          <w:sz w:val="20"/>
          <w:szCs w:val="20"/>
          <w:color w:val="auto"/>
        </w:rPr>
      </w:pPr>
    </w:p>
    <w:p>
      <w:pPr>
        <w:ind w:right="60" w:firstLine="1945"/>
        <w:spacing w:after="0" w:line="282" w:lineRule="auto"/>
        <w:rPr>
          <w:sz w:val="20"/>
          <w:szCs w:val="20"/>
          <w:color w:val="auto"/>
        </w:rPr>
      </w:pPr>
      <w:r>
        <w:rPr>
          <w:rFonts w:ascii="Arial" w:cs="Arial" w:eastAsia="Arial" w:hAnsi="Arial"/>
          <w:sz w:val="18"/>
          <w:szCs w:val="18"/>
          <w:b w:val="1"/>
          <w:bCs w:val="1"/>
          <w:color w:val="auto"/>
        </w:rPr>
        <w:t>(XVI) ANY CONTRACT THAT RESULTS IN ANY PERSON HOLDING A POWER OF ATTORNEY FROM THE COMPANY OR ANY OF ITS SUBSIDIARIES THAT RELATES TO THE COMPANY, ANY OF ITS SUBSIDIARIES OR THE BUSINESS;</w:t>
      </w:r>
    </w:p>
    <w:p>
      <w:pPr>
        <w:sectPr>
          <w:pgSz w:w="11900" w:h="16843" w:orient="portrait"/>
          <w:cols w:equalWidth="0" w:num="1">
            <w:col w:w="11380"/>
          </w:cols>
          <w:pgMar w:left="240" w:top="391" w:right="279" w:bottom="0" w:gutter="0" w:footer="0" w:header="0"/>
          <w:type w:val="continuous"/>
        </w:sectPr>
      </w:pPr>
    </w:p>
    <w:p>
      <w:pPr>
        <w:spacing w:after="0" w:line="21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(XVII)</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CONTRACT WITH SCHLUMBERGER N.V. OR ANY OF ITS AFFILIATES;</w:t>
      </w:r>
    </w:p>
    <w:p>
      <w:pPr>
        <w:spacing w:after="0" w:line="200" w:lineRule="exact"/>
        <w:rPr>
          <w:sz w:val="20"/>
          <w:szCs w:val="20"/>
          <w:color w:val="auto"/>
        </w:rPr>
      </w:pPr>
    </w:p>
    <w:p>
      <w:pPr>
        <w:sectPr>
          <w:pgSz w:w="11900" w:h="16843" w:orient="portrait"/>
          <w:cols w:equalWidth="0" w:num="2">
            <w:col w:w="2480" w:space="420"/>
            <w:col w:w="8480"/>
          </w:cols>
          <w:pgMar w:left="240" w:top="391" w:right="279" w:bottom="0" w:gutter="0" w:footer="0" w:header="0"/>
          <w:type w:val="continuous"/>
        </w:sectPr>
      </w:pPr>
    </w:p>
    <w:p>
      <w:pPr>
        <w:spacing w:after="0" w:line="7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(XVIII)</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ANY CONTRACT WITH GEMALTO N.V. OR ANY OF ITS AFFILIATES (OTHER THAN AXALTO</w:t>
      </w:r>
    </w:p>
    <w:p>
      <w:pPr>
        <w:spacing w:after="0" w:line="27" w:lineRule="exact"/>
        <w:rPr>
          <w:sz w:val="20"/>
          <w:szCs w:val="20"/>
          <w:color w:val="auto"/>
        </w:rPr>
      </w:pPr>
    </w:p>
    <w:p>
      <w:pPr>
        <w:sectPr>
          <w:pgSz w:w="11900" w:h="16843" w:orient="portrait"/>
          <w:cols w:equalWidth="0" w:num="2">
            <w:col w:w="2540" w:space="440"/>
            <w:col w:w="8400"/>
          </w:cols>
          <w:pgMar w:left="240" w:top="391" w:right="27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HOLDING N.V.); AND</w:t>
      </w:r>
    </w:p>
    <w:p>
      <w:pPr>
        <w:spacing w:after="0" w:line="261" w:lineRule="exact"/>
        <w:rPr>
          <w:sz w:val="20"/>
          <w:szCs w:val="20"/>
          <w:color w:val="auto"/>
        </w:rPr>
      </w:pPr>
    </w:p>
    <w:p>
      <w:pPr>
        <w:ind w:left="1960"/>
        <w:spacing w:after="0"/>
        <w:tabs>
          <w:tab w:leader="none" w:pos="2820" w:val="left"/>
        </w:tabs>
        <w:rPr>
          <w:sz w:val="20"/>
          <w:szCs w:val="20"/>
          <w:color w:val="auto"/>
        </w:rPr>
      </w:pPr>
      <w:r>
        <w:rPr>
          <w:rFonts w:ascii="Arial" w:cs="Arial" w:eastAsia="Arial" w:hAnsi="Arial"/>
          <w:sz w:val="18"/>
          <w:szCs w:val="18"/>
          <w:b w:val="1"/>
          <w:bCs w:val="1"/>
          <w:color w:val="auto"/>
        </w:rPr>
        <w:t>(XIX)</w:t>
      </w:r>
      <w:r>
        <w:rPr>
          <w:sz w:val="20"/>
          <w:szCs w:val="20"/>
          <w:color w:val="auto"/>
        </w:rPr>
        <w:tab/>
      </w:r>
      <w:r>
        <w:rPr>
          <w:rFonts w:ascii="Arial" w:cs="Arial" w:eastAsia="Arial" w:hAnsi="Arial"/>
          <w:sz w:val="18"/>
          <w:szCs w:val="18"/>
          <w:b w:val="1"/>
          <w:bCs w:val="1"/>
          <w:color w:val="auto"/>
        </w:rPr>
        <w:t>ANY CONTRACT UNDER WHICH THE CONSEQUENCE OF A DEFAULT OR TERMINATION WOULD</w:t>
      </w:r>
    </w:p>
    <w:p>
      <w:pPr>
        <w:sectPr>
          <w:pgSz w:w="11900" w:h="16843" w:orient="portrait"/>
          <w:cols w:equalWidth="0" w:num="1">
            <w:col w:w="11380"/>
          </w:cols>
          <w:pgMar w:left="240" w:top="391" w:right="279" w:bottom="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CONSTITUTE A MATERIAL ADVERSE EVENT.</w:t>
      </w:r>
    </w:p>
    <w:p>
      <w:pPr>
        <w:spacing w:after="0" w:line="26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To the Knowledge of the Company, each Material Contract is a legal, valid, binding and enforceable agreement and is in full force and effect. None of the Company or any of its Subsidiaries or, to the Knowledge of the Company, any other party is in breach or violation of, or (with or without notice or lapse of time or both) default under, any Material Contract, nor has the Company or any of its Subsidiaries received written notice of any claim of any such breach, violation or default. The Company has delivered or made available to the Buyer true and complete copies of all Material Contracts, including any amendments thereto.</w:t>
      </w:r>
    </w:p>
    <w:p>
      <w:pPr>
        <w:spacing w:after="0" w:line="238"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3.18</w:t>
      </w:r>
      <w:r>
        <w:rPr>
          <w:sz w:val="20"/>
          <w:szCs w:val="20"/>
          <w:color w:val="auto"/>
        </w:rPr>
        <w:tab/>
      </w:r>
      <w:r>
        <w:rPr>
          <w:rFonts w:ascii="Arial" w:cs="Arial" w:eastAsia="Arial" w:hAnsi="Arial"/>
          <w:sz w:val="18"/>
          <w:szCs w:val="18"/>
          <w:b w:val="1"/>
          <w:bCs w:val="1"/>
          <w:u w:val="single" w:color="auto"/>
          <w:color w:val="auto"/>
        </w:rPr>
        <w:t>AFFILIATE INTERESTS AND TRANSACTIONS</w:t>
      </w:r>
    </w:p>
    <w:p>
      <w:pPr>
        <w:spacing w:after="0" w:line="256" w:lineRule="exact"/>
        <w:rPr>
          <w:sz w:val="20"/>
          <w:szCs w:val="20"/>
          <w:color w:val="auto"/>
        </w:rPr>
      </w:pPr>
    </w:p>
    <w:p>
      <w:pPr>
        <w:ind w:firstLine="656"/>
        <w:spacing w:after="0" w:line="273" w:lineRule="auto"/>
        <w:tabs>
          <w:tab w:leader="none" w:pos="783"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3.18</w:t>
      </w:r>
      <w:r>
        <w:rPr>
          <w:rFonts w:ascii="Arial" w:cs="Arial" w:eastAsia="Arial" w:hAnsi="Arial"/>
          <w:sz w:val="17"/>
          <w:szCs w:val="17"/>
          <w:color w:val="auto"/>
        </w:rPr>
        <w:t xml:space="preserve"> of the Disclosure Schedules, to the Knowledge of the Company, no Related Party (except for any Immediate Family member) of the Company or any of its Subsidiaries: (i) owns, directly or indirectly, any equity or voting interest in any competitor of the Company or any of its Subsidiaries; (ii) owns, directly or indirectly, or has any interest in any property (real or personal, tangible or intangible) that the Company or any of its Subsidiaries uses or has used in or pertaining to the Business; or (iii) has any business dealings or a financial interest in any transaction with the Company or any of its Subsidiaries or involving any assets or property of the Company or any of its Subsidiaries, other than business dealings or transactions conducted in the ordinary course of business at prevailing market prices and on prevailing market terms.</w:t>
      </w:r>
    </w:p>
    <w:p>
      <w:pPr>
        <w:spacing w:after="0" w:line="228"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3.19</w:t>
      </w:r>
      <w:r>
        <w:rPr>
          <w:sz w:val="20"/>
          <w:szCs w:val="20"/>
          <w:color w:val="auto"/>
        </w:rPr>
        <w:tab/>
      </w:r>
      <w:r>
        <w:rPr>
          <w:rFonts w:ascii="Arial" w:cs="Arial" w:eastAsia="Arial" w:hAnsi="Arial"/>
          <w:sz w:val="17"/>
          <w:szCs w:val="17"/>
          <w:b w:val="1"/>
          <w:bCs w:val="1"/>
          <w:u w:val="single" w:color="auto"/>
          <w:color w:val="auto"/>
        </w:rPr>
        <w:t>INSURANCE</w:t>
      </w:r>
    </w:p>
    <w:p>
      <w:pPr>
        <w:sectPr>
          <w:pgSz w:w="11900" w:h="16843" w:orient="portrait"/>
          <w:cols w:equalWidth="0" w:num="1">
            <w:col w:w="11380"/>
          </w:cols>
          <w:pgMar w:left="240" w:top="391" w:right="279" w:bottom="0" w:gutter="0" w:footer="0" w:header="0"/>
          <w:type w:val="continuous"/>
        </w:sectPr>
      </w:pPr>
    </w:p>
    <w:bookmarkStart w:id="23" w:name="page24"/>
    <w:bookmarkEnd w:id="23"/>
    <w:p>
      <w:pPr>
        <w:ind w:right="20" w:firstLine="656"/>
        <w:spacing w:after="0" w:line="254" w:lineRule="auto"/>
        <w:tabs>
          <w:tab w:leader="none" w:pos="78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of the Disclosure Schedules sets forth a true and complete list of all casualty, directors and officers liability, general liability, product liability, title and all other types of insurance maintained with respect to the Company or any of its Subsidiaries, together with the carriers and liability limits for each such policy. To the Knowledge of the Company, all such policies are in full force and effect and no application therefor included a material misstatement or omission. Since January 1, 2004, no notice of cancellation, termination or reduction of coverage has been received with respect to any such policy. No claim currently is pending under any such policy involving an amount in excess of €500,000.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of the Disclosure Schedules identifies which insurance policies are "occurrence" or "claims made" and which Person is the policy holder. All material insurable risks in respect of the Business are covered by such insurance policies and the types and amounts of coverage provided therein are usual and customary in the context of the Business.</w:t>
      </w:r>
    </w:p>
    <w:p>
      <w:pPr>
        <w:spacing w:after="0" w:line="242"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3.20</w:t>
      </w:r>
      <w:r>
        <w:rPr>
          <w:sz w:val="20"/>
          <w:szCs w:val="20"/>
          <w:color w:val="auto"/>
        </w:rPr>
        <w:tab/>
      </w:r>
      <w:r>
        <w:rPr>
          <w:rFonts w:ascii="Arial" w:cs="Arial" w:eastAsia="Arial" w:hAnsi="Arial"/>
          <w:sz w:val="17"/>
          <w:szCs w:val="17"/>
          <w:b w:val="1"/>
          <w:bCs w:val="1"/>
          <w:u w:val="single" w:color="auto"/>
          <w:color w:val="auto"/>
        </w:rPr>
        <w:t>CUSTOMERS AND SUPPLIERS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u w:val="single" w:color="auto"/>
          <w:color w:val="auto"/>
        </w:rPr>
        <w:t>Schedule 3.20(a)</w:t>
      </w:r>
      <w:r>
        <w:rPr>
          <w:rFonts w:ascii="Arial" w:cs="Arial" w:eastAsia="Arial" w:hAnsi="Arial"/>
          <w:sz w:val="18"/>
          <w:szCs w:val="18"/>
          <w:color w:val="auto"/>
        </w:rPr>
        <w:t xml:space="preserve"> of the Disclosure Schedules sets forth a true and complete list of the top 25 customers and/or distributors (including the Stockholders and their Affiliates) of each of the gas, water and electricity business units of the Business. None of the Company or any of its Subsidiaries has received any notice or, to the Knowledge of the Company, has any reason to believe that any of such customers has ceased or substantially reduced, or will cease or substantially reduce, use of products or services of the Company or its Subsidiaries.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u w:val="single" w:color="auto"/>
          <w:color w:val="auto"/>
        </w:rPr>
        <w:t>Schedule 3.20(b)</w:t>
      </w:r>
      <w:r>
        <w:rPr>
          <w:rFonts w:ascii="Arial" w:cs="Arial" w:eastAsia="Arial" w:hAnsi="Arial"/>
          <w:sz w:val="18"/>
          <w:szCs w:val="18"/>
          <w:color w:val="auto"/>
        </w:rPr>
        <w:t xml:space="preserve"> of the Disclosure Schedules sets forth a true and complete list of the top 15 suppliers (including the Stockholders and their Affiliates) of each of the gas, water and electricity business units of the Business. None of the Company or any of its Subsidiaries has received any notice or, to the Knowledge of the Company, has any reason to believe that there has been any material adverse change in the price of such supplies or services provided by any such supplier, or that any such supplier will not sell supplies or services to the Company and its Subsidiaries at any time after the Closing on terms and conditions substantially the same as those used in its current sales to the Company and its Subsidiaries, subject to general and customary price increases consistent with past practice.</w:t>
      </w:r>
    </w:p>
    <w:p>
      <w:pPr>
        <w:spacing w:after="0" w:line="243"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3.21</w:t>
      </w:r>
      <w:r>
        <w:rPr>
          <w:sz w:val="20"/>
          <w:szCs w:val="20"/>
          <w:color w:val="auto"/>
        </w:rPr>
        <w:tab/>
      </w:r>
      <w:r>
        <w:rPr>
          <w:rFonts w:ascii="Arial" w:cs="Arial" w:eastAsia="Arial" w:hAnsi="Arial"/>
          <w:sz w:val="18"/>
          <w:szCs w:val="18"/>
          <w:b w:val="1"/>
          <w:bCs w:val="1"/>
          <w:u w:val="single" w:color="auto"/>
          <w:color w:val="auto"/>
        </w:rPr>
        <w:t>PRODUCT LIABILITY</w:t>
      </w:r>
    </w:p>
    <w:p>
      <w:pPr>
        <w:spacing w:after="0" w:line="256" w:lineRule="exact"/>
        <w:rPr>
          <w:sz w:val="20"/>
          <w:szCs w:val="20"/>
          <w:color w:val="auto"/>
        </w:rPr>
      </w:pPr>
    </w:p>
    <w:p>
      <w:pPr>
        <w:ind w:right="40" w:firstLine="656"/>
        <w:spacing w:after="0" w:line="276" w:lineRule="auto"/>
        <w:tabs>
          <w:tab w:leader="none" w:pos="783"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3.21</w:t>
      </w:r>
      <w:r>
        <w:rPr>
          <w:rFonts w:ascii="Arial" w:cs="Arial" w:eastAsia="Arial" w:hAnsi="Arial"/>
          <w:sz w:val="17"/>
          <w:szCs w:val="17"/>
          <w:color w:val="auto"/>
        </w:rPr>
        <w:t xml:space="preserve"> of the Disclosure Schedules, to the Knowledge of the Company, there is no basis for any product liability, warranty, material backcharge, material additional work, field repair or other claims by any third party (whether based on contract or tort and whether relating to personal injury, including death, property damage or economic loss) arising from the sale, distribution, erection or installation of products by the Company or any of its Subsidiaries, or the manufacture of products by the Company or any of its Subsidiaries, except for any such claims that could not reasonably be expected to result in a liability or loss to the Company or its Subsidiaries of more than €550,000.</w:t>
      </w:r>
    </w:p>
    <w:p>
      <w:pPr>
        <w:spacing w:after="0" w:line="223"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3.22</w:t>
      </w:r>
      <w:r>
        <w:rPr>
          <w:sz w:val="20"/>
          <w:szCs w:val="20"/>
          <w:color w:val="auto"/>
        </w:rPr>
        <w:tab/>
      </w:r>
      <w:r>
        <w:rPr>
          <w:rFonts w:ascii="Arial" w:cs="Arial" w:eastAsia="Arial" w:hAnsi="Arial"/>
          <w:sz w:val="18"/>
          <w:szCs w:val="18"/>
          <w:b w:val="1"/>
          <w:bCs w:val="1"/>
          <w:u w:val="single" w:color="auto"/>
          <w:color w:val="auto"/>
        </w:rPr>
        <w:t>GOVERNMENT CONTRACTS</w:t>
      </w:r>
    </w:p>
    <w:p>
      <w:pPr>
        <w:spacing w:after="0" w:line="256" w:lineRule="exact"/>
        <w:rPr>
          <w:sz w:val="20"/>
          <w:szCs w:val="20"/>
          <w:color w:val="auto"/>
        </w:rPr>
      </w:pPr>
    </w:p>
    <w:p>
      <w:pPr>
        <w:ind w:right="260" w:firstLine="656"/>
        <w:spacing w:after="0" w:line="259" w:lineRule="auto"/>
        <w:tabs>
          <w:tab w:leader="none" w:pos="7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 of the Company or its Subsidiaries have ever been, nor, to the Knowledge of the Company, as a result of the consummation of the transactions contemplated by this Agreement will the Company or its Subsidiaries be, suspended or debarred from bidding on contracts or subcontracts for any Governmental Authority, nor, to the Knowledge of the Company, has such suspension or debarment been threatened or action for suspension or debarment been commenced.</w:t>
      </w:r>
    </w:p>
    <w:p>
      <w:pPr>
        <w:spacing w:after="0" w:line="237"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3.23</w:t>
      </w:r>
      <w:r>
        <w:rPr>
          <w:sz w:val="20"/>
          <w:szCs w:val="20"/>
          <w:color w:val="auto"/>
        </w:rPr>
        <w:tab/>
      </w:r>
      <w:r>
        <w:rPr>
          <w:rFonts w:ascii="Arial" w:cs="Arial" w:eastAsia="Arial" w:hAnsi="Arial"/>
          <w:sz w:val="17"/>
          <w:szCs w:val="17"/>
          <w:b w:val="1"/>
          <w:bCs w:val="1"/>
          <w:u w:val="single" w:color="auto"/>
          <w:color w:val="auto"/>
        </w:rPr>
        <w:t>ORDERS AND WARRANTIES</w:t>
      </w:r>
    </w:p>
    <w:p>
      <w:pPr>
        <w:spacing w:after="0" w:line="256" w:lineRule="exact"/>
        <w:rPr>
          <w:sz w:val="20"/>
          <w:szCs w:val="20"/>
          <w:color w:val="auto"/>
        </w:rPr>
      </w:pPr>
    </w:p>
    <w:p>
      <w:pPr>
        <w:ind w:right="20" w:firstLine="656"/>
        <w:spacing w:after="0" w:line="286" w:lineRule="auto"/>
        <w:tabs>
          <w:tab w:leader="none" w:pos="783"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3.23</w:t>
      </w:r>
      <w:r>
        <w:rPr>
          <w:rFonts w:ascii="Arial" w:cs="Arial" w:eastAsia="Arial" w:hAnsi="Arial"/>
          <w:sz w:val="17"/>
          <w:szCs w:val="17"/>
          <w:color w:val="auto"/>
        </w:rPr>
        <w:t xml:space="preserve"> of the Disclosure Schedules is an accurate summary in all material respects as of February 20, 2007, prepared consistent with past practice, of the total backlog (including all accepted and unfulfilled service contracts) of the Company and its Subsidiaries. The Buyer has been provided an accurate description in all material respects of the standard warranty policies of the Company and its Subsidiaries.</w:t>
      </w:r>
    </w:p>
    <w:p>
      <w:pPr>
        <w:spacing w:after="0" w:line="216"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3.24</w:t>
      </w:r>
      <w:r>
        <w:rPr>
          <w:sz w:val="20"/>
          <w:szCs w:val="20"/>
          <w:color w:val="auto"/>
        </w:rPr>
        <w:tab/>
      </w:r>
      <w:r>
        <w:rPr>
          <w:rFonts w:ascii="Arial" w:cs="Arial" w:eastAsia="Arial" w:hAnsi="Arial"/>
          <w:sz w:val="17"/>
          <w:szCs w:val="17"/>
          <w:b w:val="1"/>
          <w:bCs w:val="1"/>
          <w:u w:val="single" w:color="auto"/>
          <w:color w:val="auto"/>
        </w:rPr>
        <w:t>EXPORT CONTROLS AND TRADE SANCTIONS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Except for matters as would not, individually or in the aggregate, constitute a Material Adverse Event, the Company and its Subsidiaries have complied with all statutory and regulatory requirements relating to export controls and trade sanctions under the Laws of each jurisdiction in which the Company, its Subsidiaries and their respective Affiliates are doing business.</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None of the Company or any of its Subsidiaries have (i) received notice from any Governmental Authority of violations of trade and export regulations or (ii) made any voluntary disclosures to any Governmental Authority or other Person of facts that would reasonably be expected to result in any adverse action being taken by a Governmental Authority against the Company or any of its Subsidiaries with respect to export authorizations in the future.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the Knowledge of the Company, no Governmental Authority or other Person has notified the Company or any of its Subsidiaries in writing of any actual or alleged violation or breach of any statute, regulation, representation, certification, disclosure obligation, licensing obligation or other authorization or provision relating to export controls or trade sanctions.</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w:t>
      </w:r>
    </w:p>
    <w:p>
      <w:pPr>
        <w:sectPr>
          <w:pgSz w:w="11900" w:h="16838" w:orient="portrait"/>
          <w:cols w:equalWidth="0" w:num="1">
            <w:col w:w="11420"/>
          </w:cols>
          <w:pgMar w:left="240" w:top="368" w:right="239" w:bottom="198" w:gutter="0" w:footer="0" w:header="0"/>
        </w:sectPr>
      </w:pPr>
    </w:p>
    <w:bookmarkStart w:id="24" w:name="page25"/>
    <w:bookmarkEnd w:id="24"/>
    <w:p>
      <w:pPr>
        <w:ind w:right="200" w:firstLine="648"/>
        <w:spacing w:after="0" w:line="276" w:lineRule="auto"/>
        <w:rPr>
          <w:sz w:val="20"/>
          <w:szCs w:val="20"/>
          <w:color w:val="auto"/>
        </w:rPr>
      </w:pPr>
      <w:r>
        <w:rPr>
          <w:rFonts w:ascii="Arial" w:cs="Arial" w:eastAsia="Arial" w:hAnsi="Arial"/>
          <w:sz w:val="17"/>
          <w:szCs w:val="17"/>
          <w:color w:val="auto"/>
        </w:rPr>
        <w:t>To the Knowledge of the Company, none of the Company or any of its Subsidiaries has undergone or is undergoing any audit, review, inspection, investigation, survey or examination of records relating to the Company's or any of its Subsidiaries' export activity that would, individually or in the aggregate, reasonably be expected to adversely affect its future export activity in any material respect or otherwise result in sanctions by any Governmental Authority that would, individually or in the aggregate, constitute a Material Adverse Event and, to the Knowledge of the Company, there is no basis for any such audit, review, inspection, investigation, survey or examination of records.</w:t>
      </w:r>
    </w:p>
    <w:p>
      <w:pPr>
        <w:spacing w:after="0" w:line="223" w:lineRule="exact"/>
        <w:rPr>
          <w:sz w:val="20"/>
          <w:szCs w:val="20"/>
          <w:color w:val="auto"/>
        </w:rPr>
      </w:pPr>
    </w:p>
    <w:p>
      <w:pPr>
        <w:ind w:left="1960"/>
        <w:spacing w:after="0"/>
        <w:tabs>
          <w:tab w:leader="none" w:pos="3540" w:val="left"/>
        </w:tabs>
        <w:rPr>
          <w:sz w:val="20"/>
          <w:szCs w:val="20"/>
          <w:color w:val="auto"/>
        </w:rPr>
      </w:pPr>
      <w:r>
        <w:rPr>
          <w:rFonts w:ascii="Arial" w:cs="Arial" w:eastAsia="Arial" w:hAnsi="Arial"/>
          <w:sz w:val="18"/>
          <w:szCs w:val="18"/>
          <w:b w:val="1"/>
          <w:bCs w:val="1"/>
          <w:color w:val="auto"/>
        </w:rPr>
        <w:t>SECTION 3.25</w:t>
      </w:r>
      <w:r>
        <w:rPr>
          <w:sz w:val="20"/>
          <w:szCs w:val="20"/>
          <w:color w:val="auto"/>
        </w:rPr>
        <w:tab/>
      </w:r>
      <w:r>
        <w:rPr>
          <w:rFonts w:ascii="Arial" w:cs="Arial" w:eastAsia="Arial" w:hAnsi="Arial"/>
          <w:sz w:val="17"/>
          <w:szCs w:val="17"/>
          <w:b w:val="1"/>
          <w:bCs w:val="1"/>
          <w:u w:val="single" w:color="auto"/>
          <w:color w:val="auto"/>
        </w:rPr>
        <w:t>BROKERS</w:t>
      </w:r>
    </w:p>
    <w:p>
      <w:pPr>
        <w:spacing w:after="0" w:line="256" w:lineRule="exact"/>
        <w:rPr>
          <w:sz w:val="20"/>
          <w:szCs w:val="20"/>
          <w:color w:val="auto"/>
        </w:rPr>
      </w:pPr>
    </w:p>
    <w:p>
      <w:pPr>
        <w:ind w:right="660" w:firstLine="656"/>
        <w:spacing w:after="0" w:line="342" w:lineRule="auto"/>
        <w:tabs>
          <w:tab w:leader="none" w:pos="7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broker, finder or investment banker is entitled to any brokerage, finder's or other fee or commission in connection with the transactions contemplated hereby based upon arrangements made by or on behalf of the Stockholders, the Company or any of its Subsidiaries.</w:t>
      </w:r>
    </w:p>
    <w:p>
      <w:pPr>
        <w:spacing w:after="0" w:line="14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ARTICLE 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STOCKHOLDERS</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Except as set forth in the corresponding sections or subsections of the Disclosure Schedules, each of the Stockholders (it being understood that, with respect to each Stockholder that is a </w:t>
      </w:r>
      <w:r>
        <w:rPr>
          <w:rFonts w:ascii="Arial" w:cs="Arial" w:eastAsia="Arial" w:hAnsi="Arial"/>
          <w:sz w:val="18"/>
          <w:szCs w:val="18"/>
          <w:i w:val="1"/>
          <w:iCs w:val="1"/>
          <w:color w:val="auto"/>
        </w:rPr>
        <w:t>Fonds commun de placement à risques</w:t>
      </w:r>
      <w:r>
        <w:rPr>
          <w:rFonts w:ascii="Arial" w:cs="Arial" w:eastAsia="Arial" w:hAnsi="Arial"/>
          <w:sz w:val="18"/>
          <w:szCs w:val="18"/>
          <w:color w:val="auto"/>
        </w:rPr>
        <w:t xml:space="preserve"> ("</w:t>
      </w:r>
      <w:r>
        <w:rPr>
          <w:rFonts w:ascii="Arial" w:cs="Arial" w:eastAsia="Arial" w:hAnsi="Arial"/>
          <w:sz w:val="18"/>
          <w:szCs w:val="18"/>
          <w:u w:val="single" w:color="auto"/>
          <w:color w:val="auto"/>
        </w:rPr>
        <w:t>FCPR</w:t>
      </w:r>
      <w:r>
        <w:rPr>
          <w:rFonts w:ascii="Arial" w:cs="Arial" w:eastAsia="Arial" w:hAnsi="Arial"/>
          <w:sz w:val="18"/>
          <w:szCs w:val="18"/>
          <w:color w:val="auto"/>
        </w:rPr>
        <w:t xml:space="preserve">"), references to such Stockholder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shall be deemed to be references to such Stockholder and, it being further understood, that each FCPR is represented by its management company) hereby severally and not jointly represents and warrants to the Buyer as follows:</w:t>
      </w:r>
    </w:p>
    <w:p>
      <w:pPr>
        <w:spacing w:after="0" w:line="23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8"/>
          <w:szCs w:val="18"/>
          <w:b w:val="1"/>
          <w:bCs w:val="1"/>
          <w:u w:val="single" w:color="auto"/>
          <w:color w:val="auto"/>
        </w:rPr>
        <w:t>ORGANIZATION</w:t>
      </w:r>
    </w:p>
    <w:p>
      <w:pPr>
        <w:spacing w:after="0" w:line="256" w:lineRule="exact"/>
        <w:rPr>
          <w:sz w:val="20"/>
          <w:szCs w:val="20"/>
          <w:color w:val="auto"/>
        </w:rPr>
      </w:pPr>
    </w:p>
    <w:p>
      <w:pPr>
        <w:ind w:right="160" w:firstLine="656"/>
        <w:spacing w:after="0" w:line="264" w:lineRule="auto"/>
        <w:tabs>
          <w:tab w:leader="none" w:pos="783"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Such Stockholder is a corporation or an FCPR, as applicable, duly organized, validly existing and in good standing under the laws of the jurisdiction of its incorporation, if applicable, and has full corporate power and authority, or legal capacity, as applicable, to own the Common Stock and the amount of the Convertible Bonds set forth opposite such Stockholder's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31"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8"/>
          <w:szCs w:val="18"/>
          <w:b w:val="1"/>
          <w:bCs w:val="1"/>
          <w:u w:val="single" w:color="auto"/>
          <w:color w:val="auto"/>
        </w:rPr>
        <w:t>AUTHORITY</w:t>
      </w:r>
    </w:p>
    <w:p>
      <w:pPr>
        <w:spacing w:after="0" w:line="256" w:lineRule="exact"/>
        <w:rPr>
          <w:sz w:val="20"/>
          <w:szCs w:val="20"/>
          <w:color w:val="auto"/>
        </w:rPr>
      </w:pPr>
    </w:p>
    <w:p>
      <w:pPr>
        <w:ind w:right="140" w:firstLine="656"/>
        <w:spacing w:after="0" w:line="255" w:lineRule="auto"/>
        <w:tabs>
          <w:tab w:leader="none" w:pos="7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Stockholder has full corporate power and authority, or legal capacity, as applicable, to execute and deliver this Agreement, to perform its obligations hereunder and to consummate the transactions contemplated hereby. The execution, delivery and performance by such Stockholder of this Agreement and the consummation by such Stockholder of the transactions contemplated hereby have been duly and validly authorized by all necessary corporate action or otherwise duly and properly taken. This Agreement has been duly and validly executed and delivered by such Stockholder. This Agreement constitutes the legal, valid and binding obligation of such Stockholder, enforceable against such Stockholder in accordance with its terms, except as such enforceability may be limited by applicable bankruptcy, insolvency, moratorium, reorganization or similar Laws in effect which affect the enforcement of creditor’s rights generally and by equitable principles.</w:t>
      </w:r>
    </w:p>
    <w:p>
      <w:pPr>
        <w:spacing w:after="0" w:line="23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8"/>
          <w:szCs w:val="18"/>
          <w:b w:val="1"/>
          <w:bCs w:val="1"/>
          <w:u w:val="single" w:color="auto"/>
          <w:color w:val="auto"/>
        </w:rPr>
        <w:t>NO CONFLICT; REQUIRED FILINGS AND CONSENTS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execution, delivery and performance by such Stockholder of this Agreement and the consummation of the transactions contemplated hereby do not and will not:</w:t>
      </w:r>
    </w:p>
    <w:p>
      <w:pPr>
        <w:spacing w:after="0" w:line="220" w:lineRule="exact"/>
        <w:rPr>
          <w:sz w:val="20"/>
          <w:szCs w:val="20"/>
          <w:color w:val="auto"/>
        </w:rPr>
      </w:pPr>
    </w:p>
    <w:p>
      <w:pPr>
        <w:ind w:right="180" w:firstLine="1953"/>
        <w:spacing w:after="0" w:line="282" w:lineRule="auto"/>
        <w:tabs>
          <w:tab w:leader="none" w:pos="2567"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CONFLICT WITH OR VIOLATE THE ARTICLES OF INCORPORATION OR BYLAWS, OR EQUIVALENT GOVERNING INSTRUMENTS, IF APPLICABLE, OF SUCH STOCKHOLDER;</w:t>
      </w:r>
    </w:p>
    <w:p>
      <w:pPr>
        <w:spacing w:after="0" w:line="216" w:lineRule="exact"/>
        <w:rPr>
          <w:sz w:val="20"/>
          <w:szCs w:val="20"/>
          <w:color w:val="auto"/>
        </w:rPr>
      </w:pPr>
    </w:p>
    <w:p>
      <w:pPr>
        <w:ind w:left="2640" w:hanging="687"/>
        <w:spacing w:after="0"/>
        <w:tabs>
          <w:tab w:leader="none" w:pos="26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CONFLICT WITH OR VIOLATE ANY LAW APPLICABLE TO SUCH STOCKHOLDER; OR</w:t>
      </w:r>
    </w:p>
    <w:p>
      <w:pPr>
        <w:spacing w:after="0" w:line="279" w:lineRule="exact"/>
        <w:rPr>
          <w:sz w:val="20"/>
          <w:szCs w:val="20"/>
          <w:color w:val="auto"/>
        </w:rPr>
      </w:pPr>
    </w:p>
    <w:p>
      <w:pPr>
        <w:ind w:right="200" w:firstLine="1953"/>
        <w:spacing w:after="0" w:line="261" w:lineRule="auto"/>
        <w:tabs>
          <w:tab w:leader="none" w:pos="2707"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RESULT IN ANY BREACH OF, CONSTITUTE A DEFAULT (OR AN EVENT THAT, WITH NOTICE OR LAPSE OF TIME OR BOTH, WOULD BECOME A DEFAULT) UNDER OR REQUIRE ANY CONSENT OF ANY PERSON PURSUANT TO, ANY NOTE, BOND, MORTGAGE, INDENTURE, AGREEMENT, LEASE, LICENSE, PERMIT, FRANCHISE, INSTRUMENT, OBLIGATION OR OTHER CONTRACT TO WHICH SUCH STOCKHOLDER IS A PARTY.</w:t>
      </w:r>
    </w:p>
    <w:p>
      <w:pPr>
        <w:spacing w:after="0" w:line="234"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8"/>
          <w:szCs w:val="18"/>
          <w:b w:val="1"/>
          <w:bCs w:val="1"/>
          <w:u w:val="single" w:color="auto"/>
          <w:color w:val="auto"/>
        </w:rPr>
        <w:t>OWNERSHIP OF COMMON STOCK AND CONVERTIBLE BONDS</w:t>
      </w:r>
    </w:p>
    <w:p>
      <w:pPr>
        <w:spacing w:after="0" w:line="256" w:lineRule="exact"/>
        <w:rPr>
          <w:sz w:val="20"/>
          <w:szCs w:val="20"/>
          <w:color w:val="auto"/>
        </w:rPr>
      </w:pPr>
    </w:p>
    <w:p>
      <w:pPr>
        <w:ind w:firstLine="656"/>
        <w:spacing w:after="0" w:line="255" w:lineRule="auto"/>
        <w:tabs>
          <w:tab w:leader="none" w:pos="7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Such Stockholder is the record and beneficial owner of the Common Stock and of the amount of the Convertible Bonds set forth opposite such Stockholder's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free and clear of any Encumbrance. Such Stockholder has the right, authority and power to sell, assign and transfer such Common Stock and such Convertible Bonds to the Buyer. Upon delivery to the Buyer of certificates for such Common Stock and instruments representing the transfer of such Convertible Bonds at the Closing and the Buyer's payment of the amount of the Purchase Price set forth opposite such Stockholder’s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calculated in accordance with </w:t>
      </w:r>
      <w:r>
        <w:rPr>
          <w:rFonts w:ascii="Arial" w:cs="Arial" w:eastAsia="Arial" w:hAnsi="Arial"/>
          <w:sz w:val="18"/>
          <w:szCs w:val="18"/>
          <w:u w:val="single" w:color="auto"/>
          <w:color w:val="auto"/>
        </w:rPr>
        <w:t>Section 2.1(a)</w:t>
      </w:r>
      <w:r>
        <w:rPr>
          <w:rFonts w:ascii="Arial" w:cs="Arial" w:eastAsia="Arial" w:hAnsi="Arial"/>
          <w:sz w:val="18"/>
          <w:szCs w:val="18"/>
          <w:color w:val="auto"/>
        </w:rPr>
        <w:t>), the Buyer shall acquire good, valid and marketable title to such Common Stock and such Convertible Bonds, free and clear of any Encumbrance.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5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REPRESENTATIONS AND WARRANTIES OF THE BUYER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Buyer hereby represents and warrants to the Company and the Stockholders as follows:</w:t>
      </w:r>
    </w:p>
    <w:p>
      <w:pPr>
        <w:spacing w:after="0" w:line="27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8"/>
          <w:szCs w:val="18"/>
          <w:b w:val="1"/>
          <w:bCs w:val="1"/>
          <w:u w:val="single" w:color="auto"/>
          <w:color w:val="auto"/>
        </w:rPr>
        <w:t>ORGANIZATION</w:t>
      </w:r>
    </w:p>
    <w:p>
      <w:pPr>
        <w:spacing w:after="0" w:line="256" w:lineRule="exact"/>
        <w:rPr>
          <w:sz w:val="20"/>
          <w:szCs w:val="20"/>
          <w:color w:val="auto"/>
        </w:rPr>
      </w:pPr>
    </w:p>
    <w:p>
      <w:pPr>
        <w:ind w:right="680" w:firstLine="656"/>
        <w:spacing w:after="0" w:line="308" w:lineRule="auto"/>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Buyer is a corporation duly incorporated, validly existing and in good standing under the laws of the State of Washington and has full corporate power and authority to own, lease and operate its properties and to carry on its business as it is now being conducted.</w:t>
      </w:r>
    </w:p>
    <w:p>
      <w:pPr>
        <w:sectPr>
          <w:pgSz w:w="11900" w:h="16838" w:orient="portrait"/>
          <w:cols w:equalWidth="0" w:num="1">
            <w:col w:w="11420"/>
          </w:cols>
          <w:pgMar w:left="240" w:top="125" w:right="239" w:bottom="0" w:gutter="0" w:footer="0" w:header="0"/>
        </w:sectPr>
      </w:pPr>
    </w:p>
    <w:bookmarkStart w:id="25" w:name="page26"/>
    <w:bookmarkEnd w:id="25"/>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8"/>
          <w:szCs w:val="18"/>
          <w:b w:val="1"/>
          <w:bCs w:val="1"/>
          <w:u w:val="single" w:color="auto"/>
          <w:color w:val="auto"/>
        </w:rPr>
        <w:t>AUTHORITY</w:t>
      </w:r>
    </w:p>
    <w:p>
      <w:pPr>
        <w:spacing w:after="0" w:line="256" w:lineRule="exact"/>
        <w:rPr>
          <w:sz w:val="20"/>
          <w:szCs w:val="20"/>
          <w:color w:val="auto"/>
        </w:rPr>
      </w:pPr>
    </w:p>
    <w:p>
      <w:pPr>
        <w:ind w:right="140" w:firstLine="656"/>
        <w:spacing w:after="0" w:line="257"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Buyer has full corporate power and authority to execute and deliver this Agreement, to perform its obligations hereunder and to consummate the transactions contemplated hereby. The execution, delivery and performance by the Buyer of this Agreement and the consummation by the Buyer of the transactions contemplated hereby have been duly and validly authorized by all necessary corporate action. This Agreement has been duly and validly executed and delivered by the Buyer. This Agreement constitutes the legal, valid and binding obligation of the Buyer, enforceable against the Buyer in accordance with its terms.</w:t>
      </w:r>
    </w:p>
    <w:p>
      <w:pPr>
        <w:spacing w:after="0" w:line="23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8"/>
          <w:szCs w:val="18"/>
          <w:b w:val="1"/>
          <w:bCs w:val="1"/>
          <w:u w:val="single" w:color="auto"/>
          <w:color w:val="auto"/>
        </w:rPr>
        <w:t>NO CONFLICT; REQUIRED FILINGS AND CONSENTS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execution, delivery and performance by the Buyer of this Agreement and the consummation of the transactions contemplated hereby do not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will not:</w:t>
      </w:r>
    </w:p>
    <w:p>
      <w:pPr>
        <w:spacing w:after="0" w:line="261" w:lineRule="exact"/>
        <w:rPr>
          <w:sz w:val="20"/>
          <w:szCs w:val="20"/>
          <w:color w:val="auto"/>
        </w:rPr>
      </w:pPr>
    </w:p>
    <w:p>
      <w:pPr>
        <w:ind w:left="2580" w:hanging="627"/>
        <w:spacing w:after="0"/>
        <w:tabs>
          <w:tab w:leader="none" w:pos="25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CONFLICT WITH OR VIOLATE THE CERTIFICATE OF INCORPORATION OR BYLAWS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BUYER;</w:t>
      </w:r>
    </w:p>
    <w:p>
      <w:pPr>
        <w:spacing w:after="0" w:line="261" w:lineRule="exact"/>
        <w:rPr>
          <w:sz w:val="20"/>
          <w:szCs w:val="20"/>
          <w:color w:val="auto"/>
        </w:rPr>
      </w:pPr>
    </w:p>
    <w:p>
      <w:pPr>
        <w:ind w:left="2640" w:hanging="687"/>
        <w:spacing w:after="0"/>
        <w:tabs>
          <w:tab w:leader="none" w:pos="2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CONFLICT WITH OR VIOLATE ANY LAW APPLICABLE TO THE BUYER; OR</w:t>
      </w:r>
    </w:p>
    <w:p>
      <w:pPr>
        <w:spacing w:after="0" w:line="279" w:lineRule="exact"/>
        <w:rPr>
          <w:sz w:val="20"/>
          <w:szCs w:val="20"/>
          <w:color w:val="auto"/>
        </w:rPr>
      </w:pPr>
    </w:p>
    <w:p>
      <w:pPr>
        <w:ind w:right="180" w:firstLine="1953"/>
        <w:spacing w:after="0" w:line="261" w:lineRule="auto"/>
        <w:tabs>
          <w:tab w:leader="none" w:pos="2707"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RESULT IN ANY BREACH OF, CONSTITUTE A DEFAULT (OR AN EVENT THAT, WITH NOTICE OR LAPSE OF TIME OR BOTH, WOULD BECOME A DEFAULT) UNDER OR REQUIRE ANY CONSENT OF ANY PERSON PURSUANT TO, ANY NOTE, BOND, MORTGAGE, INDENTURE, AGREEMENT, LEASE, LICENSE, PERMIT, FRANCHISE, INSTRUMENT, OBLIGATION OR OTHER CONTRACT TO WHICH THE BUYER IS A PARTY;</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except, in each case, for any such conflicts, violations, breaches, defaults or other occurrences that could not, individually or in the aggregate, reasonably be expected to have a material adverse effect on the ability of the Buyer to perform its obligations under this Agreement or to consummate the transactions contemplated hereby.</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Buyer is not required to file, seek or obtain any notice, authorization, approval, order, permit or consent of or with any Governmental Authority in connection with the execution, delivery and performance by the Buyer of this Agreement or the consummation of the transactions contemplated hereby, except for any filings required to be made under the German Act, the Spanish Act, the Brazilian Act, the Portuguese Act and the Ukrainian Act.</w:t>
      </w:r>
    </w:p>
    <w:p>
      <w:pPr>
        <w:spacing w:after="0" w:line="19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8"/>
          <w:szCs w:val="18"/>
          <w:b w:val="1"/>
          <w:bCs w:val="1"/>
          <w:u w:val="single" w:color="auto"/>
          <w:color w:val="auto"/>
        </w:rPr>
        <w:t>FINANCING</w:t>
      </w:r>
    </w:p>
    <w:p>
      <w:pPr>
        <w:spacing w:after="0" w:line="256" w:lineRule="exact"/>
        <w:rPr>
          <w:sz w:val="20"/>
          <w:szCs w:val="20"/>
          <w:color w:val="auto"/>
        </w:rPr>
      </w:pPr>
    </w:p>
    <w:p>
      <w:pPr>
        <w:jc w:val="both"/>
        <w:ind w:right="20" w:firstLine="656"/>
        <w:spacing w:after="0" w:line="264"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Buyer shall have immediate access to funds at the Closing which constitute the funds necessary to pay the Purchase Price and consummate the transactions contemplated by this Agreement, including the (i) the repayment of the Group Indebtedness and (ii) the payment of fees and expenses that are for its account.</w:t>
      </w:r>
    </w:p>
    <w:p>
      <w:pPr>
        <w:spacing w:after="0" w:line="231"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7"/>
          <w:szCs w:val="17"/>
          <w:b w:val="1"/>
          <w:bCs w:val="1"/>
          <w:u w:val="single" w:color="auto"/>
          <w:color w:val="auto"/>
        </w:rPr>
        <w:t>BROKERS</w:t>
      </w:r>
    </w:p>
    <w:p>
      <w:pPr>
        <w:spacing w:after="0" w:line="256" w:lineRule="exact"/>
        <w:rPr>
          <w:sz w:val="20"/>
          <w:szCs w:val="20"/>
          <w:color w:val="auto"/>
        </w:rPr>
      </w:pPr>
    </w:p>
    <w:p>
      <w:pPr>
        <w:ind w:right="220" w:firstLine="656"/>
        <w:spacing w:after="0" w:line="342" w:lineRule="auto"/>
        <w:tabs>
          <w:tab w:leader="none" w:pos="783"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Except for UBS Securities LLC, the fees of which will be paid by the Buyer, no broker, finder or investment banker is entitled to any brokerage, finder's or other fee or commission in connection with the transactions contemplated hereby based upon arrangements made by or on behalf of the Buyer.</w:t>
      </w:r>
    </w:p>
    <w:p>
      <w:pPr>
        <w:spacing w:after="0" w:line="174"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5.6</w:t>
      </w:r>
      <w:r>
        <w:rPr>
          <w:sz w:val="20"/>
          <w:szCs w:val="20"/>
          <w:color w:val="auto"/>
        </w:rPr>
        <w:tab/>
      </w:r>
      <w:r>
        <w:rPr>
          <w:rFonts w:ascii="Arial" w:cs="Arial" w:eastAsia="Arial" w:hAnsi="Arial"/>
          <w:sz w:val="18"/>
          <w:szCs w:val="18"/>
          <w:b w:val="1"/>
          <w:bCs w:val="1"/>
          <w:u w:val="single" w:color="auto"/>
          <w:color w:val="auto"/>
        </w:rPr>
        <w:t>THE BUYER’S EXAMINATION</w:t>
      </w:r>
    </w:p>
    <w:p>
      <w:pPr>
        <w:spacing w:after="0" w:line="256" w:lineRule="exact"/>
        <w:rPr>
          <w:sz w:val="20"/>
          <w:szCs w:val="20"/>
          <w:color w:val="auto"/>
        </w:rPr>
      </w:pPr>
    </w:p>
    <w:p>
      <w:pPr>
        <w:ind w:right="80" w:firstLine="656"/>
        <w:spacing w:after="0" w:line="271"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Buyer and its Representatives have been given access to a “data room” between December 19, 2006 and February 22, 2007 (the “</w:t>
      </w:r>
      <w:r>
        <w:rPr>
          <w:rFonts w:ascii="Arial" w:cs="Arial" w:eastAsia="Arial" w:hAnsi="Arial"/>
          <w:sz w:val="17"/>
          <w:szCs w:val="17"/>
          <w:u w:val="single" w:color="auto"/>
          <w:color w:val="auto"/>
        </w:rPr>
        <w:t>Data</w:t>
      </w:r>
      <w:r>
        <w:rPr>
          <w:rFonts w:ascii="Arial" w:cs="Arial" w:eastAsia="Arial" w:hAnsi="Arial"/>
          <w:sz w:val="17"/>
          <w:szCs w:val="17"/>
          <w:color w:val="auto"/>
        </w:rPr>
        <w:t xml:space="preserve"> </w:t>
      </w:r>
      <w:r>
        <w:rPr>
          <w:rFonts w:ascii="Arial" w:cs="Arial" w:eastAsia="Arial" w:hAnsi="Arial"/>
          <w:sz w:val="17"/>
          <w:szCs w:val="17"/>
          <w:u w:val="single" w:color="auto"/>
          <w:color w:val="auto"/>
        </w:rPr>
        <w:t>Room</w:t>
      </w:r>
      <w:r>
        <w:rPr>
          <w:rFonts w:ascii="Arial" w:cs="Arial" w:eastAsia="Arial" w:hAnsi="Arial"/>
          <w:sz w:val="17"/>
          <w:szCs w:val="17"/>
          <w:color w:val="auto"/>
        </w:rPr>
        <w:t>”), and have received or been given access to all of the information described or referred to in this Agreement. The Buyer and its Representatives have been afforded the opportunity to meet with, ask questions of and receive answers from the management of the Company and its Subsidiaries in connection with the determination by the Buyer to enter into this Agreement and consummate the transactions contemplated hereby. The content of the Data Room has been moved to the offices of Gibson, Dunn &amp; Crutcher LLP located at 480 Avenue Louise, 1050 Brussels, Belgium, just prior to the date hereof. The Buyer and its Representatives will continue to have access to the Data Room until Closing. The content of the Data Room together with any written answers given to the Buyer and/or its Representatives will be compiled on a CD-ROM under the supervision of the Buyer and the Stockholders, a copy of which will be delivered to the Buyer and the Stockholders on or prior to the Closing Date.</w:t>
      </w:r>
    </w:p>
    <w:p>
      <w:pPr>
        <w:spacing w:after="0" w:line="22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8"/>
          <w:szCs w:val="18"/>
          <w:b w:val="1"/>
          <w:bCs w:val="1"/>
          <w:u w:val="single" w:color="auto"/>
          <w:color w:val="auto"/>
        </w:rPr>
        <w:t>INVESTIGATION; LIMITATION ON WARRANTIES.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Buyer acknowledges and agrees that neither the Company nor any of its Subsidiaries, nor any other Person acting on behalf of the Company or any of their respective Affiliates or representatives has made any representation or warranty, express or implied, as to the accuracy or completeness of any information regarding the Company or any of its Subsidiaries or their respective businesses or assets, except as expressly set forth in this Agreement or as and to the extent required by this Agreement to be set forth in the Disclosure Schedules. The Buyer further agrees that no Stockholder or any other Person will have or be subject to any liability to the Buyer or any other Person, nor will the Buyer or any other Person be entitled to make an indemnification claim, resulting from the distribution or use by the Buyer, any Affiliate thereof or any of their Representatives of any such information and any legal opinions, memoranda, summaries or any other information, documents or materials made available to the Buyer or its Affiliates or Representatives in the Data Room, certain management presentations or any other form otherwise provided in expectation of the transactions contemplated by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ectPr>
          <w:pgSz w:w="11900" w:h="16838" w:orient="portrait"/>
          <w:cols w:equalWidth="0" w:num="1">
            <w:col w:w="11400"/>
          </w:cols>
          <w:pgMar w:left="240" w:top="391" w:right="259" w:bottom="0" w:gutter="0" w:footer="0" w:header="0"/>
        </w:sectPr>
      </w:pPr>
    </w:p>
    <w:bookmarkStart w:id="26" w:name="page27"/>
    <w:bookmarkEnd w:id="26"/>
    <w:p>
      <w:pPr>
        <w:ind w:right="320" w:firstLine="648"/>
        <w:spacing w:after="0" w:line="279" w:lineRule="auto"/>
        <w:rPr>
          <w:sz w:val="20"/>
          <w:szCs w:val="20"/>
          <w:color w:val="auto"/>
        </w:rPr>
      </w:pPr>
      <w:r>
        <w:rPr>
          <w:rFonts w:ascii="Arial" w:cs="Arial" w:eastAsia="Arial" w:hAnsi="Arial"/>
          <w:sz w:val="17"/>
          <w:szCs w:val="17"/>
          <w:color w:val="auto"/>
        </w:rPr>
        <w:t>The Buyer acknowledges and agrees that except for the Core Representations, the Shares and the Convertible Bonds are being acquired AS IS WITHOUT ANY IMPLIED WARRANTY OF MERCHANTABILITY OR FITNESS FOR INTENDED USE OR OTHER EXPRESSED OR IMPLIED WARRANTY. The Buyer acknowledges and agrees that it is consummating the transactions hereunder without any representation or warranty, express or implied, by any Person, except for the representations and warranties expressly set forth in this Agreement.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Buyer acknowledges that it is relying on its own investigation and analysis in entering into the transactions contemplated hereby. The Buyer is knowledgeable about the industries in which the Company and its Subsidiaries operate and is capable of evaluating the merits and risks of the transactions contemplated by this Agreement and is able to bear the substantial economic risk of such investment for an indefinite period of time. The Buyer has fully reviewed this Agreement, the Disclosure Schedules, the materials referenced therein and the materials in the Data Room relating to the transactions contemplated by this Agreement. The Buyer does not have any knowledge that the representations and warranties of the Company in this Agreement and the Disclosure Schedules are not true and correct in all material respects and the Buyer does not have any knowledge of any material errors in, or material omissions from, the Disclosure Schedules and the Data Room.</w:t>
      </w: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In connection with the Buyer’s investigation of the Company and its Subsidiaries, the Buyer has received from or on behalf of the Company certain projections, including projected statements of operating revenues and income from operations of the Company and its Subsidiaries, and certain business plan information of the Company and its Subsidiaries. The Buyer acknowledges that there are uncertainties inherent in attempting to make such estimates, projections and other forecasts and plans, that the Buyer is familiar with such uncertainties, that the Buyer is taking full responsibility for making its own evaluation of the adequacy and accuracy of all estimates, projections and other forecasts and plans so furnished to it (including the reasonableness of the assumptions underlying such estimates, projections and forecasts), and that the Buyer shall have no claim against any Person with respect</w:t>
      </w:r>
    </w:p>
    <w:p>
      <w:pPr>
        <w:spacing w:after="0" w:line="5"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thereto. Accordingly, the Company and the Stockholders make no representations or warranties whatsoever with respect to such estimates, projections and other forecasts and plans (including the reasonableness of the assumptions underlying such estimates, projections and forecasts).</w:t>
      </w:r>
    </w:p>
    <w:p>
      <w:pPr>
        <w:spacing w:after="0" w:line="212"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5.8</w:t>
      </w:r>
      <w:r>
        <w:rPr>
          <w:sz w:val="20"/>
          <w:szCs w:val="20"/>
          <w:color w:val="auto"/>
        </w:rPr>
        <w:tab/>
      </w:r>
      <w:r>
        <w:rPr>
          <w:rFonts w:ascii="Arial" w:cs="Arial" w:eastAsia="Arial" w:hAnsi="Arial"/>
          <w:sz w:val="18"/>
          <w:szCs w:val="18"/>
          <w:b w:val="1"/>
          <w:bCs w:val="1"/>
          <w:u w:val="single" w:color="auto"/>
          <w:color w:val="auto"/>
        </w:rPr>
        <w:t>SOLVENCY</w:t>
      </w:r>
    </w:p>
    <w:p>
      <w:pPr>
        <w:spacing w:after="0" w:line="256" w:lineRule="exact"/>
        <w:rPr>
          <w:sz w:val="20"/>
          <w:szCs w:val="20"/>
          <w:color w:val="auto"/>
        </w:rPr>
      </w:pPr>
    </w:p>
    <w:p>
      <w:pPr>
        <w:ind w:right="20" w:firstLine="656"/>
        <w:spacing w:after="0" w:line="255" w:lineRule="auto"/>
        <w:tabs>
          <w:tab w:leader="none" w:pos="7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Immediately after giving effect to the Closing and the transactions contemplated by this Agreement, the Buyer and each of its Subsidiaries shall be able to pay their respective debts as they become due and shall own property which has a fair saleable value greater than the amounts required to pay their respective debts (including a reasonable estimate of the amount of all contingent liabilities). Immediately after giving effect to the transactions contemplated by this Agreement, the Buyer and each of its Subsidiaries shall have adequate capital to carry on their respective businesses. No transfer of property is being made and no obligation is being incurred in connection with the transactions contemplated by this Agreement with the intent to hinder, delay or defraud either present or future creditors of the Company or its Subsidiaries.</w:t>
      </w:r>
    </w:p>
    <w:p>
      <w:pPr>
        <w:spacing w:after="0" w:line="24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5.9</w:t>
      </w:r>
      <w:r>
        <w:rPr>
          <w:sz w:val="20"/>
          <w:szCs w:val="20"/>
          <w:color w:val="auto"/>
        </w:rPr>
        <w:tab/>
      </w:r>
      <w:r>
        <w:rPr>
          <w:rFonts w:ascii="Arial" w:cs="Arial" w:eastAsia="Arial" w:hAnsi="Arial"/>
          <w:sz w:val="18"/>
          <w:szCs w:val="18"/>
          <w:b w:val="1"/>
          <w:bCs w:val="1"/>
          <w:u w:val="single" w:color="auto"/>
          <w:color w:val="auto"/>
        </w:rPr>
        <w:t>ACQUISITION FOR INVESTMENT</w:t>
      </w:r>
    </w:p>
    <w:p>
      <w:pPr>
        <w:spacing w:after="0" w:line="256" w:lineRule="exact"/>
        <w:rPr>
          <w:sz w:val="20"/>
          <w:szCs w:val="20"/>
          <w:color w:val="auto"/>
        </w:rPr>
      </w:pPr>
    </w:p>
    <w:p>
      <w:pPr>
        <w:ind w:firstLine="656"/>
        <w:spacing w:after="0" w:line="259"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Shares and Convertible Bonds acquired by the Buyer pursuant to this Agreement are being acquired for investment only and not with a view to any public distribution thereof, and the Buyer will not offer to sell or otherwise dispose of such Shares or Convertible Bonds in violation of any of the registration requirements of any securities Laws or other Laws. The Buyer is an "accredited investor" within the meaning of Regulation D promulgated pursuant to the Securities Act of 1933, as amended.</w:t>
      </w:r>
    </w:p>
    <w:p>
      <w:pPr>
        <w:spacing w:after="0" w:line="237"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5.10</w:t>
      </w:r>
      <w:r>
        <w:rPr>
          <w:sz w:val="20"/>
          <w:szCs w:val="20"/>
          <w:color w:val="auto"/>
        </w:rPr>
        <w:tab/>
      </w:r>
      <w:r>
        <w:rPr>
          <w:rFonts w:ascii="Arial" w:cs="Arial" w:eastAsia="Arial" w:hAnsi="Arial"/>
          <w:sz w:val="18"/>
          <w:szCs w:val="18"/>
          <w:b w:val="1"/>
          <w:bCs w:val="1"/>
          <w:u w:val="single" w:color="auto"/>
          <w:color w:val="auto"/>
        </w:rPr>
        <w:t>REPAYMENT OF THE CREDIT FACILITY AGREEMENTS</w:t>
      </w:r>
    </w:p>
    <w:p>
      <w:pPr>
        <w:spacing w:after="0" w:line="256" w:lineRule="exact"/>
        <w:rPr>
          <w:sz w:val="20"/>
          <w:szCs w:val="20"/>
          <w:color w:val="auto"/>
        </w:rPr>
      </w:pPr>
    </w:p>
    <w:p>
      <w:pPr>
        <w:ind w:right="380" w:firstLine="656"/>
        <w:spacing w:after="0" w:line="259"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have obtained and communicated to the Purchaser on or prior to the Closing a statement from the lenders under the Credit Facilities Agreement listing all Credit Facilities Liens, expressing that the Credit Facilities Liens shall be released at Closing, upon and subject to full repayment to such lenders of the Group Indebtedness, and whereby the lenders undertake to provide all reasonably required assistance for the purpose of making effective such releases.</w:t>
      </w:r>
    </w:p>
    <w:p>
      <w:pPr>
        <w:spacing w:after="0" w:line="21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Subject to the delivery of the above statement, and to the Company's commitment to provide all reasonably required assistance in connection therewith, the Buyer shall be solely responsible of obtaining of the release of the Credit Facilities Liens.</w:t>
      </w:r>
    </w:p>
    <w:p>
      <w:pPr>
        <w:spacing w:after="0" w:line="19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At Closing, the Buyer shall, in addition to the payment of the Purchase Price, pay in cash into the Company’s bank account an amount sufficient for the Company and its Subsidiaries to repay the Group Indebtedness with value date (</w:t>
      </w:r>
      <w:r>
        <w:rPr>
          <w:rFonts w:ascii="Arial" w:cs="Arial" w:eastAsia="Arial" w:hAnsi="Arial"/>
          <w:sz w:val="18"/>
          <w:szCs w:val="18"/>
          <w:i w:val="1"/>
          <w:iCs w:val="1"/>
          <w:color w:val="auto"/>
        </w:rPr>
        <w:t>date de valeur</w:t>
      </w:r>
      <w:r>
        <w:rPr>
          <w:rFonts w:ascii="Arial" w:cs="Arial" w:eastAsia="Arial" w:hAnsi="Arial"/>
          <w:sz w:val="18"/>
          <w:szCs w:val="18"/>
          <w:color w:val="auto"/>
        </w:rPr>
        <w:t>) at the Closing Date, in accordance with the terms and conditions of the Credit Facility Agreements.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7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7"/>
          <w:szCs w:val="17"/>
          <w:b w:val="1"/>
          <w:bCs w:val="1"/>
          <w:u w:val="single" w:color="auto"/>
          <w:color w:val="auto"/>
        </w:rPr>
        <w:t>CONDUCT OF BUSINESS PRIOR TO THE CLOSING</w:t>
      </w:r>
    </w:p>
    <w:p>
      <w:pPr>
        <w:spacing w:after="0" w:line="256" w:lineRule="exact"/>
        <w:rPr>
          <w:sz w:val="20"/>
          <w:szCs w:val="20"/>
          <w:color w:val="auto"/>
        </w:rPr>
      </w:pPr>
    </w:p>
    <w:p>
      <w:pPr>
        <w:ind w:right="240" w:firstLine="656"/>
        <w:spacing w:after="0" w:line="257" w:lineRule="auto"/>
        <w:tabs>
          <w:tab w:leader="none" w:pos="7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Exhibit F</w:t>
      </w:r>
      <w:r>
        <w:rPr>
          <w:rFonts w:ascii="Arial" w:cs="Arial" w:eastAsia="Arial" w:hAnsi="Arial"/>
          <w:sz w:val="18"/>
          <w:szCs w:val="18"/>
          <w:color w:val="auto"/>
        </w:rPr>
        <w:t>, between the date of this Agreement and the Closing Date, unless the Buyer shall otherwise consent in writing (such consent not to be unreasonably withheld or delayed), the Company shall conduct the Business only in the ordinary course of business consistent with past practice, and shall take reasonable steps to preserve substantially intact the organization of the Business. By way of amplification and not limitation, between the date of this Agreement and the Closing Date, the Company and its Subsidiaries shall not do or propose to do, directly or indirectly, any of the following without the prior written consent of the Buyer:</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 or otherwise change its articles of organization or bylaws, or equivalent organizational documents;</w:t>
      </w:r>
    </w:p>
    <w:p>
      <w:pPr>
        <w:sectPr>
          <w:pgSz w:w="11900" w:h="16838" w:orient="portrait"/>
          <w:cols w:equalWidth="0" w:num="1">
            <w:col w:w="11420"/>
          </w:cols>
          <w:pgMar w:left="240" w:top="368" w:right="239" w:bottom="0" w:gutter="0" w:footer="0" w:header="0"/>
        </w:sectPr>
      </w:pPr>
    </w:p>
    <w:bookmarkStart w:id="27" w:name="page28"/>
    <w:bookmarkEnd w:id="27"/>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Exhibit G</w:t>
      </w:r>
      <w:r>
        <w:rPr>
          <w:rFonts w:ascii="Arial" w:cs="Arial" w:eastAsia="Arial" w:hAnsi="Arial"/>
          <w:sz w:val="18"/>
          <w:szCs w:val="18"/>
          <w:color w:val="auto"/>
        </w:rPr>
        <w:t>, issue, sell, pledge, dispose of or otherwise subject to any Encumbrance any shares of capital stock of the Company or any of its Subsidiaries, or any options, warrants, convertible securities or other rights of any kind to acquire any such shares, or any other ownership interest in the Company or any of its Subsidiaries, or any material assets of the Company or any of its Subsidiaries (other than sales or transfers of inventory in the ordinary course of business consistent with past practice);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Exhibit H</w:t>
      </w:r>
      <w:r>
        <w:rPr>
          <w:rFonts w:ascii="Arial" w:cs="Arial" w:eastAsia="Arial" w:hAnsi="Arial"/>
          <w:sz w:val="18"/>
          <w:szCs w:val="18"/>
          <w:color w:val="auto"/>
        </w:rPr>
        <w:t>, declare, set aside, make or pay any dividend or other distribution, payable in cash, stock, property or otherwise, or make any other payment on or with respect to any of its capital stock;</w:t>
      </w:r>
    </w:p>
    <w:p>
      <w:pPr>
        <w:spacing w:after="0" w:line="220" w:lineRule="exact"/>
        <w:rPr>
          <w:sz w:val="20"/>
          <w:szCs w:val="20"/>
          <w:color w:val="auto"/>
        </w:rPr>
      </w:pPr>
    </w:p>
    <w:p>
      <w:pPr>
        <w:ind w:left="2640" w:hanging="1335"/>
        <w:spacing w:after="0"/>
        <w:tabs>
          <w:tab w:leader="none" w:pos="26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EXCEPT AS SET FORTH ON </w:t>
      </w:r>
      <w:r>
        <w:rPr>
          <w:rFonts w:ascii="Arial" w:cs="Arial" w:eastAsia="Arial" w:hAnsi="Arial"/>
          <w:sz w:val="18"/>
          <w:szCs w:val="18"/>
          <w:b w:val="1"/>
          <w:bCs w:val="1"/>
          <w:u w:val="single" w:color="auto"/>
          <w:color w:val="auto"/>
        </w:rPr>
        <w:t>EXHIBIT H</w:t>
      </w:r>
      <w:r>
        <w:rPr>
          <w:rFonts w:ascii="Arial" w:cs="Arial" w:eastAsia="Arial" w:hAnsi="Arial"/>
          <w:sz w:val="18"/>
          <w:szCs w:val="18"/>
          <w:b w:val="1"/>
          <w:bCs w:val="1"/>
          <w:color w:val="auto"/>
        </w:rPr>
        <w:t>,</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reclassify, combine, split, subdivide or redeem, or purchase or otherwise acquire, directly or indirectly, any of its capital stock or make any other change with respect to its capital structure;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w:t>
      </w:r>
    </w:p>
    <w:p>
      <w:pPr>
        <w:spacing w:after="0" w:line="25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Exhibit I</w:t>
      </w:r>
      <w:r>
        <w:rPr>
          <w:rFonts w:ascii="Arial" w:cs="Arial" w:eastAsia="Arial" w:hAnsi="Arial"/>
          <w:sz w:val="17"/>
          <w:szCs w:val="17"/>
          <w:color w:val="auto"/>
        </w:rPr>
        <w:t>, acquire any corporation, partnership, limited liability company, other business organization or division thereof or any material amount of assets, or enter into any joint venture, strategic alliance, exclusive dealing, noncompetition or similar contract or arrangement;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w:t>
      </w:r>
    </w:p>
    <w:p>
      <w:pPr>
        <w:spacing w:after="0" w:line="256"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Exhibit J</w:t>
      </w:r>
      <w:r>
        <w:rPr>
          <w:rFonts w:ascii="Arial" w:cs="Arial" w:eastAsia="Arial" w:hAnsi="Arial"/>
          <w:sz w:val="16"/>
          <w:szCs w:val="16"/>
          <w:color w:val="auto"/>
        </w:rPr>
        <w:t>, adopt a plan of complete or partial liquidation, dissolution, merger, consolidation, restructuring, recapitalization or other reorganization of the Company or any of its Subsidiaries, or otherwise alter the Company's or any of its Subsidiaries' corporate structure;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incur any indebtedness for borrowed money or issue any debt securities or assume, guarantee or endorse, or otherwise become responsible for, the obligations of any Person, or make any loans or advances, or draw any additional amount under existing lines of credit, subject to the prior approval of the Buyer, which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Company or any of its Subsidiaries incur, assume or guarantee any long-term indebtedness for borrowed money;</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w:t>
      </w:r>
    </w:p>
    <w:p>
      <w:pPr>
        <w:spacing w:after="0" w:line="25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materially amend, waive, modify or consent to the termination of any Material Contract, or materially amend, waive, modify or consent to the termination of the Company's or any of its Subsidiaries' rights thereunder, or enter into any Contract other than in the ordinary course of business consistent with past practice;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w:t>
      </w:r>
    </w:p>
    <w:p>
      <w:pPr>
        <w:spacing w:after="0" w:line="25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authorize, or make any commitment with respect to, any single capital expenditure that is in excess of €500,000 or capital expenditures that are, in the aggregate, in excess of €500,000 for the Company and its Subsidiaries taken as a whole;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(J)</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enter into any lease of real or personal property or any renewals thereof involving rental obligations exceeding €500,000 per year in any single case;</w:t>
      </w:r>
    </w:p>
    <w:p>
      <w:pPr>
        <w:spacing w:after="0" w:line="29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(K)</w:t>
      </w:r>
    </w:p>
    <w:p>
      <w:pPr>
        <w:spacing w:after="0" w:line="25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increase the compensation payable or to become payable, or the benefits provided to, its directors, officers or employees, except for normal merit and cost-of-living increases consistent with past practice in salaries or wages of employees of the Company or any of its Subsidiaries who are not directors or officers of the Company or any of its Subsidiaries and who receive less than €100,000 in total annual cash compensation from the Company or any of its Subsidiaries, or grant any severance or termination payment to, or pay, loan or advance any amount to, any director, officer or employee of the Company or any of its Subsidiaries, or establish, adopt, enter into or amend any Employee Benefit Plan;</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enter into any Contract with any Related Party of the Company or any of its Subsidiaries;</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make any material change in any method of accounting or accounting practice or policy, except as required by GAAP;</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make any tax election, settle or compromise any income Tax liability or file any Return other than on a basis consistent with past practice;</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(O)</w:t>
      </w:r>
    </w:p>
    <w:p>
      <w:pPr>
        <w:sectPr>
          <w:pgSz w:w="11900" w:h="16838" w:orient="portrait"/>
          <w:cols w:equalWidth="0" w:num="1">
            <w:col w:w="11420"/>
          </w:cols>
          <w:pgMar w:left="240" w:top="148" w:right="239" w:bottom="0" w:gutter="0" w:footer="0" w:header="0"/>
        </w:sectPr>
      </w:pPr>
    </w:p>
    <w:bookmarkStart w:id="28" w:name="page29"/>
    <w:bookmarkEnd w:id="28"/>
    <w:p>
      <w:pPr>
        <w:spacing w:after="0" w:line="8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pay, discharge or satisfy any claim, liability or obligation (absolute, accrued, asserted or unasserted, contingent or otherwise), other than the payment, discharge or satisfaction, in the ordinary course of business consistent with past practice, of liabilities reflected or reserved against on the Balance Sheet or subsequently incurred in the ordinary course of business consistent with past practice;</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 the cancellation of any existing policy of insurance;</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(Q)</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cancel, compromise, waive or release any right of claim other than in the ordinary course of business consistent with past practice;</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 the lapse of any material right relating to Intellectual Property or any other intangible asset;</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accelerate the collection of or discount any accounts receivable, delay the payment of any accounts payable or defer expenses, reduce inventories or otherwise increase cash on hand, except in the ordinary course of business consistent with past practice;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commence or settle any Action in excess of €500,000; or</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(U)</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announce an intention, enter into any formal agreement, or otherwise make a commitment to do any of the foregoing.</w:t>
      </w:r>
    </w:p>
    <w:p>
      <w:pPr>
        <w:spacing w:after="0" w:line="27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8"/>
          <w:szCs w:val="18"/>
          <w:b w:val="1"/>
          <w:bCs w:val="1"/>
          <w:u w:val="single" w:color="auto"/>
          <w:color w:val="auto"/>
        </w:rPr>
        <w:t>COVENANTS REGARDING INFORMATION</w:t>
      </w:r>
    </w:p>
    <w:p>
      <w:pPr>
        <w:spacing w:after="0" w:line="256" w:lineRule="exact"/>
        <w:rPr>
          <w:sz w:val="20"/>
          <w:szCs w:val="20"/>
          <w:color w:val="auto"/>
        </w:rPr>
      </w:pPr>
    </w:p>
    <w:p>
      <w:pPr>
        <w:ind w:firstLine="656"/>
        <w:spacing w:after="0" w:line="286" w:lineRule="auto"/>
        <w:tabs>
          <w:tab w:leader="none" w:pos="783" w:val="left"/>
        </w:tabs>
        <w:numPr>
          <w:ilvl w:val="0"/>
          <w:numId w:val="55"/>
        </w:numPr>
        <w:rPr>
          <w:rFonts w:ascii="Arial" w:cs="Arial" w:eastAsia="Arial" w:hAnsi="Arial"/>
          <w:sz w:val="16"/>
          <w:szCs w:val="16"/>
          <w:color w:val="auto"/>
        </w:rPr>
      </w:pPr>
      <w:r>
        <w:rPr>
          <w:rFonts w:ascii="Arial" w:cs="Arial" w:eastAsia="Arial" w:hAnsi="Arial"/>
          <w:sz w:val="16"/>
          <w:szCs w:val="16"/>
          <w:color w:val="auto"/>
        </w:rPr>
        <w:t>From the date hereof until the Closing Date, the Company shall, and shall cause its Subsidiaries to, afford the Buyer and its officers, directors, principals, employees, advisors, auditors, agents and other representatives (collectively, "</w:t>
      </w:r>
      <w:r>
        <w:rPr>
          <w:rFonts w:ascii="Arial" w:cs="Arial" w:eastAsia="Arial" w:hAnsi="Arial"/>
          <w:sz w:val="16"/>
          <w:szCs w:val="16"/>
          <w:u w:val="single" w:color="auto"/>
          <w:color w:val="auto"/>
        </w:rPr>
        <w:t>Representatives</w:t>
      </w:r>
      <w:r>
        <w:rPr>
          <w:rFonts w:ascii="Arial" w:cs="Arial" w:eastAsia="Arial" w:hAnsi="Arial"/>
          <w:sz w:val="16"/>
          <w:szCs w:val="16"/>
          <w:color w:val="auto"/>
        </w:rPr>
        <w:t>") reasonable access (including for inspection and copying) at all reasonable times to the Representatives, properties, offices, plants and other facilities, books and records of the Company and each of its Subsidiaries, and shall furnish the Buyer with such financial, operating and other data and information as the Buyer may reasonably request, in each case to the extent that such access and disclosure would not obligate the Company or the Subsidiaries to take any actions that would unreasonably disrupt the normal course of their businesses or violate the terms of any Contract to which the Company or the Subsidiaries is bound or any applicable law or regulation. All requests for access shall be directed to the Stockholder Representative or such other Person as the Company may designate in writing from time to time (the "</w:t>
      </w:r>
      <w:r>
        <w:rPr>
          <w:rFonts w:ascii="Arial" w:cs="Arial" w:eastAsia="Arial" w:hAnsi="Arial"/>
          <w:sz w:val="16"/>
          <w:szCs w:val="16"/>
          <w:u w:val="single" w:color="auto"/>
          <w:color w:val="auto"/>
        </w:rPr>
        <w:t>Designated Contacts</w:t>
      </w:r>
      <w:r>
        <w:rPr>
          <w:rFonts w:ascii="Arial" w:cs="Arial" w:eastAsia="Arial" w:hAnsi="Arial"/>
          <w:sz w:val="16"/>
          <w:szCs w:val="16"/>
          <w:color w:val="auto"/>
        </w:rPr>
        <w:t xml:space="preserve">"). Notwithstanding anything in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to the contrary, the Company shall not be required to provide access or to disclose any information to the Buyer if such access or disclosure (i) would cause significant competitive harm to the Company or its Subsidiaries if the transactions contemplated by this Agreement are not consummated or (ii) would be in violation of applicable Laws or regulations of any Governmental Authority (including anti-competition Laws) or the provisions of any agreement to which the Company or any of its Subsidiaries is a party. Other than the Designated Contacts, the Buyer is not authorized to and shall not (and shall cause its Representatives and Affiliates not to) contact any officer, director, employee, franchisee, customer, supplier, distributor, lender or other material business relation of the Company or any of its Subsidiaries in connection with the transactions contemplated hereby prior to the Closing without the prior written consent of the Company.</w:t>
      </w:r>
    </w:p>
    <w:p>
      <w:pPr>
        <w:spacing w:after="0" w:line="222"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8"/>
          <w:szCs w:val="18"/>
          <w:b w:val="1"/>
          <w:bCs w:val="1"/>
          <w:u w:val="single" w:color="auto"/>
          <w:color w:val="auto"/>
        </w:rPr>
        <w:t>EXCLUSIVITY</w:t>
      </w:r>
    </w:p>
    <w:p>
      <w:pPr>
        <w:spacing w:after="0" w:line="256" w:lineRule="exact"/>
        <w:rPr>
          <w:sz w:val="20"/>
          <w:szCs w:val="20"/>
          <w:color w:val="auto"/>
        </w:rPr>
      </w:pPr>
    </w:p>
    <w:p>
      <w:pPr>
        <w:ind w:firstLine="656"/>
        <w:spacing w:after="0" w:line="264" w:lineRule="auto"/>
        <w:tabs>
          <w:tab w:leader="none" w:pos="783"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of the Stockholders and the Company agree that between the date of this Agreement and the earlier of the Closing and the termination of this Agreement, it shall not, and shall take all action necessary to ensure that none of the Subsidiaries of the Company or any of their respective Affiliates or Representatives shall:</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solicit, initiate, consider, encourage or accept any other proposals or offers from any Person (i) relating to any direct or indirect acquisition or purchase of all or any portion of the Business, the Shares or the Convertible Bonds, whether effected by sale of assets, sale of stock, merger or otherwise, other than inventory to be sold in the ordinary course of business consistent with past practice or (ii) to enter into a recapitalization, reorganization or any other extraordinary business transaction involving or otherwise relating to the Company or any of its Subsidiaries; or</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participate in any discussions, conversations, negotiations or other communications regarding, or furnish to any other Person any information with respect to, or otherwise cooperate in any way, assist or participate in, facilitate or encourage any effort or attempt by any other Person to seek to do any of the foregoing. Each of the Stockholders and the Company immediately shall cease and cause to be terminated all existing discussions, conversations, negotiations and other communications with any Persons conducted heretofore with respect to any of the foregoing.</w:t>
      </w:r>
    </w:p>
    <w:p>
      <w:pPr>
        <w:spacing w:after="0" w:line="221"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8"/>
          <w:szCs w:val="18"/>
          <w:b w:val="1"/>
          <w:bCs w:val="1"/>
          <w:u w:val="single" w:color="auto"/>
          <w:color w:val="auto"/>
        </w:rPr>
        <w:t>NOTIFICATION OF CERTAIN MATTERS; SUPPLEMENTS TO DISCLOSURE SCHEDULES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Company shall give prompt written notice to the Buyer of (i) the occurrence of a Material Adverse Event, (ii) any failure of the Company or any of its Affiliates or Representatives to comply with or satisfy any covenant or agreement to be complied with or satisfied by it hereunder or any event or</w:t>
      </w:r>
    </w:p>
    <w:p>
      <w:pPr>
        <w:sectPr>
          <w:pgSz w:w="11900" w:h="16921" w:orient="portrait"/>
          <w:cols w:equalWidth="0" w:num="1">
            <w:col w:w="11340"/>
          </w:cols>
          <w:pgMar w:left="240" w:top="125" w:right="319" w:bottom="0" w:gutter="0" w:footer="0" w:header="0"/>
        </w:sectPr>
      </w:pPr>
    </w:p>
    <w:bookmarkStart w:id="29" w:name="page30"/>
    <w:bookmarkEnd w:id="29"/>
    <w:p>
      <w:pPr>
        <w:ind w:right="360"/>
        <w:spacing w:after="0" w:line="259" w:lineRule="auto"/>
        <w:rPr>
          <w:sz w:val="20"/>
          <w:szCs w:val="20"/>
          <w:color w:val="auto"/>
        </w:rPr>
      </w:pPr>
      <w:r>
        <w:rPr>
          <w:rFonts w:ascii="Arial" w:cs="Arial" w:eastAsia="Arial" w:hAnsi="Arial"/>
          <w:sz w:val="18"/>
          <w:szCs w:val="18"/>
          <w:color w:val="auto"/>
        </w:rPr>
        <w:t>condition that would otherwise result in the nonfulfillment of any of the conditions to the Buyer's obligations hereunder, (iii) any notice or other communication from any Person alleging that the consent of such Person is or may be required in connection with the consummation of the transactions contemplated by this Agreement or (iv) any Action pending or, to the Knowledge of the Company, threatened against a party or the parties relating to the transactions contemplated by this Agreement.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Each of the Company and the Stockholders shall supplement the information set forth on the Disclosure Schedules with respect to any matter now existing or hereafter arising that, if existing or occurring at or prior to the date of this Agreement, would have been required to be set forth or described in the Disclosure Schedules or that is necessary to correct any information in the Disclosure Schedules or in any representation or warranty of such party which has been rendered inaccurate thereby promptly following discovery thereof. No such supplement shall be deemed to cure any breach of any representation or warranty made in this Agreement.</w:t>
      </w:r>
    </w:p>
    <w:p>
      <w:pPr>
        <w:spacing w:after="0" w:line="23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8"/>
          <w:szCs w:val="18"/>
          <w:b w:val="1"/>
          <w:bCs w:val="1"/>
          <w:u w:val="single" w:color="auto"/>
          <w:color w:val="auto"/>
        </w:rPr>
        <w:t>RELEASE OF INDEMNITY OBLIGATIONS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right="240" w:firstLine="728"/>
        <w:spacing w:after="0" w:line="312" w:lineRule="auto"/>
        <w:rPr>
          <w:sz w:val="20"/>
          <w:szCs w:val="20"/>
          <w:color w:val="auto"/>
        </w:rPr>
      </w:pPr>
      <w:r>
        <w:rPr>
          <w:rFonts w:ascii="Arial" w:cs="Arial" w:eastAsia="Arial" w:hAnsi="Arial"/>
          <w:sz w:val="16"/>
          <w:szCs w:val="16"/>
          <w:color w:val="auto"/>
        </w:rPr>
        <w:t xml:space="preserve">At the Closing, except for the obligations of the Company set forth in </w:t>
      </w:r>
      <w:r>
        <w:rPr>
          <w:rFonts w:ascii="Arial" w:cs="Arial" w:eastAsia="Arial" w:hAnsi="Arial"/>
          <w:sz w:val="16"/>
          <w:szCs w:val="16"/>
          <w:u w:val="single" w:color="auto"/>
          <w:color w:val="auto"/>
        </w:rPr>
        <w:t>Section 6.14</w:t>
      </w:r>
      <w:r>
        <w:rPr>
          <w:rFonts w:ascii="Arial" w:cs="Arial" w:eastAsia="Arial" w:hAnsi="Arial"/>
          <w:sz w:val="16"/>
          <w:szCs w:val="16"/>
          <w:color w:val="auto"/>
        </w:rPr>
        <w:t>, each of the Stockholders hereby releases and discharges the Company and its Subsidiaries from any and all obligations to pay or indemnify such party, guarantee or secure its obligations or otherwise hold it harmless pursuant to any agreement, Contract or other arrangement entered into by such party with the Company or such Subsidiaries prior to the Closing.</w:t>
      </w:r>
    </w:p>
    <w:p>
      <w:pPr>
        <w:spacing w:after="0" w:line="19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6.6</w:t>
      </w:r>
      <w:r>
        <w:rPr>
          <w:sz w:val="20"/>
          <w:szCs w:val="20"/>
          <w:color w:val="auto"/>
        </w:rPr>
        <w:tab/>
      </w:r>
      <w:r>
        <w:rPr>
          <w:rFonts w:ascii="Arial" w:cs="Arial" w:eastAsia="Arial" w:hAnsi="Arial"/>
          <w:sz w:val="18"/>
          <w:szCs w:val="18"/>
          <w:b w:val="1"/>
          <w:bCs w:val="1"/>
          <w:u w:val="single" w:color="auto"/>
          <w:color w:val="auto"/>
        </w:rPr>
        <w:t>STOCKHOLDER ARRANGEMENTS</w:t>
      </w:r>
    </w:p>
    <w:p>
      <w:pPr>
        <w:spacing w:after="0" w:line="256" w:lineRule="exact"/>
        <w:rPr>
          <w:sz w:val="20"/>
          <w:szCs w:val="20"/>
          <w:color w:val="auto"/>
        </w:rPr>
      </w:pPr>
    </w:p>
    <w:p>
      <w:pPr>
        <w:ind w:right="20" w:firstLine="656"/>
        <w:spacing w:after="0" w:line="255" w:lineRule="auto"/>
        <w:tabs>
          <w:tab w:leader="none" w:pos="7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At the Closing, all accounts or contracts between the Company and its Subsidiaries, on the one hand, and any Stockholder or any of its Affiliates (other than the Company and its Subsidiaries), on the other hand, are hereby cancelled without any consideration or further liability to any party and without the need for any further documentation. Notwithstanding the foregoing, the parties hereby agree that (i) the Company shall continue to assume the "Assumed Liabilities" described on page 3 of </w:t>
      </w:r>
      <w:r>
        <w:rPr>
          <w:rFonts w:ascii="Arial" w:cs="Arial" w:eastAsia="Arial" w:hAnsi="Arial"/>
          <w:sz w:val="18"/>
          <w:szCs w:val="18"/>
          <w:u w:val="single" w:color="auto"/>
          <w:color w:val="auto"/>
        </w:rPr>
        <w:t>Schedule 3.6(a)</w:t>
      </w:r>
      <w:r>
        <w:rPr>
          <w:rFonts w:ascii="Arial" w:cs="Arial" w:eastAsia="Arial" w:hAnsi="Arial"/>
          <w:sz w:val="18"/>
          <w:szCs w:val="18"/>
          <w:color w:val="auto"/>
        </w:rPr>
        <w:t xml:space="preserve"> of the Disclosure Schedules and (ii) they shall negotiate the terms and conditions pursuant to which the services agreement entered into between AMS Industries and the Company on November 1, 2005 (as referred to in Schedule 3.18 of the Disclosure Schedules) may be continued after the Closing.</w:t>
      </w:r>
    </w:p>
    <w:p>
      <w:pPr>
        <w:spacing w:after="0" w:line="24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6.7</w:t>
      </w:r>
      <w:r>
        <w:rPr>
          <w:sz w:val="20"/>
          <w:szCs w:val="20"/>
          <w:color w:val="auto"/>
        </w:rPr>
        <w:tab/>
      </w:r>
      <w:r>
        <w:rPr>
          <w:rFonts w:ascii="Arial" w:cs="Arial" w:eastAsia="Arial" w:hAnsi="Arial"/>
          <w:sz w:val="18"/>
          <w:szCs w:val="18"/>
          <w:b w:val="1"/>
          <w:bCs w:val="1"/>
          <w:u w:val="single" w:color="auto"/>
          <w:color w:val="auto"/>
        </w:rPr>
        <w:t>DIRECTOR RESIGNATIONS</w:t>
      </w:r>
    </w:p>
    <w:p>
      <w:pPr>
        <w:spacing w:after="0" w:line="256" w:lineRule="exact"/>
        <w:rPr>
          <w:sz w:val="20"/>
          <w:szCs w:val="20"/>
          <w:color w:val="auto"/>
        </w:rPr>
      </w:pPr>
    </w:p>
    <w:p>
      <w:pPr>
        <w:ind w:right="80" w:firstLine="656"/>
        <w:spacing w:after="0" w:line="277" w:lineRule="auto"/>
        <w:tabs>
          <w:tab w:leader="none" w:pos="7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the Closing, the Stockholders will deliver the resignation of the directors of the Company, effective as of the Closing, as specified by the Buyer to the Company in writing at least five days prior to the Closing Date.</w:t>
      </w:r>
    </w:p>
    <w:p>
      <w:pPr>
        <w:spacing w:after="0" w:line="220"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6.8</w:t>
      </w:r>
      <w:r>
        <w:rPr>
          <w:sz w:val="20"/>
          <w:szCs w:val="20"/>
          <w:color w:val="auto"/>
        </w:rPr>
        <w:tab/>
      </w:r>
      <w:r>
        <w:rPr>
          <w:rFonts w:ascii="Arial" w:cs="Arial" w:eastAsia="Arial" w:hAnsi="Arial"/>
          <w:sz w:val="18"/>
          <w:szCs w:val="18"/>
          <w:b w:val="1"/>
          <w:bCs w:val="1"/>
          <w:u w:val="single" w:color="auto"/>
          <w:color w:val="auto"/>
        </w:rPr>
        <w:t>CONFIDENTIALITY</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Until the Closing Date, each of the parties shall, and shall cause its Affiliates, Representatives, the lenders and prospective lenders to, keep confidential, disclose only to its Affiliates, its Representatives, the lenders or prospective lenders, and use only in connection with the transactions contemplated by this Agreement all information and data obtained by them from the other parties or their respective Affiliates or Representatives relating to such other parties or the transactions contemplated hereby (other than information or data that is or becomes available to the public other than as a result of a breach of this </w:t>
      </w:r>
      <w:r>
        <w:rPr>
          <w:rFonts w:ascii="Arial" w:cs="Arial" w:eastAsia="Arial" w:hAnsi="Arial"/>
          <w:sz w:val="18"/>
          <w:szCs w:val="18"/>
          <w:u w:val="single" w:color="auto"/>
          <w:color w:val="auto"/>
        </w:rPr>
        <w:t>Section 6.8</w:t>
      </w:r>
      <w:r>
        <w:rPr>
          <w:rFonts w:ascii="Arial" w:cs="Arial" w:eastAsia="Arial" w:hAnsi="Arial"/>
          <w:sz w:val="18"/>
          <w:szCs w:val="18"/>
          <w:color w:val="auto"/>
        </w:rPr>
        <w:t>), unless disclosure of such information or data is required by applicable Law and/or Governmental Authorities. In the event that the transactions contemplated hereby are not consummated, each party shall, and shall use its commercially reasonable efforts to cause its Affiliates, Representatives, the lenders and prospective lenders to, promptly return to the other parties or destroy all documents (including all copies thereof) containing any such information or data.</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From the Closing and for a period of one year following the Closing Date, no Stockholder shall, and each Stockholder shall cause its Affiliates and Representatives not to, use for its or their own benefit or divulge or convey to any third party, any Confidential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Stockholder or such Affiliate or Representative may furnish such portion (and only such portion) of the Confidential Information as such Stockholder or such Affiliate or Representative reasonably determines it is legally obligated to disclose if: (i) it receives a request to disclose all or any part of the Confidential Information under the terms of a subpoena, civil investigative demand or order issued by a Governmental Authority; (ii) to the extent not inconsistent with such request, it notifies the Buyer of the existence, terms and circumstances surrounding such request and consults with the Buyer on the advisability of taking steps available under applicable Law to resist or narrow such request; (iii) it exercises its commercially reasonable efforts to obtain an order or other reliable assurance that confidential treatment will be accorded to the disclosed Confidential Information; and (iv) disclosure of such Confidential Information is required to prevent such Stockholder or such Affiliate or Representative from being held in contempt or becoming subject to any other penalty under applicable Law. 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consists of all information and data relating to the Business, the Shares, the Convertible Bonds, the Company or its Subsidiaries or the transactions contemplated hereby (other than data or information that is or becomes available to the public other than as a result of a breach of this </w:t>
      </w:r>
      <w:r>
        <w:rPr>
          <w:rFonts w:ascii="Arial" w:cs="Arial" w:eastAsia="Arial" w:hAnsi="Arial"/>
          <w:sz w:val="17"/>
          <w:szCs w:val="17"/>
          <w:u w:val="single" w:color="auto"/>
          <w:color w:val="auto"/>
        </w:rPr>
        <w:t>Section 6.8</w:t>
      </w:r>
      <w:r>
        <w:rPr>
          <w:rFonts w:ascii="Arial" w:cs="Arial" w:eastAsia="Arial" w:hAnsi="Arial"/>
          <w:sz w:val="17"/>
          <w:szCs w:val="17"/>
          <w:color w:val="auto"/>
        </w:rPr>
        <w:t>).</w:t>
      </w:r>
    </w:p>
    <w:p>
      <w:pPr>
        <w:spacing w:after="0" w:line="230"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6.9</w:t>
      </w:r>
      <w:r>
        <w:rPr>
          <w:sz w:val="20"/>
          <w:szCs w:val="20"/>
          <w:color w:val="auto"/>
        </w:rPr>
        <w:tab/>
      </w:r>
      <w:r>
        <w:rPr>
          <w:rFonts w:ascii="Arial" w:cs="Arial" w:eastAsia="Arial" w:hAnsi="Arial"/>
          <w:sz w:val="17"/>
          <w:szCs w:val="17"/>
          <w:b w:val="1"/>
          <w:bCs w:val="1"/>
          <w:u w:val="single" w:color="auto"/>
          <w:color w:val="auto"/>
        </w:rPr>
        <w:t>CONSENTS AND FILINGS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Each of the Company and the Buyer shall use all commercially reasonable efforts to take, or cause to be taken, all appropriate action to do, or cause to be done, all things necessary, proper or advisable under applicable Law or otherwise to consummate and make effective the transactions contemplated by this Agreement as promptly as practicable, including using commercially reasonable efforts to (i) obtain from Governmental Authorities and other Persons all consents, approvals, authorizations, qualifications and orders as are necessary for the consummation of the transactions contemplated by this Agreement, (ii) promptly make all necessary filings (which shall remain the sole responsibility of the Buyer), and thereafter make any other required submissions, with respect to this Agreement required under the German Act, the Spanish Act, the Brazilian Act, the Portuguese Act and the Ukrainian Act and any other applicable antitrust or competition law of any Governmental Authority and (iii) have vacated, lifted, reversed or overturned any order, decree, ruling, judgment, injunction or other action (whether temporary, preliminary or permanent) that is then in effect and that enjoins, restrains, conditions, makes illegal</w:t>
      </w:r>
    </w:p>
    <w:p>
      <w:pPr>
        <w:sectPr>
          <w:pgSz w:w="11900" w:h="16838" w:orient="portrait"/>
          <w:cols w:equalWidth="0" w:num="1">
            <w:col w:w="11400"/>
          </w:cols>
          <w:pgMar w:left="240" w:top="125" w:right="259" w:bottom="0" w:gutter="0" w:footer="0" w:header="0"/>
        </w:sectPr>
      </w:pPr>
    </w:p>
    <w:bookmarkStart w:id="30" w:name="page31"/>
    <w:bookmarkEnd w:id="30"/>
    <w:p>
      <w:pPr>
        <w:spacing w:after="0" w:line="285" w:lineRule="auto"/>
        <w:rPr>
          <w:sz w:val="20"/>
          <w:szCs w:val="20"/>
          <w:color w:val="auto"/>
        </w:rPr>
      </w:pPr>
      <w:r>
        <w:rPr>
          <w:rFonts w:ascii="Arial" w:cs="Arial" w:eastAsia="Arial" w:hAnsi="Arial"/>
          <w:sz w:val="16"/>
          <w:szCs w:val="16"/>
          <w:color w:val="auto"/>
        </w:rPr>
        <w:t>or otherwise restricts or prohibits the consummation of the transactions contemplated by this Agreement. In furtherance and not in limitation of the foregoing, each of the Company and the Stockholders shall permit the Buyer reasonably to participate in the defense and settlement of any claim, suit or cause of action relating to this Agreement or the transactions contemplated hereby, and none of the Company or the Stockholders shall settle or compromise any such claim, suit or cause of action without the Buyer's written consent. With respect to antitrust clearance, the Buyer shall use commercially reasonable efforts to make, within five Business Days of the date hereof, all necessary filings required under the German Act, the Spanish Act, the Portuguese Act and the Ukrainian Act and any other applicable antitrust or competition law of any Governmental Authority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The Company shall promptly furnish to the Buyer all necessary information as the Buyer may reasonably request in connection with the preparation of any filing or submission pursuant to any Governmental Approval and the Buyer shall promptly furnish to the Stockholder Representative copies of all written communications (and memoranda setting forth the substance of any oral communication) in connection with any Governmental Approval in connection with this Agreement. The Buyer will consult with the Stockholder Representative prior to any meetings, by telephone or in person, with the staff of any applicable Governmental Authority. The Buyer shall promptly respond to any request for additional information pursuant to any Governmental Approval. Upon the terms and subject to the provisions hereof, the Buyer and the Company shall each use their reasonable best efforts to resolve objections, if any, as may be asserted by any Governmental Authority with respect to the transactions contemplated by this Agreement under any antitrust or trade or regulatory laws or regulations of any Governmental Authority and to cause the waiting periods or other requirements under the applicable anti-competition Laws to terminate or expire at the earliest possible date. For purposes hereof, “reasonable best efforts” of the Buyer shall include the Buyer’s agreement to hold separate and divest such businesses, products and assets of the Buyer and its Affiliates as may be necessary to obtain the agreement of any Governmental Authority not to seek an injunction against or otherwise oppose the transactions contemplated hereby, on such terms as may be required by such Governmental Authority. The Buyer shall not (and, after Closing, the Buyer shall not permit the Company and any of its Subsidiaries to) consummate another transaction or enter into an agreement with respect to another transaction or take any other action if the intent or reasonably anticipated consequence of such transaction or action is, or would be, to cause any Governmental Authority not to grant approval of any required regulatory approval or materially delay either such approval.</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The Company shall use reasonable efforts to obtain such third party consents and estoppel certificates as the Buyer may deem necessary or desirable in connection with the transactions contemplated by this Agreement. The Buyer shall cooperate with and assist the Company in obtaining such consents and estoppel certificates;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Buyer shall have no obligation to give any guarantee or other consideration of any nature in connection with any such consent or estoppel certificate or consent to any change in the terms of any agreement or arrangement that the Buyer may deem adverse to the interests of the Buyer, the Business, the Shares or the Convertible Bonds. The Buyer has been aware through its investigations and acknowledges that certain consents to the transactions contemplated by this Agreement may be required from parties to contracts, leases, licenses or other agreements to which the Company and/or its Subsidiaries is a party (including the Material Contracts) and such consents may not be obtained. The Buyer agrees that the Stockholders shall not have any liability whatsoever to the Buyer (and the Buyer shall not be entitled to assert any claims against the Stockholders) arising out of or relating to the failure to obtain any consents that may have been or may be required in connection with the transactions contemplated by this Agreement because of the default, acceleration or termination of or loss of right under any such contract, lease, license or other agreement as a result thereof. The Buyer further agrees that no representation, warranty or covenant of the Company contained herein shall be breached or deemed breached and no condition of the Buyer shall be deemed not to be satisfied as a result of the failure to obtain any consent or as a result of any such default, acceleration or termination or loss of right or any lawsuit, action, claim, proceeding or investigation commenced or threatened by or on behalf of any Person arising out of or relating to the failure to obtain any consent or any default, acceleration or termination or loss of right.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Company shall deliver, as promptly as practicable, to the greatest extent possible by March 26, 2007, but in no event later than April 5, 2007, the audited 2006 Financial Statements (which shall be prepared consistent with past practice and shall be without footnotes), which shall conform in all respects with the Unaudited Financial Statements, except for such failures to conform as would not, in the aggregate, have a Material Adverse Effect.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Stockholders shall cause Ernst &amp; Young LLP to provide to the Buyer, at the Company's expense and as promptly as practicable after the Closing, but in no event later than June 4, 2007, (i) financial statements of the Company and its Subsidiaries in compliance with Regulation S-X under the Securities Act of 1933, as amended, as and when needed to satisfy the Buyer's United States reporting obligations in connection with the transactions contemplated hereby, including audited consolidated financial statements for 2004, 2005 and 2006, interim unaudited consolidated financial statements for March 31, 2006 and 2007, and pro forma financial statements, as may be required in accordance with Regulation S-X, and (ii) written consents, awareness letters and other documents, as requested by the Buyer, with respect to the inclusion of such financial statements in the Buyer's filings with the United States Securities and Exchange Commission. The Company shall provide Ernst &amp; Young LLP with reasonable and customary representation letters in connection therewith.</w:t>
      </w:r>
    </w:p>
    <w:p>
      <w:pPr>
        <w:spacing w:after="0" w:line="242"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6.10</w:t>
      </w:r>
      <w:r>
        <w:rPr>
          <w:sz w:val="20"/>
          <w:szCs w:val="20"/>
          <w:color w:val="auto"/>
        </w:rPr>
        <w:tab/>
      </w:r>
      <w:r>
        <w:rPr>
          <w:rFonts w:ascii="Arial" w:cs="Arial" w:eastAsia="Arial" w:hAnsi="Arial"/>
          <w:sz w:val="18"/>
          <w:szCs w:val="18"/>
          <w:b w:val="1"/>
          <w:bCs w:val="1"/>
          <w:u w:val="single" w:color="auto"/>
          <w:color w:val="auto"/>
        </w:rPr>
        <w:t>PUBLIC ANNOUNCEMENTS</w:t>
      </w:r>
    </w:p>
    <w:p>
      <w:pPr>
        <w:spacing w:after="0" w:line="256" w:lineRule="exact"/>
        <w:rPr>
          <w:sz w:val="20"/>
          <w:szCs w:val="20"/>
          <w:color w:val="auto"/>
        </w:rPr>
      </w:pPr>
    </w:p>
    <w:p>
      <w:pPr>
        <w:ind w:right="20" w:firstLine="656"/>
        <w:spacing w:after="0" w:line="286" w:lineRule="auto"/>
        <w:tabs>
          <w:tab w:leader="none" w:pos="783"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of the Stockholders, the Company and the Buyer shall consult with each other before issuing, and provide each other the opportunity to review and comment upon, any press release or other public statement with respect to the transactions contemplated hereby, and shall not issue any such press release or make any such public statement prior to such consultation, except as may be required by applicable Law.</w:t>
      </w:r>
    </w:p>
    <w:p>
      <w:pPr>
        <w:spacing w:after="0" w:line="216"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b w:val="1"/>
          <w:bCs w:val="1"/>
          <w:color w:val="auto"/>
        </w:rPr>
        <w:t>SECTION 6.11</w:t>
      </w:r>
      <w:r>
        <w:rPr>
          <w:sz w:val="20"/>
          <w:szCs w:val="20"/>
          <w:color w:val="auto"/>
        </w:rPr>
        <w:tab/>
      </w:r>
      <w:r>
        <w:rPr>
          <w:rFonts w:ascii="Arial" w:cs="Arial" w:eastAsia="Arial" w:hAnsi="Arial"/>
          <w:sz w:val="17"/>
          <w:szCs w:val="17"/>
          <w:b w:val="1"/>
          <w:bCs w:val="1"/>
          <w:u w:val="single" w:color="auto"/>
          <w:color w:val="auto"/>
        </w:rPr>
        <w:t>REPAYMENT OF GROUP INDEBTEDNESS</w:t>
      </w:r>
    </w:p>
    <w:p>
      <w:pPr>
        <w:spacing w:after="0" w:line="256" w:lineRule="exact"/>
        <w:rPr>
          <w:sz w:val="20"/>
          <w:szCs w:val="20"/>
          <w:color w:val="auto"/>
        </w:rPr>
      </w:pPr>
    </w:p>
    <w:p>
      <w:pPr>
        <w:jc w:val="both"/>
        <w:ind w:right="80" w:firstLine="656"/>
        <w:spacing w:after="0" w:line="264" w:lineRule="auto"/>
        <w:tabs>
          <w:tab w:leader="none" w:pos="783"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Provided that the Buyer has made funds referred to in Section 5.10 available the Company shall repay the Group Indebtedness at the Closing. The Stockholders shall use commercially reasonable efforts to assist the Company and the Buyer with preparations for prepayments and termination of the Group Indebtedness.</w:t>
      </w:r>
    </w:p>
    <w:p>
      <w:pPr>
        <w:spacing w:after="0" w:line="231"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6.12</w:t>
      </w:r>
      <w:r>
        <w:rPr>
          <w:sz w:val="20"/>
          <w:szCs w:val="20"/>
          <w:color w:val="auto"/>
        </w:rPr>
        <w:tab/>
      </w:r>
      <w:r>
        <w:rPr>
          <w:rFonts w:ascii="Arial" w:cs="Arial" w:eastAsia="Arial" w:hAnsi="Arial"/>
          <w:sz w:val="18"/>
          <w:szCs w:val="18"/>
          <w:b w:val="1"/>
          <w:bCs w:val="1"/>
          <w:u w:val="single" w:color="auto"/>
          <w:color w:val="auto"/>
        </w:rPr>
        <w:t>EMPLOYMENT MATTERS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Business Employees who remain employees of the Business after the Closing Date are referred to as "</w:t>
      </w:r>
      <w:r>
        <w:rPr>
          <w:rFonts w:ascii="Arial" w:cs="Arial" w:eastAsia="Arial" w:hAnsi="Arial"/>
          <w:sz w:val="18"/>
          <w:szCs w:val="18"/>
          <w:u w:val="single" w:color="auto"/>
          <w:color w:val="auto"/>
        </w:rPr>
        <w:t>Continuing Employees</w:t>
      </w:r>
      <w:r>
        <w:rPr>
          <w:rFonts w:ascii="Arial" w:cs="Arial" w:eastAsia="Arial" w:hAnsi="Arial"/>
          <w:sz w:val="18"/>
          <w:szCs w:val="18"/>
          <w:color w:val="auto"/>
        </w:rPr>
        <w:t>".</w:t>
      </w:r>
    </w:p>
    <w:p>
      <w:pPr>
        <w:sectPr>
          <w:pgSz w:w="11900" w:h="16838" w:orient="portrait"/>
          <w:cols w:equalWidth="0" w:num="1">
            <w:col w:w="11420"/>
          </w:cols>
          <w:pgMar w:left="240" w:top="125" w:right="239" w:bottom="59" w:gutter="0" w:footer="0" w:header="0"/>
        </w:sectPr>
      </w:pPr>
    </w:p>
    <w:bookmarkStart w:id="31" w:name="page32"/>
    <w:bookmarkEnd w:id="31"/>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a period of at least one year following the Closing Date and subject to their continued employment, the Buyer shall (or shall cause an Affiliate of the Buyer to) provide wages and employee benefits to each Continuing Employee who is not an employee of any Subsidiary of the Company organized in the United States that, in the aggregate, are substantially comparable to those provided to such Continuing Employee immediately prior to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Continuing Employee's terms and conditions of employment shall instead be in compliance with applicable law to the extent such law requires different treatment of such Continuing Employee).</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a period of at least one year following the Closing Date, the Buyer shall (or shall cause an Affiliate to) provide wages and employee benefits to each Continuing Employee of any Subsidiary of the Company organized in the United States that, in the aggregate, are (i) comparable to those provided to similarly-situated employees of the Buyer in the United States or (ii) substantially comparable to those provided to such Continuing Employee immediately prior to the Closing.</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Buyer shall take all actions required so that eligible Continuing Employees shall receive credit for purposes of participation and vesting under any employee benefit plans, programs or arrangements sponsored by the Buyer or an Affiliate of the Buyer to the extent credited under an analogous plan, program or arrangement of the Company or a Subsidiary of the Company as of the Closing Date. To the extent that the Buyer or an Affiliate of the Buyer modifies any coverage or benefit plans under which the Continuing Employees participate, the Buyer shall (or shall cause such Affiliate to) waive any applicable waiting periods, pre-existing conditions or actively-at-work requirements and shall give such Continuing Employees credit under the new coverage or benefit plans for deductibles, co-payments and out-of-pocket payments that have been paid during the plan year in which the Closing occurs.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w:t>
      </w:r>
    </w:p>
    <w:p>
      <w:pPr>
        <w:spacing w:after="0" w:line="256"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shall impact the Buyer's or any of its Affiliates' rights to terminate the employment of any Continuing Employee or (subject to </w:t>
      </w:r>
      <w:r>
        <w:rPr>
          <w:rFonts w:ascii="Arial" w:cs="Arial" w:eastAsia="Arial" w:hAnsi="Arial"/>
          <w:sz w:val="16"/>
          <w:szCs w:val="16"/>
          <w:u w:val="single" w:color="auto"/>
          <w:color w:val="auto"/>
        </w:rPr>
        <w:t>Section 6.12(b)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6.12(c)</w:t>
      </w:r>
      <w:r>
        <w:rPr>
          <w:rFonts w:ascii="Arial" w:cs="Arial" w:eastAsia="Arial" w:hAnsi="Arial"/>
          <w:sz w:val="16"/>
          <w:szCs w:val="16"/>
          <w:color w:val="auto"/>
        </w:rPr>
        <w:t>) change the terms and conditions of such Continuing Employee's employment at any time.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w:t>
      </w:r>
    </w:p>
    <w:p>
      <w:pPr>
        <w:spacing w:after="0" w:line="25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Buyer shall be responsible for any and all notices, liabilities, costs, payments and expenses arising from any action by the Buyer or, after the Closing, the Company (including breach of contract, defamation or retaliatory discharge) regarding any Business Employee, including any such liability (i) under any applicable law that relates to employees, employee benefit matters or labor matters, (ii) for dismissal, wrongful termination or constructive dismissal or termination, or severance pay or other termination pay, or (iii) under or with respect to any benefit plan, program, contract, policy, commitment, or arrangement of the Company and its Subsidiaries, including with respect to severance or retention plans, or to the extent such severance or retention plans provide payments or benefits with respect to any Business Employee.</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any termination or layoff of any Business Employee by the Buyer or the Company after the Closing, the Buyer and the Company will comply fully, if applicable, with the Worker Adjustment and Retraining Notification Act of 1988 ("</w:t>
      </w:r>
      <w:r>
        <w:rPr>
          <w:rFonts w:ascii="Arial" w:cs="Arial" w:eastAsia="Arial" w:hAnsi="Arial"/>
          <w:sz w:val="18"/>
          <w:szCs w:val="18"/>
          <w:u w:val="single" w:color="auto"/>
          <w:color w:val="auto"/>
        </w:rPr>
        <w:t>WARN</w:t>
      </w:r>
      <w:r>
        <w:rPr>
          <w:rFonts w:ascii="Arial" w:cs="Arial" w:eastAsia="Arial" w:hAnsi="Arial"/>
          <w:sz w:val="18"/>
          <w:szCs w:val="18"/>
          <w:color w:val="auto"/>
        </w:rPr>
        <w:t>") and all other applicable Laws, including those prohibiting discrimination and requiring notice to employees. The Buyer shall not, and shall cause the Company and its Subsidiaries not to, at any time prior to 60 days after the Closing Date, effectuate a “plant closing” or “mass layoff” as those terms are defined in WARN affecting in whole or in part any facility, site of employment, operating unit or employee of the Company or any Subsidiary without complying fully with the requirements of WARN. The Buyer will bear the cost of compliance with (or failure to comply with) any such Laws.</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w:t>
      </w:r>
    </w:p>
    <w:p>
      <w:pPr>
        <w:spacing w:after="0" w:line="256" w:lineRule="exact"/>
        <w:rPr>
          <w:sz w:val="20"/>
          <w:szCs w:val="20"/>
          <w:color w:val="auto"/>
        </w:rPr>
      </w:pPr>
    </w:p>
    <w:p>
      <w:pPr>
        <w:ind w:right="420" w:firstLine="648"/>
        <w:spacing w:after="0" w:line="302" w:lineRule="auto"/>
        <w:rPr>
          <w:sz w:val="20"/>
          <w:szCs w:val="20"/>
          <w:color w:val="auto"/>
        </w:rPr>
      </w:pPr>
      <w:r>
        <w:rPr>
          <w:rFonts w:ascii="Arial" w:cs="Arial" w:eastAsia="Arial" w:hAnsi="Arial"/>
          <w:sz w:val="16"/>
          <w:szCs w:val="16"/>
          <w:color w:val="auto"/>
        </w:rPr>
        <w:t>For periods on and after the Closing Date, the Company and its Subsidiaries shall continue to have all obligations and liabilities under and with respect to the Employee Benefit Plans and to or with respect to all persons entitled to benefits under the provisions of each such Employee Benefit Plan, including, without limitation, the obligation to provide or make available welfare benefits to retired or disabled employees of the Company and its Subsidiaries. Nothing in this Section will preclude the Buyer from making any modification to, or terminating, such Employee Benefit Plans.</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No Continuing Employee or any dependent or beneficiary thereof is an intended third-party beneficiary of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no such individual shall have any right to enforce the provisions of this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0"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6.13</w:t>
      </w:r>
      <w:r>
        <w:rPr>
          <w:sz w:val="20"/>
          <w:szCs w:val="20"/>
          <w:color w:val="auto"/>
        </w:rPr>
        <w:tab/>
      </w:r>
      <w:r>
        <w:rPr>
          <w:rFonts w:ascii="Arial" w:cs="Arial" w:eastAsia="Arial" w:hAnsi="Arial"/>
          <w:sz w:val="17"/>
          <w:szCs w:val="17"/>
          <w:b w:val="1"/>
          <w:bCs w:val="1"/>
          <w:u w:val="single" w:color="auto"/>
          <w:color w:val="auto"/>
        </w:rPr>
        <w:t>TAX COVENANTS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Each of the Stockholders shall be responsible for the payment of its Taxes resulting from the transactions contemplated hereby and the Buyer shall have no liability therefor.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Buyer shall prepare, or cause to be prepared, and file, or cause to be filed, all Returns of the Company and its Subsidiaries for Pre-Closing Tax periods that are due (including extensions) after the Closing Date and for any Taxable Period that begins prior to and ends after the Closing Date.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ectPr>
          <w:pgSz w:w="11900" w:h="16838" w:orient="portrait"/>
          <w:cols w:equalWidth="0" w:num="1">
            <w:col w:w="11400"/>
          </w:cols>
          <w:pgMar w:left="240" w:top="148" w:right="259" w:bottom="0" w:gutter="0" w:footer="0" w:header="0"/>
        </w:sectPr>
      </w:pPr>
    </w:p>
    <w:bookmarkStart w:id="32" w:name="page33"/>
    <w:bookmarkEnd w:id="32"/>
    <w:p>
      <w:pPr>
        <w:ind w:right="60" w:firstLine="648"/>
        <w:spacing w:after="0" w:line="312" w:lineRule="auto"/>
        <w:rPr>
          <w:sz w:val="20"/>
          <w:szCs w:val="20"/>
          <w:color w:val="auto"/>
        </w:rPr>
      </w:pPr>
      <w:r>
        <w:rPr>
          <w:rFonts w:ascii="Arial" w:cs="Arial" w:eastAsia="Arial" w:hAnsi="Arial"/>
          <w:sz w:val="16"/>
          <w:szCs w:val="16"/>
          <w:color w:val="auto"/>
        </w:rPr>
        <w:t>All transfer, documentary, sales, use, stamp, registration and other such taxes and fees (including any interest and penalties) incurred in connection with the transactions contemplated by this Agreement ("</w:t>
      </w:r>
      <w:r>
        <w:rPr>
          <w:rFonts w:ascii="Arial" w:cs="Arial" w:eastAsia="Arial" w:hAnsi="Arial"/>
          <w:sz w:val="16"/>
          <w:szCs w:val="16"/>
          <w:u w:val="single" w:color="auto"/>
          <w:color w:val="auto"/>
        </w:rPr>
        <w:t>Transfer Taxes</w:t>
      </w:r>
      <w:r>
        <w:rPr>
          <w:rFonts w:ascii="Arial" w:cs="Arial" w:eastAsia="Arial" w:hAnsi="Arial"/>
          <w:sz w:val="16"/>
          <w:szCs w:val="16"/>
          <w:color w:val="auto"/>
        </w:rPr>
        <w:t>") shall be paid by the Buyer and the Buyer will prepare and file all necessary Returns and other documentation with respect to such Transfer Taxes and, if required by Law, the Stockholders will join in the execution of any such Returns.</w:t>
      </w:r>
    </w:p>
    <w:p>
      <w:pPr>
        <w:spacing w:after="0" w:line="197"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6.14</w:t>
      </w:r>
      <w:r>
        <w:rPr>
          <w:sz w:val="20"/>
          <w:szCs w:val="20"/>
          <w:color w:val="auto"/>
        </w:rPr>
        <w:tab/>
      </w:r>
      <w:r>
        <w:rPr>
          <w:rFonts w:ascii="Arial" w:cs="Arial" w:eastAsia="Arial" w:hAnsi="Arial"/>
          <w:sz w:val="18"/>
          <w:szCs w:val="18"/>
          <w:b w:val="1"/>
          <w:bCs w:val="1"/>
          <w:u w:val="single" w:color="auto"/>
          <w:color w:val="auto"/>
        </w:rPr>
        <w:t>INDEMNIFICATION OF DIRECTORS AND OFFICERS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For six years from and after the Closing Date, to the fullest extent permitted by applicable Law, the Buyer and the Company agree to indemnify and hold harmless all past and present officers and directors of the Company and of its Subsidiaries to the same extent such persons are currently indemnified by the Company pursuant to the Company’s organizational documents and Director Indemnification Agreements for acts or omissions occurring at or prior to the Closing Date, and the Buyer shall not, and shall not permit the Company or any of its Subsidiaries to, amend, repeal or modify any provision in the Company’s or any of its Subsidiaries’ organizational documents relating to the exculpation or indemnification of former officers and directors as in effect immediately prior to the Closing; provided, however, that the foregoing will not apply to indemnification claims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neither the Company nor the Buyer shall be liable with respect to any settlements effected without its written consent (which consent shall not be unreasonably withheld).</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The Buyer shall cause the Company and its Subsidiaries to maintain in effect for six years from the Closing Date directors’ and officers’ liability insurance covering those persons who are currently covered by the Company’s existing directors’ and officers’ liability insurance policy on terms not less favorable than such existing insurance coverage;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claim is brought under such director’s and officer’s liability insurance policy, such policy shall be maintained until final disposition of such claim; </w:t>
      </w:r>
      <w:r>
        <w:rPr>
          <w:rFonts w:ascii="Arial" w:cs="Arial" w:eastAsia="Arial" w:hAnsi="Arial"/>
          <w:sz w:val="18"/>
          <w:szCs w:val="18"/>
          <w:u w:val="single" w:color="auto"/>
          <w:color w:val="auto"/>
        </w:rPr>
        <w:t>provided,further,</w:t>
      </w:r>
      <w:r>
        <w:rPr>
          <w:rFonts w:ascii="Arial" w:cs="Arial" w:eastAsia="Arial" w:hAnsi="Arial"/>
          <w:sz w:val="18"/>
          <w:szCs w:val="18"/>
          <w:color w:val="auto"/>
        </w:rPr>
        <w:t xml:space="preserve"> that the Company shall not be required to pay an annual premium in excess of 250 percent of the last annual premium paid prior to the date thereof, but in such case shall purchase as much coverage as possible for such amount.</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In addition to the other rights provided for in this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and not in limitation thereof (but without in any way limiting or modifying the obligations of any insurance carrier contemplated by </w:t>
      </w:r>
      <w:r>
        <w:rPr>
          <w:rFonts w:ascii="Arial" w:cs="Arial" w:eastAsia="Arial" w:hAnsi="Arial"/>
          <w:sz w:val="17"/>
          <w:szCs w:val="17"/>
          <w:u w:val="single" w:color="auto"/>
          <w:color w:val="auto"/>
        </w:rPr>
        <w:t>Section 6.14</w:t>
      </w:r>
      <w:r>
        <w:rPr>
          <w:rFonts w:ascii="Arial" w:cs="Arial" w:eastAsia="Arial" w:hAnsi="Arial"/>
          <w:sz w:val="17"/>
          <w:szCs w:val="17"/>
          <w:color w:val="auto"/>
        </w:rPr>
        <w:t>), from and after the Closing Date, the Buyer shall, and shall cause the Company and its Subsidiaries (each, a "</w:t>
      </w:r>
      <w:r>
        <w:rPr>
          <w:rFonts w:ascii="Arial" w:cs="Arial" w:eastAsia="Arial" w:hAnsi="Arial"/>
          <w:sz w:val="17"/>
          <w:szCs w:val="17"/>
          <w:u w:val="single" w:color="auto"/>
          <w:color w:val="auto"/>
        </w:rPr>
        <w:t>D&amp;O Indemnifying Party</w:t>
      </w:r>
      <w:r>
        <w:rPr>
          <w:rFonts w:ascii="Arial" w:cs="Arial" w:eastAsia="Arial" w:hAnsi="Arial"/>
          <w:sz w:val="17"/>
          <w:szCs w:val="17"/>
          <w:color w:val="auto"/>
        </w:rPr>
        <w:t>") to, to the fullest extent permitted by applicable law, (i) indemnify and hold harmless (and release from any liability to the Buyer or the Company or any of its Subsidiaries), the individuals who, on or prior the Closing Date, were officers, directors, or employees or agents of the Company or any of its Subsidiaries or served on behalf of the Company as an officer, director or employee or agent of any of the Company’s current or former Subsidiaries or Affiliates (collectively, "</w:t>
      </w:r>
      <w:r>
        <w:rPr>
          <w:rFonts w:ascii="Arial" w:cs="Arial" w:eastAsia="Arial" w:hAnsi="Arial"/>
          <w:sz w:val="17"/>
          <w:szCs w:val="17"/>
          <w:u w:val="single" w:color="auto"/>
          <w:color w:val="auto"/>
        </w:rPr>
        <w:t>Covered Affiliates</w:t>
      </w:r>
      <w:r>
        <w:rPr>
          <w:rFonts w:ascii="Arial" w:cs="Arial" w:eastAsia="Arial" w:hAnsi="Arial"/>
          <w:sz w:val="17"/>
          <w:szCs w:val="17"/>
          <w:color w:val="auto"/>
        </w:rPr>
        <w:t>") or any of their predecessors in all of their capacities (including as member or stockholder, controlling or otherwise) and the heirs, executors, trustees, fiduciaries and administrators of such officer, directors or employees or agents (each a "</w:t>
      </w:r>
      <w:r>
        <w:rPr>
          <w:rFonts w:ascii="Arial" w:cs="Arial" w:eastAsia="Arial" w:hAnsi="Arial"/>
          <w:sz w:val="17"/>
          <w:szCs w:val="17"/>
          <w:u w:val="single" w:color="auto"/>
          <w:color w:val="auto"/>
        </w:rPr>
        <w:t>D&amp;O Indemnitee</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D&amp;O Indemnitees</w:t>
      </w:r>
      <w:r>
        <w:rPr>
          <w:rFonts w:ascii="Arial" w:cs="Arial" w:eastAsia="Arial" w:hAnsi="Arial"/>
          <w:sz w:val="17"/>
          <w:szCs w:val="17"/>
          <w:color w:val="auto"/>
        </w:rPr>
        <w:t>") against all D&amp;O Expenses, losses, claims, damages, judgments or amounts paid in settlement ("</w:t>
      </w:r>
      <w:r>
        <w:rPr>
          <w:rFonts w:ascii="Arial" w:cs="Arial" w:eastAsia="Arial" w:hAnsi="Arial"/>
          <w:sz w:val="17"/>
          <w:szCs w:val="17"/>
          <w:u w:val="single" w:color="auto"/>
          <w:color w:val="auto"/>
        </w:rPr>
        <w:t>D&amp;O Costs</w:t>
      </w:r>
      <w:r>
        <w:rPr>
          <w:rFonts w:ascii="Arial" w:cs="Arial" w:eastAsia="Arial" w:hAnsi="Arial"/>
          <w:sz w:val="17"/>
          <w:szCs w:val="17"/>
          <w:color w:val="auto"/>
        </w:rPr>
        <w:t>") in respect of any threatened, pending or completed Action based on or arising out of or relating to the fact that such Person is or was a director, officer or employee (controlling or otherwise) of the Company or any of its Subsidiaries or Covered Affiliates or any of their predecessors arising out of acts or omissions occurring on or prior to the Closing Date (including without limitation, in respect of acts or omissions in connection with this Agreement and the transactions contemplated thereby) (a "</w:t>
      </w:r>
      <w:r>
        <w:rPr>
          <w:rFonts w:ascii="Arial" w:cs="Arial" w:eastAsia="Arial" w:hAnsi="Arial"/>
          <w:sz w:val="17"/>
          <w:szCs w:val="17"/>
          <w:u w:val="single" w:color="auto"/>
          <w:color w:val="auto"/>
        </w:rPr>
        <w:t>D&amp;O Indemnifiable Claim</w:t>
      </w:r>
      <w:r>
        <w:rPr>
          <w:rFonts w:ascii="Arial" w:cs="Arial" w:eastAsia="Arial" w:hAnsi="Arial"/>
          <w:sz w:val="17"/>
          <w:szCs w:val="17"/>
          <w:color w:val="auto"/>
        </w:rPr>
        <w:t xml:space="preserve">"), except for acts or omissions which involve conduct known to such Person at the time to constitute a material violation of applicable law and (ii) advance to such D&amp;O Indemnitees all D&amp;O Expenses incurred in connection with any D&amp;O Indemnifiable Claim (including in circumstances where the D&amp;O Indemnifying Party has assumed the defense of such claim) promptly after receipt of reasonably detailed statements therefor; provided, however, that the Person to whom D&amp;O Expenses are to be advanced provides an undertaking to repay such advances if it is ultimately determined that such Person is not entitled to indemnification. Each D&amp;O Indemnifiable Claim shall continue until such D&amp;O Indemnifiable Claim is disposed of or all judgments, orders, decrees or other rulings in connection with such D&amp;O Indemnifiable Claim are fully satisfied. For the purposes of this </w:t>
      </w:r>
      <w:r>
        <w:rPr>
          <w:rFonts w:ascii="Arial" w:cs="Arial" w:eastAsia="Arial" w:hAnsi="Arial"/>
          <w:sz w:val="17"/>
          <w:szCs w:val="17"/>
          <w:u w:val="single" w:color="auto"/>
          <w:color w:val="auto"/>
        </w:rPr>
        <w:t>Section 6.14(c)</w:t>
      </w:r>
      <w:r>
        <w:rPr>
          <w:rFonts w:ascii="Arial" w:cs="Arial" w:eastAsia="Arial" w:hAnsi="Arial"/>
          <w:sz w:val="17"/>
          <w:szCs w:val="17"/>
          <w:color w:val="auto"/>
        </w:rPr>
        <w:t>, "</w:t>
      </w:r>
      <w:r>
        <w:rPr>
          <w:rFonts w:ascii="Arial" w:cs="Arial" w:eastAsia="Arial" w:hAnsi="Arial"/>
          <w:sz w:val="17"/>
          <w:szCs w:val="17"/>
          <w:u w:val="single" w:color="auto"/>
          <w:color w:val="auto"/>
        </w:rPr>
        <w:t>D&amp;O Expenses</w:t>
      </w:r>
      <w:r>
        <w:rPr>
          <w:rFonts w:ascii="Arial" w:cs="Arial" w:eastAsia="Arial" w:hAnsi="Arial"/>
          <w:sz w:val="17"/>
          <w:szCs w:val="17"/>
          <w:color w:val="auto"/>
        </w:rPr>
        <w:t>" shall include reasonable attorneys’ fees and all other reasonable costs, charges and expenses paid or incurred in connection with investigating, defending, being a witness in or participating in (including on appeal), or preparing to defend, to be a witness in or participate in any D&amp; O Indemnifiable Claim, but shall exclude losses, judgments and amounts paid in settlement (which items are included in the definition of D&amp;O Costs).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ind w:right="380" w:firstLine="648"/>
        <w:spacing w:after="0" w:line="302" w:lineRule="auto"/>
        <w:rPr>
          <w:sz w:val="20"/>
          <w:szCs w:val="20"/>
          <w:color w:val="auto"/>
        </w:rPr>
      </w:pPr>
      <w:r>
        <w:rPr>
          <w:rFonts w:ascii="Arial" w:cs="Arial" w:eastAsia="Arial" w:hAnsi="Arial"/>
          <w:sz w:val="16"/>
          <w:szCs w:val="16"/>
          <w:color w:val="auto"/>
        </w:rPr>
        <w:t xml:space="preserve">Notwithstanding anything contained in this Agreement to the contrary, this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shall survive the consummation of the Closing indefinitely. In the event that the Buyer or the Company or any of its Subsidiaries or any of their respective successors or assigns (i) consolidates with or merges in to any other Person, or (ii) transfers all or substantially all of its properties or assets to any Person, then, and in each case, the successors and assigns of the Buyer or its Subsidiary, as the case may be, shall expressly assume and be bound by the obligations set forth in this </w:t>
      </w:r>
      <w:r>
        <w:rPr>
          <w:rFonts w:ascii="Arial" w:cs="Arial" w:eastAsia="Arial" w:hAnsi="Arial"/>
          <w:sz w:val="16"/>
          <w:szCs w:val="16"/>
          <w:u w:val="single" w:color="auto"/>
          <w:color w:val="auto"/>
        </w:rPr>
        <w:t>Section 6.14</w:t>
      </w:r>
      <w:r>
        <w:rPr>
          <w:rFonts w:ascii="Arial" w:cs="Arial" w:eastAsia="Arial" w:hAnsi="Arial"/>
          <w:sz w:val="16"/>
          <w:szCs w:val="16"/>
          <w:color w:val="auto"/>
        </w:rPr>
        <w:t>.</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w:t>
      </w:r>
    </w:p>
    <w:p>
      <w:pPr>
        <w:spacing w:after="0" w:line="256"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 xml:space="preserve">The obligations of the Buyer, the Company and its Subsidiaries under this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shall not be terminated or modified in such a manner as to adversely affect any D&amp;O Indemnitee to whom this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applies without the consent of such affected D&amp;O Indemnitee.</w:t>
      </w:r>
    </w:p>
    <w:p>
      <w:pPr>
        <w:spacing w:after="0" w:line="197"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6.15</w:t>
      </w:r>
      <w:r>
        <w:rPr>
          <w:sz w:val="20"/>
          <w:szCs w:val="20"/>
          <w:color w:val="auto"/>
        </w:rPr>
        <w:tab/>
      </w:r>
      <w:r>
        <w:rPr>
          <w:rFonts w:ascii="Arial" w:cs="Arial" w:eastAsia="Arial" w:hAnsi="Arial"/>
          <w:sz w:val="17"/>
          <w:szCs w:val="17"/>
          <w:b w:val="1"/>
          <w:bCs w:val="1"/>
          <w:u w:val="single" w:color="auto"/>
          <w:color w:val="auto"/>
        </w:rPr>
        <w:t>PRESERVATION OF RECORDS; POST-CLOSING ACCESS AND COOPERATION</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Buyer and the Company shall preserve and retain, in accordance with the Buyer's record retention program as in effect from time to time, all corporate, accounting, legal, auditing, human resources and other books and records of the Company and each of its Subsidiaries relating to the conduct of the Business prior to the Closing Date. If, after the Closing, the Stockholders need information contained in the books and records of the Company, then the Buyer shall cause the Company to provide the Stockholders with such information.</w:t>
      </w:r>
    </w:p>
    <w:p>
      <w:pPr>
        <w:spacing w:after="0" w:line="237"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6.16</w:t>
      </w:r>
      <w:r>
        <w:rPr>
          <w:sz w:val="20"/>
          <w:szCs w:val="20"/>
          <w:color w:val="auto"/>
        </w:rPr>
        <w:tab/>
      </w:r>
      <w:r>
        <w:rPr>
          <w:rFonts w:ascii="Arial" w:cs="Arial" w:eastAsia="Arial" w:hAnsi="Arial"/>
          <w:sz w:val="18"/>
          <w:szCs w:val="18"/>
          <w:b w:val="1"/>
          <w:bCs w:val="1"/>
          <w:u w:val="single" w:color="auto"/>
          <w:color w:val="auto"/>
        </w:rPr>
        <w:t>INDONESIAN SUBSIDIARY</w:t>
      </w:r>
    </w:p>
    <w:p>
      <w:pPr>
        <w:sectPr>
          <w:pgSz w:w="11900" w:h="16838" w:orient="portrait"/>
          <w:cols w:equalWidth="0" w:num="1">
            <w:col w:w="11420"/>
          </w:cols>
          <w:pgMar w:left="240" w:top="368" w:right="239" w:bottom="198" w:gutter="0" w:footer="0" w:header="0"/>
        </w:sectPr>
      </w:pPr>
    </w:p>
    <w:bookmarkStart w:id="33" w:name="page34"/>
    <w:bookmarkEnd w:id="33"/>
    <w:p>
      <w:pPr>
        <w:ind w:left="800" w:hanging="144"/>
        <w:spacing w:after="0"/>
        <w:tabs>
          <w:tab w:leader="none" w:pos="8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Messrs. Bize and Matton shall provide reasonable assistance to the Company to resolve the dispute between the Company and its partner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Indonesia.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w:t>
      </w:r>
    </w:p>
    <w:p>
      <w:pPr>
        <w:spacing w:after="0" w:line="27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8"/>
          <w:szCs w:val="18"/>
          <w:b w:val="1"/>
          <w:bCs w:val="1"/>
          <w:u w:val="single" w:color="auto"/>
          <w:color w:val="auto"/>
        </w:rPr>
        <w:t>GENERAL CONDITIONS</w:t>
      </w:r>
    </w:p>
    <w:p>
      <w:pPr>
        <w:spacing w:after="0" w:line="256" w:lineRule="exact"/>
        <w:rPr>
          <w:sz w:val="20"/>
          <w:szCs w:val="20"/>
          <w:color w:val="auto"/>
        </w:rPr>
      </w:pPr>
    </w:p>
    <w:p>
      <w:pPr>
        <w:ind w:right="80" w:firstLine="656"/>
        <w:spacing w:after="0" w:line="276" w:lineRule="auto"/>
        <w:tabs>
          <w:tab w:leader="none" w:pos="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respective obligations of the Buyer, the Company and the Stockholders to consummate the transactions contemplated by this Agreement shall be subject to the fulfillment, at or prior to the Closing, of each of the following conditions, any of which may, to the extent permitted by applicable Law, be waived in writing by the Buyer, the Company or the Stockholder Representative (on behalf of the Stockholders)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waiver shall only be effective as to the obligations of such party (or, in the case of the Stockholders, such waiver by the Stockholder Representative on behalf of the Stockholders shall only be effective as to the obligations of the Stockholders)):</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u w:val="single" w:color="auto"/>
          <w:color w:val="auto"/>
        </w:rPr>
        <w:t>No Injunction or Prohibition</w:t>
      </w:r>
      <w:r>
        <w:rPr>
          <w:rFonts w:ascii="Arial" w:cs="Arial" w:eastAsia="Arial" w:hAnsi="Arial"/>
          <w:sz w:val="18"/>
          <w:szCs w:val="18"/>
          <w:color w:val="auto"/>
        </w:rPr>
        <w:t>. No Governmental Authority shall have enacted, issued, promulgated, enforced or entered any Law (whether temporary, preliminary or permanent) that is then in effect and that enjoins, restrains, conditions, makes illegal or otherwise prohibits the consummation of the transactions contemplated by this Agreement.</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u w:val="single" w:color="auto"/>
          <w:color w:val="auto"/>
        </w:rPr>
        <w:t>Antitrust/Competition and Regulatory Clearance</w:t>
      </w:r>
      <w:r>
        <w:rPr>
          <w:rFonts w:ascii="Arial" w:cs="Arial" w:eastAsia="Arial" w:hAnsi="Arial"/>
          <w:sz w:val="18"/>
          <w:szCs w:val="18"/>
          <w:color w:val="auto"/>
        </w:rPr>
        <w:t>. Any waiting period (and any extension thereof) under the German Act, the Spanish Act, the Portuguese Act and the Ukrainian Act or any applicable Laws and/or regulations of any Governmental Authority shall have expired or shall have been terminated, it being understood that the Buyer shall be solely responsible for obtaining the Brazilian antitrust clearance or the consequences of the failure to obtain of such clearance.</w:t>
      </w:r>
    </w:p>
    <w:p>
      <w:pPr>
        <w:spacing w:after="0" w:line="23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7.2</w:t>
      </w:r>
      <w:r>
        <w:rPr>
          <w:sz w:val="20"/>
          <w:szCs w:val="20"/>
          <w:color w:val="auto"/>
        </w:rPr>
        <w:tab/>
      </w:r>
      <w:r>
        <w:rPr>
          <w:rFonts w:ascii="Arial" w:cs="Arial" w:eastAsia="Arial" w:hAnsi="Arial"/>
          <w:sz w:val="18"/>
          <w:szCs w:val="18"/>
          <w:b w:val="1"/>
          <w:bCs w:val="1"/>
          <w:u w:val="single" w:color="auto"/>
          <w:color w:val="auto"/>
        </w:rPr>
        <w:t>CONDITIONS TO OBLIGATIONS OF THE COMPANY AND THE STOCKHOLDERS</w:t>
      </w:r>
    </w:p>
    <w:p>
      <w:pPr>
        <w:spacing w:after="0" w:line="256" w:lineRule="exact"/>
        <w:rPr>
          <w:sz w:val="20"/>
          <w:szCs w:val="20"/>
          <w:color w:val="auto"/>
        </w:rPr>
      </w:pPr>
    </w:p>
    <w:p>
      <w:pPr>
        <w:ind w:right="440" w:firstLine="656"/>
        <w:spacing w:after="0" w:line="264"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obligations of the Company and the Stockholders to consummate the transactions contemplated by this Agreement shall be subject to the fulfillment, at or prior to the Closing, of each of the following conditions, any of which may be waived in writing by the Company or the Stockholder Representative (on behalf of the Stockholders), in its sole discretion:</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u w:val="single" w:color="auto"/>
          <w:color w:val="auto"/>
        </w:rPr>
        <w:t>Representations, Warranties and Covenants of the Buyer</w:t>
      </w:r>
      <w:r>
        <w:rPr>
          <w:rFonts w:ascii="Arial" w:cs="Arial" w:eastAsia="Arial" w:hAnsi="Arial"/>
          <w:sz w:val="17"/>
          <w:szCs w:val="17"/>
          <w:color w:val="auto"/>
        </w:rPr>
        <w:t>. The representations and warranties of the Buyer contained in this Agreement or any schedule, certificate or other document delivered pursuant hereto or in connection with the transactions contemplated hereby shall be true and correct both when made and as of the Closing Date, or in the case of representations and warranties that are made as of a specified date, such representations and warranties shall be true and correct as of such specified date, except where the failure to be so true and correct (without giving effect to any limitation or qualification as to "materiality" (including the word "material") or "Knowledge" set forth therein) would not, individually or in the aggregate, reasonably be expected to be materially adverse to the ability of the Buyer to perform its obligations under this Agreement or to consummate the transactions contemplated hereby. The Buyer shall have performed all obligations and agreements and complied with all covenants and conditions required by this Agreement to be performed or complied with by it prior to or at the Closing.</w:t>
      </w:r>
    </w:p>
    <w:p>
      <w:pPr>
        <w:spacing w:after="0" w:line="22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8"/>
          <w:szCs w:val="18"/>
          <w:b w:val="1"/>
          <w:bCs w:val="1"/>
          <w:u w:val="single" w:color="auto"/>
          <w:color w:val="auto"/>
        </w:rPr>
        <w:t>CONDITIONS TO OBLIGATIONS OF THE BUYER</w:t>
      </w:r>
    </w:p>
    <w:p>
      <w:pPr>
        <w:spacing w:after="0" w:line="256" w:lineRule="exact"/>
        <w:rPr>
          <w:sz w:val="20"/>
          <w:szCs w:val="20"/>
          <w:color w:val="auto"/>
        </w:rPr>
      </w:pPr>
    </w:p>
    <w:p>
      <w:pPr>
        <w:ind w:right="180" w:firstLine="656"/>
        <w:spacing w:after="0" w:line="277"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obligations of the Buyer to consummate the transactions contemplated by this Agreement shall be subject to the fulfillment, at or prior to the Closing, of each of the following conditions, any of which may be waived in writing by the Buyer in its sole discretion: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Representations, Warranties and Covenants of the Company</w:t>
      </w:r>
      <w:r>
        <w:rPr>
          <w:rFonts w:ascii="Arial" w:cs="Arial" w:eastAsia="Arial" w:hAnsi="Arial"/>
          <w:sz w:val="18"/>
          <w:szCs w:val="18"/>
          <w:color w:val="auto"/>
        </w:rPr>
        <w:t>.</w:t>
      </w:r>
    </w:p>
    <w:p>
      <w:pPr>
        <w:spacing w:after="0" w:line="275" w:lineRule="exact"/>
        <w:rPr>
          <w:sz w:val="20"/>
          <w:szCs w:val="20"/>
          <w:color w:val="auto"/>
        </w:rPr>
      </w:pPr>
    </w:p>
    <w:p>
      <w:pPr>
        <w:ind w:right="260" w:firstLine="1953"/>
        <w:spacing w:after="0" w:line="266" w:lineRule="auto"/>
        <w:tabs>
          <w:tab w:leader="none" w:pos="2567"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THERE SHALL NOT HAVE OCCURRED, WITHOUT GIVING EFFECT TO ANY LIMITATION OR QUALIFICATION (INCLUDING THE WORD "MATERIAL", "MATERIAL ADVERSE EFFECT", "MATERIAL ADVERSE EVENT" OR "KNOWLEDGE") SET FORTH IN ANY REPRESENTATION OR WARRANTY OF THE COMPANY CONTAINED IN THIS AGREEMENT:</w:t>
      </w:r>
    </w:p>
    <w:p>
      <w:pPr>
        <w:spacing w:after="0" w:line="207" w:lineRule="exact"/>
        <w:rPr>
          <w:rFonts w:ascii="Arial" w:cs="Arial" w:eastAsia="Arial" w:hAnsi="Arial"/>
          <w:sz w:val="18"/>
          <w:szCs w:val="18"/>
          <w:b w:val="1"/>
          <w:bCs w:val="1"/>
          <w:color w:val="auto"/>
        </w:rPr>
      </w:pPr>
    </w:p>
    <w:p>
      <w:pPr>
        <w:ind w:right="200" w:firstLine="2925"/>
        <w:spacing w:after="0" w:line="277" w:lineRule="auto"/>
        <w:tabs>
          <w:tab w:leader="none" w:pos="3662"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or warranty of the Company (other than any Core Representation of the Company)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as of the date of this Agreement;</w:t>
      </w:r>
    </w:p>
    <w:p>
      <w:pPr>
        <w:spacing w:after="0" w:line="197" w:lineRule="exact"/>
        <w:rPr>
          <w:rFonts w:ascii="Arial" w:cs="Arial" w:eastAsia="Arial" w:hAnsi="Arial"/>
          <w:sz w:val="18"/>
          <w:szCs w:val="18"/>
          <w:color w:val="auto"/>
        </w:rPr>
      </w:pPr>
    </w:p>
    <w:p>
      <w:pPr>
        <w:ind w:left="3660" w:hanging="735"/>
        <w:spacing w:after="0"/>
        <w:tabs>
          <w:tab w:leader="none" w:pos="36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breach of any Core Representation of the Company as of the date of this Agreement or as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Closing Date; or</w:t>
      </w:r>
    </w:p>
    <w:p>
      <w:pPr>
        <w:spacing w:after="0" w:line="237" w:lineRule="exact"/>
        <w:rPr>
          <w:rFonts w:ascii="Arial" w:cs="Arial" w:eastAsia="Arial" w:hAnsi="Arial"/>
          <w:sz w:val="17"/>
          <w:szCs w:val="17"/>
          <w:color w:val="auto"/>
        </w:rPr>
      </w:pPr>
    </w:p>
    <w:p>
      <w:pPr>
        <w:ind w:left="3660" w:hanging="735"/>
        <w:spacing w:after="0"/>
        <w:tabs>
          <w:tab w:leader="none" w:pos="3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Material Adverse Event;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individually or in the aggregate, has a Material Adverse Effect, and</w:t>
      </w:r>
    </w:p>
    <w:p>
      <w:pPr>
        <w:spacing w:after="0" w:line="275" w:lineRule="exact"/>
        <w:rPr>
          <w:sz w:val="20"/>
          <w:szCs w:val="20"/>
          <w:color w:val="auto"/>
        </w:rPr>
      </w:pPr>
    </w:p>
    <w:p>
      <w:pPr>
        <w:ind w:right="40" w:firstLine="1953"/>
        <w:spacing w:after="0" w:line="289" w:lineRule="auto"/>
        <w:tabs>
          <w:tab w:leader="none" w:pos="2637"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THE COMPANY SHALL HAVE PERFORMED ALL OBLIGATIONS AND AGREEMENTS AND COMPLIED WITH ALL COVENANTS AND CONDITIONS REQUIRED BY THIS AGREEMENT TO BE PERFORMED OR COMPLIED WITH BY IT PRIOR TO OR AT THE CLOSING, EXCEPT FOR ANY SUCH FAILURES TO PERFORM OR COMPLY AS WOULD NOT REASONABLY BE</w:t>
      </w:r>
    </w:p>
    <w:p>
      <w:pPr>
        <w:sectPr>
          <w:pgSz w:w="11900" w:h="16838" w:orient="portrait"/>
          <w:cols w:equalWidth="0" w:num="1">
            <w:col w:w="11420"/>
          </w:cols>
          <w:pgMar w:left="240" w:top="125" w:right="239" w:bottom="0" w:gutter="0" w:footer="0" w:header="0"/>
        </w:sectPr>
      </w:pPr>
    </w:p>
    <w:bookmarkStart w:id="34" w:name="page35"/>
    <w:bookmarkEnd w:id="34"/>
    <w:p>
      <w:pPr>
        <w:ind w:right="280"/>
        <w:spacing w:after="0" w:line="282" w:lineRule="auto"/>
        <w:rPr>
          <w:sz w:val="20"/>
          <w:szCs w:val="20"/>
          <w:color w:val="auto"/>
        </w:rPr>
      </w:pPr>
      <w:r>
        <w:rPr>
          <w:rFonts w:ascii="Arial" w:cs="Arial" w:eastAsia="Arial" w:hAnsi="Arial"/>
          <w:sz w:val="18"/>
          <w:szCs w:val="18"/>
          <w:b w:val="1"/>
          <w:bCs w:val="1"/>
          <w:color w:val="auto"/>
        </w:rPr>
        <w:t>EXPECTED TO BE ADVERSE TO THE COMPANY, THE BUYER, OR THE COMPANY OR THE BUYER’S ABILITY TO CONSUMMATE THE TRANSACTIONS CONTEMPLATED HEREBY AS CONTEMPLATED BY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u w:val="single" w:color="auto"/>
          <w:color w:val="auto"/>
        </w:rPr>
        <w:t>Representations, Warranties and Covenants of the Stockholders</w:t>
      </w:r>
      <w:r>
        <w:rPr>
          <w:rFonts w:ascii="Arial" w:cs="Arial" w:eastAsia="Arial" w:hAnsi="Arial"/>
          <w:sz w:val="16"/>
          <w:szCs w:val="16"/>
          <w:color w:val="auto"/>
        </w:rPr>
        <w:t xml:space="preserve">. The representations and warranties of each Stockholder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this Agreement shall be true and correct as of the date of this Agreement, and the Core Representations of each Stockholder contained in this Agreement shall be true and correct as of the Closing Date, except in either case where the failure to be so true and correct (without giving effect to any limitation or qualification as to "materiality" (including the word "material") or "Knowledge" set forth therein) would not, individually or in the aggregate, reasonably be expected to be materially adverse to the ability of such Stockholder to perform its obligations under this Agreement or to consummate the transactions contemplated hereby. Each Stockholder shall have performed all obligations and agreements and complied with all covenants and conditions required by this Agreement to be performed or complied with by it prior to or at the Closing, except where the failure to do so does not adversely impact the Company, the Buyer or the Buyer's ability to consummate the transactions contemplated hereby in accordance with this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7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7"/>
          <w:szCs w:val="17"/>
          <w:b w:val="1"/>
          <w:bCs w:val="1"/>
          <w:u w:val="single" w:color="auto"/>
          <w:color w:val="auto"/>
        </w:rPr>
        <w:t>SURVIVAL OF REPRESENTATIONS, WARRANTIES AND COVENANTS</w:t>
      </w:r>
    </w:p>
    <w:p>
      <w:pPr>
        <w:spacing w:after="0" w:line="256" w:lineRule="exact"/>
        <w:rPr>
          <w:sz w:val="20"/>
          <w:szCs w:val="20"/>
          <w:color w:val="auto"/>
        </w:rPr>
      </w:pPr>
    </w:p>
    <w:p>
      <w:pPr>
        <w:ind w:right="80" w:firstLine="656"/>
        <w:spacing w:after="0" w:line="270" w:lineRule="auto"/>
        <w:tabs>
          <w:tab w:leader="none" w:pos="7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the Stockholders and the Buyer contained in this Agreement and any schedule, certificate or other document delivered pursuant hereto or thereto or in connection with the transactions contemplated hereby or thereby shall terminate as of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representations and warranties set forth in Section 3.1, Section 4.1 and Section 5.1 relating to organization and existence, Section 3.2, Section 4.2 and Section 5.2 relating to authority, Section 4.4 relating to Common Stock and Convertible Bonds, and Section 3.4 relating to capitalization (Sections 3.1, Section 3.2, Section 3.4, Section 4.1, Section 4.2, Section 4.4, Section 5.1, and Section 5.2 are collectively referred to herein as the "</w:t>
      </w:r>
      <w:r>
        <w:rPr>
          <w:rFonts w:ascii="Arial" w:cs="Arial" w:eastAsia="Arial" w:hAnsi="Arial"/>
          <w:sz w:val="17"/>
          <w:szCs w:val="17"/>
          <w:u w:val="single" w:color="auto"/>
          <w:color w:val="auto"/>
        </w:rPr>
        <w:t>Core</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Representations</w:t>
      </w:r>
      <w:r>
        <w:rPr>
          <w:rFonts w:ascii="Arial" w:cs="Arial" w:eastAsia="Arial" w:hAnsi="Arial"/>
          <w:sz w:val="17"/>
          <w:szCs w:val="17"/>
          <w:color w:val="auto"/>
        </w:rPr>
        <w:t>") shall survive until the date that is 18 months after the Closing Date. For the avoidance of doubt, the Buyer shall not have any right to be indemnified hereunder after the Closing Date for the breach of any representation or warranty set forth in this Agreement other than for breaches of the Core Representations. All covenants of the Company, the Stockholders and the Buyer contained in this Agreement shall survive until the date that is 12 months after the Closing Date.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8"/>
          <w:szCs w:val="18"/>
          <w:b w:val="1"/>
          <w:bCs w:val="1"/>
          <w:u w:val="single" w:color="auto"/>
          <w:color w:val="auto"/>
        </w:rPr>
        <w:t>INDEMNIFICATION BY THE STOCKHOLDERS</w:t>
      </w:r>
    </w:p>
    <w:p>
      <w:pPr>
        <w:spacing w:after="0" w:line="256" w:lineRule="exact"/>
        <w:rPr>
          <w:sz w:val="20"/>
          <w:szCs w:val="20"/>
          <w:color w:val="auto"/>
        </w:rPr>
      </w:pPr>
    </w:p>
    <w:p>
      <w:pPr>
        <w:ind w:right="100" w:firstLine="656"/>
        <w:spacing w:after="0" w:line="297" w:lineRule="auto"/>
        <w:tabs>
          <w:tab w:leader="none" w:pos="783"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Each Stockholder shall save, defend, indemnify and hold harmless the Buyer and its Affiliates and the respective Representatives, successors and assigns of each of the foregoing from and against any and all Losses incurred, sustained or suffered by any of the foregoing as a result of, arising out of or relating to (i) any breach of any Core Representation or covenant made by the Company or any Stockholder in this Agreement or (ii) any unpaid Transaction Expenses. For purposes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each Stockholder’s indemnification obligations shall be several (in accordance with its percentage ownership of the Shares and Convertible Bonds as set forth opposite such Stockholder’s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and not joint.</w:t>
      </w:r>
    </w:p>
    <w:p>
      <w:pPr>
        <w:spacing w:after="0" w:line="20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8.3</w:t>
      </w:r>
      <w:r>
        <w:rPr>
          <w:sz w:val="20"/>
          <w:szCs w:val="20"/>
          <w:color w:val="auto"/>
        </w:rPr>
        <w:tab/>
      </w:r>
      <w:r>
        <w:rPr>
          <w:rFonts w:ascii="Arial" w:cs="Arial" w:eastAsia="Arial" w:hAnsi="Arial"/>
          <w:sz w:val="18"/>
          <w:szCs w:val="18"/>
          <w:b w:val="1"/>
          <w:bCs w:val="1"/>
          <w:u w:val="single" w:color="auto"/>
          <w:color w:val="auto"/>
        </w:rPr>
        <w:t>INDEMNIFICATION BY THE BUYER</w:t>
      </w:r>
    </w:p>
    <w:p>
      <w:pPr>
        <w:spacing w:after="0" w:line="256" w:lineRule="exact"/>
        <w:rPr>
          <w:sz w:val="20"/>
          <w:szCs w:val="20"/>
          <w:color w:val="auto"/>
        </w:rPr>
      </w:pPr>
    </w:p>
    <w:p>
      <w:pPr>
        <w:ind w:right="120" w:firstLine="656"/>
        <w:spacing w:after="0" w:line="257"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Buyer shall save, defend, indemnify and hold harmless the Stockholders and their respective Affiliates, and the respective Representatives, successors and assigns of each of the foregoing, from and against any and all Losses asserted against, incurred, sustained or suffered by any of the foregoing as a result of, arising out of or relating to (i) any breach of any Core Representation or covenant made by the Buyer in this Agreement, and (ii) any acts or omissions by the Buyer or the Company or its Subsidiaries and any obligations and liabilities in respect of the Buyer and the Company or its Subsidiaries from and after the Closing Date.</w:t>
      </w:r>
    </w:p>
    <w:p>
      <w:pPr>
        <w:spacing w:after="0" w:line="23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8.4</w:t>
      </w:r>
      <w:r>
        <w:rPr>
          <w:sz w:val="20"/>
          <w:szCs w:val="20"/>
          <w:color w:val="auto"/>
        </w:rPr>
        <w:tab/>
      </w:r>
      <w:r>
        <w:rPr>
          <w:rFonts w:ascii="Arial" w:cs="Arial" w:eastAsia="Arial" w:hAnsi="Arial"/>
          <w:sz w:val="17"/>
          <w:szCs w:val="17"/>
          <w:b w:val="1"/>
          <w:bCs w:val="1"/>
          <w:u w:val="single" w:color="auto"/>
          <w:color w:val="auto"/>
        </w:rPr>
        <w:t>PROCEDURES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order for a party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to be entitled to any indemnification provided for under this Agreement in respect of, arising out of or involving a Loss or a claim or demand made by any person against the Indemnified Party for monetary damages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such Indemnified Party shall deliver notice thereof to the party against whom indemnity is sought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within fifteen Business Days after receipt by such Indemnified Party of written notice of the Third Party Claim and shall provide the Indemnifying party with such information with respect thereto as the Indemnifying Party may reasonably request. The failure to provide such notice, however, shall not release the Indemnifying Party from any of its obligations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except to the extent that the Indemnifying Party is prejudiced by such failure.</w:t>
      </w: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The Indemnifying Party shall have the right, upon written notice to the Indemnified Party within 15 days of receipt of notice from the Indemnified Party of the commencement of such Third Party Claim, to assume the defense thereof at the expense of the Indemnifying Party with counsel selected by the Indemnifying Party and reasonably satisfactory to the Indemnified Party. The Indemnifying Party shall be liable for the fees and expenses of counsel employed by the Indemnified Party for any period during which the Indemnifying Party has failed to assume the defense thereof. If the Indemnifying Party does not expressly elect to assume the defense of such Third Party Claim within the time period and otherwise in accordance with the first sentence of this </w:t>
      </w:r>
      <w:r>
        <w:rPr>
          <w:rFonts w:ascii="Arial" w:cs="Arial" w:eastAsia="Arial" w:hAnsi="Arial"/>
          <w:sz w:val="16"/>
          <w:szCs w:val="16"/>
          <w:u w:val="single" w:color="auto"/>
          <w:color w:val="auto"/>
        </w:rPr>
        <w:t>Section 8.4(b)</w:t>
      </w:r>
      <w:r>
        <w:rPr>
          <w:rFonts w:ascii="Arial" w:cs="Arial" w:eastAsia="Arial" w:hAnsi="Arial"/>
          <w:sz w:val="16"/>
          <w:szCs w:val="16"/>
          <w:color w:val="auto"/>
        </w:rPr>
        <w:t>, the Indemnified Party shall have the sole right to assume the defense of and to settle such Third Party Claim. If the Indemnifying Party assumes the defense of such Third Party Claim, the Indemnified Party shall have the right to employ separate counsel and to participate in the defense thereof, but the fees and expenses of such counsel shall be at the expense of the Indemnified Party unless (i) the employment of such counsel shall have been specifically authorized in writing by the Indemnifying Party or (ii) the named parties to the Third Party Claim (including any impleaded parties) include both the Indemnified Party and the Indemnifying Party, and the Indemnified Party reasonably determines that representation by counsel to the Indemnifying Party of both the Indemnifying Party and such Indemnified Party may present such counsel with a conflict of interest. If the Indemnifying Party assumes the defense of any Third Party Claim, the Indemnified Party shall, at the Indemnifying Party's expense, cooperate with the Indemnifying Party in such defense</w:t>
      </w:r>
    </w:p>
    <w:p>
      <w:pPr>
        <w:sectPr>
          <w:pgSz w:w="11900" w:h="16838" w:orient="portrait"/>
          <w:cols w:equalWidth="0" w:num="1">
            <w:col w:w="11400"/>
          </w:cols>
          <w:pgMar w:left="240" w:top="121" w:right="259" w:bottom="0" w:gutter="0" w:footer="0" w:header="0"/>
        </w:sectPr>
      </w:pPr>
    </w:p>
    <w:bookmarkStart w:id="35" w:name="page36"/>
    <w:bookmarkEnd w:id="35"/>
    <w:p>
      <w:pPr>
        <w:ind w:right="120"/>
        <w:spacing w:after="0" w:line="272" w:lineRule="auto"/>
        <w:rPr>
          <w:sz w:val="20"/>
          <w:szCs w:val="20"/>
          <w:color w:val="auto"/>
        </w:rPr>
      </w:pPr>
      <w:r>
        <w:rPr>
          <w:rFonts w:ascii="Arial" w:cs="Arial" w:eastAsia="Arial" w:hAnsi="Arial"/>
          <w:sz w:val="17"/>
          <w:szCs w:val="17"/>
          <w:color w:val="auto"/>
        </w:rPr>
        <w:t>and make available to the Indemnifying Party all witnesses, pertinent records, materials and information in the Indemnified Party's possession or under the Indemnified Party's control relating thereto as is reasonably required by the Indemnifying Party. If the Indemnifying Party assumes the defense of any Third Party Claim, the Indemnifying Party shall not, without the prior written consent of the Indemnified Party (which consent will not be unreasonably withheld), enter into any settlement or compromise or consent to the entry of any judgment with respect to such Third Party Claim if such settlement, compromise or judgment (i) involves a finding or admission of wrongdoing, (ii) does not include an unconditional written release by the claimant or plaintiff of the Indemnified Party from all liability in respect of such Third Party Claim or (iii) imposes equitable remedies or any obligation on the Indemnified Party other than solely the payment of money damages for which the Indemnified Party will be indemnified hereunder.</w:t>
      </w: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indemnification required hereunder in respect of a Third Party Claim shall be made by prompt payment by the Indemnifying Party of the amount of actual Losses in connection therewith, as and when bills are received by the Indemnified Party or Losses incurred have been notified to the Indemnifying Party, together with interest on any amount not repaid as necessary to the Indemnified Party by the Indemnifying Party within five Business Days after receipt of notice of such Losses, from the date such Losses have been notified to the Indemnifying Party, at the rate per annum at which deposits are offered by first class banks to first class banks in immediately available funds in the London Interbank Market for available funds in the London Interbank Market.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the event any Indemnified Party should have a claim against any Indemnifying Party hereunder that does not involve a Third Party Claim being asserted against or sought to be collected from such Indemnified Party, the Indemnified Party shall deliver notice of such claim with reasonable promptness to the Indemnifying Party. The failure to provide such notice, however, shall not release the Indemnifying Party from any of its obligations under this</w:t>
      </w:r>
    </w:p>
    <w:p>
      <w:pPr>
        <w:ind w:right="100"/>
        <w:spacing w:after="0" w:line="273" w:lineRule="auto"/>
        <w:rPr>
          <w:sz w:val="20"/>
          <w:szCs w:val="20"/>
          <w:color w:val="auto"/>
        </w:rPr>
      </w:pP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except to the extent that the Indemnifying Party is prejudiced by such failure and shall not relieve the Indemnifying Party from any other obligation or liability that it may have to the Indemnified Party or otherwise than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If the Indemnifying Party agrees that it has an indemnification obligation but asserts that it is obligated to pay a lesser amount than that claimed by the Indemnified Party, the Indemnifying Party shall pay such lesser amount promptly to the Indemnified Party, without prejudice to or waiver of the Indemnified Party's claim for the difference.</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w:t>
      </w:r>
    </w:p>
    <w:p>
      <w:pPr>
        <w:spacing w:after="0" w:line="2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10.9</w:t>
      </w:r>
      <w:r>
        <w:rPr>
          <w:rFonts w:ascii="Arial" w:cs="Arial" w:eastAsia="Arial" w:hAnsi="Arial"/>
          <w:sz w:val="18"/>
          <w:szCs w:val="18"/>
          <w:color w:val="auto"/>
        </w:rPr>
        <w:t>, each Indemnifying Party hereby consents to the nonexclusive jurisdiction of any court in which an Action in respect of a Third Party Claim is brought against any Indemnified Party for purposes of any claim that an Indemnified Party may have under this Agreement with respect to such Action or the matters alleged therein and agrees that process may be served on each Indemnifying Party with respect to such claim anywhere.</w:t>
      </w:r>
    </w:p>
    <w:p>
      <w:pPr>
        <w:spacing w:after="0" w:line="237"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8.5</w:t>
      </w:r>
      <w:r>
        <w:rPr>
          <w:sz w:val="20"/>
          <w:szCs w:val="20"/>
          <w:color w:val="auto"/>
        </w:rPr>
        <w:tab/>
      </w:r>
      <w:r>
        <w:rPr>
          <w:rFonts w:ascii="Arial" w:cs="Arial" w:eastAsia="Arial" w:hAnsi="Arial"/>
          <w:sz w:val="18"/>
          <w:szCs w:val="18"/>
          <w:b w:val="1"/>
          <w:bCs w:val="1"/>
          <w:u w:val="single" w:color="auto"/>
          <w:color w:val="auto"/>
        </w:rPr>
        <w:t>INDEMNIFICATION EXCLUSIVE REMEDY</w:t>
      </w:r>
    </w:p>
    <w:p>
      <w:pPr>
        <w:spacing w:after="0" w:line="256" w:lineRule="exact"/>
        <w:rPr>
          <w:sz w:val="20"/>
          <w:szCs w:val="20"/>
          <w:color w:val="auto"/>
        </w:rPr>
      </w:pPr>
    </w:p>
    <w:p>
      <w:pPr>
        <w:ind w:right="20" w:firstLine="656"/>
        <w:spacing w:after="0" w:line="288" w:lineRule="auto"/>
        <w:tabs>
          <w:tab w:leader="none" w:pos="783"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Except in the case of fraud or intentional misconduct, the sole recourse and exclusive remedy of the Buyer, the Company and the Stockholders for the breach of any representations, warranties, covenants and agreements contained in this Agreement, any agreement, or instrument contemplated hereby, any document relating hereto or thereto contained in any Schedules or Exhibit to this Agreement, or otherwise arising from the transactions contemplated hereby or the operations of the Company and its Affiliates prior to the Closing, shall be to assert a claim for indemnification under the indemnification provisions of this Article VIII. Except in the case of fraud or intentional misconduct, the only legal action which may be asserted by any party hereto against any other party hereto with respect to any matter which is the subject of this Article VIII shall be a contract action to enforce, or to recover Losses as an indemnification claim for the breach of, this Agreement pursuant to the recourse described in this Article VIII. In furtherance of the foregoing, and except as set forth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each Indemnified Party hereby waives, from and after the Closing, to the fullest extent permitted under applicable Law, any and all rights, claims, and causes of action it may have against any Indemnifying Party relating to the subject matter of this Agreement based upon predecessor or successor liability, contribution, tort or strict liability or any federal, state, local or foreign statute, law, rule, regulation or ordinance or otherwise.</w:t>
      </w:r>
    </w:p>
    <w:p>
      <w:pPr>
        <w:spacing w:after="0" w:line="219" w:lineRule="exact"/>
        <w:rPr>
          <w:sz w:val="20"/>
          <w:szCs w:val="20"/>
          <w:color w:val="auto"/>
        </w:rPr>
      </w:pPr>
    </w:p>
    <w:p>
      <w:pPr>
        <w:ind w:left="1960"/>
        <w:spacing w:after="0"/>
        <w:tabs>
          <w:tab w:leader="none" w:pos="3440" w:val="left"/>
        </w:tabs>
        <w:rPr>
          <w:sz w:val="20"/>
          <w:szCs w:val="20"/>
          <w:color w:val="auto"/>
        </w:rPr>
      </w:pPr>
      <w:r>
        <w:rPr>
          <w:rFonts w:ascii="Arial" w:cs="Arial" w:eastAsia="Arial" w:hAnsi="Arial"/>
          <w:sz w:val="18"/>
          <w:szCs w:val="18"/>
          <w:b w:val="1"/>
          <w:bCs w:val="1"/>
          <w:color w:val="auto"/>
        </w:rPr>
        <w:t>SECTION 8.6</w:t>
      </w:r>
      <w:r>
        <w:rPr>
          <w:sz w:val="20"/>
          <w:szCs w:val="20"/>
          <w:color w:val="auto"/>
        </w:rPr>
        <w:tab/>
      </w:r>
      <w:r>
        <w:rPr>
          <w:rFonts w:ascii="Arial" w:cs="Arial" w:eastAsia="Arial" w:hAnsi="Arial"/>
          <w:sz w:val="18"/>
          <w:szCs w:val="18"/>
          <w:b w:val="1"/>
          <w:bCs w:val="1"/>
          <w:u w:val="single" w:color="auto"/>
          <w:color w:val="auto"/>
        </w:rPr>
        <w:t>INDEMNIFICATION LIMITS.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BUYER AGREES, ON BEHALF OF ITSELF, ITS AFFILIATES (INCLUDING THE COMPANY AFTER CLOSING), SUCCESSORS AND ASSIGNS, AND THEIR RESPECTIVE OFFICERS, DIRECTORS, EMPLOYEES, STOCKHOLDERS, REPRESENTATIVES AND AGENTS, THAT THE SOLE AND EXCLUSIVE SOURCE OF RECOVERY FOR ANY SUCH PERSON’S INDEMNIFICATION OR OTHER CLAIM UNDER OR IN CONNECTION WITH THIS AGREEMENT IS TO MAKE AN INDEMNIFICATION CLAIM AGAINST THE STOCKHOLDERS SEVERALLY AND NOT JOINTLY AND IN NO EVENT SHALL ANY INDEMNIFICATION OF OR RECOVERY BY THE BUYER OR ANY OTHER INDEMNITEE FOR LOSSES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THAT ARE RECOVERABLE EXCEED, WITH RESPECT TO ANY STOCKHOLDER, THE AMOUNT OF THE PURCHASE PRICE ACTUALLY RECEIVED BY SUCH PERSON.</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To the extent that any Losses which would otherwise be subject to indemnification pursuant to this Article VIII were expressly reflected in the reserves and accruals in the Financial Statements (but only to the extent specifically reserved or accrued), the Buyer or other indemnitee shall not be able to recover for such Losses.</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The Buyer may not seek indemnification under this Agreement with regard to any Losses to the extent that such Losses are caused by actions taken by the Buyer or the Company after the Closing. After the Closing, the Buyer shall, and shall cause the Company and its Subsidiaries to, promptly notify the Stockholder Representative upon becoming aware of any fact, occurrence or event that the Buyer believes could cause any of the representations and warranties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to be inaccurate or incomplete in any respect, and the Buyer and the Company shall utilize commercially reasonable efforts, consistent with normal practices and policies and good commercial practice to mitigate such Losses, including reasonably pursuing any and all other available indemnity rights.</w:t>
      </w:r>
    </w:p>
    <w:p>
      <w:pPr>
        <w:sectPr>
          <w:pgSz w:w="11900" w:h="16838" w:orient="portrait"/>
          <w:cols w:equalWidth="0" w:num="1">
            <w:col w:w="11420"/>
          </w:cols>
          <w:pgMar w:left="240" w:top="125" w:right="239" w:bottom="0" w:gutter="0" w:footer="0" w:header="0"/>
        </w:sectPr>
      </w:pPr>
    </w:p>
    <w:bookmarkStart w:id="36" w:name="page37"/>
    <w:bookmarkEnd w:id="36"/>
    <w:p>
      <w:pPr>
        <w:ind w:left="1300"/>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From and after the Closing, the Buyer and the Company shall maintain or cause to be maintained customary property, casualty, business interruption and other insurance in respect of the Company in accordance with the Buyer’s general practices and industry standards.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w:t>
      </w:r>
    </w:p>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Any amounts payable under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shall be treated by the Buyer and the Stockholders as an adjustment to the Purchase Price, and shall be calculated after giving effect to (i) any proceeds received or receivable from insurance policies covering the Loss that is the subject of the claim for indemnity (any self-insured, retention, deduction or similar liability retention by the Buyer will, for this purpose, be viewed as actual insurance for this purpose, except to the extent any such insurance proceeds must be specifically repaid by indemnitee through adjustments to past, present or future premiums or other similar mechanism and net of any costs of obtaining any such proceeds), (ii) any proceeds received or receivable from third parties, including, without limitation, any party to any Prior Acquisition Agreement, through indemnification, counterclaim, reimbursement arrangement, contract or otherwise in compensation for the subject matter of an indemnification claim by such indemnitee (such arrangements referenced in clauses (i) and (ii) in this </w:t>
      </w:r>
      <w:r>
        <w:rPr>
          <w:rFonts w:ascii="Arial" w:cs="Arial" w:eastAsia="Arial" w:hAnsi="Arial"/>
          <w:sz w:val="16"/>
          <w:szCs w:val="16"/>
          <w:u w:val="single" w:color="auto"/>
          <w:color w:val="auto"/>
        </w:rPr>
        <w:t>Section</w:t>
      </w:r>
    </w:p>
    <w:p>
      <w:pPr>
        <w:spacing w:after="0" w:line="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u w:val="single" w:color="auto"/>
          <w:color w:val="auto"/>
        </w:rPr>
        <w:t>8.6(e)</w:t>
      </w:r>
      <w:r>
        <w:rPr>
          <w:rFonts w:ascii="Arial" w:cs="Arial" w:eastAsia="Arial" w:hAnsi="Arial"/>
          <w:sz w:val="17"/>
          <w:szCs w:val="17"/>
          <w:color w:val="auto"/>
        </w:rPr>
        <w:t>, collectively, "</w:t>
      </w:r>
      <w:r>
        <w:rPr>
          <w:rFonts w:ascii="Arial" w:cs="Arial" w:eastAsia="Arial" w:hAnsi="Arial"/>
          <w:sz w:val="17"/>
          <w:szCs w:val="17"/>
          <w:u w:val="single" w:color="auto"/>
          <w:color w:val="auto"/>
        </w:rPr>
        <w:t>Alternative Arrangements</w:t>
      </w:r>
      <w:r>
        <w:rPr>
          <w:rFonts w:ascii="Arial" w:cs="Arial" w:eastAsia="Arial" w:hAnsi="Arial"/>
          <w:sz w:val="17"/>
          <w:szCs w:val="17"/>
          <w:color w:val="auto"/>
        </w:rPr>
        <w:t xml:space="preserve">"), and (iii) the Tax benefit to the indemnitee resulting from, or as a consequence of, the damage, loss, liability or expense that is the subject of the indemnity, to the extent that such Tax benefits are actually received by the indemnitee. The Buyer shall have no right to assert any claims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otherwise with respect to any Losses that would have been covered by an Alternative Arrangement had the Buyer maintained for its benefit and the benefit of the Company and its Subsidiaries the same rights or coverage under an Alternative Arrangement following the Closing that was in effect for the Company and its Subsidiaries immediately prior to the Closing.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w:t>
      </w:r>
    </w:p>
    <w:p>
      <w:pPr>
        <w:spacing w:after="0" w:line="25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The Buyer and the Company after the Closing shall utilize their commercially reasonable efforts, consistent with normal practices and policies and good commercial practice, to mitigate any amounts payable under </w:t>
      </w:r>
      <w:r>
        <w:rPr>
          <w:rFonts w:ascii="Arial" w:cs="Arial" w:eastAsia="Arial" w:hAnsi="Arial"/>
          <w:sz w:val="16"/>
          <w:szCs w:val="16"/>
          <w:u w:val="single" w:color="auto"/>
          <w:color w:val="auto"/>
        </w:rPr>
        <w:t>Section 8.2</w:t>
      </w:r>
      <w:r>
        <w:rPr>
          <w:rFonts w:ascii="Arial" w:cs="Arial" w:eastAsia="Arial" w:hAnsi="Arial"/>
          <w:sz w:val="16"/>
          <w:szCs w:val="16"/>
          <w:color w:val="auto"/>
        </w:rPr>
        <w:t>, including pursuing any and all other remedies to (i) collect any proceeds pursuant to Alternative Arrangements covering the Loss that is the subject to the claim for indemnity and (ii) obtain the actual recognized Tax benefit to the indemnitee resulting from the Loss that is the subject of the indemnity. If any such proceeds, benefits or recoveries are received by the Buyer or the Company with respect to any Losses after the Buyer or the Company has received proceeds from the Stockholders, the Buyer or the Company shall promptly, but in any event no later than ten Business Days after the receipt, realization or recovery of such proceeds, benefits or recoveries, pay to the Stockholder Representative the amount of such proceeds, benefits or recoveries for distribution to the Stockholders. Upon making a payment to the Buyer or the Company in respect of any Losses, the Stockholders will, to the extent of such payment, be subrogated to all rights of the Buyer or the Company against any third party in respect of the Losses to which such payment relates. The Buyer and the Company will execute upon request all instruments reasonably necessary to evidence or further perfect such subrogation rights. Each party hereby waives any subrogation rights that its insurer may have with respect to any indemnifiable Losses.</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 claims by any party shall be asserted for any breach of a representation or warranty contained in this Agreement if such party had knowledge of such breach at the date of this Agreement or otherwise at the time of Closing.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Effective as of the Closing Date, each of the Buyer and the Company (each a "</w:t>
      </w:r>
      <w:r>
        <w:rPr>
          <w:rFonts w:ascii="Arial" w:cs="Arial" w:eastAsia="Arial" w:hAnsi="Arial"/>
          <w:sz w:val="16"/>
          <w:szCs w:val="16"/>
          <w:u w:val="single" w:color="auto"/>
          <w:color w:val="auto"/>
        </w:rPr>
        <w:t>Releasor</w:t>
      </w:r>
      <w:r>
        <w:rPr>
          <w:rFonts w:ascii="Arial" w:cs="Arial" w:eastAsia="Arial" w:hAnsi="Arial"/>
          <w:sz w:val="16"/>
          <w:szCs w:val="16"/>
          <w:color w:val="auto"/>
        </w:rPr>
        <w:t>"), on behalf of itself and its heirs, legal representatives, successors and assigns, hereby releases, acquits and forever discharges, to the fullest extent permitted by Law, each of the Stockholders, the Stockholder Representative and each of their respective past, present or future officers, managers, directors, shareholders, partners, members, Affiliates, employees, counsel and agents (each a "</w:t>
      </w:r>
      <w:r>
        <w:rPr>
          <w:rFonts w:ascii="Arial" w:cs="Arial" w:eastAsia="Arial" w:hAnsi="Arial"/>
          <w:sz w:val="16"/>
          <w:szCs w:val="16"/>
          <w:u w:val="single" w:color="auto"/>
          <w:color w:val="auto"/>
        </w:rPr>
        <w:t>Releasee</w:t>
      </w:r>
      <w:r>
        <w:rPr>
          <w:rFonts w:ascii="Arial" w:cs="Arial" w:eastAsia="Arial" w:hAnsi="Arial"/>
          <w:sz w:val="16"/>
          <w:szCs w:val="16"/>
          <w:color w:val="auto"/>
        </w:rPr>
        <w:t>"):) of, from and against any and all actions, causes of action, claims, demands, damages, judgments, debts, dues and suits of every kind, nature and description whatsoever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which such Releasor or its heirs, legal representatives, successors or assigns ever had, now has or may have on or by reason of any matter, cause or thing whatsoever prior to the Closing Date. Each Releasor agrees not to, and agrees to cause its respective Affiliates and Subsidiaries not to, assert any Claim against the Releasees. Notwithstanding the foregoing, each Releasor and its respective heirs, legal representatives, successors and assigns retain, and do not release, their rights and interests under the terms of this Agreement or with respect to any Claim or liability resulting from such Person’s fraud, embezzlement or other criminal act. NOTWITHSTANDING ANYTHING TO THE CONTRARY IN THIS AGREEMENT, EACH STOCKHOLDER WILL ONLY BE LIABLE SEVERALLY, AND NOT JOINTLY AND SEVERALLY, FOR ANY OBLIGATIONS AND RESPONSIBILITIES OF THE STOCKHOLDERS SET FORTH IN THIS AGREEMENT. EXCEPT AS SET FORTH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EACH INDIVIDUAL STOCKHOLDER SHALL ONLY BE RESPONSIBLE FOR BREACHES OF SUCH STOCKHOLDER’S REPRESENTATIONS AND WARRANTIES OR COVENANTS, AND NOT FOR BREACHES OF ANY OTHER STOCKHOLDER’S REPRESENTATIONS AND WARRANTIES OR COVENANTS SET FORTH IN THIS AGREEMENT.</w:t>
      </w:r>
    </w:p>
    <w:p>
      <w:pPr>
        <w:spacing w:after="0" w:line="19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ARTICLE IX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7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8"/>
          <w:szCs w:val="18"/>
          <w:b w:val="1"/>
          <w:bCs w:val="1"/>
          <w:u w:val="single" w:color="auto"/>
          <w:color w:val="auto"/>
        </w:rPr>
        <w:t>TERMINATION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This Agreement may be terminated at any time prior to the Closing:</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mutual written consent of the Buyer and the Stockholder Representative;</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ind w:right="120" w:firstLine="656"/>
        <w:spacing w:after="0" w:line="302" w:lineRule="auto"/>
        <w:tabs>
          <w:tab w:leader="none" w:pos="863"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by the Company and the Stockholder Representative (on behalf of the Stockholders), if the Buyer breaches or fails to perform in any respect any of its representations, warranties or covenants contained in this Agreement and such breach or failure to perform (A) would give rise to the failure of a condition set forth in </w:t>
      </w:r>
      <w:r>
        <w:rPr>
          <w:rFonts w:ascii="Arial" w:cs="Arial" w:eastAsia="Arial" w:hAnsi="Arial"/>
          <w:sz w:val="16"/>
          <w:szCs w:val="16"/>
          <w:u w:val="single" w:color="auto"/>
          <w:color w:val="auto"/>
        </w:rPr>
        <w:t>Section 7.2</w:t>
      </w:r>
      <w:r>
        <w:rPr>
          <w:rFonts w:ascii="Arial" w:cs="Arial" w:eastAsia="Arial" w:hAnsi="Arial"/>
          <w:sz w:val="16"/>
          <w:szCs w:val="16"/>
          <w:color w:val="auto"/>
        </w:rPr>
        <w:t>, (B) cannot be or has not been cured within 15 days following delivery by the Company to the Buyer of written notice of such breach or failure to perform and (C) has not been waived by the Company and the Stockholder Representative (on behalf of the Stockholders) or (ii) by</w:t>
      </w:r>
    </w:p>
    <w:p>
      <w:pPr>
        <w:sectPr>
          <w:pgSz w:w="11900" w:h="16838" w:orient="portrait"/>
          <w:cols w:equalWidth="0" w:num="1">
            <w:col w:w="11400"/>
          </w:cols>
          <w:pgMar w:left="240" w:top="148" w:right="259" w:bottom="0" w:gutter="0" w:footer="0" w:header="0"/>
        </w:sectPr>
      </w:pPr>
    </w:p>
    <w:bookmarkStart w:id="37" w:name="page38"/>
    <w:bookmarkEnd w:id="37"/>
    <w:p>
      <w:pPr>
        <w:spacing w:after="0" w:line="259" w:lineRule="auto"/>
        <w:rPr>
          <w:sz w:val="20"/>
          <w:szCs w:val="20"/>
          <w:color w:val="auto"/>
        </w:rPr>
      </w:pPr>
      <w:r>
        <w:rPr>
          <w:rFonts w:ascii="Arial" w:cs="Arial" w:eastAsia="Arial" w:hAnsi="Arial"/>
          <w:sz w:val="18"/>
          <w:szCs w:val="18"/>
          <w:color w:val="auto"/>
        </w:rPr>
        <w:t xml:space="preserve">the Buyer, if the Company or any of the Stockholders breaches or fails to perform in any respect any of its respective representations, warranties or covenants contained in this Agreement and such breach or failure to perform (x) would give rise to the failure of a condition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 (y) cannot be or has not been cured within 15 days following delivery by the Buyer to the Company of written notice of such breach or failure to perform and (z) has not been waived by the Buyer;</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by the Company, the Stockholder Representative (on behalf of the Stockholders) or the Buyer if the Closing shall not have occurred by the date that is 120 days after the date of the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shall not be available if the failure of the party so requesting termination to fulfill any obligation under this Agreement shall have been the cause of, or shall have resulted in, the failure of the Closing to occur on or prior to such date;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w:t>
      </w:r>
    </w:p>
    <w:p>
      <w:pPr>
        <w:spacing w:after="0" w:line="256"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by the Company, the Stockholder Representative (on behalf of the Stockholders) or the Buyer in the event that any Governmental Authority shall have issued an order, decree or ruling or taken any other action restraining, enjoining or otherwise prohibiting the transactions contemplated by this Agreement and such order, decree, ruling or other action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party so requesting termination shall have used its commercially reasonable efforts, in accordance with </w:t>
      </w:r>
      <w:r>
        <w:rPr>
          <w:rFonts w:ascii="Arial" w:cs="Arial" w:eastAsia="Arial" w:hAnsi="Arial"/>
          <w:sz w:val="16"/>
          <w:szCs w:val="16"/>
          <w:u w:val="single" w:color="auto"/>
          <w:color w:val="auto"/>
        </w:rPr>
        <w:t>Section 6.9</w:t>
      </w:r>
      <w:r>
        <w:rPr>
          <w:rFonts w:ascii="Arial" w:cs="Arial" w:eastAsia="Arial" w:hAnsi="Arial"/>
          <w:sz w:val="16"/>
          <w:szCs w:val="16"/>
          <w:color w:val="auto"/>
        </w:rPr>
        <w:t>, to have such order, decree, ruling or other action vacated; or</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the Buyer, if between the date hereof and the Closing, there has occurred a Material Adverse Effect.</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party seeking to terminate this Agreement pursuant to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9.1(a)</w:t>
      </w:r>
      <w:r>
        <w:rPr>
          <w:rFonts w:ascii="Arial" w:cs="Arial" w:eastAsia="Arial" w:hAnsi="Arial"/>
          <w:sz w:val="18"/>
          <w:szCs w:val="18"/>
          <w:color w:val="auto"/>
        </w:rPr>
        <w:t>) shall give prompt written notice of such termination to the other party.</w:t>
      </w:r>
    </w:p>
    <w:p>
      <w:pPr>
        <w:spacing w:after="0" w:line="220"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8"/>
          <w:szCs w:val="18"/>
          <w:b w:val="1"/>
          <w:bCs w:val="1"/>
          <w:u w:val="single" w:color="auto"/>
          <w:color w:val="auto"/>
        </w:rPr>
        <w:t>EFFECT OF TERMINATION</w:t>
      </w:r>
    </w:p>
    <w:p>
      <w:pPr>
        <w:spacing w:after="0" w:line="256" w:lineRule="exact"/>
        <w:rPr>
          <w:sz w:val="20"/>
          <w:szCs w:val="20"/>
          <w:color w:val="auto"/>
        </w:rPr>
      </w:pPr>
    </w:p>
    <w:p>
      <w:pPr>
        <w:ind w:firstLine="656"/>
        <w:spacing w:after="0" w:line="255" w:lineRule="auto"/>
        <w:tabs>
          <w:tab w:leader="none" w:pos="783"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In the event of termination of this Agreement as provided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this Agreement shall forthwith become void and there shall be no liability on the part of either party except (i) for the provisions of </w:t>
      </w:r>
      <w:r>
        <w:rPr>
          <w:rFonts w:ascii="Arial" w:cs="Arial" w:eastAsia="Arial" w:hAnsi="Arial"/>
          <w:sz w:val="18"/>
          <w:szCs w:val="18"/>
          <w:u w:val="single" w:color="auto"/>
          <w:color w:val="auto"/>
        </w:rPr>
        <w:t>Section 3.25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relating to broker's fees and finder's fees,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relating to confidentiality,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relating to public announcements,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relating to fees and expenses,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relating to notices,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relating to third-party beneficiaries,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relating to governing law,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relating to submission to jurisdiction and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and (ii) that nothing herein shall relieve either party from liability for any breach of this Agreement or any agreement made as of the date hereof or subsequent thereto pursuant to this Agreement.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79"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7"/>
          <w:szCs w:val="17"/>
          <w:b w:val="1"/>
          <w:bCs w:val="1"/>
          <w:u w:val="single" w:color="auto"/>
          <w:color w:val="auto"/>
        </w:rPr>
        <w:t>FEES AND EXPENSES</w:t>
      </w:r>
    </w:p>
    <w:p>
      <w:pPr>
        <w:spacing w:after="0" w:line="256" w:lineRule="exact"/>
        <w:rPr>
          <w:sz w:val="20"/>
          <w:szCs w:val="20"/>
          <w:color w:val="auto"/>
        </w:rPr>
      </w:pPr>
    </w:p>
    <w:p>
      <w:pPr>
        <w:ind w:right="160" w:firstLine="656"/>
        <w:spacing w:after="0" w:line="273" w:lineRule="auto"/>
        <w:tabs>
          <w:tab w:leader="none" w:pos="783"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Except as otherwise provided herein, all fees and expenses incurred in connection with or related to this Agreement and the transactions contemplated hereby shall be paid by the party incurring such fees or expenses, whether or not such transactions are consummated;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Buyer shall pay all filing fees required with respect to the notification, report or other requirements with respect to each Governmental Approval,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transactions contemplated hereby are consummated, all Transaction Expenses shall be borne and paid by the Stockholders and not by the Company, any Subsidiary of the Company or the Buyer. In the event of termination of this Agreement, the obligation of each party to pay its own expenses will be subject to any rights of such party arising from a breach of this Agreement by the other.</w:t>
      </w:r>
    </w:p>
    <w:p>
      <w:pPr>
        <w:spacing w:after="0" w:line="228"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8"/>
          <w:szCs w:val="18"/>
          <w:b w:val="1"/>
          <w:bCs w:val="1"/>
          <w:u w:val="single" w:color="auto"/>
          <w:color w:val="auto"/>
        </w:rPr>
        <w:t>AMENDMENT AND MODIFICATION</w:t>
      </w:r>
    </w:p>
    <w:p>
      <w:pPr>
        <w:spacing w:after="0" w:line="256" w:lineRule="exact"/>
        <w:rPr>
          <w:sz w:val="20"/>
          <w:szCs w:val="20"/>
          <w:color w:val="auto"/>
        </w:rPr>
      </w:pPr>
    </w:p>
    <w:p>
      <w:pPr>
        <w:ind w:right="680" w:firstLine="656"/>
        <w:spacing w:after="0" w:line="342"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This Agreement may not be amended, modified or supplemented in any manner, whether by course of conduct or otherwise, except by an instrument in writing signed by the Company, the Stockholder Representative and the Buyer and otherwise as expressly set forth herein.</w:t>
      </w:r>
    </w:p>
    <w:p>
      <w:pPr>
        <w:spacing w:after="0" w:line="174"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8"/>
          <w:szCs w:val="18"/>
          <w:b w:val="1"/>
          <w:bCs w:val="1"/>
          <w:u w:val="single" w:color="auto"/>
          <w:color w:val="auto"/>
        </w:rPr>
        <w:t>WAIVER</w:t>
      </w:r>
    </w:p>
    <w:p>
      <w:pPr>
        <w:spacing w:after="0" w:line="256" w:lineRule="exact"/>
        <w:rPr>
          <w:sz w:val="20"/>
          <w:szCs w:val="20"/>
          <w:color w:val="auto"/>
        </w:rPr>
      </w:pPr>
    </w:p>
    <w:p>
      <w:pPr>
        <w:ind w:right="120" w:firstLine="656"/>
        <w:spacing w:after="0" w:line="276" w:lineRule="auto"/>
        <w:tabs>
          <w:tab w:leader="none" w:pos="783"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Any agreement on the part of either party to any such waiver shall be valid only if set forth in a written instrument executed and delivered by a duly authorized officer on behalf of such party.</w:t>
      </w:r>
    </w:p>
    <w:p>
      <w:pPr>
        <w:spacing w:after="0" w:line="223"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7"/>
          <w:szCs w:val="17"/>
          <w:b w:val="1"/>
          <w:bCs w:val="1"/>
          <w:u w:val="single" w:color="auto"/>
          <w:color w:val="auto"/>
        </w:rPr>
        <w:t>NOTICES</w:t>
      </w:r>
    </w:p>
    <w:p>
      <w:pPr>
        <w:spacing w:after="0" w:line="256" w:lineRule="exact"/>
        <w:rPr>
          <w:sz w:val="20"/>
          <w:szCs w:val="20"/>
          <w:color w:val="auto"/>
        </w:rPr>
      </w:pPr>
    </w:p>
    <w:p>
      <w:pPr>
        <w:ind w:firstLine="656"/>
        <w:spacing w:after="0" w:line="276" w:lineRule="auto"/>
        <w:tabs>
          <w:tab w:leader="none" w:pos="773" w:val="left"/>
        </w:tabs>
        <w:numPr>
          <w:ilvl w:val="0"/>
          <w:numId w:val="76"/>
        </w:numPr>
        <w:rPr>
          <w:rFonts w:ascii="Arial" w:cs="Arial" w:eastAsia="Arial" w:hAnsi="Arial"/>
          <w:sz w:val="17"/>
          <w:szCs w:val="17"/>
          <w:color w:val="auto"/>
        </w:rPr>
      </w:pPr>
      <w:r>
        <w:rPr>
          <w:rFonts w:ascii="Arial" w:cs="Arial" w:eastAsia="Arial" w:hAnsi="Arial"/>
          <w:sz w:val="17"/>
          <w:szCs w:val="17"/>
          <w:color w:val="auto"/>
        </w:rPr>
        <w:t>All notices and other communications hereunder shall be in writing and shall be deemed duly given (i) on the date of delivery if delivered personally, or if by facsimile, upon written confirmation of receipt by facsimile, (ii) on the first Business Day following the date of dispatch if delivered utilizing a next-day service by a recognized next-day courier or (iii)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223" w:lineRule="exact"/>
        <w:rPr>
          <w:sz w:val="20"/>
          <w:szCs w:val="20"/>
          <w:color w:val="auto"/>
        </w:rPr>
      </w:pPr>
    </w:p>
    <w:p>
      <w:pPr>
        <w:jc w:val="center"/>
        <w:ind w:right="8520"/>
        <w:spacing w:after="0"/>
        <w:rPr>
          <w:sz w:val="20"/>
          <w:szCs w:val="20"/>
          <w:color w:val="auto"/>
        </w:rPr>
      </w:pPr>
      <w:r>
        <w:rPr>
          <w:rFonts w:ascii="Arial" w:cs="Arial" w:eastAsia="Arial" w:hAnsi="Arial"/>
          <w:sz w:val="18"/>
          <w:szCs w:val="18"/>
          <w:b w:val="1"/>
          <w:bCs w:val="1"/>
          <w:color w:val="auto"/>
        </w:rPr>
        <w: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w:t>
      </w:r>
    </w:p>
    <w:p>
      <w:pPr>
        <w:sectPr>
          <w:pgSz w:w="11900" w:h="16838" w:orient="portrait"/>
          <w:cols w:equalWidth="0" w:num="1">
            <w:col w:w="11380"/>
          </w:cols>
          <w:pgMar w:left="240" w:top="125" w:right="279" w:bottom="0" w:gutter="0" w:footer="0" w:header="0"/>
        </w:sectPr>
      </w:pPr>
    </w:p>
    <w:bookmarkStart w:id="38" w:name="page39"/>
    <w:bookmarkEnd w:id="38"/>
    <w:p>
      <w:pPr>
        <w:ind w:left="1300"/>
        <w:spacing w:after="0"/>
        <w:rPr>
          <w:sz w:val="20"/>
          <w:szCs w:val="20"/>
          <w:color w:val="auto"/>
        </w:rPr>
      </w:pPr>
      <w:r>
        <w:rPr>
          <w:rFonts w:ascii="Arial" w:cs="Arial" w:eastAsia="Arial" w:hAnsi="Arial"/>
          <w:sz w:val="18"/>
          <w:szCs w:val="18"/>
          <w:color w:val="auto"/>
        </w:rPr>
        <w:t>Actaris Metering Systems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26, rue de Louvigny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L-1946, Luxembourg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+35 2 27 27 07 11</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(which shall not constitute notice) to:</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Actaris Management Services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480, Avenue Louise, 1050 Brussels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+ 32 2 642 88 36</w:t>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if to the Stockholder Representative,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LBO France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148, rue de l’Université</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75007 Paris, France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Mr. Robert Daussun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+33 1 40 62 75 55</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(which shall not constitute notice) to:</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Mayer, Brown, Rowe &amp; Maw</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1675 Broadway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10019-5820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James B Carlson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849-5515</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Mayer, Brown, Rowe &amp; Maw</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41, avenue Hoche 75008 Paris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Xavier Jaspar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+ 33 1 53 96 03 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if to the Buyer,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Itron, Inc.</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2111 N. Molter Road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Liberty Lake, WA 99019</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W. Holleran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509-891-3334</w:t>
      </w:r>
    </w:p>
    <w:p>
      <w:pPr>
        <w:spacing w:after="0" w:line="252" w:lineRule="exact"/>
        <w:rPr>
          <w:sz w:val="20"/>
          <w:szCs w:val="20"/>
          <w:color w:val="auto"/>
        </w:rPr>
      </w:pPr>
    </w:p>
    <w:p>
      <w:pPr>
        <w:jc w:val="center"/>
        <w:ind w:right="4699"/>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Gibson, Dunn &amp; Crutcher LLP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 Park Avenue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10166</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Barbara L. Becker, Esq.</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351-4035</w:t>
      </w:r>
    </w:p>
    <w:p>
      <w:pPr>
        <w:spacing w:after="0" w:line="275"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8"/>
          <w:szCs w:val="18"/>
          <w:b w:val="1"/>
          <w:bCs w:val="1"/>
          <w:u w:val="single" w:color="auto"/>
          <w:color w:val="auto"/>
        </w:rPr>
        <w:t>INTERPRETATION</w:t>
      </w:r>
    </w:p>
    <w:p>
      <w:pPr>
        <w:sectPr>
          <w:pgSz w:w="11900" w:h="16838" w:orient="portrait"/>
          <w:cols w:equalWidth="0" w:num="1">
            <w:col w:w="9559"/>
          </w:cols>
          <w:pgMar w:left="900" w:top="368" w:right="1440" w:bottom="0" w:gutter="0" w:footer="0" w:header="0"/>
        </w:sectPr>
      </w:pPr>
    </w:p>
    <w:bookmarkStart w:id="39" w:name="page40"/>
    <w:bookmarkEnd w:id="39"/>
    <w:p>
      <w:pPr>
        <w:spacing w:after="0" w:line="2" w:lineRule="exact"/>
        <w:rPr>
          <w:sz w:val="20"/>
          <w:szCs w:val="20"/>
          <w:color w:val="auto"/>
        </w:rPr>
      </w:pPr>
    </w:p>
    <w:p>
      <w:pPr>
        <w:ind w:left="-656" w:firstLine="656"/>
        <w:spacing w:after="0" w:line="293" w:lineRule="auto"/>
        <w:tabs>
          <w:tab w:leader="none" w:pos="1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When a reference is made in this Agreement to a Section, Article or Exhibit such reference shall be to a Section, Article or Exhibit of this Agreement unless otherwise indicated. The table of contents and headings contained in this Agreement or in any Exhibit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but not otherwise defined therein shall have the meaning as defined in this Agreement. All Exhibits annexed hereto or referred to herein are hereby incorporated in and made a part of this Agreement as if set forth herein. The word "including" and words of similar import when used in this Agreement will mean "including, without limitation", unless otherwise specified.</w:t>
      </w:r>
    </w:p>
    <w:p>
      <w:pPr>
        <w:spacing w:after="0" w:line="215" w:lineRule="exact"/>
        <w:rPr>
          <w:sz w:val="20"/>
          <w:szCs w:val="20"/>
          <w:color w:val="auto"/>
        </w:rPr>
      </w:pPr>
    </w:p>
    <w:p>
      <w:pPr>
        <w:ind w:left="4"/>
        <w:spacing w:after="0"/>
        <w:tabs>
          <w:tab w:leader="none" w:pos="1583"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8"/>
          <w:szCs w:val="18"/>
          <w:b w:val="1"/>
          <w:bCs w:val="1"/>
          <w:u w:val="single" w:color="auto"/>
          <w:color w:val="auto"/>
        </w:rPr>
        <w:t>ENTIRE AGREEMENT</w:t>
      </w:r>
    </w:p>
    <w:p>
      <w:pPr>
        <w:spacing w:after="0" w:line="256" w:lineRule="exact"/>
        <w:rPr>
          <w:sz w:val="20"/>
          <w:szCs w:val="20"/>
          <w:color w:val="auto"/>
        </w:rPr>
      </w:pPr>
    </w:p>
    <w:p>
      <w:pPr>
        <w:ind w:left="-656" w:right="80" w:firstLine="656"/>
        <w:spacing w:after="0" w:line="276" w:lineRule="auto"/>
        <w:tabs>
          <w:tab w:leader="none" w:pos="124"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This Agreement (including the Exhibits and Schedules hereto) constitutes the entire agreement, and supersedes all prior written agreements, arrangements, communications and understandings and all prior and contemporaneous oral agreements, arrangements, communications and understandings between the parties with respect to the subject matter hereof and thereof. Notwithstanding any oral agreement or course of action of the parties or their Representatives to the contrary, no party to this Agreement shall be under any legal obligation to enter into or complete the transactions contemplated hereby unless and until this Agreement shall have been executed and delivered by each of the parties.</w:t>
      </w:r>
    </w:p>
    <w:p>
      <w:pPr>
        <w:spacing w:after="0" w:line="223" w:lineRule="exact"/>
        <w:rPr>
          <w:sz w:val="20"/>
          <w:szCs w:val="20"/>
          <w:color w:val="auto"/>
        </w:rPr>
      </w:pPr>
    </w:p>
    <w:p>
      <w:pPr>
        <w:ind w:left="4"/>
        <w:spacing w:after="0"/>
        <w:tabs>
          <w:tab w:leader="none" w:pos="1583" w:val="left"/>
        </w:tabs>
        <w:rPr>
          <w:sz w:val="20"/>
          <w:szCs w:val="20"/>
          <w:color w:val="auto"/>
        </w:rPr>
      </w:pPr>
      <w:r>
        <w:rPr>
          <w:rFonts w:ascii="Arial" w:cs="Arial" w:eastAsia="Arial" w:hAnsi="Arial"/>
          <w:sz w:val="18"/>
          <w:szCs w:val="18"/>
          <w:b w:val="1"/>
          <w:bCs w:val="1"/>
          <w:color w:val="auto"/>
        </w:rPr>
        <w:t>SECTION 10.7</w:t>
      </w:r>
      <w:r>
        <w:rPr>
          <w:sz w:val="20"/>
          <w:szCs w:val="20"/>
          <w:color w:val="auto"/>
        </w:rPr>
        <w:tab/>
      </w:r>
      <w:r>
        <w:rPr>
          <w:rFonts w:ascii="Arial" w:cs="Arial" w:eastAsia="Arial" w:hAnsi="Arial"/>
          <w:sz w:val="18"/>
          <w:szCs w:val="18"/>
          <w:b w:val="1"/>
          <w:bCs w:val="1"/>
          <w:u w:val="single" w:color="auto"/>
          <w:color w:val="auto"/>
        </w:rPr>
        <w:t>NO THIRD-PARTY BENEFICIARIES</w:t>
      </w:r>
    </w:p>
    <w:p>
      <w:pPr>
        <w:spacing w:after="0" w:line="256" w:lineRule="exact"/>
        <w:rPr>
          <w:sz w:val="20"/>
          <w:szCs w:val="20"/>
          <w:color w:val="auto"/>
        </w:rPr>
      </w:pPr>
    </w:p>
    <w:p>
      <w:pPr>
        <w:ind w:left="-656" w:right="60" w:firstLine="656"/>
        <w:spacing w:after="0" w:line="264" w:lineRule="auto"/>
        <w:tabs>
          <w:tab w:leader="none" w:pos="127"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Nothing in this Agreement, express or implied, is intended to or shall confer upon any Person other than the parties and their respective successors and permitted assigns and the Persons referred to in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any legal or equitable right, benefit or remedy of any nature under or by reason of this Agreement.</w:t>
      </w:r>
    </w:p>
    <w:p>
      <w:pPr>
        <w:spacing w:after="0" w:line="231" w:lineRule="exact"/>
        <w:rPr>
          <w:sz w:val="20"/>
          <w:szCs w:val="20"/>
          <w:color w:val="auto"/>
        </w:rPr>
      </w:pPr>
    </w:p>
    <w:p>
      <w:pPr>
        <w:ind w:left="4"/>
        <w:spacing w:after="0"/>
        <w:tabs>
          <w:tab w:leader="none" w:pos="1583" w:val="left"/>
        </w:tabs>
        <w:rPr>
          <w:sz w:val="20"/>
          <w:szCs w:val="20"/>
          <w:color w:val="auto"/>
        </w:rPr>
      </w:pPr>
      <w:r>
        <w:rPr>
          <w:rFonts w:ascii="Arial" w:cs="Arial" w:eastAsia="Arial" w:hAnsi="Arial"/>
          <w:sz w:val="18"/>
          <w:szCs w:val="18"/>
          <w:b w:val="1"/>
          <w:bCs w:val="1"/>
          <w:color w:val="auto"/>
        </w:rPr>
        <w:t>SECTION 10.8</w:t>
      </w:r>
      <w:r>
        <w:rPr>
          <w:sz w:val="20"/>
          <w:szCs w:val="20"/>
          <w:color w:val="auto"/>
        </w:rPr>
        <w:tab/>
      </w:r>
      <w:r>
        <w:rPr>
          <w:rFonts w:ascii="Arial" w:cs="Arial" w:eastAsia="Arial" w:hAnsi="Arial"/>
          <w:sz w:val="18"/>
          <w:szCs w:val="18"/>
          <w:b w:val="1"/>
          <w:bCs w:val="1"/>
          <w:u w:val="single" w:color="auto"/>
          <w:color w:val="auto"/>
        </w:rPr>
        <w:t>GOVERNING LAW</w:t>
      </w:r>
    </w:p>
    <w:p>
      <w:pPr>
        <w:spacing w:after="0" w:line="256" w:lineRule="exact"/>
        <w:rPr>
          <w:sz w:val="20"/>
          <w:szCs w:val="20"/>
          <w:color w:val="auto"/>
        </w:rPr>
      </w:pPr>
    </w:p>
    <w:p>
      <w:pPr>
        <w:ind w:left="-656" w:right="140" w:firstLine="656"/>
        <w:spacing w:after="0" w:line="312" w:lineRule="auto"/>
        <w:tabs>
          <w:tab w:leader="none" w:pos="12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This Agreement and all disputes or controversies arising out of or relating to this Agreement or the transactions contemplated hereby shall be governed by, and construed in accordance with, the internal laws of the State of New York, without regard to the laws of any other jurisdiction that might be applied because of the conflicts of laws principles of the State of New York (other than Section 5-1401 of the New York General Obligations Law).</w:t>
      </w:r>
    </w:p>
    <w:p>
      <w:pPr>
        <w:spacing w:after="0" w:line="197" w:lineRule="exact"/>
        <w:rPr>
          <w:sz w:val="20"/>
          <w:szCs w:val="20"/>
          <w:color w:val="auto"/>
        </w:rPr>
      </w:pPr>
    </w:p>
    <w:p>
      <w:pPr>
        <w:ind w:left="4"/>
        <w:spacing w:after="0"/>
        <w:tabs>
          <w:tab w:leader="none" w:pos="1583" w:val="left"/>
        </w:tabs>
        <w:rPr>
          <w:sz w:val="20"/>
          <w:szCs w:val="20"/>
          <w:color w:val="auto"/>
        </w:rPr>
      </w:pPr>
      <w:r>
        <w:rPr>
          <w:rFonts w:ascii="Arial" w:cs="Arial" w:eastAsia="Arial" w:hAnsi="Arial"/>
          <w:sz w:val="18"/>
          <w:szCs w:val="18"/>
          <w:b w:val="1"/>
          <w:bCs w:val="1"/>
          <w:color w:val="auto"/>
        </w:rPr>
        <w:t>SECTION 10.9</w:t>
      </w:r>
      <w:r>
        <w:rPr>
          <w:sz w:val="20"/>
          <w:szCs w:val="20"/>
          <w:color w:val="auto"/>
        </w:rPr>
        <w:tab/>
      </w:r>
      <w:r>
        <w:rPr>
          <w:rFonts w:ascii="Arial" w:cs="Arial" w:eastAsia="Arial" w:hAnsi="Arial"/>
          <w:sz w:val="18"/>
          <w:szCs w:val="18"/>
          <w:b w:val="1"/>
          <w:bCs w:val="1"/>
          <w:u w:val="single" w:color="auto"/>
          <w:color w:val="auto"/>
        </w:rPr>
        <w:t>SUBMISSION TO JURISDICTION</w:t>
      </w:r>
    </w:p>
    <w:p>
      <w:pPr>
        <w:spacing w:after="0" w:line="256" w:lineRule="exact"/>
        <w:rPr>
          <w:sz w:val="20"/>
          <w:szCs w:val="20"/>
          <w:color w:val="auto"/>
        </w:rPr>
      </w:pPr>
    </w:p>
    <w:p>
      <w:pPr>
        <w:ind w:left="-656" w:firstLine="656"/>
        <w:spacing w:after="0" w:line="286" w:lineRule="auto"/>
        <w:tabs>
          <w:tab w:leader="none" w:pos="127"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of the parties irrevocably agrees that any legal action or proceeding arising out of or relating to this Agreement brought by any other party or its successors or assigns shall be brought and determined in any New York State or federal court sitting in the Borough of Manhattan in The City of New York (or, if such court lacks subject matter jurisdiction, in any appropriate New York State or federal court), and each of the parties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(i) any claim that it is not personally subject to the jurisdiction of the courts in New York as described herein for any reason, (ii)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suit, action or proceeding in any such court is brought in an inconvenient forum, (B) the venue of such suit, action or proceeding is improper or (C) this Agreement, or the subject matter hereof, may not be enforced in or by such courts.</w:t>
      </w:r>
    </w:p>
    <w:p>
      <w:pPr>
        <w:spacing w:after="0" w:line="222" w:lineRule="exact"/>
        <w:rPr>
          <w:sz w:val="20"/>
          <w:szCs w:val="20"/>
          <w:color w:val="auto"/>
        </w:rPr>
      </w:pPr>
    </w:p>
    <w:p>
      <w:pPr>
        <w:ind w:left="4"/>
        <w:spacing w:after="0"/>
        <w:tabs>
          <w:tab w:leader="none" w:pos="1663" w:val="left"/>
        </w:tabs>
        <w:rPr>
          <w:sz w:val="20"/>
          <w:szCs w:val="20"/>
          <w:color w:val="auto"/>
        </w:rPr>
      </w:pPr>
      <w:r>
        <w:rPr>
          <w:rFonts w:ascii="Arial" w:cs="Arial" w:eastAsia="Arial" w:hAnsi="Arial"/>
          <w:sz w:val="18"/>
          <w:szCs w:val="18"/>
          <w:b w:val="1"/>
          <w:bCs w:val="1"/>
          <w:color w:val="auto"/>
        </w:rPr>
        <w:t>SECTION 10.10</w:t>
      </w:r>
      <w:r>
        <w:rPr>
          <w:sz w:val="20"/>
          <w:szCs w:val="20"/>
          <w:color w:val="auto"/>
        </w:rPr>
        <w:tab/>
      </w:r>
      <w:r>
        <w:rPr>
          <w:rFonts w:ascii="Arial" w:cs="Arial" w:eastAsia="Arial" w:hAnsi="Arial"/>
          <w:sz w:val="17"/>
          <w:szCs w:val="17"/>
          <w:b w:val="1"/>
          <w:bCs w:val="1"/>
          <w:u w:val="single" w:color="auto"/>
          <w:color w:val="auto"/>
        </w:rPr>
        <w:t>ASSIGNMENT; SUCCESSORS</w:t>
      </w:r>
    </w:p>
    <w:p>
      <w:pPr>
        <w:spacing w:after="0" w:line="256" w:lineRule="exact"/>
        <w:rPr>
          <w:sz w:val="20"/>
          <w:szCs w:val="20"/>
          <w:color w:val="auto"/>
        </w:rPr>
      </w:pPr>
    </w:p>
    <w:p>
      <w:pPr>
        <w:ind w:left="-656" w:right="40" w:firstLine="656"/>
        <w:spacing w:after="0" w:line="272" w:lineRule="auto"/>
        <w:tabs>
          <w:tab w:leader="none" w:pos="127"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Neither this Agreement nor any of the rights, interests or obligations under this Agreement may be assigned or delegated, in whole or in part, by operation of law or otherwise, by the Buyer, on the one hand, or the Company or any Stockholder, on the other hand, without the prior written consent of the Stockholder Representative or the Buyer, respectively, and any such assignment without such prior written consent shall be null and void;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Buyer may (i) assign any of its rights and interests and delegate any of its obligations under this Agreement (in whole or in part) to any Affiliate of the Buyer and (ii) make a collateral assignment of its rights under this Agreement to its secured lender, in each case without the prior consent of the Company; </w:t>
      </w:r>
      <w:r>
        <w:rPr>
          <w:rFonts w:ascii="Arial" w:cs="Arial" w:eastAsia="Arial" w:hAnsi="Arial"/>
          <w:sz w:val="17"/>
          <w:szCs w:val="17"/>
          <w:u w:val="single" w:color="auto"/>
          <w:color w:val="auto"/>
        </w:rPr>
        <w:t>providedfurther</w:t>
      </w:r>
      <w:r>
        <w:rPr>
          <w:rFonts w:ascii="Arial" w:cs="Arial" w:eastAsia="Arial" w:hAnsi="Arial"/>
          <w:sz w:val="17"/>
          <w:szCs w:val="17"/>
          <w:color w:val="auto"/>
        </w:rPr>
        <w:t>, that no assignment shall limit the assignor's obligations hereunder. Subject to the preceding sentence, this Agreement will be binding upon, inure to the benefit of, and be enforceable by, the parties and their respective successors and assigns.</w:t>
      </w:r>
    </w:p>
    <w:p>
      <w:pPr>
        <w:spacing w:after="0" w:line="228" w:lineRule="exact"/>
        <w:rPr>
          <w:sz w:val="20"/>
          <w:szCs w:val="20"/>
          <w:color w:val="auto"/>
        </w:rPr>
      </w:pPr>
    </w:p>
    <w:p>
      <w:pPr>
        <w:ind w:left="4"/>
        <w:spacing w:after="0"/>
        <w:tabs>
          <w:tab w:leader="none" w:pos="1663" w:val="left"/>
        </w:tabs>
        <w:rPr>
          <w:sz w:val="20"/>
          <w:szCs w:val="20"/>
          <w:color w:val="auto"/>
        </w:rPr>
      </w:pPr>
      <w:r>
        <w:rPr>
          <w:rFonts w:ascii="Arial" w:cs="Arial" w:eastAsia="Arial" w:hAnsi="Arial"/>
          <w:sz w:val="18"/>
          <w:szCs w:val="18"/>
          <w:b w:val="1"/>
          <w:bCs w:val="1"/>
          <w:color w:val="auto"/>
        </w:rPr>
        <w:t>SECTION 10.11</w:t>
      </w:r>
      <w:r>
        <w:rPr>
          <w:sz w:val="20"/>
          <w:szCs w:val="20"/>
          <w:color w:val="auto"/>
        </w:rPr>
        <w:tab/>
      </w:r>
      <w:r>
        <w:rPr>
          <w:rFonts w:ascii="Arial" w:cs="Arial" w:eastAsia="Arial" w:hAnsi="Arial"/>
          <w:sz w:val="18"/>
          <w:szCs w:val="18"/>
          <w:b w:val="1"/>
          <w:bCs w:val="1"/>
          <w:u w:val="single" w:color="auto"/>
          <w:color w:val="auto"/>
        </w:rPr>
        <w:t>ENFORCEMENT</w:t>
      </w:r>
    </w:p>
    <w:p>
      <w:pPr>
        <w:spacing w:after="0" w:line="256" w:lineRule="exact"/>
        <w:rPr>
          <w:sz w:val="20"/>
          <w:szCs w:val="20"/>
          <w:color w:val="auto"/>
        </w:rPr>
      </w:pPr>
    </w:p>
    <w:p>
      <w:pPr>
        <w:ind w:left="-656" w:right="80" w:firstLine="656"/>
        <w:spacing w:after="0" w:line="255" w:lineRule="auto"/>
        <w:tabs>
          <w:tab w:leader="none" w:pos="1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in any New York State or federal court sitting in the Borough of Manhattan in the City of New York (or, if such court lacks subject matter jurisdiction, in any appropriate New York State or federal court), this being in addition to any other remedy to which such party is entitled at law or in equity. Each of the parties hereby further waives (i) any defense in any action for specific performance that a remedy at law would be adequate and (ii) any requirement under any law to post security as a prerequisite to obtaining equitable relief.</w:t>
      </w:r>
    </w:p>
    <w:p>
      <w:pPr>
        <w:spacing w:after="0" w:line="239" w:lineRule="exact"/>
        <w:rPr>
          <w:sz w:val="20"/>
          <w:szCs w:val="20"/>
          <w:color w:val="auto"/>
        </w:rPr>
      </w:pPr>
    </w:p>
    <w:p>
      <w:pPr>
        <w:ind w:left="4"/>
        <w:spacing w:after="0"/>
        <w:tabs>
          <w:tab w:leader="none" w:pos="1663" w:val="left"/>
        </w:tabs>
        <w:rPr>
          <w:sz w:val="20"/>
          <w:szCs w:val="20"/>
          <w:color w:val="auto"/>
        </w:rPr>
      </w:pPr>
      <w:r>
        <w:rPr>
          <w:rFonts w:ascii="Arial" w:cs="Arial" w:eastAsia="Arial" w:hAnsi="Arial"/>
          <w:sz w:val="18"/>
          <w:szCs w:val="18"/>
          <w:b w:val="1"/>
          <w:bCs w:val="1"/>
          <w:color w:val="auto"/>
        </w:rPr>
        <w:t>SECTION 10.12</w:t>
      </w:r>
      <w:r>
        <w:rPr>
          <w:sz w:val="20"/>
          <w:szCs w:val="20"/>
          <w:color w:val="auto"/>
        </w:rPr>
        <w:tab/>
      </w:r>
      <w:r>
        <w:rPr>
          <w:rFonts w:ascii="Arial" w:cs="Arial" w:eastAsia="Arial" w:hAnsi="Arial"/>
          <w:sz w:val="18"/>
          <w:szCs w:val="18"/>
          <w:b w:val="1"/>
          <w:bCs w:val="1"/>
          <w:u w:val="single" w:color="auto"/>
          <w:color w:val="auto"/>
        </w:rPr>
        <w:t>CURRENCY</w:t>
      </w:r>
    </w:p>
    <w:p>
      <w:pPr>
        <w:spacing w:after="0" w:line="256" w:lineRule="exact"/>
        <w:rPr>
          <w:sz w:val="20"/>
          <w:szCs w:val="20"/>
          <w:color w:val="auto"/>
        </w:rPr>
      </w:pPr>
    </w:p>
    <w:p>
      <w:pPr>
        <w:ind w:left="-656" w:right="340" w:firstLine="656"/>
        <w:spacing w:after="0" w:line="277" w:lineRule="auto"/>
        <w:tabs>
          <w:tab w:leader="none" w:pos="11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references to "Euros" or "€" or "EUR€" in this Agreement refer to Euro, which is the single currency of Participating Member States of the European Union.</w:t>
      </w:r>
    </w:p>
    <w:p>
      <w:pPr>
        <w:spacing w:after="0" w:line="220" w:lineRule="exact"/>
        <w:rPr>
          <w:sz w:val="20"/>
          <w:szCs w:val="20"/>
          <w:color w:val="auto"/>
        </w:rPr>
      </w:pPr>
    </w:p>
    <w:p>
      <w:pPr>
        <w:ind w:left="4"/>
        <w:spacing w:after="0"/>
        <w:tabs>
          <w:tab w:leader="none" w:pos="1663" w:val="left"/>
        </w:tabs>
        <w:rPr>
          <w:sz w:val="20"/>
          <w:szCs w:val="20"/>
          <w:color w:val="auto"/>
        </w:rPr>
      </w:pPr>
      <w:r>
        <w:rPr>
          <w:rFonts w:ascii="Arial" w:cs="Arial" w:eastAsia="Arial" w:hAnsi="Arial"/>
          <w:sz w:val="18"/>
          <w:szCs w:val="18"/>
          <w:b w:val="1"/>
          <w:bCs w:val="1"/>
          <w:color w:val="auto"/>
        </w:rPr>
        <w:t>SECTION 10.13</w:t>
      </w:r>
      <w:r>
        <w:rPr>
          <w:sz w:val="20"/>
          <w:szCs w:val="20"/>
          <w:color w:val="auto"/>
        </w:rPr>
        <w:tab/>
      </w:r>
      <w:r>
        <w:rPr>
          <w:rFonts w:ascii="Arial" w:cs="Arial" w:eastAsia="Arial" w:hAnsi="Arial"/>
          <w:sz w:val="18"/>
          <w:szCs w:val="18"/>
          <w:b w:val="1"/>
          <w:bCs w:val="1"/>
          <w:u w:val="single" w:color="auto"/>
          <w:color w:val="auto"/>
        </w:rPr>
        <w:t>SEVERABILITY</w:t>
      </w:r>
    </w:p>
    <w:p>
      <w:pPr>
        <w:spacing w:after="0" w:line="256" w:lineRule="exact"/>
        <w:rPr>
          <w:sz w:val="20"/>
          <w:szCs w:val="20"/>
          <w:color w:val="auto"/>
        </w:rPr>
      </w:pPr>
    </w:p>
    <w:p>
      <w:pPr>
        <w:jc w:val="both"/>
        <w:ind w:left="-656" w:right="220" w:firstLine="656"/>
        <w:spacing w:after="0" w:line="342" w:lineRule="auto"/>
        <w:tabs>
          <w:tab w:leader="none" w:pos="124" w:val="left"/>
        </w:tabs>
        <w:numPr>
          <w:ilvl w:val="0"/>
          <w:numId w:val="85"/>
        </w:numPr>
        <w:rPr>
          <w:rFonts w:ascii="Arial" w:cs="Arial" w:eastAsia="Arial" w:hAnsi="Arial"/>
          <w:sz w:val="16"/>
          <w:szCs w:val="16"/>
          <w:color w:val="auto"/>
        </w:rPr>
      </w:pPr>
      <w:r>
        <w:rPr>
          <w:rFonts w:ascii="Arial" w:cs="Arial" w:eastAsia="Arial" w:hAnsi="Arial"/>
          <w:sz w:val="16"/>
          <w:szCs w:val="16"/>
          <w:color w:val="auto"/>
        </w:rPr>
        <w:t>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w:t>
      </w:r>
    </w:p>
    <w:p>
      <w:pPr>
        <w:sectPr>
          <w:pgSz w:w="11900" w:h="16840" w:orient="portrait"/>
          <w:cols w:equalWidth="0" w:num="1">
            <w:col w:w="10744"/>
          </w:cols>
          <w:pgMar w:left="896" w:top="125" w:right="259" w:bottom="0" w:gutter="0" w:footer="0" w:header="0"/>
        </w:sectPr>
      </w:pPr>
    </w:p>
    <w:bookmarkStart w:id="40" w:name="page41"/>
    <w:bookmarkEnd w:id="40"/>
    <w:p>
      <w:pPr>
        <w:ind w:right="100"/>
        <w:spacing w:after="0" w:line="264" w:lineRule="auto"/>
        <w:rPr>
          <w:sz w:val="20"/>
          <w:szCs w:val="20"/>
          <w:color w:val="auto"/>
        </w:rPr>
      </w:pPr>
      <w:r>
        <w:rPr>
          <w:rFonts w:ascii="Arial" w:cs="Arial" w:eastAsia="Arial" w:hAnsi="Arial"/>
          <w:sz w:val="18"/>
          <w:szCs w:val="18"/>
          <w:color w:val="auto"/>
        </w:rPr>
        <w:t>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231"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18"/>
          <w:szCs w:val="18"/>
          <w:b w:val="1"/>
          <w:bCs w:val="1"/>
          <w:color w:val="auto"/>
        </w:rPr>
        <w:t>SECTION 10.14</w:t>
      </w:r>
      <w:r>
        <w:rPr>
          <w:sz w:val="20"/>
          <w:szCs w:val="20"/>
          <w:color w:val="auto"/>
        </w:rPr>
        <w:tab/>
      </w:r>
      <w:r>
        <w:rPr>
          <w:rFonts w:ascii="Arial" w:cs="Arial" w:eastAsia="Arial" w:hAnsi="Arial"/>
          <w:sz w:val="18"/>
          <w:szCs w:val="18"/>
          <w:b w:val="1"/>
          <w:bCs w:val="1"/>
          <w:u w:val="single" w:color="auto"/>
          <w:color w:val="auto"/>
        </w:rPr>
        <w:t>WAIVER OF JURY TRIAL</w:t>
      </w:r>
    </w:p>
    <w:p>
      <w:pPr>
        <w:spacing w:after="0" w:line="256" w:lineRule="exact"/>
        <w:rPr>
          <w:sz w:val="20"/>
          <w:szCs w:val="20"/>
          <w:color w:val="auto"/>
        </w:rPr>
      </w:pPr>
    </w:p>
    <w:p>
      <w:pPr>
        <w:ind w:right="580" w:firstLine="656"/>
        <w:spacing w:after="0" w:line="264" w:lineRule="auto"/>
        <w:tabs>
          <w:tab w:leader="none" w:pos="783"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THE PARTIES TO THIS AGREEMENT HEREBY IRREVOCABLY WAIVES ALL RIGHT TO A TRIAL BY JURY IN ANY ACTION, PROCEEDING OR COUNTERCLAIM ARISING OUT OF OR RELATING TO THIS AGREEMENT OR THE TRANSACTIONS CONTEMPLATED HEREBY.</w:t>
      </w:r>
    </w:p>
    <w:p>
      <w:pPr>
        <w:spacing w:after="0" w:line="231"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18"/>
          <w:szCs w:val="18"/>
          <w:b w:val="1"/>
          <w:bCs w:val="1"/>
          <w:color w:val="auto"/>
        </w:rPr>
        <w:t>SECTION 10.15</w:t>
      </w:r>
      <w:r>
        <w:rPr>
          <w:sz w:val="20"/>
          <w:szCs w:val="20"/>
          <w:color w:val="auto"/>
        </w:rPr>
        <w:tab/>
      </w:r>
      <w:r>
        <w:rPr>
          <w:rFonts w:ascii="Arial" w:cs="Arial" w:eastAsia="Arial" w:hAnsi="Arial"/>
          <w:sz w:val="17"/>
          <w:szCs w:val="17"/>
          <w:b w:val="1"/>
          <w:bCs w:val="1"/>
          <w:u w:val="single" w:color="auto"/>
          <w:color w:val="auto"/>
        </w:rPr>
        <w:t>COUNTERPARTS</w:t>
      </w:r>
    </w:p>
    <w:p>
      <w:pPr>
        <w:spacing w:after="0" w:line="256" w:lineRule="exact"/>
        <w:rPr>
          <w:sz w:val="20"/>
          <w:szCs w:val="20"/>
          <w:color w:val="auto"/>
        </w:rPr>
      </w:pPr>
    </w:p>
    <w:p>
      <w:pPr>
        <w:ind w:right="400" w:firstLine="656"/>
        <w:spacing w:after="0" w:line="277"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Agreement may be executed in two or more counterparts, all of which shall be considered one and the same instrument and shall become effective when one or more counterparts have been signed by each of the parties and delivered to the other party.</w:t>
      </w:r>
    </w:p>
    <w:p>
      <w:pPr>
        <w:spacing w:after="0" w:line="220"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18"/>
          <w:szCs w:val="18"/>
          <w:b w:val="1"/>
          <w:bCs w:val="1"/>
          <w:color w:val="auto"/>
        </w:rPr>
        <w:t>SECTION 10.16</w:t>
      </w:r>
      <w:r>
        <w:rPr>
          <w:sz w:val="20"/>
          <w:szCs w:val="20"/>
          <w:color w:val="auto"/>
        </w:rPr>
        <w:tab/>
      </w:r>
      <w:r>
        <w:rPr>
          <w:rFonts w:ascii="Arial" w:cs="Arial" w:eastAsia="Arial" w:hAnsi="Arial"/>
          <w:sz w:val="18"/>
          <w:szCs w:val="18"/>
          <w:b w:val="1"/>
          <w:bCs w:val="1"/>
          <w:u w:val="single" w:color="auto"/>
          <w:color w:val="auto"/>
        </w:rPr>
        <w:t>FACSIMILE 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This Agreement may be executed by facsimile signature and a facsimile signature shall constitute an original for all purposes.</w:t>
      </w:r>
    </w:p>
    <w:p>
      <w:pPr>
        <w:spacing w:after="0" w:line="275"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18"/>
          <w:szCs w:val="18"/>
          <w:b w:val="1"/>
          <w:bCs w:val="1"/>
          <w:color w:val="auto"/>
        </w:rPr>
        <w:t>SECTION 10.17</w:t>
      </w:r>
      <w:r>
        <w:rPr>
          <w:sz w:val="20"/>
          <w:szCs w:val="20"/>
          <w:color w:val="auto"/>
        </w:rPr>
        <w:tab/>
      </w:r>
      <w:r>
        <w:rPr>
          <w:rFonts w:ascii="Arial" w:cs="Arial" w:eastAsia="Arial" w:hAnsi="Arial"/>
          <w:sz w:val="17"/>
          <w:szCs w:val="17"/>
          <w:b w:val="1"/>
          <w:bCs w:val="1"/>
          <w:u w:val="single" w:color="auto"/>
          <w:color w:val="auto"/>
        </w:rPr>
        <w:t>TIME OF ESSENCE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Time is of the essence with regard to all dates and time periods set forth or referred to in this Agreement.</w:t>
      </w:r>
    </w:p>
    <w:p>
      <w:pPr>
        <w:spacing w:after="0" w:line="275"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18"/>
          <w:szCs w:val="18"/>
          <w:b w:val="1"/>
          <w:bCs w:val="1"/>
          <w:color w:val="auto"/>
        </w:rPr>
        <w:t>SECTION 10.18</w:t>
      </w:r>
      <w:r>
        <w:rPr>
          <w:sz w:val="20"/>
          <w:szCs w:val="20"/>
          <w:color w:val="auto"/>
        </w:rPr>
        <w:tab/>
      </w:r>
      <w:r>
        <w:rPr>
          <w:rFonts w:ascii="Arial" w:cs="Arial" w:eastAsia="Arial" w:hAnsi="Arial"/>
          <w:sz w:val="18"/>
          <w:szCs w:val="18"/>
          <w:b w:val="1"/>
          <w:bCs w:val="1"/>
          <w:u w:val="single" w:color="auto"/>
          <w:color w:val="auto"/>
        </w:rPr>
        <w:t>NO PRESUMPTION AGAINST DRAFTING PARTY</w:t>
      </w:r>
    </w:p>
    <w:p>
      <w:pPr>
        <w:spacing w:after="0" w:line="256" w:lineRule="exact"/>
        <w:rPr>
          <w:sz w:val="20"/>
          <w:szCs w:val="20"/>
          <w:color w:val="auto"/>
        </w:rPr>
      </w:pPr>
    </w:p>
    <w:p>
      <w:pPr>
        <w:ind w:right="240" w:firstLine="656"/>
        <w:spacing w:after="0" w:line="264" w:lineRule="auto"/>
        <w:tabs>
          <w:tab w:leader="none" w:pos="783"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of the parties hereto acknowledges that each party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231"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18"/>
          <w:szCs w:val="18"/>
          <w:b w:val="1"/>
          <w:bCs w:val="1"/>
          <w:color w:val="auto"/>
        </w:rPr>
        <w:t>SECTION 10.19</w:t>
      </w:r>
      <w:r>
        <w:rPr>
          <w:sz w:val="20"/>
          <w:szCs w:val="20"/>
          <w:color w:val="auto"/>
        </w:rPr>
        <w:tab/>
      </w:r>
      <w:r>
        <w:rPr>
          <w:rFonts w:ascii="Arial" w:cs="Arial" w:eastAsia="Arial" w:hAnsi="Arial"/>
          <w:sz w:val="17"/>
          <w:szCs w:val="17"/>
          <w:b w:val="1"/>
          <w:bCs w:val="1"/>
          <w:u w:val="single" w:color="auto"/>
          <w:color w:val="auto"/>
        </w:rPr>
        <w:t>DISCLOSURE SCHEDULE</w:t>
      </w:r>
    </w:p>
    <w:p>
      <w:pPr>
        <w:spacing w:after="0" w:line="256" w:lineRule="exact"/>
        <w:rPr>
          <w:sz w:val="20"/>
          <w:szCs w:val="20"/>
          <w:color w:val="auto"/>
        </w:rPr>
      </w:pPr>
    </w:p>
    <w:p>
      <w:pPr>
        <w:ind w:right="100" w:firstLine="656"/>
        <w:spacing w:after="0" w:line="286" w:lineRule="auto"/>
        <w:tabs>
          <w:tab w:leader="none" w:pos="7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disclosures in the Disclosure Schedules are to be taken as relating to the representations and warranties of the Company as a whole, notwithstanding the fact that the Disclosure Schedules are arranged by sections corresponding to the sections in this Agreement or that a particular section of this Agreement makes reference to a specific section of the Disclosure Schedules and notwithstanding that a particular representation and warranty may not make a reference to the Disclosure Schedules. The inclusion of information in the Disclosure Schedules shall not be construed as an admission that such information is material to any of the Company or its Subsidiaries. In addition, matters reflected in the Disclosure Schedules are not necessarily limited to matters required by this Agreement to be reflected in the Disclosure Schedules. Such additional matters are set forth for informational purposes only and do not necessarily include other matters of a similar nature. Neither the specifications of any dollar amount in any representation, warranty or covenant contained in this Agreement nor the inclusion of any specific item in the Disclosure Schedules is intended to imply that such amount, or higher or lower amounts, or the item so included or other items, are or are not material, and no party shall use the fact of the setting forth of any such amount or the inclusion of any such item in any dispute or controversy between the parties as to whether any obligation, item or matter not described herein or included in the Disclosure Schedules is or is not material for purposes of this Agreement. Further, neither the specification of any item or matter in any representation, warranty or covenant contained in this Agreement nor the inclusion of any specific item in the Disclosure Schedule is intended to imply that such item or matter, or other items or matters, are or are not in the ordinary course of business, and no party shall use the fact of setting forth or the inclusion of any such items or matter in any dispute or controversy between the parties as to whether any obligation, item or matter not described herein or included in the Disclosure Schedules is or is not in the ordinary course of business for purposes of this Agreement.</w:t>
      </w:r>
    </w:p>
    <w:p>
      <w:pPr>
        <w:spacing w:after="0" w:line="219"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18"/>
          <w:szCs w:val="18"/>
          <w:b w:val="1"/>
          <w:bCs w:val="1"/>
          <w:color w:val="auto"/>
        </w:rPr>
        <w:t>SECTION 10.20</w:t>
      </w:r>
      <w:r>
        <w:rPr>
          <w:sz w:val="20"/>
          <w:szCs w:val="20"/>
          <w:color w:val="auto"/>
        </w:rPr>
        <w:tab/>
      </w:r>
      <w:r>
        <w:rPr>
          <w:rFonts w:ascii="Arial" w:cs="Arial" w:eastAsia="Arial" w:hAnsi="Arial"/>
          <w:sz w:val="17"/>
          <w:szCs w:val="17"/>
          <w:b w:val="1"/>
          <w:bCs w:val="1"/>
          <w:u w:val="single" w:color="auto"/>
          <w:color w:val="auto"/>
        </w:rPr>
        <w:t>PROVISION RESPECTING REPRESENTATION OF COMPANY</w:t>
      </w:r>
    </w:p>
    <w:p>
      <w:pPr>
        <w:spacing w:after="0" w:line="256" w:lineRule="exact"/>
        <w:rPr>
          <w:sz w:val="20"/>
          <w:szCs w:val="20"/>
          <w:color w:val="auto"/>
        </w:rPr>
      </w:pPr>
    </w:p>
    <w:p>
      <w:pPr>
        <w:ind w:firstLine="656"/>
        <w:spacing w:after="0" w:line="289" w:lineRule="auto"/>
        <w:tabs>
          <w:tab w:leader="none" w:pos="783"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of the parties to this Agreement hereby agrees, on its own behalf and on behalf of its directors, member, partners, officers, employees and Affiliates, that Mayer, Brown, Rowe &amp; Maw LLP may serve as counsel to each and any of the Stockholder Representative, the Stockholders and their respective Affiliates (individually and collectively, the "</w:t>
      </w:r>
      <w:r>
        <w:rPr>
          <w:rFonts w:ascii="Arial" w:cs="Arial" w:eastAsia="Arial" w:hAnsi="Arial"/>
          <w:sz w:val="16"/>
          <w:szCs w:val="16"/>
          <w:u w:val="single" w:color="auto"/>
          <w:color w:val="auto"/>
        </w:rPr>
        <w:t>Seller Group</w:t>
      </w:r>
      <w:r>
        <w:rPr>
          <w:rFonts w:ascii="Arial" w:cs="Arial" w:eastAsia="Arial" w:hAnsi="Arial"/>
          <w:sz w:val="16"/>
          <w:szCs w:val="16"/>
          <w:color w:val="auto"/>
        </w:rPr>
        <w:t>"), on the one hand, and the Company and its Subsidiaries, on the other hand, in connection with the negotiation, preparation, execution and delivery of this Agreement and the consummation of the transactions contemplated hereby, and that, following consummation of the transactions contemplated hereby, Mayer, Brown, Rowe &amp; Maw LLP (or any successor) may serve as counsel to the Seller Group or any director, member, partner, officer, employee or Affiliate of the Seller Group, in connection with any litigation, claim or obligation arising out of or relating to this Agreement or the transactions contemplated by this Agreement notwithstanding such representation or any continued representation of the Company and/or any of its Subsidiaries, and each of the parties hereto hereby consents thereto and waives any conflict of interest arising therefrom, and each of such parties shall cause any Affiliate thereof to consent to waive any conflict of interest arising from such representation.</w:t>
      </w:r>
    </w:p>
    <w:p>
      <w:pPr>
        <w:spacing w:after="0" w:line="217"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18"/>
          <w:szCs w:val="18"/>
          <w:b w:val="1"/>
          <w:bCs w:val="1"/>
          <w:color w:val="auto"/>
        </w:rPr>
        <w:t>SECTION 10.21</w:t>
      </w:r>
      <w:r>
        <w:rPr>
          <w:sz w:val="20"/>
          <w:szCs w:val="20"/>
          <w:color w:val="auto"/>
        </w:rPr>
        <w:tab/>
      </w:r>
      <w:r>
        <w:rPr>
          <w:rFonts w:ascii="Arial" w:cs="Arial" w:eastAsia="Arial" w:hAnsi="Arial"/>
          <w:sz w:val="18"/>
          <w:szCs w:val="18"/>
          <w:b w:val="1"/>
          <w:bCs w:val="1"/>
          <w:u w:val="single" w:color="auto"/>
          <w:color w:val="auto"/>
        </w:rPr>
        <w:t>AUTHORITY AND RIGHTS OF STOCKHOLDER REPRESENTATIVE; LIMITATIONS ON LIABILITY</w:t>
      </w:r>
    </w:p>
    <w:p>
      <w:pPr>
        <w:spacing w:after="0" w:line="256" w:lineRule="exact"/>
        <w:rPr>
          <w:sz w:val="20"/>
          <w:szCs w:val="20"/>
          <w:color w:val="auto"/>
        </w:rPr>
      </w:pPr>
    </w:p>
    <w:p>
      <w:pPr>
        <w:ind w:right="40" w:firstLine="656"/>
        <w:spacing w:after="0" w:line="287" w:lineRule="auto"/>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Stockholder Representative shall have such powers and authority as are necessary or appropriate to carry out the functions assigned to it under this Agreement. All actions, notices, communications and determinations by the Stockholder Representative to carry out such functions shall conclusively be deemed to have been authorized by, and shall be binding upon, the Stockholders. Neither the Stockholder Representative nor any of its officers, directors, employees, agents, representatives or Affiliates will have any liability to the Company, the Buyer or the Stockholders with respect to actions taken or omitted to be taken by the Stockholder Representative in such capacity (or any of its officers, directors, employees, agents, representatives or Affiliates in connection therewith), except with respect to the Stockholder Representative’s gross negligence or willful misconduct. The Stockholder Representative shall be entitled to engage such counsel, experts and other agents and consultants as it shall deem necessary in connection with exercising its powers and performing its function hereunder and (in the absence of bad faith on the part of the Stockholder Representative) shall be entitled to conclusively rely on the opinions and advice of such Persons. The Stockholder Representative (for itself and its officers, directors, employees, agents, representatives and Affiliates) shall be entitled to full reimbursement for all reasonable expenses, disbursements and advances (including fees and disbursements of its counsel, experts and other agents and consultants) incurred by the Stockholder Representative in such capacity (or any of its officers, directors, employees, agents, representatives or Affiliates in connection therewith), and to full indemnification against any Losses arising out of actions taken or omitted to be taken in its capacity as</w:t>
      </w:r>
    </w:p>
    <w:p>
      <w:pPr>
        <w:sectPr>
          <w:pgSz w:w="11900" w:h="16838" w:orient="portrait"/>
          <w:cols w:equalWidth="0" w:num="1">
            <w:col w:w="11420"/>
          </w:cols>
          <w:pgMar w:left="240" w:top="125" w:right="239" w:bottom="0" w:gutter="0" w:footer="0" w:header="0"/>
        </w:sectPr>
      </w:pPr>
    </w:p>
    <w:bookmarkStart w:id="41" w:name="page42"/>
    <w:bookmarkEnd w:id="41"/>
    <w:p>
      <w:pPr>
        <w:spacing w:after="0" w:line="287" w:lineRule="auto"/>
        <w:rPr>
          <w:sz w:val="20"/>
          <w:szCs w:val="20"/>
          <w:color w:val="auto"/>
        </w:rPr>
      </w:pPr>
      <w:r>
        <w:rPr>
          <w:rFonts w:ascii="Arial" w:cs="Arial" w:eastAsia="Arial" w:hAnsi="Arial"/>
          <w:sz w:val="16"/>
          <w:szCs w:val="16"/>
          <w:color w:val="auto"/>
        </w:rPr>
        <w:t>Stockholder Representative (except for those arising out of the Stockholder Representative’s gross negligence or willful misconduct), including, without limitation, the costs and expenses of investigation and defense of claims, from the Stockholders (including, without limitation, from funds paid to the Stockholder Representative under this Agreement and/or otherwise received by it in its capacity as Stockholder Representative, or funds to be distributed to the Stockholders under this Agreement at its direction, pursuant to or in connection with this Agreement). In furtherance of the foregoing, the Stockholder Representative shall have the power and authority to set aside and retain additional funds paid to or received by it, or direct payment of additional funds to be paid to the Stockholders, as Purchase Price pursuant to this Agreement at Closing or thereafter to satisfy such obligations (including to establish such reserves as the Stockholder Representative determines in good faith to be appropriate for such costs and expenses that are not then known or determinable. To the extent that the amount included as Stockholder Representative expenses exceeds such expenses, disbursements or advances, the Stockholder Representative may retain such excess as a fee for the services it provides hereunder. The relationship created herein is not to be construed as a joint venture or any form of partnership between or among the Stockholder Representative or any Stockholder for any purpose of federal or state law, including without limitation, federal or state income tax purposes. Neither the Stockholder Representative nor any of its Affiliates owes any fiduciary or other duty to any Stockholder.</w:t>
      </w:r>
    </w:p>
    <w:p>
      <w:pPr>
        <w:spacing w:after="0" w:line="223"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18"/>
          <w:szCs w:val="18"/>
          <w:b w:val="1"/>
          <w:bCs w:val="1"/>
          <w:color w:val="auto"/>
        </w:rPr>
        <w:t>SECTION 10.22</w:t>
      </w:r>
      <w:r>
        <w:rPr>
          <w:sz w:val="20"/>
          <w:szCs w:val="20"/>
          <w:color w:val="auto"/>
        </w:rPr>
        <w:tab/>
      </w:r>
      <w:r>
        <w:rPr>
          <w:rFonts w:ascii="Arial" w:cs="Arial" w:eastAsia="Arial" w:hAnsi="Arial"/>
          <w:sz w:val="18"/>
          <w:szCs w:val="18"/>
          <w:b w:val="1"/>
          <w:bCs w:val="1"/>
          <w:u w:val="single" w:color="auto"/>
          <w:color w:val="auto"/>
        </w:rPr>
        <w:t>FRENCH TAX DECLARATION</w:t>
      </w:r>
    </w:p>
    <w:p>
      <w:pPr>
        <w:spacing w:after="0" w:line="256" w:lineRule="exact"/>
        <w:rPr>
          <w:sz w:val="20"/>
          <w:szCs w:val="20"/>
          <w:color w:val="auto"/>
        </w:rPr>
      </w:pPr>
    </w:p>
    <w:p>
      <w:pPr>
        <w:ind w:right="40" w:firstLine="656"/>
        <w:spacing w:after="0" w:line="342" w:lineRule="auto"/>
        <w:tabs>
          <w:tab w:leader="none" w:pos="783" w:val="left"/>
        </w:tabs>
        <w:numPr>
          <w:ilvl w:val="0"/>
          <w:numId w:val="92"/>
        </w:numPr>
        <w:rPr>
          <w:rFonts w:ascii="Arial" w:cs="Arial" w:eastAsia="Arial" w:hAnsi="Arial"/>
          <w:sz w:val="16"/>
          <w:szCs w:val="16"/>
          <w:color w:val="auto"/>
        </w:rPr>
      </w:pPr>
      <w:r>
        <w:rPr>
          <w:rFonts w:ascii="Arial" w:cs="Arial" w:eastAsia="Arial" w:hAnsi="Arial"/>
          <w:sz w:val="16"/>
          <w:szCs w:val="16"/>
          <w:color w:val="auto"/>
        </w:rPr>
        <w:t>For the purpose of the provisions of Article 223 B(c) of the French tax code, the Buyer hereby declares that its intention is to sell Actaris Holdings France’s shares to its French holding company as soon as possible after the purchase of the Shares and the Convertible Bonds as provided herein.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IN WITNESS WHEREOF, the parties hereto have caused this Agreement to be executed as of the date first written above.</w:t>
      </w:r>
    </w:p>
    <w:p>
      <w:pPr>
        <w:spacing w:after="0" w:line="24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ACTARIS METERING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40" w:right="20"/>
        <w:spacing w:after="0" w:line="259" w:lineRule="auto"/>
        <w:rPr>
          <w:sz w:val="20"/>
          <w:szCs w:val="20"/>
          <w:color w:val="auto"/>
        </w:rPr>
      </w:pPr>
      <w:r>
        <w:rPr>
          <w:rFonts w:ascii="Arial" w:cs="Arial" w:eastAsia="Arial" w:hAnsi="Arial"/>
          <w:sz w:val="18"/>
          <w:szCs w:val="18"/>
          <w:color w:val="auto"/>
        </w:rPr>
        <w:t xml:space="preserve">hereby acknowledges and accepts the power given to it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and undertakes to record, on the Closing Date, (i) in its stockholders’ register the ownership rights of the Buyer in respect of the Shares and (ii) in its bondholders’ register the ownership rights of the Buyer in respect of the Convertible Bonds</w:t>
      </w:r>
    </w:p>
    <w:p>
      <w:pPr>
        <w:spacing w:after="0" w:line="214"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Robert Daussun /s/ Thierry de Miranda</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Robert Daussun/Thierry de Miranda</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 Directors</w:t>
      </w:r>
    </w:p>
    <w:p>
      <w:pPr>
        <w:spacing w:after="0" w:line="200" w:lineRule="exact"/>
        <w:rPr>
          <w:sz w:val="20"/>
          <w:szCs w:val="20"/>
          <w:color w:val="auto"/>
        </w:rPr>
      </w:pPr>
    </w:p>
    <w:p>
      <w:pPr>
        <w:spacing w:after="0" w:line="30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ITRON, INC.</w:t>
      </w:r>
    </w:p>
    <w:p>
      <w:pPr>
        <w:spacing w:after="0" w:line="256"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S. Shaub</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John S. Shaub</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 Power of Attorney</w:t>
      </w:r>
    </w:p>
    <w:p>
      <w:pPr>
        <w:spacing w:after="0" w:line="200" w:lineRule="exact"/>
        <w:rPr>
          <w:sz w:val="20"/>
          <w:szCs w:val="20"/>
          <w:color w:val="auto"/>
        </w:rPr>
      </w:pPr>
    </w:p>
    <w:p>
      <w:pPr>
        <w:spacing w:after="0" w:line="31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LBO FRANCE GESTION SAS,</w:t>
      </w:r>
    </w:p>
    <w:p>
      <w:pPr>
        <w:spacing w:after="0" w:line="27" w:lineRule="exact"/>
        <w:rPr>
          <w:sz w:val="20"/>
          <w:szCs w:val="20"/>
          <w:color w:val="auto"/>
        </w:rPr>
      </w:pPr>
    </w:p>
    <w:p>
      <w:pPr>
        <w:ind w:left="3240"/>
        <w:spacing w:after="0" w:line="261" w:lineRule="auto"/>
        <w:rPr>
          <w:sz w:val="20"/>
          <w:szCs w:val="20"/>
          <w:color w:val="auto"/>
        </w:rPr>
      </w:pPr>
      <w:r>
        <w:rPr>
          <w:rFonts w:ascii="Arial" w:cs="Arial" w:eastAsia="Arial" w:hAnsi="Arial"/>
          <w:sz w:val="18"/>
          <w:szCs w:val="18"/>
          <w:color w:val="auto"/>
        </w:rPr>
        <w:t>acting on behalf of the FCPRs that it manages, duly represented by its President, François IV Holding SAS, represented by its President, Robert Daussun</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in its capacity as Stockholder</w:t>
      </w:r>
    </w:p>
    <w:p>
      <w:pPr>
        <w:spacing w:after="0" w:line="252"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Robert Daussun</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Robert Daussun</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31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ACTARIS EXPANSION</w:t>
      </w:r>
    </w:p>
    <w:p>
      <w:pPr>
        <w:spacing w:after="0" w:line="256"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Thierry de Miranda</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Thierry de Miranda</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 Power of Attorney</w:t>
      </w:r>
    </w:p>
    <w:p>
      <w:pPr>
        <w:spacing w:after="0" w:line="200" w:lineRule="exact"/>
        <w:rPr>
          <w:sz w:val="20"/>
          <w:szCs w:val="20"/>
          <w:color w:val="auto"/>
        </w:rPr>
      </w:pPr>
    </w:p>
    <w:p>
      <w:pPr>
        <w:spacing w:after="0" w:line="31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SOPERCAP</w:t>
      </w:r>
    </w:p>
    <w:p>
      <w:pPr>
        <w:spacing w:after="0" w:line="256"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Clermont Matton</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Clermont Matton</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 Administrateur</w:t>
      </w:r>
    </w:p>
    <w:p>
      <w:pPr>
        <w:spacing w:after="0" w:line="200" w:lineRule="exact"/>
        <w:rPr>
          <w:sz w:val="20"/>
          <w:szCs w:val="20"/>
          <w:color w:val="auto"/>
        </w:rPr>
      </w:pPr>
    </w:p>
    <w:p>
      <w:pPr>
        <w:spacing w:after="0" w:line="31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AMS INVESTISSEMENT</w:t>
      </w:r>
    </w:p>
    <w:p>
      <w:pPr>
        <w:spacing w:after="0" w:line="256"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Jean-Paul Bize</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Jean-Paul Bize</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31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LBO FRANCE GESTION SAS,</w:t>
      </w:r>
    </w:p>
    <w:p>
      <w:pPr>
        <w:spacing w:after="0" w:line="27" w:lineRule="exact"/>
        <w:rPr>
          <w:sz w:val="20"/>
          <w:szCs w:val="20"/>
          <w:color w:val="auto"/>
        </w:rPr>
      </w:pPr>
    </w:p>
    <w:p>
      <w:pPr>
        <w:ind w:left="3240" w:right="360"/>
        <w:spacing w:after="0" w:line="261" w:lineRule="auto"/>
        <w:rPr>
          <w:sz w:val="20"/>
          <w:szCs w:val="20"/>
          <w:color w:val="auto"/>
        </w:rPr>
      </w:pPr>
      <w:r>
        <w:rPr>
          <w:rFonts w:ascii="Arial" w:cs="Arial" w:eastAsia="Arial" w:hAnsi="Arial"/>
          <w:sz w:val="18"/>
          <w:szCs w:val="18"/>
          <w:color w:val="auto"/>
        </w:rPr>
        <w:t>duly represented by its President, François IV Holding SAS, represented by its President, Robert Daussun</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in its capacity as Stockholder Representative</w:t>
      </w:r>
    </w:p>
    <w:p>
      <w:pPr>
        <w:spacing w:after="0" w:line="252"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Robert Daussun</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Robert Daussun</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0560"/>
          </w:cols>
          <w:pgMar w:left="900" w:top="854" w:right="439" w:bottom="113" w:gutter="0" w:footer="0" w:header="0"/>
        </w:sectPr>
      </w:pPr>
    </w:p>
    <w:bookmarkStart w:id="43" w:name="page44"/>
    <w:bookmarkEnd w:id="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PURCHASE AGREEMENT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THIS AMENDMENT NO. 1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April 18, 2007, to and of the Stock Purchase Agreement, dated as of February 25, 2007 (the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Actaris Metering Systems S.A., a Luxembourg public limited liability company, having its registered office at 26, rue de Louvigny, L-1946, Luxembourg and registered with the Luxembourg Trade and Companies Register under the number B 108445 (the “</w:t>
      </w:r>
      <w:r>
        <w:rPr>
          <w:rFonts w:ascii="Arial" w:cs="Arial" w:eastAsia="Arial" w:hAnsi="Arial"/>
          <w:sz w:val="17"/>
          <w:szCs w:val="17"/>
          <w:u w:val="single" w:color="auto"/>
          <w:color w:val="auto"/>
        </w:rPr>
        <w:t>Company</w:t>
      </w:r>
      <w:r>
        <w:rPr>
          <w:rFonts w:ascii="Arial" w:cs="Arial" w:eastAsia="Arial" w:hAnsi="Arial"/>
          <w:sz w:val="17"/>
          <w:szCs w:val="17"/>
          <w:color w:val="auto"/>
        </w:rPr>
        <w:t>”), LBO France Gestion SAS, as agent and attorney-in-fact for the Stockholders (the “</w:t>
      </w:r>
      <w:r>
        <w:rPr>
          <w:rFonts w:ascii="Arial" w:cs="Arial" w:eastAsia="Arial" w:hAnsi="Arial"/>
          <w:sz w:val="17"/>
          <w:szCs w:val="17"/>
          <w:u w:val="single" w:color="auto"/>
          <w:color w:val="auto"/>
        </w:rPr>
        <w:t>Stockholder Representative</w:t>
      </w:r>
      <w:r>
        <w:rPr>
          <w:rFonts w:ascii="Arial" w:cs="Arial" w:eastAsia="Arial" w:hAnsi="Arial"/>
          <w:sz w:val="17"/>
          <w:szCs w:val="17"/>
          <w:color w:val="auto"/>
        </w:rPr>
        <w:t>”), and Itron, Inc., a Washington corporation (the “</w:t>
      </w:r>
      <w:r>
        <w:rPr>
          <w:rFonts w:ascii="Arial" w:cs="Arial" w:eastAsia="Arial" w:hAnsi="Arial"/>
          <w:sz w:val="17"/>
          <w:szCs w:val="17"/>
          <w:u w:val="single" w:color="auto"/>
          <w:color w:val="auto"/>
        </w:rPr>
        <w:t>Buyer</w:t>
      </w:r>
      <w:r>
        <w:rPr>
          <w:rFonts w:ascii="Arial" w:cs="Arial" w:eastAsia="Arial" w:hAnsi="Arial"/>
          <w:sz w:val="17"/>
          <w:szCs w:val="17"/>
          <w:color w:val="auto"/>
        </w:rPr>
        <w:t>”). Capitalized terms used and not defined herein shall have the meanings given to such terms in the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Company, the Stockholders, the Stockholder Representative and the Buyer have previously entered into the Agreement;</w:t>
      </w:r>
    </w:p>
    <w:p>
      <w:pPr>
        <w:spacing w:after="0" w:line="26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pursuant to Section 10.2 of the Agreement, the Agreement may only be amended by an instrument in writing signed by the Company, the Stockholder Representative and the Buyer; 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hereto wish to amend the Agreement on the terms set forth in this Amendment.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and agreements herein contained, and intending to be legally bound hereby, the parties hereto agree as follows:</w:t>
      </w:r>
    </w:p>
    <w:p>
      <w:pPr>
        <w:spacing w:after="0" w:line="197" w:lineRule="exact"/>
        <w:rPr>
          <w:sz w:val="20"/>
          <w:szCs w:val="20"/>
          <w:color w:val="auto"/>
        </w:rPr>
      </w:pPr>
    </w:p>
    <w:p>
      <w:pPr>
        <w:ind w:left="1280" w:hanging="624"/>
        <w:spacing w:after="0"/>
        <w:tabs>
          <w:tab w:leader="none" w:pos="12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Amendment of Section 2.1(a)</w:t>
      </w:r>
      <w:r>
        <w:rPr>
          <w:rFonts w:ascii="Arial" w:cs="Arial" w:eastAsia="Arial" w:hAnsi="Arial"/>
          <w:sz w:val="18"/>
          <w:szCs w:val="18"/>
          <w:color w:val="auto"/>
        </w:rPr>
        <w:t>.  Section 2.1(a) of the Agreement is hereby amended in its entirety to read as follows:</w:t>
      </w:r>
    </w:p>
    <w:p>
      <w:pPr>
        <w:spacing w:after="0" w:line="25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“Upon the terms and subject to the conditions of this Agreement, at the Closing, (i) (A) each Stockholder shall sell, assign, transfer, convey and deliver to the Buyer, and the Buyer shall purchase from such Stockholder, the amount of Common Stock and Convertible Bonds set forth opposite such Stockholder’s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free and clear of all Encumbrances, and (B) the Buyer shall pay to such Stockholder the amount of the Purchase Price set forth opposite such Stockholder’s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(which amount shall be provided in an updated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shall be based on such Stockholder’s percentage ownership of Shares and Convertible Bonds at Closing), by wire transfer of immediately available funds in Euro, and (ii) the Buyer shall repay the Group Indebtedness on behalf of the Company and/or the Subsidiaries of the Company. Ten Business Days prior to the anticipated Closing Date, the Company shall deliver to the Buyer a schedule setting forth the amount of Group Indebtedness to be repaid by the Buyer on behalf of the Company and/or the Subsidiaries of the Company at the Closing. The Buyer acknowledges and agrees that the Stockholders may transfer a certain amount of Common Stock and/or Convertible Bonds among themselves prior to the Closing and that the amount of the Common Stock and Convertible Bonds, the percentage ownership of Shares and Convertible Bonds, and the Purchase Price set forth opposite each Stockholder’s name on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shall be updated by the Stockholder Representative to reflect the amounts of Common Stock and Convertible Bonds owned by, the percentage ownership of Shares and Convertible Bonds of, and the amount of the Purchase Price to be paid to, each Stockholder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between the date of this Agreement and the Closing, no amount of Common Stock or Convertible Bonds may be transferred by any Stockholder to a Person that is not a Stockholder as of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updated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delivered to the Buyer by the Stockholder Representative at least ten Business Days prior to the Closing Date. The Buyer agrees that the Buyer shall pay, on behalf of the Company, certain expenses of the Company that are set forth on such updated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Purchase Price shall be reduced by the amount of such expenses and such reduced Purchase Price shall be distributed to the Stockholders in accordance with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Such updated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also set forth a bank account opposite each Stockholder’s name into which the Buyer shall deposit the amount of the Purchase Price to be paid to such Stockholder at the Closing. The Stockholder Representative shall be the sole responsible for the allocation of the Purchase Price among the Stockholders and each Stockholder acknowledges that the Buyer shall be fully discharged from its obligation to pay the Purchase Price by paying to each Stockholder such amount of the Purchase Price as shall have been set forth opposite such Stockholder’s name in the updated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accordance with this Section 2.1(a). The Stockholders may be entitled to receive an additional payment to be calculated and to be allocated among the Stockholders as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w:t>
      </w:r>
    </w:p>
    <w:p>
      <w:pPr>
        <w:spacing w:after="0" w:line="207" w:lineRule="exact"/>
        <w:rPr>
          <w:sz w:val="20"/>
          <w:szCs w:val="20"/>
          <w:color w:val="auto"/>
        </w:rPr>
      </w:pPr>
    </w:p>
    <w:p>
      <w:pPr>
        <w:ind w:left="1280" w:hanging="624"/>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Amendment to Section 2.1(c)</w:t>
      </w:r>
      <w:r>
        <w:rPr>
          <w:rFonts w:ascii="Arial" w:cs="Arial" w:eastAsia="Arial" w:hAnsi="Arial"/>
          <w:sz w:val="18"/>
          <w:szCs w:val="18"/>
          <w:color w:val="auto"/>
        </w:rPr>
        <w:t>. Section 2.1(c) of the Agreement is hereby amended in its entirety to read as follows:</w:t>
      </w:r>
    </w:p>
    <w:p>
      <w:pPr>
        <w:spacing w:after="0" w:line="252" w:lineRule="exact"/>
        <w:rPr>
          <w:sz w:val="20"/>
          <w:szCs w:val="20"/>
          <w:color w:val="auto"/>
        </w:rPr>
      </w:pPr>
    </w:p>
    <w:p>
      <w:pPr>
        <w:jc w:val="both"/>
        <w:ind w:right="20" w:firstLine="783"/>
        <w:spacing w:after="0" w:line="264" w:lineRule="auto"/>
        <w:rPr>
          <w:sz w:val="20"/>
          <w:szCs w:val="20"/>
          <w:color w:val="auto"/>
        </w:rPr>
      </w:pPr>
      <w:r>
        <w:rPr>
          <w:rFonts w:ascii="Arial" w:cs="Arial" w:eastAsia="Arial" w:hAnsi="Arial"/>
          <w:sz w:val="18"/>
          <w:szCs w:val="18"/>
          <w:color w:val="auto"/>
        </w:rPr>
        <w:t>“Provided the Buyer has (i) paid the Purchase Price and (ii) repaid the Group Indebtedness on behalf of the Company and/or the Subsidiaries of the Company, this Agreement transfers the rights to the Shares and to the Convertible Bonds and all rights and obligations attached thereto, including the right to dividends or other distributions pertaining to the Shares, as from the Closing Date.”</w:t>
      </w:r>
    </w:p>
    <w:p>
      <w:pPr>
        <w:spacing w:after="0" w:line="208" w:lineRule="exact"/>
        <w:rPr>
          <w:sz w:val="20"/>
          <w:szCs w:val="20"/>
          <w:color w:val="auto"/>
        </w:rPr>
      </w:pPr>
    </w:p>
    <w:p>
      <w:pPr>
        <w:ind w:left="1280" w:hanging="624"/>
        <w:spacing w:after="0"/>
        <w:tabs>
          <w:tab w:leader="none" w:pos="12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Amendment to Section 2.1(d)</w:t>
      </w:r>
      <w:r>
        <w:rPr>
          <w:rFonts w:ascii="Arial" w:cs="Arial" w:eastAsia="Arial" w:hAnsi="Arial"/>
          <w:sz w:val="18"/>
          <w:szCs w:val="18"/>
          <w:color w:val="auto"/>
        </w:rPr>
        <w:t>. Section 2.1(d) of the Agreement is hereby amended in its entirety to read as follows:</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“At the offices of Loyens Winandy, at 14, rue Edward Steichen, L-2540 Luxembourg, on the Closing Date, or at such other place or at such other time as the Buyer and the Stockholder Representative mutually may agree in writing, provided that the conditions set forth in this Agreement are met (or waived, as applicable), the Company shall sell, assign, transfer, convey and deliver to a wholly-owned Subsidiary of the Buyer (the “</w:t>
      </w:r>
      <w:r>
        <w:rPr>
          <w:rFonts w:ascii="Arial" w:cs="Arial" w:eastAsia="Arial" w:hAnsi="Arial"/>
          <w:sz w:val="16"/>
          <w:szCs w:val="16"/>
          <w:u w:val="single" w:color="auto"/>
          <w:color w:val="auto"/>
        </w:rPr>
        <w:t>German and UK</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Subsidiaries Buyer</w:t>
      </w:r>
      <w:r>
        <w:rPr>
          <w:rFonts w:ascii="Arial" w:cs="Arial" w:eastAsia="Arial" w:hAnsi="Arial"/>
          <w:sz w:val="16"/>
          <w:szCs w:val="16"/>
          <w:color w:val="auto"/>
        </w:rPr>
        <w:t>”), which shall purchase from the Company, (i) immediately prior to the Closing, all of the issued and outstanding shares of capital stock of Actaris Development UK II (the “</w:t>
      </w:r>
      <w:r>
        <w:rPr>
          <w:rFonts w:ascii="Arial" w:cs="Arial" w:eastAsia="Arial" w:hAnsi="Arial"/>
          <w:sz w:val="16"/>
          <w:szCs w:val="16"/>
          <w:u w:val="single" w:color="auto"/>
          <w:color w:val="auto"/>
        </w:rPr>
        <w:t>UK Subsidiary Stock</w:t>
      </w:r>
      <w:r>
        <w:rPr>
          <w:rFonts w:ascii="Arial" w:cs="Arial" w:eastAsia="Arial" w:hAnsi="Arial"/>
          <w:sz w:val="16"/>
          <w:szCs w:val="16"/>
          <w:color w:val="auto"/>
        </w:rPr>
        <w:t>”), a company organized under the laws of the United Kingdom and wholly-owned Subsidiary of the Company (the “</w:t>
      </w:r>
      <w:r>
        <w:rPr>
          <w:rFonts w:ascii="Arial" w:cs="Arial" w:eastAsia="Arial" w:hAnsi="Arial"/>
          <w:sz w:val="16"/>
          <w:szCs w:val="16"/>
          <w:u w:val="single" w:color="auto"/>
          <w:color w:val="auto"/>
        </w:rPr>
        <w:t>UK Subsidiary</w:t>
      </w:r>
      <w:r>
        <w:rPr>
          <w:rFonts w:ascii="Arial" w:cs="Arial" w:eastAsia="Arial" w:hAnsi="Arial"/>
          <w:sz w:val="16"/>
          <w:szCs w:val="16"/>
          <w:color w:val="auto"/>
        </w:rPr>
        <w:t>”), and the German and UK Subsidiaries Buyer shall deliver to the Company a check made by the Buyer payable to the Company in the amount of €169,000,000 (the “</w:t>
      </w:r>
      <w:r>
        <w:rPr>
          <w:rFonts w:ascii="Arial" w:cs="Arial" w:eastAsia="Arial" w:hAnsi="Arial"/>
          <w:sz w:val="16"/>
          <w:szCs w:val="16"/>
          <w:u w:val="single" w:color="auto"/>
          <w:color w:val="auto"/>
        </w:rPr>
        <w:t>UK Subsidiary Check</w:t>
      </w:r>
      <w:r>
        <w:rPr>
          <w:rFonts w:ascii="Arial" w:cs="Arial" w:eastAsia="Arial" w:hAnsi="Arial"/>
          <w:sz w:val="16"/>
          <w:szCs w:val="16"/>
          <w:color w:val="auto"/>
        </w:rPr>
        <w:t>”) in exchange therefor (the “</w:t>
      </w:r>
      <w:r>
        <w:rPr>
          <w:rFonts w:ascii="Arial" w:cs="Arial" w:eastAsia="Arial" w:hAnsi="Arial"/>
          <w:sz w:val="16"/>
          <w:szCs w:val="16"/>
          <w:u w:val="single" w:color="auto"/>
          <w:color w:val="auto"/>
        </w:rPr>
        <w:t>UK Subsidiary Purchase</w:t>
      </w:r>
      <w:r>
        <w:rPr>
          <w:rFonts w:ascii="Arial" w:cs="Arial" w:eastAsia="Arial" w:hAnsi="Arial"/>
          <w:sz w:val="16"/>
          <w:szCs w:val="16"/>
          <w:color w:val="auto"/>
        </w:rPr>
        <w:t>”), and (ii) immediately following the UK Subsidiary Purchase and prior to the Closing, all of the issued and outstanding shares of capital stock of Actaris Development Germany (the “</w:t>
      </w:r>
      <w:r>
        <w:rPr>
          <w:rFonts w:ascii="Arial" w:cs="Arial" w:eastAsia="Arial" w:hAnsi="Arial"/>
          <w:sz w:val="16"/>
          <w:szCs w:val="16"/>
          <w:u w:val="single" w:color="auto"/>
          <w:color w:val="auto"/>
        </w:rPr>
        <w:t>German</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Subsidiary Stock</w:t>
      </w:r>
      <w:r>
        <w:rPr>
          <w:rFonts w:ascii="Arial" w:cs="Arial" w:eastAsia="Arial" w:hAnsi="Arial"/>
          <w:sz w:val="16"/>
          <w:szCs w:val="16"/>
          <w:color w:val="auto"/>
        </w:rPr>
        <w:t>”), a company organized under the laws of Germany and wholly-owned Subsidiary of the Company (the “</w:t>
      </w:r>
      <w:r>
        <w:rPr>
          <w:rFonts w:ascii="Arial" w:cs="Arial" w:eastAsia="Arial" w:hAnsi="Arial"/>
          <w:sz w:val="16"/>
          <w:szCs w:val="16"/>
          <w:u w:val="single" w:color="auto"/>
          <w:color w:val="auto"/>
        </w:rPr>
        <w:t>German Subsidiary</w:t>
      </w:r>
      <w:r>
        <w:rPr>
          <w:rFonts w:ascii="Arial" w:cs="Arial" w:eastAsia="Arial" w:hAnsi="Arial"/>
          <w:sz w:val="16"/>
          <w:szCs w:val="16"/>
          <w:color w:val="auto"/>
        </w:rPr>
        <w:t>”), and the German and UK Subsidiaries Buyer shall deliver to the Company a check made by the Buyer payable to the Company in the amount of €205,000,000 (the</w:t>
      </w:r>
    </w:p>
    <w:p>
      <w:pPr>
        <w:sectPr>
          <w:pgSz w:w="11900" w:h="16876" w:orient="portrait"/>
          <w:cols w:equalWidth="0" w:num="1">
            <w:col w:w="11420"/>
          </w:cols>
          <w:pgMar w:left="240" w:top="364" w:right="239" w:bottom="0" w:gutter="0" w:footer="0" w:header="0"/>
        </w:sectPr>
      </w:pPr>
    </w:p>
    <w:bookmarkStart w:id="45" w:name="page46"/>
    <w:bookmarkEnd w:id="45"/>
    <w:p>
      <w:pPr>
        <w:ind w:right="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German Subsidiary Check</w:t>
      </w:r>
      <w:r>
        <w:rPr>
          <w:rFonts w:ascii="Arial" w:cs="Arial" w:eastAsia="Arial" w:hAnsi="Arial"/>
          <w:sz w:val="17"/>
          <w:szCs w:val="17"/>
          <w:color w:val="auto"/>
        </w:rPr>
        <w:t>”) in exchange therefor (the “</w:t>
      </w:r>
      <w:r>
        <w:rPr>
          <w:rFonts w:ascii="Arial" w:cs="Arial" w:eastAsia="Arial" w:hAnsi="Arial"/>
          <w:sz w:val="17"/>
          <w:szCs w:val="17"/>
          <w:u w:val="single" w:color="auto"/>
          <w:color w:val="auto"/>
        </w:rPr>
        <w:t>German Subsidiary Purchase</w:t>
      </w:r>
      <w:r>
        <w:rPr>
          <w:rFonts w:ascii="Arial" w:cs="Arial" w:eastAsia="Arial" w:hAnsi="Arial"/>
          <w:sz w:val="17"/>
          <w:szCs w:val="17"/>
          <w:color w:val="auto"/>
        </w:rPr>
        <w:t>” and, together with the UK Subsidiary Purchase, the “</w:t>
      </w:r>
      <w:r>
        <w:rPr>
          <w:rFonts w:ascii="Arial" w:cs="Arial" w:eastAsia="Arial" w:hAnsi="Arial"/>
          <w:sz w:val="17"/>
          <w:szCs w:val="17"/>
          <w:u w:val="single" w:color="auto"/>
          <w:color w:val="auto"/>
        </w:rPr>
        <w:t>German and UK</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Subsidiary Purchase</w:t>
      </w:r>
      <w:r>
        <w:rPr>
          <w:rFonts w:ascii="Arial" w:cs="Arial" w:eastAsia="Arial" w:hAnsi="Arial"/>
          <w:sz w:val="17"/>
          <w:szCs w:val="17"/>
          <w:color w:val="auto"/>
        </w:rPr>
        <w:t>”). Each of the Company and the German and UK Subsidiaries Buyer shall deliver all documents, in form and substance reasonably satisfactory to the Buyer and the Company, respectively, as such party may request or as may be otherwise necessary or desirable to evidence and effect the German and UK Subsidiaries Purchase. For the avoidance of doubt, the UK Subsidiary Stock and the German Subsidiary Stock shall be subject to Permitted Encumbrances at the time of the consummation of the German and UK Subsidiary Purchase. Upon consummation of the Closing, the UK Subsidiary Stock and the German Subsidiary Stock shall be free and clear of all Encumbrances.”</w:t>
      </w:r>
    </w:p>
    <w:p>
      <w:pPr>
        <w:spacing w:after="0" w:line="205" w:lineRule="exact"/>
        <w:rPr>
          <w:sz w:val="20"/>
          <w:szCs w:val="20"/>
          <w:color w:val="auto"/>
        </w:rPr>
      </w:pPr>
    </w:p>
    <w:p>
      <w:pPr>
        <w:ind w:left="1280" w:hanging="624"/>
        <w:spacing w:after="0"/>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Amendment to Section 2.1(e)</w:t>
      </w:r>
      <w:r>
        <w:rPr>
          <w:rFonts w:ascii="Arial" w:cs="Arial" w:eastAsia="Arial" w:hAnsi="Arial"/>
          <w:sz w:val="18"/>
          <w:szCs w:val="18"/>
          <w:color w:val="auto"/>
        </w:rPr>
        <w:t>. Section 2.1(e) of the Agreement is hereby amended in its entirety to read as follows:</w:t>
      </w:r>
    </w:p>
    <w:p>
      <w:pPr>
        <w:spacing w:after="0" w:line="25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“If, following the consummation of the German and UK Subsidiaries Purchase in accordance with </w:t>
      </w:r>
      <w:r>
        <w:rPr>
          <w:rFonts w:ascii="Arial" w:cs="Arial" w:eastAsia="Arial" w:hAnsi="Arial"/>
          <w:sz w:val="16"/>
          <w:szCs w:val="16"/>
          <w:u w:val="single" w:color="auto"/>
          <w:color w:val="auto"/>
        </w:rPr>
        <w:t>Section 2.1(d)</w:t>
      </w:r>
      <w:r>
        <w:rPr>
          <w:rFonts w:ascii="Arial" w:cs="Arial" w:eastAsia="Arial" w:hAnsi="Arial"/>
          <w:sz w:val="16"/>
          <w:szCs w:val="16"/>
          <w:color w:val="auto"/>
        </w:rPr>
        <w:t>, the Closing does not take place for any reason whatsoever, the parties agree that (i) the German Subsidiary Stock and the UK Subsidiary Stock shall be retransferred to the Company and (ii) the German Subsidiary Check and the UK Subsidiary Check shall be cancelled and shall have no force or effect. Each of the Company and the German and UK Subsidiaries Buyer shall take all actions and shall deliver all documents as may be necessary or desirable to evidence such retransfers and cancellations. The German and UK Subsidiaries Buyer further undertakes that it shall pay all taxes and fees incurred in connection with such retransfers and cancellations and that it shall indemnify and hold harmless the Company from and against any and all Losses incurred by the Company arising from or relating to the retransfer of the German Subsidiary Stock and the UK Subsidiary Stock to the Company, except for any such Losses arising from or relating to the failure of any Stockholder or the Company to fulfill any covenant or obligation of such party under this Agreement).”</w:t>
      </w:r>
    </w:p>
    <w:p>
      <w:pPr>
        <w:spacing w:after="0" w:line="193" w:lineRule="exact"/>
        <w:rPr>
          <w:sz w:val="20"/>
          <w:szCs w:val="20"/>
          <w:color w:val="auto"/>
        </w:rPr>
      </w:pPr>
    </w:p>
    <w:p>
      <w:pPr>
        <w:ind w:left="1280" w:hanging="624"/>
        <w:spacing w:after="0"/>
        <w:tabs>
          <w:tab w:leader="none" w:pos="12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Amendment to Section 2.2(a)</w:t>
      </w:r>
      <w:r>
        <w:rPr>
          <w:rFonts w:ascii="Arial" w:cs="Arial" w:eastAsia="Arial" w:hAnsi="Arial"/>
          <w:sz w:val="18"/>
          <w:szCs w:val="18"/>
          <w:color w:val="auto"/>
        </w:rPr>
        <w:t>. Section 2.2(a) of the Agreement is hereby amended in its entirety to read as follows:</w:t>
      </w:r>
    </w:p>
    <w:p>
      <w:pPr>
        <w:spacing w:after="0" w:line="25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purchase and sale of the Shares and of the Convertible Bonds shall take place at a closing (the “</w:t>
      </w:r>
      <w:r>
        <w:rPr>
          <w:rFonts w:ascii="Arial" w:cs="Arial" w:eastAsia="Arial" w:hAnsi="Arial"/>
          <w:sz w:val="18"/>
          <w:szCs w:val="18"/>
          <w:u w:val="single" w:color="auto"/>
          <w:color w:val="auto"/>
        </w:rPr>
        <w:t>Closing</w:t>
      </w:r>
      <w:r>
        <w:rPr>
          <w:rFonts w:ascii="Arial" w:cs="Arial" w:eastAsia="Arial" w:hAnsi="Arial"/>
          <w:sz w:val="18"/>
          <w:szCs w:val="18"/>
          <w:color w:val="auto"/>
        </w:rPr>
        <w:t>”) to be held in Luxembourg at the offices of Loyens Winandy, at 14, rue Edward Steichen, L-2540 Luxembourg, at 10:00 A.M., Luxembourg Time, at the latest on the first Business Day following the 64th day following the date of this Agreement, or at such other place or at such other time or on such other date as the Buyer and the Stockholder Representative mutually may agree in writing, provided that the conditions set forth in this Agreement are met (or waived, as applicable). The day on which the Closing takes place is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215" w:lineRule="exact"/>
        <w:rPr>
          <w:sz w:val="20"/>
          <w:szCs w:val="20"/>
          <w:color w:val="auto"/>
        </w:rPr>
      </w:pPr>
    </w:p>
    <w:p>
      <w:pPr>
        <w:ind w:left="1280" w:hanging="624"/>
        <w:spacing w:after="0"/>
        <w:tabs>
          <w:tab w:leader="none" w:pos="12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Amendment to Section 2.2(d)(v)</w:t>
      </w:r>
      <w:r>
        <w:rPr>
          <w:rFonts w:ascii="Arial" w:cs="Arial" w:eastAsia="Arial" w:hAnsi="Arial"/>
          <w:sz w:val="18"/>
          <w:szCs w:val="18"/>
          <w:color w:val="auto"/>
        </w:rPr>
        <w:t>. Section 2.2(d)(v) of the Agreement is hereby amended in its entirety to read as follows:</w:t>
      </w:r>
    </w:p>
    <w:p>
      <w:pPr>
        <w:spacing w:after="0" w:line="25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“such other documents, in form and substance reasonably satisfactory to the Stockholder Representative, as the Stockholder Representative may reasonably request or as may be otherwise necessary or desirable to evidence and effect the sale, assignment, transfer, conveyance and delivery of the Shares and the Convertible Bonds to the Buyer and the payment of the Purchase Price in accordance with </w:t>
      </w:r>
      <w:r>
        <w:rPr>
          <w:rFonts w:ascii="Arial" w:cs="Arial" w:eastAsia="Arial" w:hAnsi="Arial"/>
          <w:sz w:val="17"/>
          <w:szCs w:val="17"/>
          <w:u w:val="single" w:color="auto"/>
          <w:color w:val="auto"/>
        </w:rPr>
        <w:t>Section 2.1(a)</w:t>
      </w:r>
      <w:r>
        <w:rPr>
          <w:rFonts w:ascii="Arial" w:cs="Arial" w:eastAsia="Arial" w:hAnsi="Arial"/>
          <w:sz w:val="17"/>
          <w:szCs w:val="17"/>
          <w:color w:val="auto"/>
        </w:rPr>
        <w:t>.”</w:t>
      </w:r>
    </w:p>
    <w:p>
      <w:pPr>
        <w:spacing w:after="0" w:line="193" w:lineRule="exact"/>
        <w:rPr>
          <w:sz w:val="20"/>
          <w:szCs w:val="20"/>
          <w:color w:val="auto"/>
        </w:rPr>
      </w:pPr>
    </w:p>
    <w:p>
      <w:pPr>
        <w:ind w:left="1280" w:hanging="624"/>
        <w:spacing w:after="0"/>
        <w:tabs>
          <w:tab w:leader="none" w:pos="12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Amendment to Section 3.6(b).</w:t>
      </w:r>
      <w:r>
        <w:rPr>
          <w:rFonts w:ascii="Arial" w:cs="Arial" w:eastAsia="Arial" w:hAnsi="Arial"/>
          <w:sz w:val="18"/>
          <w:szCs w:val="18"/>
          <w:color w:val="auto"/>
        </w:rPr>
        <w:t xml:space="preserve"> Section 3.6(b) of the Agreement is hereby amended in its entirety to read as follows:</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“As of the date hereof, the Group Indebtedness is €480,600,000 and set forth on </w:t>
      </w:r>
      <w:r>
        <w:rPr>
          <w:rFonts w:ascii="Arial" w:cs="Arial" w:eastAsia="Arial" w:hAnsi="Arial"/>
          <w:sz w:val="18"/>
          <w:szCs w:val="18"/>
          <w:u w:val="single" w:color="auto"/>
          <w:color w:val="auto"/>
        </w:rPr>
        <w:t>Schedule 3.6(b)</w:t>
      </w:r>
      <w:r>
        <w:rPr>
          <w:rFonts w:ascii="Arial" w:cs="Arial" w:eastAsia="Arial" w:hAnsi="Arial"/>
          <w:sz w:val="18"/>
          <w:szCs w:val="18"/>
          <w:color w:val="auto"/>
        </w:rPr>
        <w:t xml:space="preserve"> of the Disclosure Schedules are fair and carefully prepared estimates (which includes the Group Indebtedness’ estimate as of the date hereof), produced by the Company in good faith and reflecting the past business history of the Company, of the amount of Group Indebtedness that will be repaid by the Buyer on behalf of the Company and/or the Subsidiaries of the Company if the Closing Date were on the dates indicated in such schedule.”</w:t>
      </w:r>
    </w:p>
    <w:p>
      <w:pPr>
        <w:spacing w:after="0" w:line="214" w:lineRule="exact"/>
        <w:rPr>
          <w:sz w:val="20"/>
          <w:szCs w:val="20"/>
          <w:color w:val="auto"/>
        </w:rPr>
      </w:pPr>
    </w:p>
    <w:p>
      <w:pPr>
        <w:ind w:left="1280" w:hanging="624"/>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Amendment to Section 5.10.</w:t>
      </w:r>
      <w:r>
        <w:rPr>
          <w:rFonts w:ascii="Arial" w:cs="Arial" w:eastAsia="Arial" w:hAnsi="Arial"/>
          <w:sz w:val="18"/>
          <w:szCs w:val="18"/>
          <w:color w:val="auto"/>
        </w:rPr>
        <w:t xml:space="preserve"> Section 5.10 of the Agreement is hereby amended in its entirety to read as follows:</w:t>
      </w:r>
    </w:p>
    <w:p>
      <w:pPr>
        <w:spacing w:after="0" w:line="252"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“The Company shall have obtained and communicated to the Purchaser on or prior to the Closing a statement from the lenders under the Credit Facilities Agreement listing all Credit Facilities Liens, expressing that the Credit Facilities Liens shall be released at Closing, upon and subject to full repayment to such lenders of the Group Indebtedness, and whereby the lenders undertake to provide all reasonably required assistance for the purpose of making effective such releases.</w:t>
      </w:r>
    </w:p>
    <w:p>
      <w:pPr>
        <w:spacing w:after="0" w:line="21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Subject to the delivery of the above statement, and to the Company's commitment to provide all reasonably required assistance in connection therewith, the Buyer shall be solely responsible of obtaining of the release of the Credit Facilities Liens.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Closing, the Buyer shall, in addition to the payment of the Purchase Price, pay in cash into an account or accounts of or for the benefit of Mizuho Corporate Bank, Ltd. an aggregate amount sufficient to repay the Group Indebtedness with value date (</w:t>
      </w:r>
      <w:r>
        <w:rPr>
          <w:rFonts w:ascii="Arial" w:cs="Arial" w:eastAsia="Arial" w:hAnsi="Arial"/>
          <w:sz w:val="18"/>
          <w:szCs w:val="18"/>
          <w:i w:val="1"/>
          <w:iCs w:val="1"/>
          <w:color w:val="auto"/>
        </w:rPr>
        <w:t>date de valeur</w:t>
      </w:r>
      <w:r>
        <w:rPr>
          <w:rFonts w:ascii="Arial" w:cs="Arial" w:eastAsia="Arial" w:hAnsi="Arial"/>
          <w:sz w:val="18"/>
          <w:szCs w:val="18"/>
          <w:color w:val="auto"/>
        </w:rPr>
        <w:t>) at the Closing Date, in accordance with the terms and conditions of the Credit Facility Agreements.”</w:t>
      </w:r>
    </w:p>
    <w:p>
      <w:pPr>
        <w:spacing w:after="0" w:line="208" w:lineRule="exact"/>
        <w:rPr>
          <w:sz w:val="20"/>
          <w:szCs w:val="20"/>
          <w:color w:val="auto"/>
        </w:rPr>
      </w:pPr>
    </w:p>
    <w:p>
      <w:pPr>
        <w:ind w:left="1280" w:hanging="624"/>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Amendment to Section 6.11.</w:t>
      </w:r>
      <w:r>
        <w:rPr>
          <w:rFonts w:ascii="Arial" w:cs="Arial" w:eastAsia="Arial" w:hAnsi="Arial"/>
          <w:sz w:val="18"/>
          <w:szCs w:val="18"/>
          <w:color w:val="auto"/>
        </w:rPr>
        <w:t xml:space="preserve"> Section 6.11 of the Agreement is hereby amended in its entirety to read as follows:</w:t>
      </w:r>
    </w:p>
    <w:p>
      <w:pPr>
        <w:spacing w:after="0" w:line="2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Buyer shall repay the Group Indebtedness on behalf of the Company and/or the Subsidiaries of the Company at the Closing. The Stockholders shall use commercially reasonable efforts to assist the Company and the Buyer with preparations for prepayments and termination of the Group Indebtedness.”</w:t>
      </w:r>
    </w:p>
    <w:p>
      <w:pPr>
        <w:spacing w:after="0" w:line="208" w:lineRule="exact"/>
        <w:rPr>
          <w:sz w:val="20"/>
          <w:szCs w:val="20"/>
          <w:color w:val="auto"/>
        </w:rPr>
      </w:pPr>
    </w:p>
    <w:p>
      <w:pPr>
        <w:ind w:right="740" w:firstLine="656"/>
        <w:spacing w:after="0" w:line="342" w:lineRule="auto"/>
        <w:tabs>
          <w:tab w:leader="none" w:pos="1368"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Amendment may be executed in two or more counterparts, all of which shall be considered one and the same instrument and shall become effective when one or more counterparts have been signed by each of the parties and delivered to the other party.</w:t>
      </w:r>
    </w:p>
    <w:p>
      <w:pPr>
        <w:spacing w:after="0" w:line="150" w:lineRule="exact"/>
        <w:rPr>
          <w:rFonts w:ascii="Arial" w:cs="Arial" w:eastAsia="Arial" w:hAnsi="Arial"/>
          <w:sz w:val="16"/>
          <w:szCs w:val="16"/>
          <w:color w:val="auto"/>
        </w:rPr>
      </w:pPr>
    </w:p>
    <w:p>
      <w:pPr>
        <w:ind w:right="120" w:firstLine="656"/>
        <w:spacing w:after="0" w:line="277" w:lineRule="auto"/>
        <w:tabs>
          <w:tab w:leader="none" w:pos="136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Continuing Effect of the Agreement.</w:t>
      </w:r>
      <w:r>
        <w:rPr>
          <w:rFonts w:ascii="Arial" w:cs="Arial" w:eastAsia="Arial" w:hAnsi="Arial"/>
          <w:sz w:val="18"/>
          <w:szCs w:val="18"/>
          <w:color w:val="auto"/>
        </w:rPr>
        <w:t xml:space="preserve"> Except for the amendments expressly set forth herein, the Agreement shall continue to be, and shall remain, in full force and effect in accordance with its terms.</w:t>
      </w:r>
    </w:p>
    <w:p>
      <w:pPr>
        <w:sectPr>
          <w:pgSz w:w="11900" w:h="16838" w:orient="portrait"/>
          <w:cols w:equalWidth="0" w:num="1">
            <w:col w:w="11400"/>
          </w:cols>
          <w:pgMar w:left="240" w:top="125" w:right="259" w:bottom="9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973"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color w:val="auto"/>
        </w:rPr>
        <w:t>IN WITNESS WHEREOF, each party has caused this Amendment to be duly executed as of the date first written above.</w:t>
      </w:r>
    </w:p>
    <w:p>
      <w:pPr>
        <w:sectPr>
          <w:pgSz w:w="11900" w:h="16838" w:orient="portrait"/>
          <w:cols w:equalWidth="0" w:num="1">
            <w:col w:w="9559"/>
          </w:cols>
          <w:pgMar w:left="900" w:top="611" w:right="1440" w:bottom="1440" w:gutter="0" w:footer="0" w:header="0"/>
        </w:sectPr>
      </w:pPr>
    </w:p>
    <w:p>
      <w:pPr>
        <w:spacing w:after="0" w:line="271"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ACTARIS METERING SYSTEMS S.A.</w:t>
      </w:r>
    </w:p>
    <w:p>
      <w:pPr>
        <w:spacing w:after="0" w:line="268"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Clermont Matton</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Clermont Matton</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 Administrateur</w:t>
      </w:r>
    </w:p>
    <w:p>
      <w:pPr>
        <w:spacing w:after="0" w:line="200" w:lineRule="exact"/>
        <w:rPr>
          <w:sz w:val="20"/>
          <w:szCs w:val="20"/>
          <w:color w:val="auto"/>
        </w:rPr>
      </w:pPr>
    </w:p>
    <w:p>
      <w:pPr>
        <w:spacing w:after="0" w:line="31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ITRON, INC.</w:t>
      </w:r>
    </w:p>
    <w:p>
      <w:pPr>
        <w:spacing w:after="0" w:line="256"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W. Holleran</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John W. Holleran</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31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LBO FRANCE GESTION SAS,</w:t>
      </w:r>
    </w:p>
    <w:p>
      <w:pPr>
        <w:spacing w:after="0" w:line="200" w:lineRule="exact"/>
        <w:rPr>
          <w:sz w:val="20"/>
          <w:szCs w:val="20"/>
          <w:color w:val="auto"/>
        </w:rPr>
      </w:pPr>
    </w:p>
    <w:p>
      <w:pPr>
        <w:spacing w:after="0" w:line="299" w:lineRule="exact"/>
        <w:rPr>
          <w:sz w:val="20"/>
          <w:szCs w:val="20"/>
          <w:color w:val="auto"/>
        </w:rPr>
      </w:pPr>
    </w:p>
    <w:p>
      <w:pPr>
        <w:ind w:left="3240"/>
        <w:spacing w:after="0"/>
        <w:tabs>
          <w:tab w:leader="none" w:pos="3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Robert Daussun</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Name: Robert Daussun</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9559"/>
          </w:cols>
          <w:pgMar w:left="900" w:top="611" w:right="1440" w:bottom="1440" w:gutter="0" w:footer="0" w:header="0"/>
          <w:type w:val="continuous"/>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$115,000,000 Multicurrency Revolving Credit Facility</w:t>
      </w:r>
    </w:p>
    <w:p>
      <w:pPr>
        <w:spacing w:after="0" w:line="25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$605,100,000 Dollar Term Loan Facility</w:t>
      </w:r>
    </w:p>
    <w:p>
      <w:pPr>
        <w:spacing w:after="0" w:line="25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€335,000,000 Euro Term Loan Facility</w:t>
      </w:r>
    </w:p>
    <w:p>
      <w:pPr>
        <w:spacing w:after="0" w:line="25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£50,000,000 GBP Term Loan Facility</w:t>
      </w:r>
    </w:p>
    <w:p>
      <w:pPr>
        <w:spacing w:after="0" w:line="200" w:lineRule="exact"/>
        <w:rPr>
          <w:sz w:val="20"/>
          <w:szCs w:val="20"/>
          <w:color w:val="auto"/>
        </w:rPr>
      </w:pPr>
    </w:p>
    <w:p>
      <w:pPr>
        <w:spacing w:after="0" w:line="295"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CREDIT AGREEMENT</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dated as of April 18, 2007,</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among</w:t>
      </w:r>
    </w:p>
    <w:p>
      <w:pPr>
        <w:spacing w:after="0" w:line="25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ITRON, INC.,</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as Borrower,</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SUBSIDIARY GUARANTORS PARTY HERETO,</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as Subsidiary Guarantors,</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LENDERS PARTY HERETO</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UBS SECURITIES LLC,</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as Arranger, Bookrunner and Syndication Agent,</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6"/>
          <w:szCs w:val="16"/>
          <w:b w:val="1"/>
          <w:bCs w:val="1"/>
          <w:color w:val="auto"/>
        </w:rPr>
        <w:t>as an Issuing Bank and as Swingline Lender, Administrative Agent and Collateral Agent,</w:t>
      </w:r>
    </w:p>
    <w:p>
      <w:pPr>
        <w:spacing w:after="0" w:line="275"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MIZUHO CORPORATE BANK, LTD.,</w:t>
      </w:r>
    </w:p>
    <w:p>
      <w:pPr>
        <w:spacing w:after="0" w:line="25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as an Issuing Bank and 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855980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1440" w:top="391" w:right="5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7660" w:type="dxa"/>
            <w:vAlign w:val="bottom"/>
          </w:tcPr>
          <w:p>
            <w:pPr>
              <w:jc w:val="center"/>
              <w:ind w:right="1150"/>
              <w:spacing w:after="0"/>
              <w:rPr>
                <w:sz w:val="20"/>
                <w:szCs w:val="20"/>
                <w:color w:val="auto"/>
              </w:rPr>
            </w:pPr>
            <w:r>
              <w:rPr>
                <w:rFonts w:ascii="Arial" w:cs="Arial" w:eastAsia="Arial" w:hAnsi="Arial"/>
                <w:sz w:val="18"/>
                <w:szCs w:val="18"/>
                <w:color w:val="auto"/>
                <w:w w:val="95"/>
              </w:rPr>
              <w:t>TABLE OF CONTENTS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7660" w:type="dxa"/>
            <w:vAlign w:val="bottom"/>
            <w:vMerge w:val="restart"/>
          </w:tcPr>
          <w:p>
            <w:pPr>
              <w:jc w:val="center"/>
              <w:ind w:right="1150"/>
              <w:spacing w:after="0"/>
              <w:rPr>
                <w:sz w:val="20"/>
                <w:szCs w:val="20"/>
                <w:color w:val="auto"/>
              </w:rPr>
            </w:pPr>
            <w:r>
              <w:rPr>
                <w:rFonts w:ascii="Arial" w:cs="Arial" w:eastAsia="Arial" w:hAnsi="Arial"/>
                <w:sz w:val="18"/>
                <w:szCs w:val="18"/>
                <w:color w:val="auto"/>
                <w:w w:val="99"/>
              </w:rPr>
              <w:t>ARTICLE I</w:t>
            </w:r>
          </w:p>
        </w:tc>
        <w:tc>
          <w:tcPr>
            <w:tcW w:w="620" w:type="dxa"/>
            <w:vAlign w:val="bottom"/>
          </w:tcPr>
          <w:p>
            <w:pPr>
              <w:ind w:left="28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76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460" w:type="dxa"/>
            <w:vAlign w:val="bottom"/>
          </w:tcPr>
          <w:p>
            <w:pPr>
              <w:spacing w:after="0"/>
              <w:rPr>
                <w:sz w:val="24"/>
                <w:szCs w:val="24"/>
                <w:color w:val="auto"/>
              </w:rPr>
            </w:pPr>
          </w:p>
        </w:tc>
        <w:tc>
          <w:tcPr>
            <w:tcW w:w="7660" w:type="dxa"/>
            <w:vAlign w:val="bottom"/>
          </w:tcPr>
          <w:p>
            <w:pPr>
              <w:jc w:val="center"/>
              <w:ind w:right="1170"/>
              <w:spacing w:after="0"/>
              <w:rPr>
                <w:sz w:val="20"/>
                <w:szCs w:val="20"/>
                <w:color w:val="auto"/>
              </w:rPr>
            </w:pPr>
            <w:r>
              <w:rPr>
                <w:rFonts w:ascii="Arial" w:cs="Arial" w:eastAsia="Arial" w:hAnsi="Arial"/>
                <w:sz w:val="18"/>
                <w:szCs w:val="18"/>
                <w:color w:val="auto"/>
                <w:w w:val="98"/>
              </w:rPr>
              <w:t>DEFINITIONS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1.01</w:t>
            </w:r>
          </w:p>
        </w:tc>
        <w:tc>
          <w:tcPr>
            <w:tcW w:w="7660" w:type="dxa"/>
            <w:vAlign w:val="bottom"/>
          </w:tcPr>
          <w:p>
            <w:pPr>
              <w:ind w:left="2240"/>
              <w:spacing w:after="0"/>
              <w:rPr>
                <w:sz w:val="20"/>
                <w:szCs w:val="20"/>
                <w:color w:val="auto"/>
              </w:rPr>
            </w:pPr>
            <w:r>
              <w:rPr>
                <w:rFonts w:ascii="Arial" w:cs="Arial" w:eastAsia="Arial" w:hAnsi="Arial"/>
                <w:sz w:val="18"/>
                <w:szCs w:val="18"/>
                <w:color w:val="auto"/>
              </w:rPr>
              <w:t>Defined Terms</w:t>
            </w:r>
          </w:p>
        </w:tc>
        <w:tc>
          <w:tcPr>
            <w:tcW w:w="620" w:type="dxa"/>
            <w:vAlign w:val="bottom"/>
          </w:tcPr>
          <w:p>
            <w:pPr>
              <w:ind w:left="2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1.02</w:t>
            </w:r>
          </w:p>
        </w:tc>
        <w:tc>
          <w:tcPr>
            <w:tcW w:w="7660" w:type="dxa"/>
            <w:vAlign w:val="bottom"/>
          </w:tcPr>
          <w:p>
            <w:pPr>
              <w:ind w:left="2240"/>
              <w:spacing w:after="0"/>
              <w:rPr>
                <w:sz w:val="20"/>
                <w:szCs w:val="20"/>
                <w:color w:val="auto"/>
              </w:rPr>
            </w:pPr>
            <w:r>
              <w:rPr>
                <w:rFonts w:ascii="Arial" w:cs="Arial" w:eastAsia="Arial" w:hAnsi="Arial"/>
                <w:sz w:val="18"/>
                <w:szCs w:val="18"/>
                <w:color w:val="auto"/>
              </w:rPr>
              <w:t>Terms Generally; Alternate Currency Translation</w:t>
            </w:r>
          </w:p>
        </w:tc>
        <w:tc>
          <w:tcPr>
            <w:tcW w:w="620" w:type="dxa"/>
            <w:vAlign w:val="bottom"/>
          </w:tcPr>
          <w:p>
            <w:pPr>
              <w:ind w:left="2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1.03</w:t>
            </w:r>
          </w:p>
        </w:tc>
        <w:tc>
          <w:tcPr>
            <w:tcW w:w="7660" w:type="dxa"/>
            <w:vAlign w:val="bottom"/>
          </w:tcPr>
          <w:p>
            <w:pPr>
              <w:ind w:left="2240"/>
              <w:spacing w:after="0"/>
              <w:rPr>
                <w:sz w:val="20"/>
                <w:szCs w:val="20"/>
                <w:color w:val="auto"/>
              </w:rPr>
            </w:pPr>
            <w:r>
              <w:rPr>
                <w:rFonts w:ascii="Arial" w:cs="Arial" w:eastAsia="Arial" w:hAnsi="Arial"/>
                <w:sz w:val="18"/>
                <w:szCs w:val="18"/>
                <w:color w:val="auto"/>
              </w:rPr>
              <w:t>Accounting Terms; GAAP</w:t>
            </w:r>
          </w:p>
        </w:tc>
        <w:tc>
          <w:tcPr>
            <w:tcW w:w="620" w:type="dxa"/>
            <w:vAlign w:val="bottom"/>
          </w:tcPr>
          <w:p>
            <w:pPr>
              <w:ind w:left="2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Section 1.04</w:t>
            </w:r>
          </w:p>
        </w:tc>
        <w:tc>
          <w:tcPr>
            <w:tcW w:w="7660" w:type="dxa"/>
            <w:vAlign w:val="bottom"/>
          </w:tcPr>
          <w:p>
            <w:pPr>
              <w:ind w:left="2240"/>
              <w:spacing w:after="0"/>
              <w:rPr>
                <w:sz w:val="20"/>
                <w:szCs w:val="20"/>
                <w:color w:val="auto"/>
              </w:rPr>
            </w:pPr>
            <w:r>
              <w:rPr>
                <w:rFonts w:ascii="Arial" w:cs="Arial" w:eastAsia="Arial" w:hAnsi="Arial"/>
                <w:sz w:val="18"/>
                <w:szCs w:val="18"/>
                <w:color w:val="auto"/>
              </w:rPr>
              <w:t>Resolution of Drafting Ambiguities</w:t>
            </w:r>
          </w:p>
        </w:tc>
        <w:tc>
          <w:tcPr>
            <w:tcW w:w="620" w:type="dxa"/>
            <w:vAlign w:val="bottom"/>
          </w:tcPr>
          <w:p>
            <w:pPr>
              <w:ind w:left="2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4"/>
                <w:szCs w:val="24"/>
                <w:color w:val="auto"/>
              </w:rPr>
            </w:pPr>
          </w:p>
        </w:tc>
        <w:tc>
          <w:tcPr>
            <w:tcW w:w="7660" w:type="dxa"/>
            <w:vAlign w:val="bottom"/>
          </w:tcPr>
          <w:p>
            <w:pPr>
              <w:jc w:val="center"/>
              <w:ind w:right="1150"/>
              <w:spacing w:after="0"/>
              <w:rPr>
                <w:sz w:val="20"/>
                <w:szCs w:val="20"/>
                <w:color w:val="auto"/>
              </w:rPr>
            </w:pPr>
            <w:r>
              <w:rPr>
                <w:rFonts w:ascii="Arial" w:cs="Arial" w:eastAsia="Arial" w:hAnsi="Arial"/>
                <w:sz w:val="18"/>
                <w:szCs w:val="18"/>
                <w:color w:val="auto"/>
                <w:w w:val="98"/>
              </w:rPr>
              <w:t>ARTICLE II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460" w:type="dxa"/>
            <w:vAlign w:val="bottom"/>
          </w:tcPr>
          <w:p>
            <w:pPr>
              <w:spacing w:after="0"/>
              <w:rPr>
                <w:sz w:val="24"/>
                <w:szCs w:val="24"/>
                <w:color w:val="auto"/>
              </w:rPr>
            </w:pPr>
          </w:p>
        </w:tc>
        <w:tc>
          <w:tcPr>
            <w:tcW w:w="7660" w:type="dxa"/>
            <w:vAlign w:val="bottom"/>
          </w:tcPr>
          <w:p>
            <w:pPr>
              <w:jc w:val="center"/>
              <w:ind w:right="1150"/>
              <w:spacing w:after="0"/>
              <w:rPr>
                <w:sz w:val="20"/>
                <w:szCs w:val="20"/>
                <w:color w:val="auto"/>
              </w:rPr>
            </w:pPr>
            <w:r>
              <w:rPr>
                <w:rFonts w:ascii="Arial" w:cs="Arial" w:eastAsia="Arial" w:hAnsi="Arial"/>
                <w:sz w:val="18"/>
                <w:szCs w:val="18"/>
                <w:color w:val="auto"/>
                <w:w w:val="94"/>
              </w:rPr>
              <w:t>THE CREDITS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2.01</w:t>
            </w:r>
          </w:p>
        </w:tc>
        <w:tc>
          <w:tcPr>
            <w:tcW w:w="7660" w:type="dxa"/>
            <w:vAlign w:val="bottom"/>
          </w:tcPr>
          <w:p>
            <w:pPr>
              <w:ind w:left="2240"/>
              <w:spacing w:after="0"/>
              <w:rPr>
                <w:sz w:val="20"/>
                <w:szCs w:val="20"/>
                <w:color w:val="auto"/>
              </w:rPr>
            </w:pPr>
            <w:r>
              <w:rPr>
                <w:rFonts w:ascii="Arial" w:cs="Arial" w:eastAsia="Arial" w:hAnsi="Arial"/>
                <w:sz w:val="18"/>
                <w:szCs w:val="18"/>
                <w:color w:val="auto"/>
              </w:rPr>
              <w:t>Commitments</w:t>
            </w:r>
          </w:p>
        </w:tc>
        <w:tc>
          <w:tcPr>
            <w:tcW w:w="620" w:type="dxa"/>
            <w:vAlign w:val="bottom"/>
          </w:tcPr>
          <w:p>
            <w:pPr>
              <w:ind w:left="2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2.02</w:t>
            </w:r>
          </w:p>
        </w:tc>
        <w:tc>
          <w:tcPr>
            <w:tcW w:w="7660" w:type="dxa"/>
            <w:vAlign w:val="bottom"/>
          </w:tcPr>
          <w:p>
            <w:pPr>
              <w:ind w:left="2240"/>
              <w:spacing w:after="0"/>
              <w:rPr>
                <w:sz w:val="20"/>
                <w:szCs w:val="20"/>
                <w:color w:val="auto"/>
              </w:rPr>
            </w:pPr>
            <w:r>
              <w:rPr>
                <w:rFonts w:ascii="Arial" w:cs="Arial" w:eastAsia="Arial" w:hAnsi="Arial"/>
                <w:sz w:val="18"/>
                <w:szCs w:val="18"/>
                <w:color w:val="auto"/>
              </w:rPr>
              <w:t>Loans.</w:t>
            </w:r>
          </w:p>
        </w:tc>
        <w:tc>
          <w:tcPr>
            <w:tcW w:w="620" w:type="dxa"/>
            <w:vAlign w:val="bottom"/>
          </w:tcPr>
          <w:p>
            <w:pPr>
              <w:ind w:left="2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2.03</w:t>
            </w:r>
          </w:p>
        </w:tc>
        <w:tc>
          <w:tcPr>
            <w:tcW w:w="7660" w:type="dxa"/>
            <w:vAlign w:val="bottom"/>
          </w:tcPr>
          <w:p>
            <w:pPr>
              <w:ind w:left="2240"/>
              <w:spacing w:after="0"/>
              <w:rPr>
                <w:sz w:val="20"/>
                <w:szCs w:val="20"/>
                <w:color w:val="auto"/>
              </w:rPr>
            </w:pPr>
            <w:r>
              <w:rPr>
                <w:rFonts w:ascii="Arial" w:cs="Arial" w:eastAsia="Arial" w:hAnsi="Arial"/>
                <w:sz w:val="18"/>
                <w:szCs w:val="18"/>
                <w:color w:val="auto"/>
              </w:rPr>
              <w:t>Borrowing Procedure</w:t>
            </w:r>
          </w:p>
        </w:tc>
        <w:tc>
          <w:tcPr>
            <w:tcW w:w="620" w:type="dxa"/>
            <w:vAlign w:val="bottom"/>
          </w:tcPr>
          <w:p>
            <w:pPr>
              <w:ind w:left="2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2.04</w:t>
            </w:r>
          </w:p>
        </w:tc>
        <w:tc>
          <w:tcPr>
            <w:tcW w:w="7660" w:type="dxa"/>
            <w:vAlign w:val="bottom"/>
          </w:tcPr>
          <w:p>
            <w:pPr>
              <w:ind w:left="2240"/>
              <w:spacing w:after="0"/>
              <w:rPr>
                <w:sz w:val="20"/>
                <w:szCs w:val="20"/>
                <w:color w:val="auto"/>
              </w:rPr>
            </w:pPr>
            <w:r>
              <w:rPr>
                <w:rFonts w:ascii="Arial" w:cs="Arial" w:eastAsia="Arial" w:hAnsi="Arial"/>
                <w:sz w:val="18"/>
                <w:szCs w:val="18"/>
                <w:color w:val="auto"/>
              </w:rPr>
              <w:t>Evidence of Debt; Repayment of Loans.</w:t>
            </w:r>
          </w:p>
        </w:tc>
        <w:tc>
          <w:tcPr>
            <w:tcW w:w="620" w:type="dxa"/>
            <w:vAlign w:val="bottom"/>
          </w:tcPr>
          <w:p>
            <w:pPr>
              <w:ind w:left="2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2.05</w:t>
            </w:r>
          </w:p>
        </w:tc>
        <w:tc>
          <w:tcPr>
            <w:tcW w:w="7660" w:type="dxa"/>
            <w:vAlign w:val="bottom"/>
          </w:tcPr>
          <w:p>
            <w:pPr>
              <w:ind w:left="2240"/>
              <w:spacing w:after="0"/>
              <w:rPr>
                <w:sz w:val="20"/>
                <w:szCs w:val="20"/>
                <w:color w:val="auto"/>
              </w:rPr>
            </w:pPr>
            <w:r>
              <w:rPr>
                <w:rFonts w:ascii="Arial" w:cs="Arial" w:eastAsia="Arial" w:hAnsi="Arial"/>
                <w:sz w:val="18"/>
                <w:szCs w:val="18"/>
                <w:color w:val="auto"/>
              </w:rPr>
              <w:t>Fees.</w:t>
            </w:r>
          </w:p>
        </w:tc>
        <w:tc>
          <w:tcPr>
            <w:tcW w:w="620" w:type="dxa"/>
            <w:vAlign w:val="bottom"/>
          </w:tcPr>
          <w:p>
            <w:pPr>
              <w:ind w:left="2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2.06</w:t>
            </w:r>
          </w:p>
        </w:tc>
        <w:tc>
          <w:tcPr>
            <w:tcW w:w="7660" w:type="dxa"/>
            <w:vAlign w:val="bottom"/>
          </w:tcPr>
          <w:p>
            <w:pPr>
              <w:ind w:left="2240"/>
              <w:spacing w:after="0"/>
              <w:rPr>
                <w:sz w:val="20"/>
                <w:szCs w:val="20"/>
                <w:color w:val="auto"/>
              </w:rPr>
            </w:pPr>
            <w:r>
              <w:rPr>
                <w:rFonts w:ascii="Arial" w:cs="Arial" w:eastAsia="Arial" w:hAnsi="Arial"/>
                <w:sz w:val="18"/>
                <w:szCs w:val="18"/>
                <w:color w:val="auto"/>
              </w:rPr>
              <w:t>Interest on Loans.</w:t>
            </w:r>
          </w:p>
        </w:tc>
        <w:tc>
          <w:tcPr>
            <w:tcW w:w="620" w:type="dxa"/>
            <w:vAlign w:val="bottom"/>
          </w:tcPr>
          <w:p>
            <w:pPr>
              <w:ind w:left="2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2.07</w:t>
            </w:r>
          </w:p>
        </w:tc>
        <w:tc>
          <w:tcPr>
            <w:tcW w:w="7660" w:type="dxa"/>
            <w:vAlign w:val="bottom"/>
          </w:tcPr>
          <w:p>
            <w:pPr>
              <w:ind w:left="2240"/>
              <w:spacing w:after="0"/>
              <w:rPr>
                <w:sz w:val="20"/>
                <w:szCs w:val="20"/>
                <w:color w:val="auto"/>
              </w:rPr>
            </w:pPr>
            <w:r>
              <w:rPr>
                <w:rFonts w:ascii="Arial" w:cs="Arial" w:eastAsia="Arial" w:hAnsi="Arial"/>
                <w:sz w:val="18"/>
                <w:szCs w:val="18"/>
                <w:color w:val="auto"/>
              </w:rPr>
              <w:t>Termination and Reduction of Commitments.</w:t>
            </w:r>
          </w:p>
        </w:tc>
        <w:tc>
          <w:tcPr>
            <w:tcW w:w="620" w:type="dxa"/>
            <w:vAlign w:val="bottom"/>
          </w:tcPr>
          <w:p>
            <w:pPr>
              <w:ind w:left="2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2.08</w:t>
            </w:r>
          </w:p>
        </w:tc>
        <w:tc>
          <w:tcPr>
            <w:tcW w:w="7660" w:type="dxa"/>
            <w:vAlign w:val="bottom"/>
          </w:tcPr>
          <w:p>
            <w:pPr>
              <w:ind w:left="2240"/>
              <w:spacing w:after="0"/>
              <w:rPr>
                <w:sz w:val="20"/>
                <w:szCs w:val="20"/>
                <w:color w:val="auto"/>
              </w:rPr>
            </w:pPr>
            <w:r>
              <w:rPr>
                <w:rFonts w:ascii="Arial" w:cs="Arial" w:eastAsia="Arial" w:hAnsi="Arial"/>
                <w:sz w:val="18"/>
                <w:szCs w:val="18"/>
                <w:color w:val="auto"/>
              </w:rPr>
              <w:t>Interest Elections.</w:t>
            </w:r>
          </w:p>
        </w:tc>
        <w:tc>
          <w:tcPr>
            <w:tcW w:w="620" w:type="dxa"/>
            <w:vAlign w:val="bottom"/>
          </w:tcPr>
          <w:p>
            <w:pPr>
              <w:ind w:left="2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2.09</w:t>
            </w:r>
          </w:p>
        </w:tc>
        <w:tc>
          <w:tcPr>
            <w:tcW w:w="7660" w:type="dxa"/>
            <w:vAlign w:val="bottom"/>
          </w:tcPr>
          <w:p>
            <w:pPr>
              <w:ind w:left="2240"/>
              <w:spacing w:after="0"/>
              <w:rPr>
                <w:sz w:val="20"/>
                <w:szCs w:val="20"/>
                <w:color w:val="auto"/>
              </w:rPr>
            </w:pPr>
            <w:r>
              <w:rPr>
                <w:rFonts w:ascii="Arial" w:cs="Arial" w:eastAsia="Arial" w:hAnsi="Arial"/>
                <w:sz w:val="18"/>
                <w:szCs w:val="18"/>
                <w:color w:val="auto"/>
              </w:rPr>
              <w:t>Amortization of Term Borrowings</w:t>
            </w:r>
          </w:p>
        </w:tc>
        <w:tc>
          <w:tcPr>
            <w:tcW w:w="620" w:type="dxa"/>
            <w:vAlign w:val="bottom"/>
          </w:tcPr>
          <w:p>
            <w:pPr>
              <w:ind w:left="2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2.10</w:t>
            </w:r>
          </w:p>
        </w:tc>
        <w:tc>
          <w:tcPr>
            <w:tcW w:w="7660" w:type="dxa"/>
            <w:vAlign w:val="bottom"/>
          </w:tcPr>
          <w:p>
            <w:pPr>
              <w:ind w:left="2240"/>
              <w:spacing w:after="0"/>
              <w:rPr>
                <w:sz w:val="20"/>
                <w:szCs w:val="20"/>
                <w:color w:val="auto"/>
              </w:rPr>
            </w:pPr>
            <w:r>
              <w:rPr>
                <w:rFonts w:ascii="Arial" w:cs="Arial" w:eastAsia="Arial" w:hAnsi="Arial"/>
                <w:sz w:val="18"/>
                <w:szCs w:val="18"/>
                <w:color w:val="auto"/>
              </w:rPr>
              <w:t>Optional and Mandatory Prepayments of Loans.</w:t>
            </w:r>
          </w:p>
        </w:tc>
        <w:tc>
          <w:tcPr>
            <w:tcW w:w="620" w:type="dxa"/>
            <w:vAlign w:val="bottom"/>
          </w:tcPr>
          <w:p>
            <w:pPr>
              <w:ind w:left="2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2.11</w:t>
            </w:r>
          </w:p>
        </w:tc>
        <w:tc>
          <w:tcPr>
            <w:tcW w:w="7660" w:type="dxa"/>
            <w:vAlign w:val="bottom"/>
          </w:tcPr>
          <w:p>
            <w:pPr>
              <w:ind w:left="2240"/>
              <w:spacing w:after="0"/>
              <w:rPr>
                <w:sz w:val="20"/>
                <w:szCs w:val="20"/>
                <w:color w:val="auto"/>
              </w:rPr>
            </w:pPr>
            <w:r>
              <w:rPr>
                <w:rFonts w:ascii="Arial" w:cs="Arial" w:eastAsia="Arial" w:hAnsi="Arial"/>
                <w:sz w:val="18"/>
                <w:szCs w:val="18"/>
                <w:color w:val="auto"/>
              </w:rPr>
              <w:t>Alternate Rate of Interest</w:t>
            </w:r>
          </w:p>
        </w:tc>
        <w:tc>
          <w:tcPr>
            <w:tcW w:w="620" w:type="dxa"/>
            <w:vAlign w:val="bottom"/>
          </w:tcPr>
          <w:p>
            <w:pPr>
              <w:ind w:left="2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2.12</w:t>
            </w:r>
          </w:p>
        </w:tc>
        <w:tc>
          <w:tcPr>
            <w:tcW w:w="7660" w:type="dxa"/>
            <w:vAlign w:val="bottom"/>
          </w:tcPr>
          <w:p>
            <w:pPr>
              <w:ind w:left="2240"/>
              <w:spacing w:after="0"/>
              <w:rPr>
                <w:sz w:val="20"/>
                <w:szCs w:val="20"/>
                <w:color w:val="auto"/>
              </w:rPr>
            </w:pPr>
            <w:r>
              <w:rPr>
                <w:rFonts w:ascii="Arial" w:cs="Arial" w:eastAsia="Arial" w:hAnsi="Arial"/>
                <w:sz w:val="18"/>
                <w:szCs w:val="18"/>
                <w:color w:val="auto"/>
              </w:rPr>
              <w:t>Yield Protection; Change in Legality</w:t>
            </w:r>
          </w:p>
        </w:tc>
        <w:tc>
          <w:tcPr>
            <w:tcW w:w="620" w:type="dxa"/>
            <w:vAlign w:val="bottom"/>
          </w:tcPr>
          <w:p>
            <w:pPr>
              <w:ind w:left="2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2.13</w:t>
            </w:r>
          </w:p>
        </w:tc>
        <w:tc>
          <w:tcPr>
            <w:tcW w:w="7660" w:type="dxa"/>
            <w:vAlign w:val="bottom"/>
          </w:tcPr>
          <w:p>
            <w:pPr>
              <w:ind w:left="2240"/>
              <w:spacing w:after="0"/>
              <w:rPr>
                <w:sz w:val="20"/>
                <w:szCs w:val="20"/>
                <w:color w:val="auto"/>
              </w:rPr>
            </w:pPr>
            <w:r>
              <w:rPr>
                <w:rFonts w:ascii="Arial" w:cs="Arial" w:eastAsia="Arial" w:hAnsi="Arial"/>
                <w:sz w:val="18"/>
                <w:szCs w:val="18"/>
                <w:color w:val="auto"/>
              </w:rPr>
              <w:t>Breakage Payments</w:t>
            </w:r>
          </w:p>
        </w:tc>
        <w:tc>
          <w:tcPr>
            <w:tcW w:w="620" w:type="dxa"/>
            <w:vAlign w:val="bottom"/>
          </w:tcPr>
          <w:p>
            <w:pPr>
              <w:ind w:left="2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2.14</w:t>
            </w:r>
          </w:p>
        </w:tc>
        <w:tc>
          <w:tcPr>
            <w:tcW w:w="7660" w:type="dxa"/>
            <w:vAlign w:val="bottom"/>
          </w:tcPr>
          <w:p>
            <w:pPr>
              <w:ind w:left="2240"/>
              <w:spacing w:after="0"/>
              <w:rPr>
                <w:sz w:val="20"/>
                <w:szCs w:val="20"/>
                <w:color w:val="auto"/>
              </w:rPr>
            </w:pPr>
            <w:r>
              <w:rPr>
                <w:rFonts w:ascii="Arial" w:cs="Arial" w:eastAsia="Arial" w:hAnsi="Arial"/>
                <w:sz w:val="18"/>
                <w:szCs w:val="18"/>
                <w:color w:val="auto"/>
              </w:rPr>
              <w:t>Payments Generally; Pro Rata Treatment; Sharing of Setoffs</w:t>
            </w:r>
          </w:p>
        </w:tc>
        <w:tc>
          <w:tcPr>
            <w:tcW w:w="620" w:type="dxa"/>
            <w:vAlign w:val="bottom"/>
          </w:tcPr>
          <w:p>
            <w:pPr>
              <w:ind w:left="2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2.15</w:t>
            </w:r>
          </w:p>
        </w:tc>
        <w:tc>
          <w:tcPr>
            <w:tcW w:w="7660" w:type="dxa"/>
            <w:vAlign w:val="bottom"/>
          </w:tcPr>
          <w:p>
            <w:pPr>
              <w:ind w:left="2240"/>
              <w:spacing w:after="0"/>
              <w:rPr>
                <w:sz w:val="20"/>
                <w:szCs w:val="20"/>
                <w:color w:val="auto"/>
              </w:rPr>
            </w:pPr>
            <w:r>
              <w:rPr>
                <w:rFonts w:ascii="Arial" w:cs="Arial" w:eastAsia="Arial" w:hAnsi="Arial"/>
                <w:sz w:val="18"/>
                <w:szCs w:val="18"/>
                <w:color w:val="auto"/>
              </w:rPr>
              <w:t>Taxes</w:t>
            </w:r>
          </w:p>
        </w:tc>
        <w:tc>
          <w:tcPr>
            <w:tcW w:w="620" w:type="dxa"/>
            <w:vAlign w:val="bottom"/>
          </w:tcPr>
          <w:p>
            <w:pPr>
              <w:ind w:left="2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2.16</w:t>
            </w:r>
          </w:p>
        </w:tc>
        <w:tc>
          <w:tcPr>
            <w:tcW w:w="7660" w:type="dxa"/>
            <w:vAlign w:val="bottom"/>
          </w:tcPr>
          <w:p>
            <w:pPr>
              <w:ind w:left="2240"/>
              <w:spacing w:after="0"/>
              <w:rPr>
                <w:sz w:val="20"/>
                <w:szCs w:val="20"/>
                <w:color w:val="auto"/>
              </w:rPr>
            </w:pPr>
            <w:r>
              <w:rPr>
                <w:rFonts w:ascii="Arial" w:cs="Arial" w:eastAsia="Arial" w:hAnsi="Arial"/>
                <w:sz w:val="18"/>
                <w:szCs w:val="18"/>
                <w:color w:val="auto"/>
              </w:rPr>
              <w:t>Mitigation Obligations; Replacement of Lenders</w:t>
            </w:r>
          </w:p>
        </w:tc>
        <w:tc>
          <w:tcPr>
            <w:tcW w:w="620" w:type="dxa"/>
            <w:vAlign w:val="bottom"/>
          </w:tcPr>
          <w:p>
            <w:pPr>
              <w:ind w:left="2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2.17</w:t>
            </w:r>
          </w:p>
        </w:tc>
        <w:tc>
          <w:tcPr>
            <w:tcW w:w="7660" w:type="dxa"/>
            <w:vAlign w:val="bottom"/>
          </w:tcPr>
          <w:p>
            <w:pPr>
              <w:ind w:left="2240"/>
              <w:spacing w:after="0"/>
              <w:rPr>
                <w:sz w:val="20"/>
                <w:szCs w:val="20"/>
                <w:color w:val="auto"/>
              </w:rPr>
            </w:pPr>
            <w:r>
              <w:rPr>
                <w:rFonts w:ascii="Arial" w:cs="Arial" w:eastAsia="Arial" w:hAnsi="Arial"/>
                <w:sz w:val="18"/>
                <w:szCs w:val="18"/>
                <w:color w:val="auto"/>
              </w:rPr>
              <w:t>Swingline Loans</w:t>
            </w:r>
          </w:p>
        </w:tc>
        <w:tc>
          <w:tcPr>
            <w:tcW w:w="620" w:type="dxa"/>
            <w:vAlign w:val="bottom"/>
          </w:tcPr>
          <w:p>
            <w:pPr>
              <w:ind w:left="2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Section 2.18</w:t>
            </w:r>
          </w:p>
        </w:tc>
        <w:tc>
          <w:tcPr>
            <w:tcW w:w="7660" w:type="dxa"/>
            <w:vAlign w:val="bottom"/>
          </w:tcPr>
          <w:p>
            <w:pPr>
              <w:ind w:left="2240"/>
              <w:spacing w:after="0"/>
              <w:rPr>
                <w:sz w:val="20"/>
                <w:szCs w:val="20"/>
                <w:color w:val="auto"/>
              </w:rPr>
            </w:pPr>
            <w:r>
              <w:rPr>
                <w:rFonts w:ascii="Arial" w:cs="Arial" w:eastAsia="Arial" w:hAnsi="Arial"/>
                <w:sz w:val="18"/>
                <w:szCs w:val="18"/>
                <w:color w:val="auto"/>
              </w:rPr>
              <w:t>Letters of Credit</w:t>
            </w:r>
          </w:p>
        </w:tc>
        <w:tc>
          <w:tcPr>
            <w:tcW w:w="620" w:type="dxa"/>
            <w:vAlign w:val="bottom"/>
          </w:tcPr>
          <w:p>
            <w:pPr>
              <w:ind w:left="2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4"/>
                <w:szCs w:val="24"/>
                <w:color w:val="auto"/>
              </w:rPr>
            </w:pPr>
          </w:p>
        </w:tc>
        <w:tc>
          <w:tcPr>
            <w:tcW w:w="7660" w:type="dxa"/>
            <w:vAlign w:val="bottom"/>
          </w:tcPr>
          <w:p>
            <w:pPr>
              <w:jc w:val="center"/>
              <w:ind w:right="1150"/>
              <w:spacing w:after="0"/>
              <w:rPr>
                <w:sz w:val="20"/>
                <w:szCs w:val="20"/>
                <w:color w:val="auto"/>
              </w:rPr>
            </w:pPr>
            <w:r>
              <w:rPr>
                <w:rFonts w:ascii="Arial" w:cs="Arial" w:eastAsia="Arial" w:hAnsi="Arial"/>
                <w:sz w:val="18"/>
                <w:szCs w:val="18"/>
                <w:color w:val="auto"/>
              </w:rPr>
              <w:t>ARTICLE III</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460" w:type="dxa"/>
            <w:vAlign w:val="bottom"/>
          </w:tcPr>
          <w:p>
            <w:pPr>
              <w:spacing w:after="0"/>
              <w:rPr>
                <w:sz w:val="24"/>
                <w:szCs w:val="24"/>
                <w:color w:val="auto"/>
              </w:rPr>
            </w:pPr>
          </w:p>
        </w:tc>
        <w:tc>
          <w:tcPr>
            <w:tcW w:w="7660" w:type="dxa"/>
            <w:vAlign w:val="bottom"/>
          </w:tcPr>
          <w:p>
            <w:pPr>
              <w:jc w:val="center"/>
              <w:ind w:right="1150"/>
              <w:spacing w:after="0"/>
              <w:rPr>
                <w:sz w:val="20"/>
                <w:szCs w:val="20"/>
                <w:color w:val="auto"/>
              </w:rPr>
            </w:pPr>
            <w:r>
              <w:rPr>
                <w:rFonts w:ascii="Arial" w:cs="Arial" w:eastAsia="Arial" w:hAnsi="Arial"/>
                <w:sz w:val="18"/>
                <w:szCs w:val="18"/>
                <w:color w:val="auto"/>
                <w:w w:val="94"/>
              </w:rPr>
              <w:t>REPRESENTATIONS AND WARRANTIES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3.01</w:t>
            </w:r>
          </w:p>
        </w:tc>
        <w:tc>
          <w:tcPr>
            <w:tcW w:w="7660" w:type="dxa"/>
            <w:vAlign w:val="bottom"/>
          </w:tcPr>
          <w:p>
            <w:pPr>
              <w:ind w:left="2240"/>
              <w:spacing w:after="0"/>
              <w:rPr>
                <w:sz w:val="20"/>
                <w:szCs w:val="20"/>
                <w:color w:val="auto"/>
              </w:rPr>
            </w:pPr>
            <w:r>
              <w:rPr>
                <w:rFonts w:ascii="Arial" w:cs="Arial" w:eastAsia="Arial" w:hAnsi="Arial"/>
                <w:sz w:val="18"/>
                <w:szCs w:val="18"/>
                <w:color w:val="auto"/>
              </w:rPr>
              <w:t>Organization; Powers</w:t>
            </w:r>
          </w:p>
        </w:tc>
        <w:tc>
          <w:tcPr>
            <w:tcW w:w="620" w:type="dxa"/>
            <w:vAlign w:val="bottom"/>
          </w:tcPr>
          <w:p>
            <w:pPr>
              <w:ind w:left="2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3.02</w:t>
            </w:r>
          </w:p>
        </w:tc>
        <w:tc>
          <w:tcPr>
            <w:tcW w:w="7660" w:type="dxa"/>
            <w:vAlign w:val="bottom"/>
          </w:tcPr>
          <w:p>
            <w:pPr>
              <w:ind w:left="2240"/>
              <w:spacing w:after="0"/>
              <w:rPr>
                <w:sz w:val="20"/>
                <w:szCs w:val="20"/>
                <w:color w:val="auto"/>
              </w:rPr>
            </w:pPr>
            <w:r>
              <w:rPr>
                <w:rFonts w:ascii="Arial" w:cs="Arial" w:eastAsia="Arial" w:hAnsi="Arial"/>
                <w:sz w:val="18"/>
                <w:szCs w:val="18"/>
                <w:color w:val="auto"/>
              </w:rPr>
              <w:t>Authorization; Enforceability</w:t>
            </w:r>
          </w:p>
        </w:tc>
        <w:tc>
          <w:tcPr>
            <w:tcW w:w="620" w:type="dxa"/>
            <w:vAlign w:val="bottom"/>
          </w:tcPr>
          <w:p>
            <w:pPr>
              <w:ind w:left="2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3.03</w:t>
            </w:r>
          </w:p>
        </w:tc>
        <w:tc>
          <w:tcPr>
            <w:tcW w:w="7660" w:type="dxa"/>
            <w:vAlign w:val="bottom"/>
          </w:tcPr>
          <w:p>
            <w:pPr>
              <w:ind w:left="2240"/>
              <w:spacing w:after="0"/>
              <w:rPr>
                <w:sz w:val="20"/>
                <w:szCs w:val="20"/>
                <w:color w:val="auto"/>
              </w:rPr>
            </w:pPr>
            <w:r>
              <w:rPr>
                <w:rFonts w:ascii="Arial" w:cs="Arial" w:eastAsia="Arial" w:hAnsi="Arial"/>
                <w:sz w:val="18"/>
                <w:szCs w:val="18"/>
                <w:color w:val="auto"/>
              </w:rPr>
              <w:t>No Conflicts</w:t>
            </w:r>
          </w:p>
        </w:tc>
        <w:tc>
          <w:tcPr>
            <w:tcW w:w="620" w:type="dxa"/>
            <w:vAlign w:val="bottom"/>
          </w:tcPr>
          <w:p>
            <w:pPr>
              <w:ind w:left="2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3.04</w:t>
            </w:r>
          </w:p>
        </w:tc>
        <w:tc>
          <w:tcPr>
            <w:tcW w:w="7660" w:type="dxa"/>
            <w:vAlign w:val="bottom"/>
          </w:tcPr>
          <w:p>
            <w:pPr>
              <w:ind w:left="2240"/>
              <w:spacing w:after="0"/>
              <w:rPr>
                <w:sz w:val="20"/>
                <w:szCs w:val="20"/>
                <w:color w:val="auto"/>
              </w:rPr>
            </w:pPr>
            <w:r>
              <w:rPr>
                <w:rFonts w:ascii="Arial" w:cs="Arial" w:eastAsia="Arial" w:hAnsi="Arial"/>
                <w:sz w:val="18"/>
                <w:szCs w:val="18"/>
                <w:color w:val="auto"/>
              </w:rPr>
              <w:t>Financial Statements; Projections</w:t>
            </w:r>
          </w:p>
        </w:tc>
        <w:tc>
          <w:tcPr>
            <w:tcW w:w="620" w:type="dxa"/>
            <w:vAlign w:val="bottom"/>
          </w:tcPr>
          <w:p>
            <w:pPr>
              <w:ind w:left="2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3.05</w:t>
            </w:r>
          </w:p>
        </w:tc>
        <w:tc>
          <w:tcPr>
            <w:tcW w:w="7660" w:type="dxa"/>
            <w:vAlign w:val="bottom"/>
          </w:tcPr>
          <w:p>
            <w:pPr>
              <w:ind w:left="2240"/>
              <w:spacing w:after="0"/>
              <w:rPr>
                <w:sz w:val="20"/>
                <w:szCs w:val="20"/>
                <w:color w:val="auto"/>
              </w:rPr>
            </w:pPr>
            <w:r>
              <w:rPr>
                <w:rFonts w:ascii="Arial" w:cs="Arial" w:eastAsia="Arial" w:hAnsi="Arial"/>
                <w:sz w:val="18"/>
                <w:szCs w:val="18"/>
                <w:color w:val="auto"/>
              </w:rPr>
              <w:t>Properties</w:t>
            </w:r>
          </w:p>
        </w:tc>
        <w:tc>
          <w:tcPr>
            <w:tcW w:w="620" w:type="dxa"/>
            <w:vAlign w:val="bottom"/>
          </w:tcPr>
          <w:p>
            <w:pPr>
              <w:ind w:left="2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3.06</w:t>
            </w:r>
          </w:p>
        </w:tc>
        <w:tc>
          <w:tcPr>
            <w:tcW w:w="7660" w:type="dxa"/>
            <w:vAlign w:val="bottom"/>
          </w:tcPr>
          <w:p>
            <w:pPr>
              <w:ind w:left="2240"/>
              <w:spacing w:after="0"/>
              <w:rPr>
                <w:sz w:val="20"/>
                <w:szCs w:val="20"/>
                <w:color w:val="auto"/>
              </w:rPr>
            </w:pPr>
            <w:r>
              <w:rPr>
                <w:rFonts w:ascii="Arial" w:cs="Arial" w:eastAsia="Arial" w:hAnsi="Arial"/>
                <w:sz w:val="18"/>
                <w:szCs w:val="18"/>
                <w:color w:val="auto"/>
              </w:rPr>
              <w:t>Intellectual Property</w:t>
            </w:r>
          </w:p>
        </w:tc>
        <w:tc>
          <w:tcPr>
            <w:tcW w:w="620" w:type="dxa"/>
            <w:vAlign w:val="bottom"/>
          </w:tcPr>
          <w:p>
            <w:pPr>
              <w:ind w:left="2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3.07</w:t>
            </w:r>
          </w:p>
        </w:tc>
        <w:tc>
          <w:tcPr>
            <w:tcW w:w="7660" w:type="dxa"/>
            <w:vAlign w:val="bottom"/>
          </w:tcPr>
          <w:p>
            <w:pPr>
              <w:ind w:left="2240"/>
              <w:spacing w:after="0"/>
              <w:rPr>
                <w:sz w:val="20"/>
                <w:szCs w:val="20"/>
                <w:color w:val="auto"/>
              </w:rPr>
            </w:pPr>
            <w:r>
              <w:rPr>
                <w:rFonts w:ascii="Arial" w:cs="Arial" w:eastAsia="Arial" w:hAnsi="Arial"/>
                <w:sz w:val="18"/>
                <w:szCs w:val="18"/>
                <w:color w:val="auto"/>
              </w:rPr>
              <w:t>Equity Interests and Subsidiaries</w:t>
            </w:r>
          </w:p>
        </w:tc>
        <w:tc>
          <w:tcPr>
            <w:tcW w:w="620" w:type="dxa"/>
            <w:vAlign w:val="bottom"/>
          </w:tcPr>
          <w:p>
            <w:pPr>
              <w:ind w:left="2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3.08</w:t>
            </w:r>
          </w:p>
        </w:tc>
        <w:tc>
          <w:tcPr>
            <w:tcW w:w="7660" w:type="dxa"/>
            <w:vAlign w:val="bottom"/>
          </w:tcPr>
          <w:p>
            <w:pPr>
              <w:ind w:left="2240"/>
              <w:spacing w:after="0"/>
              <w:rPr>
                <w:sz w:val="20"/>
                <w:szCs w:val="20"/>
                <w:color w:val="auto"/>
              </w:rPr>
            </w:pPr>
            <w:r>
              <w:rPr>
                <w:rFonts w:ascii="Arial" w:cs="Arial" w:eastAsia="Arial" w:hAnsi="Arial"/>
                <w:sz w:val="18"/>
                <w:szCs w:val="18"/>
                <w:color w:val="auto"/>
              </w:rPr>
              <w:t>Litigation; Compliance with Laws</w:t>
            </w:r>
          </w:p>
        </w:tc>
        <w:tc>
          <w:tcPr>
            <w:tcW w:w="620" w:type="dxa"/>
            <w:vAlign w:val="bottom"/>
          </w:tcPr>
          <w:p>
            <w:pPr>
              <w:ind w:left="2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3.09</w:t>
            </w:r>
          </w:p>
        </w:tc>
        <w:tc>
          <w:tcPr>
            <w:tcW w:w="7660" w:type="dxa"/>
            <w:vAlign w:val="bottom"/>
          </w:tcPr>
          <w:p>
            <w:pPr>
              <w:ind w:left="2240"/>
              <w:spacing w:after="0"/>
              <w:rPr>
                <w:sz w:val="20"/>
                <w:szCs w:val="20"/>
                <w:color w:val="auto"/>
              </w:rPr>
            </w:pPr>
            <w:r>
              <w:rPr>
                <w:rFonts w:ascii="Arial" w:cs="Arial" w:eastAsia="Arial" w:hAnsi="Arial"/>
                <w:sz w:val="18"/>
                <w:szCs w:val="18"/>
                <w:color w:val="auto"/>
              </w:rPr>
              <w:t>Agreements</w:t>
            </w:r>
          </w:p>
        </w:tc>
        <w:tc>
          <w:tcPr>
            <w:tcW w:w="620" w:type="dxa"/>
            <w:vAlign w:val="bottom"/>
          </w:tcPr>
          <w:p>
            <w:pPr>
              <w:ind w:left="2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3.10</w:t>
            </w:r>
          </w:p>
        </w:tc>
        <w:tc>
          <w:tcPr>
            <w:tcW w:w="7660" w:type="dxa"/>
            <w:vAlign w:val="bottom"/>
          </w:tcPr>
          <w:p>
            <w:pPr>
              <w:ind w:left="2240"/>
              <w:spacing w:after="0"/>
              <w:rPr>
                <w:sz w:val="20"/>
                <w:szCs w:val="20"/>
                <w:color w:val="auto"/>
              </w:rPr>
            </w:pPr>
            <w:r>
              <w:rPr>
                <w:rFonts w:ascii="Arial" w:cs="Arial" w:eastAsia="Arial" w:hAnsi="Arial"/>
                <w:sz w:val="18"/>
                <w:szCs w:val="18"/>
                <w:color w:val="auto"/>
              </w:rPr>
              <w:t>Federal Reserve Regulations</w:t>
            </w:r>
          </w:p>
        </w:tc>
        <w:tc>
          <w:tcPr>
            <w:tcW w:w="620" w:type="dxa"/>
            <w:vAlign w:val="bottom"/>
          </w:tcPr>
          <w:p>
            <w:pPr>
              <w:ind w:left="2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3.11</w:t>
            </w:r>
          </w:p>
        </w:tc>
        <w:tc>
          <w:tcPr>
            <w:tcW w:w="7660" w:type="dxa"/>
            <w:vAlign w:val="bottom"/>
          </w:tcPr>
          <w:p>
            <w:pPr>
              <w:ind w:left="2240"/>
              <w:spacing w:after="0"/>
              <w:rPr>
                <w:sz w:val="20"/>
                <w:szCs w:val="20"/>
                <w:color w:val="auto"/>
              </w:rPr>
            </w:pPr>
            <w:r>
              <w:rPr>
                <w:rFonts w:ascii="Arial" w:cs="Arial" w:eastAsia="Arial" w:hAnsi="Arial"/>
                <w:sz w:val="18"/>
                <w:szCs w:val="18"/>
                <w:color w:val="auto"/>
              </w:rPr>
              <w:t>Investment Company Act</w:t>
            </w:r>
          </w:p>
        </w:tc>
        <w:tc>
          <w:tcPr>
            <w:tcW w:w="620" w:type="dxa"/>
            <w:vAlign w:val="bottom"/>
          </w:tcPr>
          <w:p>
            <w:pPr>
              <w:ind w:left="2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3.12</w:t>
            </w:r>
          </w:p>
        </w:tc>
        <w:tc>
          <w:tcPr>
            <w:tcW w:w="7660" w:type="dxa"/>
            <w:vAlign w:val="bottom"/>
          </w:tcPr>
          <w:p>
            <w:pPr>
              <w:ind w:left="2240"/>
              <w:spacing w:after="0"/>
              <w:rPr>
                <w:sz w:val="20"/>
                <w:szCs w:val="20"/>
                <w:color w:val="auto"/>
              </w:rPr>
            </w:pPr>
            <w:r>
              <w:rPr>
                <w:rFonts w:ascii="Arial" w:cs="Arial" w:eastAsia="Arial" w:hAnsi="Arial"/>
                <w:sz w:val="18"/>
                <w:szCs w:val="18"/>
                <w:color w:val="auto"/>
              </w:rPr>
              <w:t>Use of Proceeds</w:t>
            </w:r>
          </w:p>
        </w:tc>
        <w:tc>
          <w:tcPr>
            <w:tcW w:w="620" w:type="dxa"/>
            <w:vAlign w:val="bottom"/>
          </w:tcPr>
          <w:p>
            <w:pPr>
              <w:ind w:left="2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3.13</w:t>
            </w:r>
          </w:p>
        </w:tc>
        <w:tc>
          <w:tcPr>
            <w:tcW w:w="7660" w:type="dxa"/>
            <w:vAlign w:val="bottom"/>
          </w:tcPr>
          <w:p>
            <w:pPr>
              <w:ind w:left="2240"/>
              <w:spacing w:after="0"/>
              <w:rPr>
                <w:sz w:val="20"/>
                <w:szCs w:val="20"/>
                <w:color w:val="auto"/>
              </w:rPr>
            </w:pPr>
            <w:r>
              <w:rPr>
                <w:rFonts w:ascii="Arial" w:cs="Arial" w:eastAsia="Arial" w:hAnsi="Arial"/>
                <w:sz w:val="18"/>
                <w:szCs w:val="18"/>
                <w:color w:val="auto"/>
              </w:rPr>
              <w:t>Taxes</w:t>
            </w:r>
          </w:p>
        </w:tc>
        <w:tc>
          <w:tcPr>
            <w:tcW w:w="620" w:type="dxa"/>
            <w:vAlign w:val="bottom"/>
          </w:tcPr>
          <w:p>
            <w:pPr>
              <w:ind w:left="2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3.14</w:t>
            </w:r>
          </w:p>
        </w:tc>
        <w:tc>
          <w:tcPr>
            <w:tcW w:w="7660" w:type="dxa"/>
            <w:vAlign w:val="bottom"/>
          </w:tcPr>
          <w:p>
            <w:pPr>
              <w:ind w:left="2240"/>
              <w:spacing w:after="0"/>
              <w:rPr>
                <w:sz w:val="20"/>
                <w:szCs w:val="20"/>
                <w:color w:val="auto"/>
              </w:rPr>
            </w:pPr>
            <w:r>
              <w:rPr>
                <w:rFonts w:ascii="Arial" w:cs="Arial" w:eastAsia="Arial" w:hAnsi="Arial"/>
                <w:sz w:val="18"/>
                <w:szCs w:val="18"/>
                <w:color w:val="auto"/>
              </w:rPr>
              <w:t>No Material Misstatements</w:t>
            </w:r>
          </w:p>
        </w:tc>
        <w:tc>
          <w:tcPr>
            <w:tcW w:w="620" w:type="dxa"/>
            <w:vAlign w:val="bottom"/>
          </w:tcPr>
          <w:p>
            <w:pPr>
              <w:ind w:left="2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3.15</w:t>
            </w:r>
          </w:p>
        </w:tc>
        <w:tc>
          <w:tcPr>
            <w:tcW w:w="7660" w:type="dxa"/>
            <w:vAlign w:val="bottom"/>
          </w:tcPr>
          <w:p>
            <w:pPr>
              <w:ind w:left="2240"/>
              <w:spacing w:after="0"/>
              <w:rPr>
                <w:sz w:val="20"/>
                <w:szCs w:val="20"/>
                <w:color w:val="auto"/>
              </w:rPr>
            </w:pPr>
            <w:r>
              <w:rPr>
                <w:rFonts w:ascii="Arial" w:cs="Arial" w:eastAsia="Arial" w:hAnsi="Arial"/>
                <w:sz w:val="18"/>
                <w:szCs w:val="18"/>
                <w:color w:val="auto"/>
              </w:rPr>
              <w:t>Labor Matters</w:t>
            </w:r>
          </w:p>
        </w:tc>
        <w:tc>
          <w:tcPr>
            <w:tcW w:w="620" w:type="dxa"/>
            <w:vAlign w:val="bottom"/>
          </w:tcPr>
          <w:p>
            <w:pPr>
              <w:ind w:left="2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3.16</w:t>
            </w:r>
          </w:p>
        </w:tc>
        <w:tc>
          <w:tcPr>
            <w:tcW w:w="7660" w:type="dxa"/>
            <w:vAlign w:val="bottom"/>
          </w:tcPr>
          <w:p>
            <w:pPr>
              <w:ind w:left="2240"/>
              <w:spacing w:after="0"/>
              <w:rPr>
                <w:sz w:val="20"/>
                <w:szCs w:val="20"/>
                <w:color w:val="auto"/>
              </w:rPr>
            </w:pPr>
            <w:r>
              <w:rPr>
                <w:rFonts w:ascii="Arial" w:cs="Arial" w:eastAsia="Arial" w:hAnsi="Arial"/>
                <w:sz w:val="18"/>
                <w:szCs w:val="18"/>
                <w:color w:val="auto"/>
              </w:rPr>
              <w:t>Solvency</w:t>
            </w:r>
          </w:p>
        </w:tc>
        <w:tc>
          <w:tcPr>
            <w:tcW w:w="620" w:type="dxa"/>
            <w:vAlign w:val="bottom"/>
          </w:tcPr>
          <w:p>
            <w:pPr>
              <w:ind w:left="2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3.17</w:t>
            </w:r>
          </w:p>
        </w:tc>
        <w:tc>
          <w:tcPr>
            <w:tcW w:w="7660" w:type="dxa"/>
            <w:vAlign w:val="bottom"/>
          </w:tcPr>
          <w:p>
            <w:pPr>
              <w:ind w:left="2240"/>
              <w:spacing w:after="0"/>
              <w:rPr>
                <w:sz w:val="20"/>
                <w:szCs w:val="20"/>
                <w:color w:val="auto"/>
              </w:rPr>
            </w:pPr>
            <w:r>
              <w:rPr>
                <w:rFonts w:ascii="Arial" w:cs="Arial" w:eastAsia="Arial" w:hAnsi="Arial"/>
                <w:sz w:val="18"/>
                <w:szCs w:val="18"/>
                <w:color w:val="auto"/>
              </w:rPr>
              <w:t>Employee Benefit Plans</w:t>
            </w:r>
          </w:p>
        </w:tc>
        <w:tc>
          <w:tcPr>
            <w:tcW w:w="620" w:type="dxa"/>
            <w:vAlign w:val="bottom"/>
          </w:tcPr>
          <w:p>
            <w:pPr>
              <w:ind w:left="2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3.18</w:t>
            </w:r>
          </w:p>
        </w:tc>
        <w:tc>
          <w:tcPr>
            <w:tcW w:w="7660" w:type="dxa"/>
            <w:vAlign w:val="bottom"/>
          </w:tcPr>
          <w:p>
            <w:pPr>
              <w:ind w:left="2240"/>
              <w:spacing w:after="0"/>
              <w:rPr>
                <w:sz w:val="20"/>
                <w:szCs w:val="20"/>
                <w:color w:val="auto"/>
              </w:rPr>
            </w:pPr>
            <w:r>
              <w:rPr>
                <w:rFonts w:ascii="Arial" w:cs="Arial" w:eastAsia="Arial" w:hAnsi="Arial"/>
                <w:sz w:val="18"/>
                <w:szCs w:val="18"/>
                <w:color w:val="auto"/>
              </w:rPr>
              <w:t>Environmental Matters</w:t>
            </w:r>
          </w:p>
        </w:tc>
        <w:tc>
          <w:tcPr>
            <w:tcW w:w="620" w:type="dxa"/>
            <w:vAlign w:val="bottom"/>
          </w:tcPr>
          <w:p>
            <w:pPr>
              <w:ind w:left="2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3.19</w:t>
            </w:r>
          </w:p>
        </w:tc>
        <w:tc>
          <w:tcPr>
            <w:tcW w:w="7660" w:type="dxa"/>
            <w:vAlign w:val="bottom"/>
          </w:tcPr>
          <w:p>
            <w:pPr>
              <w:ind w:left="2240"/>
              <w:spacing w:after="0"/>
              <w:rPr>
                <w:sz w:val="20"/>
                <w:szCs w:val="20"/>
                <w:color w:val="auto"/>
              </w:rPr>
            </w:pPr>
            <w:r>
              <w:rPr>
                <w:rFonts w:ascii="Arial" w:cs="Arial" w:eastAsia="Arial" w:hAnsi="Arial"/>
                <w:sz w:val="18"/>
                <w:szCs w:val="18"/>
                <w:color w:val="auto"/>
              </w:rPr>
              <w:t>Insurance</w:t>
            </w:r>
          </w:p>
        </w:tc>
        <w:tc>
          <w:tcPr>
            <w:tcW w:w="620" w:type="dxa"/>
            <w:vAlign w:val="bottom"/>
          </w:tcPr>
          <w:p>
            <w:pPr>
              <w:ind w:left="2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3.20</w:t>
            </w:r>
          </w:p>
        </w:tc>
        <w:tc>
          <w:tcPr>
            <w:tcW w:w="7660" w:type="dxa"/>
            <w:vAlign w:val="bottom"/>
          </w:tcPr>
          <w:p>
            <w:pPr>
              <w:ind w:left="2240"/>
              <w:spacing w:after="0"/>
              <w:rPr>
                <w:sz w:val="20"/>
                <w:szCs w:val="20"/>
                <w:color w:val="auto"/>
              </w:rPr>
            </w:pPr>
            <w:r>
              <w:rPr>
                <w:rFonts w:ascii="Arial" w:cs="Arial" w:eastAsia="Arial" w:hAnsi="Arial"/>
                <w:sz w:val="18"/>
                <w:szCs w:val="18"/>
                <w:color w:val="auto"/>
              </w:rPr>
              <w:t>Security Documents</w:t>
            </w:r>
          </w:p>
        </w:tc>
        <w:tc>
          <w:tcPr>
            <w:tcW w:w="620" w:type="dxa"/>
            <w:vAlign w:val="bottom"/>
          </w:tcPr>
          <w:p>
            <w:pPr>
              <w:ind w:left="2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3.21</w:t>
            </w:r>
          </w:p>
        </w:tc>
        <w:tc>
          <w:tcPr>
            <w:tcW w:w="7660" w:type="dxa"/>
            <w:vAlign w:val="bottom"/>
          </w:tcPr>
          <w:p>
            <w:pPr>
              <w:ind w:left="2240"/>
              <w:spacing w:after="0"/>
              <w:rPr>
                <w:sz w:val="20"/>
                <w:szCs w:val="20"/>
                <w:color w:val="auto"/>
              </w:rPr>
            </w:pPr>
            <w:r>
              <w:rPr>
                <w:rFonts w:ascii="Arial" w:cs="Arial" w:eastAsia="Arial" w:hAnsi="Arial"/>
                <w:sz w:val="18"/>
                <w:szCs w:val="18"/>
                <w:color w:val="auto"/>
                <w:w w:val="96"/>
              </w:rPr>
              <w:t>Acquisition Documents; Representations and Warranties in Acquisition</w:t>
            </w:r>
          </w:p>
        </w:tc>
        <w:tc>
          <w:tcPr>
            <w:tcW w:w="620" w:type="dxa"/>
            <w:vAlign w:val="bottom"/>
          </w:tcPr>
          <w:p>
            <w:pPr>
              <w:ind w:left="2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7660" w:type="dxa"/>
            <w:vAlign w:val="bottom"/>
          </w:tcPr>
          <w:p>
            <w:pPr>
              <w:ind w:left="2240"/>
              <w:spacing w:after="0"/>
              <w:rPr>
                <w:sz w:val="20"/>
                <w:szCs w:val="20"/>
                <w:color w:val="auto"/>
              </w:rPr>
            </w:pPr>
            <w:r>
              <w:rPr>
                <w:rFonts w:ascii="Arial" w:cs="Arial" w:eastAsia="Arial" w:hAnsi="Arial"/>
                <w:sz w:val="18"/>
                <w:szCs w:val="18"/>
                <w:color w:val="auto"/>
              </w:rPr>
              <w:t>Agreement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3.22</w:t>
            </w:r>
          </w:p>
        </w:tc>
        <w:tc>
          <w:tcPr>
            <w:tcW w:w="7660" w:type="dxa"/>
            <w:vAlign w:val="bottom"/>
          </w:tcPr>
          <w:p>
            <w:pPr>
              <w:ind w:left="2240"/>
              <w:spacing w:after="0"/>
              <w:rPr>
                <w:sz w:val="20"/>
                <w:szCs w:val="20"/>
                <w:color w:val="auto"/>
              </w:rPr>
            </w:pPr>
            <w:r>
              <w:rPr>
                <w:rFonts w:ascii="Arial" w:cs="Arial" w:eastAsia="Arial" w:hAnsi="Arial"/>
                <w:sz w:val="18"/>
                <w:szCs w:val="18"/>
                <w:color w:val="auto"/>
              </w:rPr>
              <w:t>Anti-Terrorism Law</w:t>
            </w:r>
          </w:p>
        </w:tc>
        <w:tc>
          <w:tcPr>
            <w:tcW w:w="620" w:type="dxa"/>
            <w:vAlign w:val="bottom"/>
          </w:tcPr>
          <w:p>
            <w:pPr>
              <w:ind w:left="2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3.23</w:t>
            </w:r>
          </w:p>
        </w:tc>
        <w:tc>
          <w:tcPr>
            <w:tcW w:w="7660" w:type="dxa"/>
            <w:vAlign w:val="bottom"/>
          </w:tcPr>
          <w:p>
            <w:pPr>
              <w:ind w:left="2240"/>
              <w:spacing w:after="0"/>
              <w:rPr>
                <w:sz w:val="20"/>
                <w:szCs w:val="20"/>
                <w:color w:val="auto"/>
              </w:rPr>
            </w:pPr>
            <w:r>
              <w:rPr>
                <w:rFonts w:ascii="Arial" w:cs="Arial" w:eastAsia="Arial" w:hAnsi="Arial"/>
                <w:sz w:val="18"/>
                <w:szCs w:val="18"/>
                <w:color w:val="auto"/>
                <w:w w:val="99"/>
              </w:rPr>
              <w:t>Subordination of Senior Subordinated Notes and Convertible Senior</w:t>
            </w:r>
          </w:p>
        </w:tc>
        <w:tc>
          <w:tcPr>
            <w:tcW w:w="620" w:type="dxa"/>
            <w:vAlign w:val="bottom"/>
          </w:tcPr>
          <w:p>
            <w:pPr>
              <w:ind w:left="2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7660" w:type="dxa"/>
            <w:vAlign w:val="bottom"/>
          </w:tcPr>
          <w:p>
            <w:pPr>
              <w:ind w:left="2240"/>
              <w:spacing w:after="0"/>
              <w:rPr>
                <w:sz w:val="20"/>
                <w:szCs w:val="20"/>
                <w:color w:val="auto"/>
              </w:rPr>
            </w:pPr>
            <w:r>
              <w:rPr>
                <w:rFonts w:ascii="Arial" w:cs="Arial" w:eastAsia="Arial" w:hAnsi="Arial"/>
                <w:sz w:val="18"/>
                <w:szCs w:val="18"/>
                <w:color w:val="auto"/>
              </w:rPr>
              <w:t>Subordinated Notes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4"/>
                <w:szCs w:val="24"/>
                <w:color w:val="auto"/>
              </w:rPr>
            </w:pPr>
          </w:p>
        </w:tc>
        <w:tc>
          <w:tcPr>
            <w:tcW w:w="7660" w:type="dxa"/>
            <w:vAlign w:val="bottom"/>
          </w:tcPr>
          <w:p>
            <w:pPr>
              <w:jc w:val="center"/>
              <w:ind w:right="1150"/>
              <w:spacing w:after="0"/>
              <w:rPr>
                <w:sz w:val="20"/>
                <w:szCs w:val="20"/>
                <w:color w:val="auto"/>
              </w:rPr>
            </w:pPr>
            <w:r>
              <w:rPr>
                <w:rFonts w:ascii="Arial" w:cs="Arial" w:eastAsia="Arial" w:hAnsi="Arial"/>
                <w:sz w:val="18"/>
                <w:szCs w:val="18"/>
                <w:color w:val="auto"/>
                <w:w w:val="99"/>
              </w:rPr>
              <w:t>ARTICLE IV</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460" w:type="dxa"/>
            <w:vAlign w:val="bottom"/>
          </w:tcPr>
          <w:p>
            <w:pPr>
              <w:spacing w:after="0"/>
              <w:rPr>
                <w:sz w:val="24"/>
                <w:szCs w:val="24"/>
                <w:color w:val="auto"/>
              </w:rPr>
            </w:pPr>
          </w:p>
        </w:tc>
        <w:tc>
          <w:tcPr>
            <w:tcW w:w="7660" w:type="dxa"/>
            <w:vAlign w:val="bottom"/>
          </w:tcPr>
          <w:p>
            <w:pPr>
              <w:jc w:val="center"/>
              <w:ind w:right="1150"/>
              <w:spacing w:after="0"/>
              <w:rPr>
                <w:sz w:val="20"/>
                <w:szCs w:val="20"/>
                <w:color w:val="auto"/>
              </w:rPr>
            </w:pPr>
            <w:r>
              <w:rPr>
                <w:rFonts w:ascii="Arial" w:cs="Arial" w:eastAsia="Arial" w:hAnsi="Arial"/>
                <w:sz w:val="18"/>
                <w:szCs w:val="18"/>
                <w:color w:val="auto"/>
                <w:w w:val="95"/>
              </w:rPr>
              <w:t>CONDITIONS TO CREDIT EXTENSIONS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4.01</w:t>
            </w:r>
          </w:p>
        </w:tc>
        <w:tc>
          <w:tcPr>
            <w:tcW w:w="7660" w:type="dxa"/>
            <w:vAlign w:val="bottom"/>
          </w:tcPr>
          <w:p>
            <w:pPr>
              <w:ind w:left="2240"/>
              <w:spacing w:after="0"/>
              <w:rPr>
                <w:sz w:val="20"/>
                <w:szCs w:val="20"/>
                <w:color w:val="auto"/>
              </w:rPr>
            </w:pPr>
            <w:r>
              <w:rPr>
                <w:rFonts w:ascii="Arial" w:cs="Arial" w:eastAsia="Arial" w:hAnsi="Arial"/>
                <w:sz w:val="18"/>
                <w:szCs w:val="18"/>
                <w:color w:val="auto"/>
              </w:rPr>
              <w:t>Conditions to Initial Credit Extension</w:t>
            </w:r>
          </w:p>
        </w:tc>
        <w:tc>
          <w:tcPr>
            <w:tcW w:w="620" w:type="dxa"/>
            <w:vAlign w:val="bottom"/>
          </w:tcPr>
          <w:p>
            <w:pPr>
              <w:ind w:left="2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Section 4.02</w:t>
            </w:r>
          </w:p>
        </w:tc>
        <w:tc>
          <w:tcPr>
            <w:tcW w:w="7660" w:type="dxa"/>
            <w:vAlign w:val="bottom"/>
          </w:tcPr>
          <w:p>
            <w:pPr>
              <w:ind w:left="2240"/>
              <w:spacing w:after="0"/>
              <w:rPr>
                <w:sz w:val="20"/>
                <w:szCs w:val="20"/>
                <w:color w:val="auto"/>
              </w:rPr>
            </w:pPr>
            <w:r>
              <w:rPr>
                <w:rFonts w:ascii="Arial" w:cs="Arial" w:eastAsia="Arial" w:hAnsi="Arial"/>
                <w:sz w:val="18"/>
                <w:szCs w:val="18"/>
                <w:color w:val="auto"/>
              </w:rPr>
              <w:t>Conditions to All Credit Extensions</w:t>
            </w:r>
          </w:p>
        </w:tc>
        <w:tc>
          <w:tcPr>
            <w:tcW w:w="620" w:type="dxa"/>
            <w:vAlign w:val="bottom"/>
          </w:tcPr>
          <w:p>
            <w:pPr>
              <w:ind w:left="28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4"/>
                <w:szCs w:val="24"/>
                <w:color w:val="auto"/>
              </w:rPr>
            </w:pPr>
          </w:p>
        </w:tc>
        <w:tc>
          <w:tcPr>
            <w:tcW w:w="7660" w:type="dxa"/>
            <w:vAlign w:val="bottom"/>
          </w:tcPr>
          <w:p>
            <w:pPr>
              <w:jc w:val="center"/>
              <w:ind w:right="1150"/>
              <w:spacing w:after="0"/>
              <w:rPr>
                <w:sz w:val="20"/>
                <w:szCs w:val="20"/>
                <w:color w:val="auto"/>
              </w:rPr>
            </w:pPr>
            <w:r>
              <w:rPr>
                <w:rFonts w:ascii="Arial" w:cs="Arial" w:eastAsia="Arial" w:hAnsi="Arial"/>
                <w:sz w:val="18"/>
                <w:szCs w:val="18"/>
                <w:color w:val="auto"/>
              </w:rPr>
              <w:t>ARTICLE V</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460" w:type="dxa"/>
            <w:vAlign w:val="bottom"/>
          </w:tcPr>
          <w:p>
            <w:pPr>
              <w:spacing w:after="0"/>
              <w:rPr>
                <w:sz w:val="24"/>
                <w:szCs w:val="24"/>
                <w:color w:val="auto"/>
              </w:rPr>
            </w:pPr>
          </w:p>
        </w:tc>
        <w:tc>
          <w:tcPr>
            <w:tcW w:w="7660" w:type="dxa"/>
            <w:vAlign w:val="bottom"/>
          </w:tcPr>
          <w:p>
            <w:pPr>
              <w:jc w:val="center"/>
              <w:ind w:right="1150"/>
              <w:spacing w:after="0"/>
              <w:rPr>
                <w:sz w:val="20"/>
                <w:szCs w:val="20"/>
                <w:color w:val="auto"/>
              </w:rPr>
            </w:pPr>
            <w:r>
              <w:rPr>
                <w:rFonts w:ascii="Arial" w:cs="Arial" w:eastAsia="Arial" w:hAnsi="Arial"/>
                <w:sz w:val="18"/>
                <w:szCs w:val="18"/>
                <w:color w:val="auto"/>
                <w:w w:val="99"/>
              </w:rPr>
              <w:t>AFFIRMATIVE COVENANTS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Section 5.01</w:t>
            </w:r>
          </w:p>
        </w:tc>
        <w:tc>
          <w:tcPr>
            <w:tcW w:w="7660" w:type="dxa"/>
            <w:vAlign w:val="bottom"/>
          </w:tcPr>
          <w:p>
            <w:pPr>
              <w:ind w:left="2240"/>
              <w:spacing w:after="0"/>
              <w:rPr>
                <w:sz w:val="20"/>
                <w:szCs w:val="20"/>
                <w:color w:val="auto"/>
              </w:rPr>
            </w:pPr>
            <w:r>
              <w:rPr>
                <w:rFonts w:ascii="Arial" w:cs="Arial" w:eastAsia="Arial" w:hAnsi="Arial"/>
                <w:sz w:val="18"/>
                <w:szCs w:val="18"/>
                <w:color w:val="auto"/>
              </w:rPr>
              <w:t>Financial Statements, Reports, etc</w:t>
            </w:r>
          </w:p>
        </w:tc>
        <w:tc>
          <w:tcPr>
            <w:tcW w:w="620" w:type="dxa"/>
            <w:vAlign w:val="bottom"/>
          </w:tcPr>
          <w:p>
            <w:pPr>
              <w:ind w:left="2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Section 5.02</w:t>
            </w:r>
          </w:p>
        </w:tc>
        <w:tc>
          <w:tcPr>
            <w:tcW w:w="7660" w:type="dxa"/>
            <w:vAlign w:val="bottom"/>
          </w:tcPr>
          <w:p>
            <w:pPr>
              <w:ind w:left="2240"/>
              <w:spacing w:after="0"/>
              <w:rPr>
                <w:sz w:val="20"/>
                <w:szCs w:val="20"/>
                <w:color w:val="auto"/>
              </w:rPr>
            </w:pPr>
            <w:r>
              <w:rPr>
                <w:rFonts w:ascii="Arial" w:cs="Arial" w:eastAsia="Arial" w:hAnsi="Arial"/>
                <w:sz w:val="18"/>
                <w:szCs w:val="18"/>
                <w:color w:val="auto"/>
              </w:rPr>
              <w:t>Litigation and Other Notices</w:t>
            </w:r>
          </w:p>
        </w:tc>
        <w:tc>
          <w:tcPr>
            <w:tcW w:w="620" w:type="dxa"/>
            <w:vAlign w:val="bottom"/>
          </w:tcPr>
          <w:p>
            <w:pPr>
              <w:ind w:left="2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ectPr>
          <w:pgSz w:w="11900" w:h="16838" w:orient="portrait"/>
          <w:cols w:equalWidth="0" w:num="1">
            <w:col w:w="10740"/>
          </w:cols>
          <w:pgMar w:left="240" w:top="611" w:right="919" w:bottom="0" w:gutter="0" w:footer="0" w:header="0"/>
        </w:sectPr>
      </w:pPr>
    </w:p>
    <w:bookmarkStart w:id="50" w:name="page51"/>
    <w:bookmarkEnd w:id="50"/>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5.03</w:t>
            </w:r>
          </w:p>
        </w:tc>
        <w:tc>
          <w:tcPr>
            <w:tcW w:w="8320" w:type="dxa"/>
            <w:vAlign w:val="bottom"/>
          </w:tcPr>
          <w:p>
            <w:pPr>
              <w:ind w:left="2680"/>
              <w:spacing w:after="0"/>
              <w:rPr>
                <w:sz w:val="20"/>
                <w:szCs w:val="20"/>
                <w:color w:val="auto"/>
              </w:rPr>
            </w:pPr>
            <w:r>
              <w:rPr>
                <w:rFonts w:ascii="Arial" w:cs="Arial" w:eastAsia="Arial" w:hAnsi="Arial"/>
                <w:sz w:val="18"/>
                <w:szCs w:val="18"/>
                <w:color w:val="auto"/>
              </w:rPr>
              <w:t>Existence; Businesses and Properties</w:t>
            </w:r>
          </w:p>
        </w:tc>
        <w:tc>
          <w:tcPr>
            <w:tcW w:w="320" w:type="dxa"/>
            <w:vAlign w:val="bottom"/>
          </w:tcPr>
          <w:p>
            <w:pPr>
              <w:ind w:left="60"/>
              <w:spacing w:after="0"/>
              <w:rPr>
                <w:sz w:val="20"/>
                <w:szCs w:val="20"/>
                <w:color w:val="auto"/>
              </w:rPr>
            </w:pPr>
            <w:r>
              <w:rPr>
                <w:rFonts w:ascii="Arial" w:cs="Arial" w:eastAsia="Arial" w:hAnsi="Arial"/>
                <w:sz w:val="18"/>
                <w:szCs w:val="18"/>
                <w:color w:val="auto"/>
              </w:rPr>
              <w:t>86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5.04</w:t>
            </w:r>
          </w:p>
        </w:tc>
        <w:tc>
          <w:tcPr>
            <w:tcW w:w="8320" w:type="dxa"/>
            <w:vAlign w:val="bottom"/>
          </w:tcPr>
          <w:p>
            <w:pPr>
              <w:ind w:left="2680"/>
              <w:spacing w:after="0"/>
              <w:rPr>
                <w:sz w:val="20"/>
                <w:szCs w:val="20"/>
                <w:color w:val="auto"/>
              </w:rPr>
            </w:pPr>
            <w:r>
              <w:rPr>
                <w:rFonts w:ascii="Arial" w:cs="Arial" w:eastAsia="Arial" w:hAnsi="Arial"/>
                <w:sz w:val="18"/>
                <w:szCs w:val="18"/>
                <w:color w:val="auto"/>
              </w:rPr>
              <w:t>Insurance</w:t>
            </w:r>
          </w:p>
        </w:tc>
        <w:tc>
          <w:tcPr>
            <w:tcW w:w="320" w:type="dxa"/>
            <w:vAlign w:val="bottom"/>
          </w:tcPr>
          <w:p>
            <w:pPr>
              <w:ind w:left="60"/>
              <w:spacing w:after="0"/>
              <w:rPr>
                <w:sz w:val="20"/>
                <w:szCs w:val="20"/>
                <w:color w:val="auto"/>
              </w:rPr>
            </w:pPr>
            <w:r>
              <w:rPr>
                <w:rFonts w:ascii="Arial" w:cs="Arial" w:eastAsia="Arial" w:hAnsi="Arial"/>
                <w:sz w:val="18"/>
                <w:szCs w:val="18"/>
                <w:color w:val="auto"/>
              </w:rPr>
              <w:t>87</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5.05</w:t>
            </w:r>
          </w:p>
        </w:tc>
        <w:tc>
          <w:tcPr>
            <w:tcW w:w="8320" w:type="dxa"/>
            <w:vAlign w:val="bottom"/>
          </w:tcPr>
          <w:p>
            <w:pPr>
              <w:ind w:left="2680"/>
              <w:spacing w:after="0"/>
              <w:rPr>
                <w:sz w:val="20"/>
                <w:szCs w:val="20"/>
                <w:color w:val="auto"/>
              </w:rPr>
            </w:pPr>
            <w:r>
              <w:rPr>
                <w:rFonts w:ascii="Arial" w:cs="Arial" w:eastAsia="Arial" w:hAnsi="Arial"/>
                <w:sz w:val="18"/>
                <w:szCs w:val="18"/>
                <w:color w:val="auto"/>
              </w:rPr>
              <w:t>Obligations and Taxes</w:t>
            </w:r>
          </w:p>
        </w:tc>
        <w:tc>
          <w:tcPr>
            <w:tcW w:w="320" w:type="dxa"/>
            <w:vAlign w:val="bottom"/>
          </w:tcPr>
          <w:p>
            <w:pPr>
              <w:ind w:left="60"/>
              <w:spacing w:after="0"/>
              <w:rPr>
                <w:sz w:val="20"/>
                <w:szCs w:val="20"/>
                <w:color w:val="auto"/>
              </w:rPr>
            </w:pPr>
            <w:r>
              <w:rPr>
                <w:rFonts w:ascii="Arial" w:cs="Arial" w:eastAsia="Arial" w:hAnsi="Arial"/>
                <w:sz w:val="18"/>
                <w:szCs w:val="18"/>
                <w:color w:val="auto"/>
              </w:rPr>
              <w:t>88</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5.06</w:t>
            </w:r>
          </w:p>
        </w:tc>
        <w:tc>
          <w:tcPr>
            <w:tcW w:w="8320" w:type="dxa"/>
            <w:vAlign w:val="bottom"/>
          </w:tcPr>
          <w:p>
            <w:pPr>
              <w:ind w:left="2680"/>
              <w:spacing w:after="0"/>
              <w:rPr>
                <w:sz w:val="20"/>
                <w:szCs w:val="20"/>
                <w:color w:val="auto"/>
              </w:rPr>
            </w:pPr>
            <w:r>
              <w:rPr>
                <w:rFonts w:ascii="Arial" w:cs="Arial" w:eastAsia="Arial" w:hAnsi="Arial"/>
                <w:sz w:val="18"/>
                <w:szCs w:val="18"/>
                <w:color w:val="auto"/>
              </w:rPr>
              <w:t>Employee Benefits</w:t>
            </w:r>
          </w:p>
        </w:tc>
        <w:tc>
          <w:tcPr>
            <w:tcW w:w="320" w:type="dxa"/>
            <w:vAlign w:val="bottom"/>
          </w:tcPr>
          <w:p>
            <w:pPr>
              <w:ind w:left="60"/>
              <w:spacing w:after="0"/>
              <w:rPr>
                <w:sz w:val="20"/>
                <w:szCs w:val="20"/>
                <w:color w:val="auto"/>
              </w:rPr>
            </w:pPr>
            <w:r>
              <w:rPr>
                <w:rFonts w:ascii="Arial" w:cs="Arial" w:eastAsia="Arial" w:hAnsi="Arial"/>
                <w:sz w:val="18"/>
                <w:szCs w:val="18"/>
                <w:color w:val="auto"/>
              </w:rPr>
              <w:t>89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5.07</w:t>
            </w:r>
          </w:p>
        </w:tc>
        <w:tc>
          <w:tcPr>
            <w:tcW w:w="8320" w:type="dxa"/>
            <w:vAlign w:val="bottom"/>
          </w:tcPr>
          <w:p>
            <w:pPr>
              <w:ind w:left="2680"/>
              <w:spacing w:after="0"/>
              <w:rPr>
                <w:sz w:val="20"/>
                <w:szCs w:val="20"/>
                <w:color w:val="auto"/>
              </w:rPr>
            </w:pPr>
            <w:r>
              <w:rPr>
                <w:rFonts w:ascii="Arial" w:cs="Arial" w:eastAsia="Arial" w:hAnsi="Arial"/>
                <w:sz w:val="18"/>
                <w:szCs w:val="18"/>
                <w:color w:val="auto"/>
                <w:w w:val="91"/>
              </w:rPr>
              <w:t>Maintaining Records; Access to Properties and Inspections; Annual Meetings</w:t>
            </w:r>
          </w:p>
        </w:tc>
        <w:tc>
          <w:tcPr>
            <w:tcW w:w="320" w:type="dxa"/>
            <w:vAlign w:val="bottom"/>
          </w:tcPr>
          <w:p>
            <w:pPr>
              <w:ind w:left="60"/>
              <w:spacing w:after="0"/>
              <w:rPr>
                <w:sz w:val="20"/>
                <w:szCs w:val="20"/>
                <w:color w:val="auto"/>
              </w:rPr>
            </w:pPr>
            <w:r>
              <w:rPr>
                <w:rFonts w:ascii="Arial" w:cs="Arial" w:eastAsia="Arial" w:hAnsi="Arial"/>
                <w:sz w:val="18"/>
                <w:szCs w:val="18"/>
                <w:color w:val="auto"/>
              </w:rPr>
              <w:t>89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5.08</w:t>
            </w:r>
          </w:p>
        </w:tc>
        <w:tc>
          <w:tcPr>
            <w:tcW w:w="8320" w:type="dxa"/>
            <w:vAlign w:val="bottom"/>
          </w:tcPr>
          <w:p>
            <w:pPr>
              <w:ind w:left="2680"/>
              <w:spacing w:after="0"/>
              <w:rPr>
                <w:sz w:val="20"/>
                <w:szCs w:val="20"/>
                <w:color w:val="auto"/>
              </w:rPr>
            </w:pPr>
            <w:r>
              <w:rPr>
                <w:rFonts w:ascii="Arial" w:cs="Arial" w:eastAsia="Arial" w:hAnsi="Arial"/>
                <w:sz w:val="18"/>
                <w:szCs w:val="18"/>
                <w:color w:val="auto"/>
              </w:rPr>
              <w:t>Use of Proceeds</w:t>
            </w:r>
          </w:p>
        </w:tc>
        <w:tc>
          <w:tcPr>
            <w:tcW w:w="320" w:type="dxa"/>
            <w:vAlign w:val="bottom"/>
          </w:tcPr>
          <w:p>
            <w:pPr>
              <w:ind w:left="60"/>
              <w:spacing w:after="0"/>
              <w:rPr>
                <w:sz w:val="20"/>
                <w:szCs w:val="20"/>
                <w:color w:val="auto"/>
              </w:rPr>
            </w:pPr>
            <w:r>
              <w:rPr>
                <w:rFonts w:ascii="Arial" w:cs="Arial" w:eastAsia="Arial" w:hAnsi="Arial"/>
                <w:sz w:val="18"/>
                <w:szCs w:val="18"/>
                <w:color w:val="auto"/>
              </w:rPr>
              <w:t>90</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5.09</w:t>
            </w:r>
          </w:p>
        </w:tc>
        <w:tc>
          <w:tcPr>
            <w:tcW w:w="8320" w:type="dxa"/>
            <w:vAlign w:val="bottom"/>
          </w:tcPr>
          <w:p>
            <w:pPr>
              <w:ind w:left="2680"/>
              <w:spacing w:after="0"/>
              <w:rPr>
                <w:sz w:val="20"/>
                <w:szCs w:val="20"/>
                <w:color w:val="auto"/>
              </w:rPr>
            </w:pPr>
            <w:r>
              <w:rPr>
                <w:rFonts w:ascii="Arial" w:cs="Arial" w:eastAsia="Arial" w:hAnsi="Arial"/>
                <w:sz w:val="18"/>
                <w:szCs w:val="18"/>
                <w:color w:val="auto"/>
              </w:rPr>
              <w:t>Compliance with Environmental Laws; Environmental Reports</w:t>
            </w:r>
          </w:p>
        </w:tc>
        <w:tc>
          <w:tcPr>
            <w:tcW w:w="320" w:type="dxa"/>
            <w:vAlign w:val="bottom"/>
          </w:tcPr>
          <w:p>
            <w:pPr>
              <w:ind w:left="60"/>
              <w:spacing w:after="0"/>
              <w:rPr>
                <w:sz w:val="20"/>
                <w:szCs w:val="20"/>
                <w:color w:val="auto"/>
              </w:rPr>
            </w:pPr>
            <w:r>
              <w:rPr>
                <w:rFonts w:ascii="Arial" w:cs="Arial" w:eastAsia="Arial" w:hAnsi="Arial"/>
                <w:sz w:val="18"/>
                <w:szCs w:val="18"/>
                <w:color w:val="auto"/>
              </w:rPr>
              <w:t>90</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5.10</w:t>
            </w:r>
          </w:p>
        </w:tc>
        <w:tc>
          <w:tcPr>
            <w:tcW w:w="8320" w:type="dxa"/>
            <w:vAlign w:val="bottom"/>
          </w:tcPr>
          <w:p>
            <w:pPr>
              <w:ind w:left="2680"/>
              <w:spacing w:after="0"/>
              <w:rPr>
                <w:sz w:val="20"/>
                <w:szCs w:val="20"/>
                <w:color w:val="auto"/>
              </w:rPr>
            </w:pPr>
            <w:r>
              <w:rPr>
                <w:rFonts w:ascii="Arial" w:cs="Arial" w:eastAsia="Arial" w:hAnsi="Arial"/>
                <w:sz w:val="18"/>
                <w:szCs w:val="18"/>
                <w:color w:val="auto"/>
              </w:rPr>
              <w:t>Additional Collateral; Additional Subsidiary Guarantors</w:t>
            </w:r>
          </w:p>
        </w:tc>
        <w:tc>
          <w:tcPr>
            <w:tcW w:w="320" w:type="dxa"/>
            <w:vAlign w:val="bottom"/>
          </w:tcPr>
          <w:p>
            <w:pPr>
              <w:ind w:left="60"/>
              <w:spacing w:after="0"/>
              <w:rPr>
                <w:sz w:val="20"/>
                <w:szCs w:val="20"/>
                <w:color w:val="auto"/>
              </w:rPr>
            </w:pPr>
            <w:r>
              <w:rPr>
                <w:rFonts w:ascii="Arial" w:cs="Arial" w:eastAsia="Arial" w:hAnsi="Arial"/>
                <w:sz w:val="18"/>
                <w:szCs w:val="18"/>
                <w:color w:val="auto"/>
              </w:rPr>
              <w:t>90</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5.11</w:t>
            </w:r>
          </w:p>
        </w:tc>
        <w:tc>
          <w:tcPr>
            <w:tcW w:w="8320" w:type="dxa"/>
            <w:vAlign w:val="bottom"/>
          </w:tcPr>
          <w:p>
            <w:pPr>
              <w:ind w:left="2680"/>
              <w:spacing w:after="0"/>
              <w:rPr>
                <w:sz w:val="20"/>
                <w:szCs w:val="20"/>
                <w:color w:val="auto"/>
              </w:rPr>
            </w:pPr>
            <w:r>
              <w:rPr>
                <w:rFonts w:ascii="Arial" w:cs="Arial" w:eastAsia="Arial" w:hAnsi="Arial"/>
                <w:sz w:val="18"/>
                <w:szCs w:val="18"/>
                <w:color w:val="auto"/>
              </w:rPr>
              <w:t>Security Interests; Further Assurances</w:t>
            </w:r>
          </w:p>
        </w:tc>
        <w:tc>
          <w:tcPr>
            <w:tcW w:w="320" w:type="dxa"/>
            <w:vAlign w:val="bottom"/>
          </w:tcPr>
          <w:p>
            <w:pPr>
              <w:ind w:left="60"/>
              <w:spacing w:after="0"/>
              <w:rPr>
                <w:sz w:val="20"/>
                <w:szCs w:val="20"/>
                <w:color w:val="auto"/>
              </w:rPr>
            </w:pPr>
            <w:r>
              <w:rPr>
                <w:rFonts w:ascii="Arial" w:cs="Arial" w:eastAsia="Arial" w:hAnsi="Arial"/>
                <w:sz w:val="18"/>
                <w:szCs w:val="18"/>
                <w:color w:val="auto"/>
              </w:rPr>
              <w:t>92</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5.12</w:t>
            </w:r>
          </w:p>
        </w:tc>
        <w:tc>
          <w:tcPr>
            <w:tcW w:w="8320" w:type="dxa"/>
            <w:vAlign w:val="bottom"/>
          </w:tcPr>
          <w:p>
            <w:pPr>
              <w:ind w:left="2680"/>
              <w:spacing w:after="0"/>
              <w:rPr>
                <w:sz w:val="20"/>
                <w:szCs w:val="20"/>
                <w:color w:val="auto"/>
              </w:rPr>
            </w:pPr>
            <w:r>
              <w:rPr>
                <w:rFonts w:ascii="Arial" w:cs="Arial" w:eastAsia="Arial" w:hAnsi="Arial"/>
                <w:sz w:val="18"/>
                <w:szCs w:val="18"/>
                <w:color w:val="auto"/>
              </w:rPr>
              <w:t>Information Regarding Collateral</w:t>
            </w:r>
          </w:p>
        </w:tc>
        <w:tc>
          <w:tcPr>
            <w:tcW w:w="320" w:type="dxa"/>
            <w:vAlign w:val="bottom"/>
          </w:tcPr>
          <w:p>
            <w:pPr>
              <w:ind w:left="60"/>
              <w:spacing w:after="0"/>
              <w:rPr>
                <w:sz w:val="20"/>
                <w:szCs w:val="20"/>
                <w:color w:val="auto"/>
              </w:rPr>
            </w:pPr>
            <w:r>
              <w:rPr>
                <w:rFonts w:ascii="Arial" w:cs="Arial" w:eastAsia="Arial" w:hAnsi="Arial"/>
                <w:sz w:val="18"/>
                <w:szCs w:val="18"/>
                <w:color w:val="auto"/>
              </w:rPr>
              <w:t>92</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5.13</w:t>
            </w:r>
          </w:p>
        </w:tc>
        <w:tc>
          <w:tcPr>
            <w:tcW w:w="8320" w:type="dxa"/>
            <w:vAlign w:val="bottom"/>
          </w:tcPr>
          <w:p>
            <w:pPr>
              <w:ind w:left="2680"/>
              <w:spacing w:after="0"/>
              <w:rPr>
                <w:sz w:val="20"/>
                <w:szCs w:val="20"/>
                <w:color w:val="auto"/>
              </w:rPr>
            </w:pPr>
            <w:r>
              <w:rPr>
                <w:rFonts w:ascii="Arial" w:cs="Arial" w:eastAsia="Arial" w:hAnsi="Arial"/>
                <w:sz w:val="18"/>
                <w:szCs w:val="18"/>
                <w:color w:val="auto"/>
              </w:rPr>
              <w:t>Post-Closing Covenants</w:t>
            </w:r>
          </w:p>
        </w:tc>
        <w:tc>
          <w:tcPr>
            <w:tcW w:w="320" w:type="dxa"/>
            <w:vAlign w:val="bottom"/>
          </w:tcPr>
          <w:p>
            <w:pPr>
              <w:ind w:left="60"/>
              <w:spacing w:after="0"/>
              <w:rPr>
                <w:sz w:val="20"/>
                <w:szCs w:val="20"/>
                <w:color w:val="auto"/>
              </w:rPr>
            </w:pPr>
            <w:r>
              <w:rPr>
                <w:rFonts w:ascii="Arial" w:cs="Arial" w:eastAsia="Arial" w:hAnsi="Arial"/>
                <w:sz w:val="18"/>
                <w:szCs w:val="18"/>
                <w:color w:val="auto"/>
              </w:rPr>
              <w:t>93</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Section 5.14</w:t>
            </w:r>
          </w:p>
        </w:tc>
        <w:tc>
          <w:tcPr>
            <w:tcW w:w="8320" w:type="dxa"/>
            <w:vAlign w:val="bottom"/>
          </w:tcPr>
          <w:p>
            <w:pPr>
              <w:ind w:left="2680"/>
              <w:spacing w:after="0"/>
              <w:rPr>
                <w:sz w:val="20"/>
                <w:szCs w:val="20"/>
                <w:color w:val="auto"/>
              </w:rPr>
            </w:pPr>
            <w:r>
              <w:rPr>
                <w:rFonts w:ascii="Arial" w:cs="Arial" w:eastAsia="Arial" w:hAnsi="Arial"/>
                <w:sz w:val="18"/>
                <w:szCs w:val="18"/>
                <w:color w:val="auto"/>
              </w:rPr>
              <w:t>Affirmative Covenants with Respect to Leases</w:t>
            </w:r>
          </w:p>
        </w:tc>
        <w:tc>
          <w:tcPr>
            <w:tcW w:w="320" w:type="dxa"/>
            <w:vAlign w:val="bottom"/>
          </w:tcPr>
          <w:p>
            <w:pPr>
              <w:ind w:left="60"/>
              <w:spacing w:after="0"/>
              <w:rPr>
                <w:sz w:val="20"/>
                <w:szCs w:val="20"/>
                <w:color w:val="auto"/>
              </w:rPr>
            </w:pPr>
            <w:r>
              <w:rPr>
                <w:rFonts w:ascii="Arial" w:cs="Arial" w:eastAsia="Arial" w:hAnsi="Arial"/>
                <w:sz w:val="18"/>
                <w:szCs w:val="18"/>
                <w:color w:val="auto"/>
              </w:rPr>
              <w:t>93</w:t>
            </w:r>
          </w:p>
        </w:tc>
      </w:tr>
      <w:tr>
        <w:trPr>
          <w:trHeight w:val="459"/>
        </w:trPr>
        <w:tc>
          <w:tcPr>
            <w:tcW w:w="2020" w:type="dxa"/>
            <w:vAlign w:val="bottom"/>
          </w:tcPr>
          <w:p>
            <w:pPr>
              <w:spacing w:after="0"/>
              <w:rPr>
                <w:sz w:val="24"/>
                <w:szCs w:val="24"/>
                <w:color w:val="auto"/>
              </w:rPr>
            </w:pPr>
          </w:p>
        </w:tc>
        <w:tc>
          <w:tcPr>
            <w:tcW w:w="8320" w:type="dxa"/>
            <w:vAlign w:val="bottom"/>
          </w:tcPr>
          <w:p>
            <w:pPr>
              <w:jc w:val="center"/>
              <w:ind w:right="930"/>
              <w:spacing w:after="0"/>
              <w:rPr>
                <w:sz w:val="20"/>
                <w:szCs w:val="20"/>
                <w:color w:val="auto"/>
              </w:rPr>
            </w:pPr>
            <w:r>
              <w:rPr>
                <w:rFonts w:ascii="Arial" w:cs="Arial" w:eastAsia="Arial" w:hAnsi="Arial"/>
                <w:sz w:val="18"/>
                <w:szCs w:val="18"/>
                <w:color w:val="auto"/>
                <w:w w:val="99"/>
              </w:rPr>
              <w:t>ARTICLE VI</w:t>
            </w:r>
          </w:p>
        </w:tc>
        <w:tc>
          <w:tcPr>
            <w:tcW w:w="320" w:type="dxa"/>
            <w:vAlign w:val="bottom"/>
          </w:tcPr>
          <w:p>
            <w:pPr>
              <w:spacing w:after="0"/>
              <w:rPr>
                <w:sz w:val="24"/>
                <w:szCs w:val="24"/>
                <w:color w:val="auto"/>
              </w:rPr>
            </w:pPr>
          </w:p>
        </w:tc>
      </w:tr>
      <w:tr>
        <w:trPr>
          <w:trHeight w:val="418"/>
        </w:trPr>
        <w:tc>
          <w:tcPr>
            <w:tcW w:w="2020" w:type="dxa"/>
            <w:vAlign w:val="bottom"/>
          </w:tcPr>
          <w:p>
            <w:pPr>
              <w:spacing w:after="0"/>
              <w:rPr>
                <w:sz w:val="24"/>
                <w:szCs w:val="24"/>
                <w:color w:val="auto"/>
              </w:rPr>
            </w:pPr>
          </w:p>
        </w:tc>
        <w:tc>
          <w:tcPr>
            <w:tcW w:w="8320" w:type="dxa"/>
            <w:vAlign w:val="bottom"/>
          </w:tcPr>
          <w:p>
            <w:pPr>
              <w:jc w:val="center"/>
              <w:ind w:right="930"/>
              <w:spacing w:after="0"/>
              <w:rPr>
                <w:sz w:val="20"/>
                <w:szCs w:val="20"/>
                <w:color w:val="auto"/>
              </w:rPr>
            </w:pPr>
            <w:r>
              <w:rPr>
                <w:rFonts w:ascii="Arial" w:cs="Arial" w:eastAsia="Arial" w:hAnsi="Arial"/>
                <w:sz w:val="18"/>
                <w:szCs w:val="18"/>
                <w:color w:val="auto"/>
                <w:w w:val="97"/>
              </w:rPr>
              <w:t>NEGATIVE COVENANTS</w:t>
            </w:r>
          </w:p>
        </w:tc>
        <w:tc>
          <w:tcPr>
            <w:tcW w:w="320" w:type="dxa"/>
            <w:vAlign w:val="bottom"/>
          </w:tcPr>
          <w:p>
            <w:pPr>
              <w:spacing w:after="0"/>
              <w:rPr>
                <w:sz w:val="24"/>
                <w:szCs w:val="24"/>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6.01</w:t>
            </w:r>
          </w:p>
        </w:tc>
        <w:tc>
          <w:tcPr>
            <w:tcW w:w="8320" w:type="dxa"/>
            <w:vAlign w:val="bottom"/>
          </w:tcPr>
          <w:p>
            <w:pPr>
              <w:ind w:left="2680"/>
              <w:spacing w:after="0"/>
              <w:rPr>
                <w:sz w:val="20"/>
                <w:szCs w:val="20"/>
                <w:color w:val="auto"/>
              </w:rPr>
            </w:pPr>
            <w:r>
              <w:rPr>
                <w:rFonts w:ascii="Arial" w:cs="Arial" w:eastAsia="Arial" w:hAnsi="Arial"/>
                <w:sz w:val="18"/>
                <w:szCs w:val="18"/>
                <w:color w:val="auto"/>
              </w:rPr>
              <w:t>Indebtedness</w:t>
            </w:r>
          </w:p>
        </w:tc>
        <w:tc>
          <w:tcPr>
            <w:tcW w:w="320" w:type="dxa"/>
            <w:vAlign w:val="bottom"/>
          </w:tcPr>
          <w:p>
            <w:pPr>
              <w:ind w:left="60"/>
              <w:spacing w:after="0"/>
              <w:rPr>
                <w:sz w:val="20"/>
                <w:szCs w:val="20"/>
                <w:color w:val="auto"/>
              </w:rPr>
            </w:pPr>
            <w:r>
              <w:rPr>
                <w:rFonts w:ascii="Arial" w:cs="Arial" w:eastAsia="Arial" w:hAnsi="Arial"/>
                <w:sz w:val="18"/>
                <w:szCs w:val="18"/>
                <w:color w:val="auto"/>
              </w:rPr>
              <w:t>93</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6.02</w:t>
            </w:r>
          </w:p>
        </w:tc>
        <w:tc>
          <w:tcPr>
            <w:tcW w:w="8320" w:type="dxa"/>
            <w:vAlign w:val="bottom"/>
          </w:tcPr>
          <w:p>
            <w:pPr>
              <w:ind w:left="2680"/>
              <w:spacing w:after="0"/>
              <w:rPr>
                <w:sz w:val="20"/>
                <w:szCs w:val="20"/>
                <w:color w:val="auto"/>
              </w:rPr>
            </w:pPr>
            <w:r>
              <w:rPr>
                <w:rFonts w:ascii="Arial" w:cs="Arial" w:eastAsia="Arial" w:hAnsi="Arial"/>
                <w:sz w:val="18"/>
                <w:szCs w:val="18"/>
                <w:color w:val="auto"/>
              </w:rPr>
              <w:t>Liens</w:t>
            </w:r>
          </w:p>
        </w:tc>
        <w:tc>
          <w:tcPr>
            <w:tcW w:w="320" w:type="dxa"/>
            <w:vAlign w:val="bottom"/>
          </w:tcPr>
          <w:p>
            <w:pPr>
              <w:ind w:left="60"/>
              <w:spacing w:after="0"/>
              <w:rPr>
                <w:sz w:val="20"/>
                <w:szCs w:val="20"/>
                <w:color w:val="auto"/>
              </w:rPr>
            </w:pPr>
            <w:r>
              <w:rPr>
                <w:rFonts w:ascii="Arial" w:cs="Arial" w:eastAsia="Arial" w:hAnsi="Arial"/>
                <w:sz w:val="18"/>
                <w:szCs w:val="18"/>
                <w:color w:val="auto"/>
              </w:rPr>
              <w:t>95</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6.03</w:t>
            </w:r>
          </w:p>
        </w:tc>
        <w:tc>
          <w:tcPr>
            <w:tcW w:w="8320" w:type="dxa"/>
            <w:vAlign w:val="bottom"/>
          </w:tcPr>
          <w:p>
            <w:pPr>
              <w:ind w:left="2680"/>
              <w:spacing w:after="0"/>
              <w:rPr>
                <w:sz w:val="20"/>
                <w:szCs w:val="20"/>
                <w:color w:val="auto"/>
              </w:rPr>
            </w:pPr>
            <w:r>
              <w:rPr>
                <w:rFonts w:ascii="Arial" w:cs="Arial" w:eastAsia="Arial" w:hAnsi="Arial"/>
                <w:sz w:val="18"/>
                <w:szCs w:val="18"/>
                <w:color w:val="auto"/>
              </w:rPr>
              <w:t>Sale and Leaseback Transactions</w:t>
            </w:r>
          </w:p>
        </w:tc>
        <w:tc>
          <w:tcPr>
            <w:tcW w:w="320" w:type="dxa"/>
            <w:vAlign w:val="bottom"/>
          </w:tcPr>
          <w:p>
            <w:pPr>
              <w:ind w:left="60"/>
              <w:spacing w:after="0"/>
              <w:rPr>
                <w:sz w:val="20"/>
                <w:szCs w:val="20"/>
                <w:color w:val="auto"/>
              </w:rPr>
            </w:pPr>
            <w:r>
              <w:rPr>
                <w:rFonts w:ascii="Arial" w:cs="Arial" w:eastAsia="Arial" w:hAnsi="Arial"/>
                <w:sz w:val="18"/>
                <w:szCs w:val="18"/>
                <w:color w:val="auto"/>
              </w:rPr>
              <w:t>98</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6.04</w:t>
            </w:r>
          </w:p>
        </w:tc>
        <w:tc>
          <w:tcPr>
            <w:tcW w:w="8320" w:type="dxa"/>
            <w:vAlign w:val="bottom"/>
          </w:tcPr>
          <w:p>
            <w:pPr>
              <w:ind w:left="2680"/>
              <w:spacing w:after="0"/>
              <w:rPr>
                <w:sz w:val="20"/>
                <w:szCs w:val="20"/>
                <w:color w:val="auto"/>
              </w:rPr>
            </w:pPr>
            <w:r>
              <w:rPr>
                <w:rFonts w:ascii="Arial" w:cs="Arial" w:eastAsia="Arial" w:hAnsi="Arial"/>
                <w:sz w:val="18"/>
                <w:szCs w:val="18"/>
                <w:color w:val="auto"/>
              </w:rPr>
              <w:t>Investments, Loans and Advances</w:t>
            </w:r>
          </w:p>
        </w:tc>
        <w:tc>
          <w:tcPr>
            <w:tcW w:w="320" w:type="dxa"/>
            <w:vAlign w:val="bottom"/>
          </w:tcPr>
          <w:p>
            <w:pPr>
              <w:ind w:left="60"/>
              <w:spacing w:after="0"/>
              <w:rPr>
                <w:sz w:val="20"/>
                <w:szCs w:val="20"/>
                <w:color w:val="auto"/>
              </w:rPr>
            </w:pPr>
            <w:r>
              <w:rPr>
                <w:rFonts w:ascii="Arial" w:cs="Arial" w:eastAsia="Arial" w:hAnsi="Arial"/>
                <w:sz w:val="18"/>
                <w:szCs w:val="18"/>
                <w:color w:val="auto"/>
              </w:rPr>
              <w:t>98</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6.05</w:t>
            </w:r>
          </w:p>
        </w:tc>
        <w:tc>
          <w:tcPr>
            <w:tcW w:w="8320" w:type="dxa"/>
            <w:vAlign w:val="bottom"/>
          </w:tcPr>
          <w:p>
            <w:pPr>
              <w:ind w:left="2680"/>
              <w:spacing w:after="0"/>
              <w:rPr>
                <w:sz w:val="20"/>
                <w:szCs w:val="20"/>
                <w:color w:val="auto"/>
              </w:rPr>
            </w:pPr>
            <w:r>
              <w:rPr>
                <w:rFonts w:ascii="Arial" w:cs="Arial" w:eastAsia="Arial" w:hAnsi="Arial"/>
                <w:sz w:val="18"/>
                <w:szCs w:val="18"/>
                <w:color w:val="auto"/>
              </w:rPr>
              <w:t>Mergers and Consolidations</w:t>
            </w:r>
          </w:p>
        </w:tc>
        <w:tc>
          <w:tcPr>
            <w:tcW w:w="320" w:type="dxa"/>
            <w:vAlign w:val="bottom"/>
          </w:tcPr>
          <w:p>
            <w:pPr>
              <w:ind w:left="60"/>
              <w:spacing w:after="0"/>
              <w:rPr>
                <w:sz w:val="20"/>
                <w:szCs w:val="20"/>
                <w:color w:val="auto"/>
              </w:rPr>
            </w:pPr>
            <w:r>
              <w:rPr>
                <w:rFonts w:ascii="Arial" w:cs="Arial" w:eastAsia="Arial" w:hAnsi="Arial"/>
                <w:sz w:val="18"/>
                <w:szCs w:val="18"/>
                <w:color w:val="auto"/>
              </w:rPr>
              <w:t>99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6.06</w:t>
            </w:r>
          </w:p>
        </w:tc>
        <w:tc>
          <w:tcPr>
            <w:tcW w:w="8320" w:type="dxa"/>
            <w:vAlign w:val="bottom"/>
          </w:tcPr>
          <w:p>
            <w:pPr>
              <w:ind w:left="2680"/>
              <w:spacing w:after="0"/>
              <w:rPr>
                <w:sz w:val="20"/>
                <w:szCs w:val="20"/>
                <w:color w:val="auto"/>
              </w:rPr>
            </w:pPr>
            <w:r>
              <w:rPr>
                <w:rFonts w:ascii="Arial" w:cs="Arial" w:eastAsia="Arial" w:hAnsi="Arial"/>
                <w:sz w:val="18"/>
                <w:szCs w:val="18"/>
                <w:color w:val="auto"/>
              </w:rPr>
              <w:t>Asset Sales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100</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6.07</w:t>
            </w:r>
          </w:p>
        </w:tc>
        <w:tc>
          <w:tcPr>
            <w:tcW w:w="8320" w:type="dxa"/>
            <w:vAlign w:val="bottom"/>
          </w:tcPr>
          <w:p>
            <w:pPr>
              <w:ind w:left="2680"/>
              <w:spacing w:after="0"/>
              <w:rPr>
                <w:sz w:val="20"/>
                <w:szCs w:val="20"/>
                <w:color w:val="auto"/>
              </w:rPr>
            </w:pPr>
            <w:r>
              <w:rPr>
                <w:rFonts w:ascii="Arial" w:cs="Arial" w:eastAsia="Arial" w:hAnsi="Arial"/>
                <w:sz w:val="18"/>
                <w:szCs w:val="18"/>
                <w:color w:val="auto"/>
              </w:rPr>
              <w:t>Acquisitions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100</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6.08</w:t>
            </w:r>
          </w:p>
        </w:tc>
        <w:tc>
          <w:tcPr>
            <w:tcW w:w="8320" w:type="dxa"/>
            <w:vAlign w:val="bottom"/>
          </w:tcPr>
          <w:p>
            <w:pPr>
              <w:ind w:left="2680"/>
              <w:spacing w:after="0"/>
              <w:rPr>
                <w:sz w:val="20"/>
                <w:szCs w:val="20"/>
                <w:color w:val="auto"/>
              </w:rPr>
            </w:pPr>
            <w:r>
              <w:rPr>
                <w:rFonts w:ascii="Arial" w:cs="Arial" w:eastAsia="Arial" w:hAnsi="Arial"/>
                <w:sz w:val="18"/>
                <w:szCs w:val="18"/>
                <w:color w:val="auto"/>
              </w:rPr>
              <w:t>Dividends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101</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6.09</w:t>
            </w:r>
          </w:p>
        </w:tc>
        <w:tc>
          <w:tcPr>
            <w:tcW w:w="8320" w:type="dxa"/>
            <w:vAlign w:val="bottom"/>
          </w:tcPr>
          <w:p>
            <w:pPr>
              <w:ind w:left="2680"/>
              <w:spacing w:after="0"/>
              <w:rPr>
                <w:sz w:val="20"/>
                <w:szCs w:val="20"/>
                <w:color w:val="auto"/>
              </w:rPr>
            </w:pPr>
            <w:r>
              <w:rPr>
                <w:rFonts w:ascii="Arial" w:cs="Arial" w:eastAsia="Arial" w:hAnsi="Arial"/>
                <w:sz w:val="18"/>
                <w:szCs w:val="18"/>
                <w:color w:val="auto"/>
              </w:rPr>
              <w:t>Transactions with Affiliates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102</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6.10</w:t>
            </w:r>
          </w:p>
        </w:tc>
        <w:tc>
          <w:tcPr>
            <w:tcW w:w="8320" w:type="dxa"/>
            <w:vAlign w:val="bottom"/>
          </w:tcPr>
          <w:p>
            <w:pPr>
              <w:ind w:left="2680"/>
              <w:spacing w:after="0"/>
              <w:rPr>
                <w:sz w:val="20"/>
                <w:szCs w:val="20"/>
                <w:color w:val="auto"/>
              </w:rPr>
            </w:pPr>
            <w:r>
              <w:rPr>
                <w:rFonts w:ascii="Arial" w:cs="Arial" w:eastAsia="Arial" w:hAnsi="Arial"/>
                <w:sz w:val="18"/>
                <w:szCs w:val="18"/>
                <w:color w:val="auto"/>
              </w:rPr>
              <w:t>Financial Covenants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102</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6.11</w:t>
            </w:r>
          </w:p>
        </w:tc>
        <w:tc>
          <w:tcPr>
            <w:tcW w:w="8320" w:type="dxa"/>
            <w:vAlign w:val="bottom"/>
          </w:tcPr>
          <w:p>
            <w:pPr>
              <w:ind w:left="2680"/>
              <w:spacing w:after="0"/>
              <w:rPr>
                <w:sz w:val="20"/>
                <w:szCs w:val="20"/>
                <w:color w:val="auto"/>
              </w:rPr>
            </w:pPr>
            <w:r>
              <w:rPr>
                <w:rFonts w:ascii="Arial" w:cs="Arial" w:eastAsia="Arial" w:hAnsi="Arial"/>
                <w:sz w:val="18"/>
                <w:szCs w:val="18"/>
                <w:color w:val="auto"/>
              </w:rPr>
              <w:t>Prepayments of Other Indebtedness; Modifications of Organizational</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104</w:t>
            </w:r>
          </w:p>
        </w:tc>
      </w:tr>
      <w:tr>
        <w:trPr>
          <w:trHeight w:val="216"/>
        </w:trPr>
        <w:tc>
          <w:tcPr>
            <w:tcW w:w="2020" w:type="dxa"/>
            <w:vAlign w:val="bottom"/>
          </w:tcPr>
          <w:p>
            <w:pPr>
              <w:spacing w:after="0"/>
              <w:rPr>
                <w:sz w:val="18"/>
                <w:szCs w:val="18"/>
                <w:color w:val="auto"/>
              </w:rPr>
            </w:pPr>
          </w:p>
        </w:tc>
        <w:tc>
          <w:tcPr>
            <w:tcW w:w="8320" w:type="dxa"/>
            <w:vAlign w:val="bottom"/>
          </w:tcPr>
          <w:p>
            <w:pPr>
              <w:ind w:left="2680"/>
              <w:spacing w:after="0"/>
              <w:rPr>
                <w:sz w:val="20"/>
                <w:szCs w:val="20"/>
                <w:color w:val="auto"/>
              </w:rPr>
            </w:pPr>
            <w:r>
              <w:rPr>
                <w:rFonts w:ascii="Arial" w:cs="Arial" w:eastAsia="Arial" w:hAnsi="Arial"/>
                <w:sz w:val="18"/>
                <w:szCs w:val="18"/>
                <w:color w:val="auto"/>
              </w:rPr>
              <w:t>Documents and Other Documents, etc</w:t>
            </w:r>
          </w:p>
        </w:tc>
        <w:tc>
          <w:tcPr>
            <w:tcW w:w="320" w:type="dxa"/>
            <w:vAlign w:val="bottom"/>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6.12</w:t>
            </w:r>
          </w:p>
        </w:tc>
        <w:tc>
          <w:tcPr>
            <w:tcW w:w="8320" w:type="dxa"/>
            <w:vAlign w:val="bottom"/>
          </w:tcPr>
          <w:p>
            <w:pPr>
              <w:ind w:left="2680"/>
              <w:spacing w:after="0"/>
              <w:rPr>
                <w:sz w:val="20"/>
                <w:szCs w:val="20"/>
                <w:color w:val="auto"/>
              </w:rPr>
            </w:pPr>
            <w:r>
              <w:rPr>
                <w:rFonts w:ascii="Arial" w:cs="Arial" w:eastAsia="Arial" w:hAnsi="Arial"/>
                <w:sz w:val="18"/>
                <w:szCs w:val="18"/>
                <w:color w:val="auto"/>
              </w:rPr>
              <w:t>Limitation on Certain Restrictions on Subsidiaries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105</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6.13</w:t>
            </w:r>
          </w:p>
        </w:tc>
        <w:tc>
          <w:tcPr>
            <w:tcW w:w="8320" w:type="dxa"/>
            <w:vAlign w:val="bottom"/>
          </w:tcPr>
          <w:p>
            <w:pPr>
              <w:ind w:left="2680"/>
              <w:spacing w:after="0"/>
              <w:rPr>
                <w:sz w:val="20"/>
                <w:szCs w:val="20"/>
                <w:color w:val="auto"/>
              </w:rPr>
            </w:pPr>
            <w:r>
              <w:rPr>
                <w:rFonts w:ascii="Arial" w:cs="Arial" w:eastAsia="Arial" w:hAnsi="Arial"/>
                <w:sz w:val="18"/>
                <w:szCs w:val="18"/>
                <w:color w:val="auto"/>
              </w:rPr>
              <w:t>Limitation on Issuance of Capital Stock</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105</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6.14</w:t>
            </w:r>
          </w:p>
        </w:tc>
        <w:tc>
          <w:tcPr>
            <w:tcW w:w="8320" w:type="dxa"/>
            <w:vAlign w:val="bottom"/>
          </w:tcPr>
          <w:p>
            <w:pPr>
              <w:ind w:left="2680"/>
              <w:spacing w:after="0"/>
              <w:rPr>
                <w:sz w:val="20"/>
                <w:szCs w:val="20"/>
                <w:color w:val="auto"/>
              </w:rPr>
            </w:pPr>
            <w:r>
              <w:rPr>
                <w:rFonts w:ascii="Arial" w:cs="Arial" w:eastAsia="Arial" w:hAnsi="Arial"/>
                <w:sz w:val="18"/>
                <w:szCs w:val="18"/>
                <w:color w:val="auto"/>
              </w:rPr>
              <w:t>Limitation on Creation of Subsidiaries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6.15</w:t>
            </w:r>
          </w:p>
        </w:tc>
        <w:tc>
          <w:tcPr>
            <w:tcW w:w="8320" w:type="dxa"/>
            <w:vAlign w:val="bottom"/>
          </w:tcPr>
          <w:p>
            <w:pPr>
              <w:ind w:left="2680"/>
              <w:spacing w:after="0"/>
              <w:rPr>
                <w:sz w:val="20"/>
                <w:szCs w:val="20"/>
                <w:color w:val="auto"/>
              </w:rPr>
            </w:pPr>
            <w:r>
              <w:rPr>
                <w:rFonts w:ascii="Arial" w:cs="Arial" w:eastAsia="Arial" w:hAnsi="Arial"/>
                <w:sz w:val="18"/>
                <w:szCs w:val="18"/>
                <w:color w:val="auto"/>
              </w:rPr>
              <w:t>Business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6.16</w:t>
            </w:r>
          </w:p>
        </w:tc>
        <w:tc>
          <w:tcPr>
            <w:tcW w:w="8320" w:type="dxa"/>
            <w:vAlign w:val="bottom"/>
          </w:tcPr>
          <w:p>
            <w:pPr>
              <w:ind w:left="2680"/>
              <w:spacing w:after="0"/>
              <w:rPr>
                <w:sz w:val="20"/>
                <w:szCs w:val="20"/>
                <w:color w:val="auto"/>
              </w:rPr>
            </w:pPr>
            <w:r>
              <w:rPr>
                <w:rFonts w:ascii="Arial" w:cs="Arial" w:eastAsia="Arial" w:hAnsi="Arial"/>
                <w:sz w:val="18"/>
                <w:szCs w:val="18"/>
                <w:color w:val="auto"/>
              </w:rPr>
              <w:t>Limitation on Accounting Changes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6.17</w:t>
            </w:r>
          </w:p>
        </w:tc>
        <w:tc>
          <w:tcPr>
            <w:tcW w:w="8320" w:type="dxa"/>
            <w:vAlign w:val="bottom"/>
          </w:tcPr>
          <w:p>
            <w:pPr>
              <w:ind w:left="2680"/>
              <w:spacing w:after="0"/>
              <w:rPr>
                <w:sz w:val="20"/>
                <w:szCs w:val="20"/>
                <w:color w:val="auto"/>
              </w:rPr>
            </w:pPr>
            <w:r>
              <w:rPr>
                <w:rFonts w:ascii="Arial" w:cs="Arial" w:eastAsia="Arial" w:hAnsi="Arial"/>
                <w:sz w:val="18"/>
                <w:szCs w:val="18"/>
                <w:color w:val="auto"/>
              </w:rPr>
              <w:t>Fiscal Year</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6.18</w:t>
            </w:r>
          </w:p>
        </w:tc>
        <w:tc>
          <w:tcPr>
            <w:tcW w:w="8320" w:type="dxa"/>
            <w:vAlign w:val="bottom"/>
          </w:tcPr>
          <w:p>
            <w:pPr>
              <w:ind w:left="2680"/>
              <w:spacing w:after="0"/>
              <w:rPr>
                <w:sz w:val="20"/>
                <w:szCs w:val="20"/>
                <w:color w:val="auto"/>
              </w:rPr>
            </w:pPr>
            <w:r>
              <w:rPr>
                <w:rFonts w:ascii="Arial" w:cs="Arial" w:eastAsia="Arial" w:hAnsi="Arial"/>
                <w:sz w:val="18"/>
                <w:szCs w:val="18"/>
                <w:color w:val="auto"/>
              </w:rPr>
              <w:t>No Further Negative Pledge</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6.19</w:t>
            </w:r>
          </w:p>
        </w:tc>
        <w:tc>
          <w:tcPr>
            <w:tcW w:w="8320" w:type="dxa"/>
            <w:vAlign w:val="bottom"/>
          </w:tcPr>
          <w:p>
            <w:pPr>
              <w:ind w:left="2680"/>
              <w:spacing w:after="0"/>
              <w:rPr>
                <w:sz w:val="20"/>
                <w:szCs w:val="20"/>
                <w:color w:val="auto"/>
              </w:rPr>
            </w:pPr>
            <w:r>
              <w:rPr>
                <w:rFonts w:ascii="Arial" w:cs="Arial" w:eastAsia="Arial" w:hAnsi="Arial"/>
                <w:sz w:val="18"/>
                <w:szCs w:val="18"/>
                <w:color w:val="auto"/>
              </w:rPr>
              <w:t>Anti-Terrorism Law; Anti-Money Laundering</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107</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Section 6.20</w:t>
            </w:r>
          </w:p>
        </w:tc>
        <w:tc>
          <w:tcPr>
            <w:tcW w:w="8320" w:type="dxa"/>
            <w:vAlign w:val="bottom"/>
          </w:tcPr>
          <w:p>
            <w:pPr>
              <w:ind w:left="2680"/>
              <w:spacing w:after="0"/>
              <w:rPr>
                <w:sz w:val="20"/>
                <w:szCs w:val="20"/>
                <w:color w:val="auto"/>
              </w:rPr>
            </w:pPr>
            <w:r>
              <w:rPr>
                <w:rFonts w:ascii="Arial" w:cs="Arial" w:eastAsia="Arial" w:hAnsi="Arial"/>
                <w:sz w:val="18"/>
                <w:szCs w:val="18"/>
                <w:color w:val="auto"/>
              </w:rPr>
              <w:t>Embargoed Person</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107</w:t>
            </w:r>
          </w:p>
        </w:tc>
      </w:tr>
      <w:tr>
        <w:trPr>
          <w:trHeight w:val="459"/>
        </w:trPr>
        <w:tc>
          <w:tcPr>
            <w:tcW w:w="2020" w:type="dxa"/>
            <w:vAlign w:val="bottom"/>
          </w:tcPr>
          <w:p>
            <w:pPr>
              <w:spacing w:after="0"/>
              <w:rPr>
                <w:sz w:val="24"/>
                <w:szCs w:val="24"/>
                <w:color w:val="auto"/>
              </w:rPr>
            </w:pPr>
          </w:p>
        </w:tc>
        <w:tc>
          <w:tcPr>
            <w:tcW w:w="8320" w:type="dxa"/>
            <w:vAlign w:val="bottom"/>
          </w:tcPr>
          <w:p>
            <w:pPr>
              <w:jc w:val="center"/>
              <w:ind w:right="930"/>
              <w:spacing w:after="0"/>
              <w:rPr>
                <w:sz w:val="20"/>
                <w:szCs w:val="20"/>
                <w:color w:val="auto"/>
              </w:rPr>
            </w:pPr>
            <w:r>
              <w:rPr>
                <w:rFonts w:ascii="Arial" w:cs="Arial" w:eastAsia="Arial" w:hAnsi="Arial"/>
                <w:sz w:val="18"/>
                <w:szCs w:val="18"/>
                <w:color w:val="auto"/>
              </w:rPr>
              <w:t>ARTICLE VII</w:t>
            </w:r>
          </w:p>
        </w:tc>
        <w:tc>
          <w:tcPr>
            <w:tcW w:w="320" w:type="dxa"/>
            <w:vAlign w:val="bottom"/>
          </w:tcPr>
          <w:p>
            <w:pPr>
              <w:spacing w:after="0"/>
              <w:rPr>
                <w:sz w:val="24"/>
                <w:szCs w:val="24"/>
                <w:color w:val="auto"/>
              </w:rPr>
            </w:pPr>
          </w:p>
        </w:tc>
      </w:tr>
      <w:tr>
        <w:trPr>
          <w:trHeight w:val="418"/>
        </w:trPr>
        <w:tc>
          <w:tcPr>
            <w:tcW w:w="2020" w:type="dxa"/>
            <w:vAlign w:val="bottom"/>
          </w:tcPr>
          <w:p>
            <w:pPr>
              <w:spacing w:after="0"/>
              <w:rPr>
                <w:sz w:val="24"/>
                <w:szCs w:val="24"/>
                <w:color w:val="auto"/>
              </w:rPr>
            </w:pPr>
          </w:p>
        </w:tc>
        <w:tc>
          <w:tcPr>
            <w:tcW w:w="8320" w:type="dxa"/>
            <w:vAlign w:val="bottom"/>
          </w:tcPr>
          <w:p>
            <w:pPr>
              <w:jc w:val="center"/>
              <w:ind w:right="930"/>
              <w:spacing w:after="0"/>
              <w:rPr>
                <w:sz w:val="20"/>
                <w:szCs w:val="20"/>
                <w:color w:val="auto"/>
              </w:rPr>
            </w:pPr>
            <w:r>
              <w:rPr>
                <w:rFonts w:ascii="Arial" w:cs="Arial" w:eastAsia="Arial" w:hAnsi="Arial"/>
                <w:sz w:val="18"/>
                <w:szCs w:val="18"/>
                <w:color w:val="auto"/>
                <w:w w:val="98"/>
              </w:rPr>
              <w:t>GUARANTEE</w:t>
            </w:r>
          </w:p>
        </w:tc>
        <w:tc>
          <w:tcPr>
            <w:tcW w:w="320" w:type="dxa"/>
            <w:vAlign w:val="bottom"/>
          </w:tcPr>
          <w:p>
            <w:pPr>
              <w:spacing w:after="0"/>
              <w:rPr>
                <w:sz w:val="24"/>
                <w:szCs w:val="24"/>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7.01</w:t>
            </w:r>
          </w:p>
        </w:tc>
        <w:tc>
          <w:tcPr>
            <w:tcW w:w="8320" w:type="dxa"/>
            <w:vAlign w:val="bottom"/>
          </w:tcPr>
          <w:p>
            <w:pPr>
              <w:ind w:left="2680"/>
              <w:spacing w:after="0"/>
              <w:rPr>
                <w:sz w:val="20"/>
                <w:szCs w:val="20"/>
                <w:color w:val="auto"/>
              </w:rPr>
            </w:pPr>
            <w:r>
              <w:rPr>
                <w:rFonts w:ascii="Arial" w:cs="Arial" w:eastAsia="Arial" w:hAnsi="Arial"/>
                <w:sz w:val="18"/>
                <w:szCs w:val="18"/>
                <w:color w:val="auto"/>
              </w:rPr>
              <w:t>The Guarantee</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107</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7.02</w:t>
            </w:r>
          </w:p>
        </w:tc>
        <w:tc>
          <w:tcPr>
            <w:tcW w:w="8320" w:type="dxa"/>
            <w:vAlign w:val="bottom"/>
          </w:tcPr>
          <w:p>
            <w:pPr>
              <w:ind w:left="2680"/>
              <w:spacing w:after="0"/>
              <w:rPr>
                <w:sz w:val="20"/>
                <w:szCs w:val="20"/>
                <w:color w:val="auto"/>
              </w:rPr>
            </w:pPr>
            <w:r>
              <w:rPr>
                <w:rFonts w:ascii="Arial" w:cs="Arial" w:eastAsia="Arial" w:hAnsi="Arial"/>
                <w:sz w:val="18"/>
                <w:szCs w:val="18"/>
                <w:color w:val="auto"/>
              </w:rPr>
              <w:t>Obligations Unconditional</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108</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7.03</w:t>
            </w:r>
          </w:p>
        </w:tc>
        <w:tc>
          <w:tcPr>
            <w:tcW w:w="8320" w:type="dxa"/>
            <w:vAlign w:val="bottom"/>
          </w:tcPr>
          <w:p>
            <w:pPr>
              <w:ind w:left="2680"/>
              <w:spacing w:after="0"/>
              <w:rPr>
                <w:sz w:val="20"/>
                <w:szCs w:val="20"/>
                <w:color w:val="auto"/>
              </w:rPr>
            </w:pPr>
            <w:r>
              <w:rPr>
                <w:rFonts w:ascii="Arial" w:cs="Arial" w:eastAsia="Arial" w:hAnsi="Arial"/>
                <w:sz w:val="18"/>
                <w:szCs w:val="18"/>
                <w:color w:val="auto"/>
              </w:rPr>
              <w:t>Reinstatement</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7.04</w:t>
            </w:r>
          </w:p>
        </w:tc>
        <w:tc>
          <w:tcPr>
            <w:tcW w:w="8320" w:type="dxa"/>
            <w:vAlign w:val="bottom"/>
          </w:tcPr>
          <w:p>
            <w:pPr>
              <w:ind w:left="2680"/>
              <w:spacing w:after="0"/>
              <w:rPr>
                <w:sz w:val="20"/>
                <w:szCs w:val="20"/>
                <w:color w:val="auto"/>
              </w:rPr>
            </w:pPr>
            <w:r>
              <w:rPr>
                <w:rFonts w:ascii="Arial" w:cs="Arial" w:eastAsia="Arial" w:hAnsi="Arial"/>
                <w:sz w:val="18"/>
                <w:szCs w:val="18"/>
                <w:color w:val="auto"/>
              </w:rPr>
              <w:t>Subrogation; Subordination</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7.05</w:t>
            </w:r>
          </w:p>
        </w:tc>
        <w:tc>
          <w:tcPr>
            <w:tcW w:w="8320" w:type="dxa"/>
            <w:vAlign w:val="bottom"/>
          </w:tcPr>
          <w:p>
            <w:pPr>
              <w:ind w:left="2680"/>
              <w:spacing w:after="0"/>
              <w:rPr>
                <w:sz w:val="20"/>
                <w:szCs w:val="20"/>
                <w:color w:val="auto"/>
              </w:rPr>
            </w:pPr>
            <w:r>
              <w:rPr>
                <w:rFonts w:ascii="Arial" w:cs="Arial" w:eastAsia="Arial" w:hAnsi="Arial"/>
                <w:sz w:val="18"/>
                <w:szCs w:val="18"/>
                <w:color w:val="auto"/>
              </w:rPr>
              <w:t>Remedies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7.06</w:t>
            </w:r>
          </w:p>
        </w:tc>
        <w:tc>
          <w:tcPr>
            <w:tcW w:w="8320" w:type="dxa"/>
            <w:vAlign w:val="bottom"/>
          </w:tcPr>
          <w:p>
            <w:pPr>
              <w:ind w:left="2680"/>
              <w:spacing w:after="0"/>
              <w:rPr>
                <w:sz w:val="20"/>
                <w:szCs w:val="20"/>
                <w:color w:val="auto"/>
              </w:rPr>
            </w:pPr>
            <w:r>
              <w:rPr>
                <w:rFonts w:ascii="Arial" w:cs="Arial" w:eastAsia="Arial" w:hAnsi="Arial"/>
                <w:sz w:val="18"/>
                <w:szCs w:val="18"/>
                <w:color w:val="auto"/>
              </w:rPr>
              <w:t>Instrument for the Payment of Money</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7.07</w:t>
            </w:r>
          </w:p>
        </w:tc>
        <w:tc>
          <w:tcPr>
            <w:tcW w:w="8320" w:type="dxa"/>
            <w:vAlign w:val="bottom"/>
          </w:tcPr>
          <w:p>
            <w:pPr>
              <w:ind w:left="2680"/>
              <w:spacing w:after="0"/>
              <w:rPr>
                <w:sz w:val="20"/>
                <w:szCs w:val="20"/>
                <w:color w:val="auto"/>
              </w:rPr>
            </w:pPr>
            <w:r>
              <w:rPr>
                <w:rFonts w:ascii="Arial" w:cs="Arial" w:eastAsia="Arial" w:hAnsi="Arial"/>
                <w:sz w:val="18"/>
                <w:szCs w:val="18"/>
                <w:color w:val="auto"/>
              </w:rPr>
              <w:t>Continuing Guarantee</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7.08</w:t>
            </w:r>
          </w:p>
        </w:tc>
        <w:tc>
          <w:tcPr>
            <w:tcW w:w="8320" w:type="dxa"/>
            <w:vAlign w:val="bottom"/>
          </w:tcPr>
          <w:p>
            <w:pPr>
              <w:ind w:left="2680"/>
              <w:spacing w:after="0"/>
              <w:rPr>
                <w:sz w:val="20"/>
                <w:szCs w:val="20"/>
                <w:color w:val="auto"/>
              </w:rPr>
            </w:pPr>
            <w:r>
              <w:rPr>
                <w:rFonts w:ascii="Arial" w:cs="Arial" w:eastAsia="Arial" w:hAnsi="Arial"/>
                <w:sz w:val="18"/>
                <w:szCs w:val="18"/>
                <w:color w:val="auto"/>
              </w:rPr>
              <w:t>General Limitation on Guarantee Obligations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109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7.09</w:t>
            </w:r>
          </w:p>
        </w:tc>
        <w:tc>
          <w:tcPr>
            <w:tcW w:w="8320" w:type="dxa"/>
            <w:vAlign w:val="bottom"/>
          </w:tcPr>
          <w:p>
            <w:pPr>
              <w:ind w:left="2680"/>
              <w:spacing w:after="0"/>
              <w:rPr>
                <w:sz w:val="20"/>
                <w:szCs w:val="20"/>
                <w:color w:val="auto"/>
              </w:rPr>
            </w:pPr>
            <w:r>
              <w:rPr>
                <w:rFonts w:ascii="Arial" w:cs="Arial" w:eastAsia="Arial" w:hAnsi="Arial"/>
                <w:sz w:val="18"/>
                <w:szCs w:val="18"/>
                <w:color w:val="auto"/>
              </w:rPr>
              <w:t>Release of Subsidiary Guarantors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110</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Section 7.10</w:t>
            </w:r>
          </w:p>
        </w:tc>
        <w:tc>
          <w:tcPr>
            <w:tcW w:w="8320" w:type="dxa"/>
            <w:vAlign w:val="bottom"/>
          </w:tcPr>
          <w:p>
            <w:pPr>
              <w:ind w:left="2680"/>
              <w:spacing w:after="0"/>
              <w:rPr>
                <w:sz w:val="20"/>
                <w:szCs w:val="20"/>
                <w:color w:val="auto"/>
              </w:rPr>
            </w:pPr>
            <w:r>
              <w:rPr>
                <w:rFonts w:ascii="Arial" w:cs="Arial" w:eastAsia="Arial" w:hAnsi="Arial"/>
                <w:sz w:val="18"/>
                <w:szCs w:val="18"/>
                <w:color w:val="auto"/>
              </w:rPr>
              <w:t>Right of Contribution</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110</w:t>
            </w:r>
          </w:p>
        </w:tc>
      </w:tr>
      <w:tr>
        <w:trPr>
          <w:trHeight w:val="459"/>
        </w:trPr>
        <w:tc>
          <w:tcPr>
            <w:tcW w:w="2020" w:type="dxa"/>
            <w:vAlign w:val="bottom"/>
          </w:tcPr>
          <w:p>
            <w:pPr>
              <w:spacing w:after="0"/>
              <w:rPr>
                <w:sz w:val="24"/>
                <w:szCs w:val="24"/>
                <w:color w:val="auto"/>
              </w:rPr>
            </w:pPr>
          </w:p>
        </w:tc>
        <w:tc>
          <w:tcPr>
            <w:tcW w:w="8320" w:type="dxa"/>
            <w:vAlign w:val="bottom"/>
          </w:tcPr>
          <w:p>
            <w:pPr>
              <w:jc w:val="center"/>
              <w:ind w:right="930"/>
              <w:spacing w:after="0"/>
              <w:rPr>
                <w:sz w:val="20"/>
                <w:szCs w:val="20"/>
                <w:color w:val="auto"/>
              </w:rPr>
            </w:pPr>
            <w:r>
              <w:rPr>
                <w:rFonts w:ascii="Arial" w:cs="Arial" w:eastAsia="Arial" w:hAnsi="Arial"/>
                <w:sz w:val="18"/>
                <w:szCs w:val="18"/>
                <w:color w:val="auto"/>
              </w:rPr>
              <w:t>ARTICLE VIII</w:t>
            </w:r>
          </w:p>
        </w:tc>
        <w:tc>
          <w:tcPr>
            <w:tcW w:w="320" w:type="dxa"/>
            <w:vAlign w:val="bottom"/>
          </w:tcPr>
          <w:p>
            <w:pPr>
              <w:spacing w:after="0"/>
              <w:rPr>
                <w:sz w:val="24"/>
                <w:szCs w:val="24"/>
                <w:color w:val="auto"/>
              </w:rPr>
            </w:pPr>
          </w:p>
        </w:tc>
      </w:tr>
      <w:tr>
        <w:trPr>
          <w:trHeight w:val="418"/>
        </w:trPr>
        <w:tc>
          <w:tcPr>
            <w:tcW w:w="2020" w:type="dxa"/>
            <w:vAlign w:val="bottom"/>
          </w:tcPr>
          <w:p>
            <w:pPr>
              <w:spacing w:after="0"/>
              <w:rPr>
                <w:sz w:val="24"/>
                <w:szCs w:val="24"/>
                <w:color w:val="auto"/>
              </w:rPr>
            </w:pPr>
          </w:p>
        </w:tc>
        <w:tc>
          <w:tcPr>
            <w:tcW w:w="8320" w:type="dxa"/>
            <w:vAlign w:val="bottom"/>
          </w:tcPr>
          <w:p>
            <w:pPr>
              <w:jc w:val="center"/>
              <w:ind w:right="950"/>
              <w:spacing w:after="0"/>
              <w:rPr>
                <w:sz w:val="20"/>
                <w:szCs w:val="20"/>
                <w:color w:val="auto"/>
              </w:rPr>
            </w:pPr>
            <w:r>
              <w:rPr>
                <w:rFonts w:ascii="Arial" w:cs="Arial" w:eastAsia="Arial" w:hAnsi="Arial"/>
                <w:sz w:val="18"/>
                <w:szCs w:val="18"/>
                <w:color w:val="auto"/>
                <w:w w:val="95"/>
              </w:rPr>
              <w:t>EVENTS OF DEFAULT</w:t>
            </w:r>
          </w:p>
        </w:tc>
        <w:tc>
          <w:tcPr>
            <w:tcW w:w="320" w:type="dxa"/>
            <w:vAlign w:val="bottom"/>
          </w:tcPr>
          <w:p>
            <w:pPr>
              <w:spacing w:after="0"/>
              <w:rPr>
                <w:sz w:val="24"/>
                <w:szCs w:val="24"/>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8.01</w:t>
            </w:r>
          </w:p>
        </w:tc>
        <w:tc>
          <w:tcPr>
            <w:tcW w:w="8320" w:type="dxa"/>
            <w:vAlign w:val="bottom"/>
          </w:tcPr>
          <w:p>
            <w:pPr>
              <w:ind w:left="2680"/>
              <w:spacing w:after="0"/>
              <w:rPr>
                <w:sz w:val="20"/>
                <w:szCs w:val="20"/>
                <w:color w:val="auto"/>
              </w:rPr>
            </w:pPr>
            <w:r>
              <w:rPr>
                <w:rFonts w:ascii="Arial" w:cs="Arial" w:eastAsia="Arial" w:hAnsi="Arial"/>
                <w:sz w:val="18"/>
                <w:szCs w:val="18"/>
                <w:color w:val="auto"/>
              </w:rPr>
              <w:t>Events of Default</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110</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Section 8.02</w:t>
            </w:r>
          </w:p>
        </w:tc>
        <w:tc>
          <w:tcPr>
            <w:tcW w:w="8320" w:type="dxa"/>
            <w:vAlign w:val="bottom"/>
          </w:tcPr>
          <w:p>
            <w:pPr>
              <w:ind w:left="2680"/>
              <w:spacing w:after="0"/>
              <w:rPr>
                <w:sz w:val="20"/>
                <w:szCs w:val="20"/>
                <w:color w:val="auto"/>
              </w:rPr>
            </w:pPr>
            <w:r>
              <w:rPr>
                <w:rFonts w:ascii="Arial" w:cs="Arial" w:eastAsia="Arial" w:hAnsi="Arial"/>
                <w:sz w:val="18"/>
                <w:szCs w:val="18"/>
                <w:color w:val="auto"/>
              </w:rPr>
              <w:t>Application of Proceeds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113</w:t>
            </w:r>
          </w:p>
        </w:tc>
      </w:tr>
      <w:tr>
        <w:trPr>
          <w:trHeight w:val="459"/>
        </w:trPr>
        <w:tc>
          <w:tcPr>
            <w:tcW w:w="2020" w:type="dxa"/>
            <w:vAlign w:val="bottom"/>
          </w:tcPr>
          <w:p>
            <w:pPr>
              <w:spacing w:after="0"/>
              <w:rPr>
                <w:sz w:val="24"/>
                <w:szCs w:val="24"/>
                <w:color w:val="auto"/>
              </w:rPr>
            </w:pPr>
          </w:p>
        </w:tc>
        <w:tc>
          <w:tcPr>
            <w:tcW w:w="8320" w:type="dxa"/>
            <w:vAlign w:val="bottom"/>
          </w:tcPr>
          <w:p>
            <w:pPr>
              <w:jc w:val="center"/>
              <w:ind w:right="930"/>
              <w:spacing w:after="0"/>
              <w:rPr>
                <w:sz w:val="20"/>
                <w:szCs w:val="20"/>
                <w:color w:val="auto"/>
              </w:rPr>
            </w:pPr>
            <w:r>
              <w:rPr>
                <w:rFonts w:ascii="Arial" w:cs="Arial" w:eastAsia="Arial" w:hAnsi="Arial"/>
                <w:sz w:val="18"/>
                <w:szCs w:val="18"/>
                <w:color w:val="auto"/>
                <w:w w:val="99"/>
              </w:rPr>
              <w:t>ARTICLE IX</w:t>
            </w:r>
          </w:p>
        </w:tc>
        <w:tc>
          <w:tcPr>
            <w:tcW w:w="320" w:type="dxa"/>
            <w:vAlign w:val="bottom"/>
          </w:tcPr>
          <w:p>
            <w:pPr>
              <w:spacing w:after="0"/>
              <w:rPr>
                <w:sz w:val="24"/>
                <w:szCs w:val="24"/>
                <w:color w:val="auto"/>
              </w:rPr>
            </w:pPr>
          </w:p>
        </w:tc>
      </w:tr>
      <w:tr>
        <w:trPr>
          <w:trHeight w:val="418"/>
        </w:trPr>
        <w:tc>
          <w:tcPr>
            <w:tcW w:w="2020" w:type="dxa"/>
            <w:vAlign w:val="bottom"/>
          </w:tcPr>
          <w:p>
            <w:pPr>
              <w:spacing w:after="0"/>
              <w:rPr>
                <w:sz w:val="24"/>
                <w:szCs w:val="24"/>
                <w:color w:val="auto"/>
              </w:rPr>
            </w:pPr>
          </w:p>
        </w:tc>
        <w:tc>
          <w:tcPr>
            <w:tcW w:w="8320" w:type="dxa"/>
            <w:vAlign w:val="bottom"/>
          </w:tcPr>
          <w:p>
            <w:pPr>
              <w:jc w:val="center"/>
              <w:ind w:right="930"/>
              <w:spacing w:after="0"/>
              <w:rPr>
                <w:sz w:val="20"/>
                <w:szCs w:val="20"/>
                <w:color w:val="auto"/>
              </w:rPr>
            </w:pPr>
            <w:r>
              <w:rPr>
                <w:rFonts w:ascii="Arial" w:cs="Arial" w:eastAsia="Arial" w:hAnsi="Arial"/>
                <w:sz w:val="18"/>
                <w:szCs w:val="18"/>
                <w:color w:val="auto"/>
                <w:w w:val="98"/>
              </w:rPr>
              <w:t>THE ADMINISTRATIVE AGENT AND THE COLLATERAL AGENT</w:t>
            </w:r>
          </w:p>
        </w:tc>
        <w:tc>
          <w:tcPr>
            <w:tcW w:w="320" w:type="dxa"/>
            <w:vAlign w:val="bottom"/>
          </w:tcPr>
          <w:p>
            <w:pPr>
              <w:spacing w:after="0"/>
              <w:rPr>
                <w:sz w:val="24"/>
                <w:szCs w:val="24"/>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9.01</w:t>
            </w:r>
          </w:p>
        </w:tc>
        <w:tc>
          <w:tcPr>
            <w:tcW w:w="8320" w:type="dxa"/>
            <w:vAlign w:val="bottom"/>
          </w:tcPr>
          <w:p>
            <w:pPr>
              <w:ind w:left="2680"/>
              <w:spacing w:after="0"/>
              <w:rPr>
                <w:sz w:val="20"/>
                <w:szCs w:val="20"/>
                <w:color w:val="auto"/>
              </w:rPr>
            </w:pPr>
            <w:r>
              <w:rPr>
                <w:rFonts w:ascii="Arial" w:cs="Arial" w:eastAsia="Arial" w:hAnsi="Arial"/>
                <w:sz w:val="18"/>
                <w:szCs w:val="18"/>
                <w:color w:val="auto"/>
              </w:rPr>
              <w:t>Appointment and Authority</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114</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9.02</w:t>
            </w:r>
          </w:p>
        </w:tc>
        <w:tc>
          <w:tcPr>
            <w:tcW w:w="8320" w:type="dxa"/>
            <w:vAlign w:val="bottom"/>
          </w:tcPr>
          <w:p>
            <w:pPr>
              <w:ind w:left="2680"/>
              <w:spacing w:after="0"/>
              <w:rPr>
                <w:sz w:val="20"/>
                <w:szCs w:val="20"/>
                <w:color w:val="auto"/>
              </w:rPr>
            </w:pPr>
            <w:r>
              <w:rPr>
                <w:rFonts w:ascii="Arial" w:cs="Arial" w:eastAsia="Arial" w:hAnsi="Arial"/>
                <w:sz w:val="18"/>
                <w:szCs w:val="18"/>
                <w:color w:val="auto"/>
              </w:rPr>
              <w:t>Rights as a Lender</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114</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9.03</w:t>
            </w:r>
          </w:p>
        </w:tc>
        <w:tc>
          <w:tcPr>
            <w:tcW w:w="8320" w:type="dxa"/>
            <w:vAlign w:val="bottom"/>
          </w:tcPr>
          <w:p>
            <w:pPr>
              <w:ind w:left="2680"/>
              <w:spacing w:after="0"/>
              <w:rPr>
                <w:sz w:val="20"/>
                <w:szCs w:val="20"/>
                <w:color w:val="auto"/>
              </w:rPr>
            </w:pPr>
            <w:r>
              <w:rPr>
                <w:rFonts w:ascii="Arial" w:cs="Arial" w:eastAsia="Arial" w:hAnsi="Arial"/>
                <w:sz w:val="18"/>
                <w:szCs w:val="18"/>
                <w:color w:val="auto"/>
              </w:rPr>
              <w:t>Exculpatory Provisions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114</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9.04</w:t>
            </w:r>
          </w:p>
        </w:tc>
        <w:tc>
          <w:tcPr>
            <w:tcW w:w="8320" w:type="dxa"/>
            <w:vAlign w:val="bottom"/>
          </w:tcPr>
          <w:p>
            <w:pPr>
              <w:ind w:left="2680"/>
              <w:spacing w:after="0"/>
              <w:rPr>
                <w:sz w:val="20"/>
                <w:szCs w:val="20"/>
                <w:color w:val="auto"/>
              </w:rPr>
            </w:pPr>
            <w:r>
              <w:rPr>
                <w:rFonts w:ascii="Arial" w:cs="Arial" w:eastAsia="Arial" w:hAnsi="Arial"/>
                <w:sz w:val="18"/>
                <w:szCs w:val="18"/>
                <w:color w:val="auto"/>
              </w:rPr>
              <w:t>Reliance by Agent</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115</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9.05</w:t>
            </w:r>
          </w:p>
        </w:tc>
        <w:tc>
          <w:tcPr>
            <w:tcW w:w="8320" w:type="dxa"/>
            <w:vAlign w:val="bottom"/>
          </w:tcPr>
          <w:p>
            <w:pPr>
              <w:ind w:left="2680"/>
              <w:spacing w:after="0"/>
              <w:rPr>
                <w:sz w:val="20"/>
                <w:szCs w:val="20"/>
                <w:color w:val="auto"/>
              </w:rPr>
            </w:pPr>
            <w:r>
              <w:rPr>
                <w:rFonts w:ascii="Arial" w:cs="Arial" w:eastAsia="Arial" w:hAnsi="Arial"/>
                <w:sz w:val="18"/>
                <w:szCs w:val="18"/>
                <w:color w:val="auto"/>
              </w:rPr>
              <w:t>Delegation of Duties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115</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9.06</w:t>
            </w:r>
          </w:p>
        </w:tc>
        <w:tc>
          <w:tcPr>
            <w:tcW w:w="8320" w:type="dxa"/>
            <w:vAlign w:val="bottom"/>
          </w:tcPr>
          <w:p>
            <w:pPr>
              <w:ind w:left="2680"/>
              <w:spacing w:after="0"/>
              <w:rPr>
                <w:sz w:val="20"/>
                <w:szCs w:val="20"/>
                <w:color w:val="auto"/>
              </w:rPr>
            </w:pPr>
            <w:r>
              <w:rPr>
                <w:rFonts w:ascii="Arial" w:cs="Arial" w:eastAsia="Arial" w:hAnsi="Arial"/>
                <w:sz w:val="18"/>
                <w:szCs w:val="18"/>
                <w:color w:val="auto"/>
              </w:rPr>
              <w:t>Resignation of Agent</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115</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9.07</w:t>
            </w:r>
          </w:p>
        </w:tc>
        <w:tc>
          <w:tcPr>
            <w:tcW w:w="8320" w:type="dxa"/>
            <w:vAlign w:val="bottom"/>
          </w:tcPr>
          <w:p>
            <w:pPr>
              <w:ind w:left="2680"/>
              <w:spacing w:after="0"/>
              <w:rPr>
                <w:sz w:val="20"/>
                <w:szCs w:val="20"/>
                <w:color w:val="auto"/>
              </w:rPr>
            </w:pPr>
            <w:r>
              <w:rPr>
                <w:rFonts w:ascii="Arial" w:cs="Arial" w:eastAsia="Arial" w:hAnsi="Arial"/>
                <w:sz w:val="18"/>
                <w:szCs w:val="18"/>
                <w:color w:val="auto"/>
              </w:rPr>
              <w:t>Non-Reliance on Agent and Other Lenders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116</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Section 9.08</w:t>
            </w:r>
          </w:p>
        </w:tc>
        <w:tc>
          <w:tcPr>
            <w:tcW w:w="8320" w:type="dxa"/>
            <w:vAlign w:val="bottom"/>
          </w:tcPr>
          <w:p>
            <w:pPr>
              <w:ind w:left="2680"/>
              <w:spacing w:after="0"/>
              <w:rPr>
                <w:sz w:val="20"/>
                <w:szCs w:val="20"/>
                <w:color w:val="auto"/>
              </w:rPr>
            </w:pPr>
            <w:r>
              <w:rPr>
                <w:rFonts w:ascii="Arial" w:cs="Arial" w:eastAsia="Arial" w:hAnsi="Arial"/>
                <w:sz w:val="18"/>
                <w:szCs w:val="18"/>
                <w:color w:val="auto"/>
              </w:rPr>
              <w:t>No Other Duties, etc</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116</w:t>
            </w:r>
          </w:p>
        </w:tc>
      </w:tr>
      <w:tr>
        <w:trPr>
          <w:trHeight w:val="459"/>
        </w:trPr>
        <w:tc>
          <w:tcPr>
            <w:tcW w:w="2020" w:type="dxa"/>
            <w:vAlign w:val="bottom"/>
          </w:tcPr>
          <w:p>
            <w:pPr>
              <w:spacing w:after="0"/>
              <w:rPr>
                <w:sz w:val="24"/>
                <w:szCs w:val="24"/>
                <w:color w:val="auto"/>
              </w:rPr>
            </w:pPr>
          </w:p>
        </w:tc>
        <w:tc>
          <w:tcPr>
            <w:tcW w:w="8320" w:type="dxa"/>
            <w:vAlign w:val="bottom"/>
          </w:tcPr>
          <w:p>
            <w:pPr>
              <w:jc w:val="center"/>
              <w:ind w:right="930"/>
              <w:spacing w:after="0"/>
              <w:rPr>
                <w:sz w:val="20"/>
                <w:szCs w:val="20"/>
                <w:color w:val="auto"/>
              </w:rPr>
            </w:pPr>
            <w:r>
              <w:rPr>
                <w:rFonts w:ascii="Arial" w:cs="Arial" w:eastAsia="Arial" w:hAnsi="Arial"/>
                <w:sz w:val="18"/>
                <w:szCs w:val="18"/>
                <w:color w:val="auto"/>
              </w:rPr>
              <w:t>ARTICLE X</w:t>
            </w:r>
          </w:p>
        </w:tc>
        <w:tc>
          <w:tcPr>
            <w:tcW w:w="320" w:type="dxa"/>
            <w:vAlign w:val="bottom"/>
          </w:tcPr>
          <w:p>
            <w:pPr>
              <w:spacing w:after="0"/>
              <w:rPr>
                <w:sz w:val="24"/>
                <w:szCs w:val="24"/>
                <w:color w:val="auto"/>
              </w:rPr>
            </w:pPr>
          </w:p>
        </w:tc>
      </w:tr>
      <w:tr>
        <w:trPr>
          <w:trHeight w:val="418"/>
        </w:trPr>
        <w:tc>
          <w:tcPr>
            <w:tcW w:w="2020" w:type="dxa"/>
            <w:vAlign w:val="bottom"/>
          </w:tcPr>
          <w:p>
            <w:pPr>
              <w:spacing w:after="0"/>
              <w:rPr>
                <w:sz w:val="24"/>
                <w:szCs w:val="24"/>
                <w:color w:val="auto"/>
              </w:rPr>
            </w:pPr>
          </w:p>
        </w:tc>
        <w:tc>
          <w:tcPr>
            <w:tcW w:w="8320" w:type="dxa"/>
            <w:vAlign w:val="bottom"/>
          </w:tcPr>
          <w:p>
            <w:pPr>
              <w:jc w:val="center"/>
              <w:ind w:right="930"/>
              <w:spacing w:after="0"/>
              <w:rPr>
                <w:sz w:val="20"/>
                <w:szCs w:val="20"/>
                <w:color w:val="auto"/>
              </w:rPr>
            </w:pPr>
            <w:r>
              <w:rPr>
                <w:rFonts w:ascii="Arial" w:cs="Arial" w:eastAsia="Arial" w:hAnsi="Arial"/>
                <w:sz w:val="18"/>
                <w:szCs w:val="18"/>
                <w:color w:val="auto"/>
                <w:w w:val="97"/>
              </w:rPr>
              <w:t>MISCELLANEOUS</w:t>
            </w:r>
          </w:p>
        </w:tc>
        <w:tc>
          <w:tcPr>
            <w:tcW w:w="320" w:type="dxa"/>
            <w:vAlign w:val="bottom"/>
          </w:tcPr>
          <w:p>
            <w:pPr>
              <w:spacing w:after="0"/>
              <w:rPr>
                <w:sz w:val="24"/>
                <w:szCs w:val="24"/>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10.01</w:t>
            </w:r>
          </w:p>
        </w:tc>
        <w:tc>
          <w:tcPr>
            <w:tcW w:w="8320" w:type="dxa"/>
            <w:vAlign w:val="bottom"/>
          </w:tcPr>
          <w:p>
            <w:pPr>
              <w:ind w:left="2680"/>
              <w:spacing w:after="0"/>
              <w:rPr>
                <w:sz w:val="20"/>
                <w:szCs w:val="20"/>
                <w:color w:val="auto"/>
              </w:rPr>
            </w:pPr>
            <w:r>
              <w:rPr>
                <w:rFonts w:ascii="Arial" w:cs="Arial" w:eastAsia="Arial" w:hAnsi="Arial"/>
                <w:sz w:val="18"/>
                <w:szCs w:val="18"/>
                <w:color w:val="auto"/>
              </w:rPr>
              <w:t>Notices</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Section 10.02</w:t>
            </w:r>
          </w:p>
        </w:tc>
        <w:tc>
          <w:tcPr>
            <w:tcW w:w="8320" w:type="dxa"/>
            <w:vAlign w:val="bottom"/>
          </w:tcPr>
          <w:p>
            <w:pPr>
              <w:ind w:left="2680"/>
              <w:spacing w:after="0"/>
              <w:rPr>
                <w:sz w:val="20"/>
                <w:szCs w:val="20"/>
                <w:color w:val="auto"/>
              </w:rPr>
            </w:pPr>
            <w:r>
              <w:rPr>
                <w:rFonts w:ascii="Arial" w:cs="Arial" w:eastAsia="Arial" w:hAnsi="Arial"/>
                <w:sz w:val="18"/>
                <w:szCs w:val="18"/>
                <w:color w:val="auto"/>
              </w:rPr>
              <w:t>Waivers; Amendment</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119</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Section 10.03</w:t>
            </w:r>
          </w:p>
        </w:tc>
        <w:tc>
          <w:tcPr>
            <w:tcW w:w="8320" w:type="dxa"/>
            <w:vAlign w:val="bottom"/>
          </w:tcPr>
          <w:p>
            <w:pPr>
              <w:ind w:left="2680"/>
              <w:spacing w:after="0"/>
              <w:rPr>
                <w:sz w:val="20"/>
                <w:szCs w:val="20"/>
                <w:color w:val="auto"/>
              </w:rPr>
            </w:pPr>
            <w:r>
              <w:rPr>
                <w:rFonts w:ascii="Arial" w:cs="Arial" w:eastAsia="Arial" w:hAnsi="Arial"/>
                <w:sz w:val="18"/>
                <w:szCs w:val="18"/>
                <w:color w:val="auto"/>
              </w:rPr>
              <w:t>Expenses; Indemnity; Damage Waiver</w:t>
            </w:r>
          </w:p>
        </w:tc>
        <w:tc>
          <w:tcPr>
            <w:tcW w:w="320" w:type="dxa"/>
            <w:vAlign w:val="bottom"/>
          </w:tcPr>
          <w:p>
            <w:pPr>
              <w:ind w:left="60"/>
              <w:spacing w:after="0"/>
              <w:rPr>
                <w:sz w:val="20"/>
                <w:szCs w:val="20"/>
                <w:color w:val="auto"/>
              </w:rPr>
            </w:pPr>
            <w:r>
              <w:rPr>
                <w:rFonts w:ascii="Arial" w:cs="Arial" w:eastAsia="Arial" w:hAnsi="Arial"/>
                <w:sz w:val="18"/>
                <w:szCs w:val="18"/>
                <w:color w:val="auto"/>
                <w:w w:val="79"/>
              </w:rPr>
              <w:t>122</w:t>
            </w:r>
          </w:p>
        </w:tc>
      </w:tr>
    </w:tbl>
    <w:p>
      <w:pPr>
        <w:sectPr>
          <w:pgSz w:w="11900" w:h="16897" w:orient="portrait"/>
          <w:cols w:equalWidth="0" w:num="1">
            <w:col w:w="10660"/>
          </w:cols>
          <w:pgMar w:left="240" w:top="125" w:right="99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10.04</w:t>
            </w:r>
          </w:p>
        </w:tc>
        <w:tc>
          <w:tcPr>
            <w:tcW w:w="6660" w:type="dxa"/>
            <w:vAlign w:val="bottom"/>
          </w:tcPr>
          <w:p>
            <w:pPr>
              <w:ind w:left="1600"/>
              <w:spacing w:after="0"/>
              <w:rPr>
                <w:sz w:val="20"/>
                <w:szCs w:val="20"/>
                <w:color w:val="auto"/>
              </w:rPr>
            </w:pPr>
            <w:r>
              <w:rPr>
                <w:rFonts w:ascii="Arial" w:cs="Arial" w:eastAsia="Arial" w:hAnsi="Arial"/>
                <w:sz w:val="18"/>
                <w:szCs w:val="18"/>
                <w:color w:val="auto"/>
              </w:rPr>
              <w:t>Successors and Assigns</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124</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10.05</w:t>
            </w:r>
          </w:p>
        </w:tc>
        <w:tc>
          <w:tcPr>
            <w:tcW w:w="6660" w:type="dxa"/>
            <w:vAlign w:val="bottom"/>
          </w:tcPr>
          <w:p>
            <w:pPr>
              <w:ind w:left="1600"/>
              <w:spacing w:after="0"/>
              <w:rPr>
                <w:sz w:val="20"/>
                <w:szCs w:val="20"/>
                <w:color w:val="auto"/>
              </w:rPr>
            </w:pPr>
            <w:r>
              <w:rPr>
                <w:rFonts w:ascii="Arial" w:cs="Arial" w:eastAsia="Arial" w:hAnsi="Arial"/>
                <w:sz w:val="18"/>
                <w:szCs w:val="18"/>
                <w:color w:val="auto"/>
              </w:rPr>
              <w:t>Survival of Agreement</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127</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10.06</w:t>
            </w:r>
          </w:p>
        </w:tc>
        <w:tc>
          <w:tcPr>
            <w:tcW w:w="6660" w:type="dxa"/>
            <w:vAlign w:val="bottom"/>
          </w:tcPr>
          <w:p>
            <w:pPr>
              <w:ind w:left="1600"/>
              <w:spacing w:after="0"/>
              <w:rPr>
                <w:sz w:val="20"/>
                <w:szCs w:val="20"/>
                <w:color w:val="auto"/>
              </w:rPr>
            </w:pPr>
            <w:r>
              <w:rPr>
                <w:rFonts w:ascii="Arial" w:cs="Arial" w:eastAsia="Arial" w:hAnsi="Arial"/>
                <w:sz w:val="18"/>
                <w:szCs w:val="18"/>
                <w:color w:val="auto"/>
              </w:rPr>
              <w:t>Counterparts; Integration; Effectiveness</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127</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10.07</w:t>
            </w:r>
          </w:p>
        </w:tc>
        <w:tc>
          <w:tcPr>
            <w:tcW w:w="6660" w:type="dxa"/>
            <w:vAlign w:val="bottom"/>
          </w:tcPr>
          <w:p>
            <w:pPr>
              <w:ind w:left="1600"/>
              <w:spacing w:after="0"/>
              <w:rPr>
                <w:sz w:val="20"/>
                <w:szCs w:val="20"/>
                <w:color w:val="auto"/>
              </w:rPr>
            </w:pPr>
            <w:r>
              <w:rPr>
                <w:rFonts w:ascii="Arial" w:cs="Arial" w:eastAsia="Arial" w:hAnsi="Arial"/>
                <w:sz w:val="18"/>
                <w:szCs w:val="18"/>
                <w:color w:val="auto"/>
              </w:rPr>
              <w:t>Severability</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127</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10.08</w:t>
            </w:r>
          </w:p>
        </w:tc>
        <w:tc>
          <w:tcPr>
            <w:tcW w:w="6660" w:type="dxa"/>
            <w:vAlign w:val="bottom"/>
          </w:tcPr>
          <w:p>
            <w:pPr>
              <w:ind w:left="1600"/>
              <w:spacing w:after="0"/>
              <w:rPr>
                <w:sz w:val="20"/>
                <w:szCs w:val="20"/>
                <w:color w:val="auto"/>
              </w:rPr>
            </w:pPr>
            <w:r>
              <w:rPr>
                <w:rFonts w:ascii="Arial" w:cs="Arial" w:eastAsia="Arial" w:hAnsi="Arial"/>
                <w:sz w:val="18"/>
                <w:szCs w:val="18"/>
                <w:color w:val="auto"/>
              </w:rPr>
              <w:t>Right of Setoff</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127</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10.09</w:t>
            </w:r>
          </w:p>
        </w:tc>
        <w:tc>
          <w:tcPr>
            <w:tcW w:w="6660" w:type="dxa"/>
            <w:vAlign w:val="bottom"/>
          </w:tcPr>
          <w:p>
            <w:pPr>
              <w:ind w:left="1600"/>
              <w:spacing w:after="0"/>
              <w:rPr>
                <w:sz w:val="20"/>
                <w:szCs w:val="20"/>
                <w:color w:val="auto"/>
              </w:rPr>
            </w:pPr>
            <w:r>
              <w:rPr>
                <w:rFonts w:ascii="Arial" w:cs="Arial" w:eastAsia="Arial" w:hAnsi="Arial"/>
                <w:sz w:val="18"/>
                <w:szCs w:val="18"/>
                <w:color w:val="auto"/>
              </w:rPr>
              <w:t>Governing Law; Jurisdiction; Consent to Service of Process</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128</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10.10</w:t>
            </w:r>
          </w:p>
        </w:tc>
        <w:tc>
          <w:tcPr>
            <w:tcW w:w="6660" w:type="dxa"/>
            <w:vAlign w:val="bottom"/>
          </w:tcPr>
          <w:p>
            <w:pPr>
              <w:ind w:left="1600"/>
              <w:spacing w:after="0"/>
              <w:rPr>
                <w:sz w:val="20"/>
                <w:szCs w:val="20"/>
                <w:color w:val="auto"/>
              </w:rPr>
            </w:pPr>
            <w:r>
              <w:rPr>
                <w:rFonts w:ascii="Arial" w:cs="Arial" w:eastAsia="Arial" w:hAnsi="Arial"/>
                <w:sz w:val="18"/>
                <w:szCs w:val="18"/>
                <w:color w:val="auto"/>
              </w:rPr>
              <w:t>Waiver of Jury Trial</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128</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10.11</w:t>
            </w:r>
          </w:p>
        </w:tc>
        <w:tc>
          <w:tcPr>
            <w:tcW w:w="6660" w:type="dxa"/>
            <w:vAlign w:val="bottom"/>
          </w:tcPr>
          <w:p>
            <w:pPr>
              <w:ind w:left="1600"/>
              <w:spacing w:after="0"/>
              <w:rPr>
                <w:sz w:val="20"/>
                <w:szCs w:val="20"/>
                <w:color w:val="auto"/>
              </w:rPr>
            </w:pPr>
            <w:r>
              <w:rPr>
                <w:rFonts w:ascii="Arial" w:cs="Arial" w:eastAsia="Arial" w:hAnsi="Arial"/>
                <w:sz w:val="18"/>
                <w:szCs w:val="18"/>
                <w:color w:val="auto"/>
              </w:rPr>
              <w:t>Headings</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129</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10.12</w:t>
            </w:r>
          </w:p>
        </w:tc>
        <w:tc>
          <w:tcPr>
            <w:tcW w:w="6660" w:type="dxa"/>
            <w:vAlign w:val="bottom"/>
          </w:tcPr>
          <w:p>
            <w:pPr>
              <w:ind w:left="1600"/>
              <w:spacing w:after="0"/>
              <w:rPr>
                <w:sz w:val="20"/>
                <w:szCs w:val="20"/>
                <w:color w:val="auto"/>
              </w:rPr>
            </w:pPr>
            <w:r>
              <w:rPr>
                <w:rFonts w:ascii="Arial" w:cs="Arial" w:eastAsia="Arial" w:hAnsi="Arial"/>
                <w:sz w:val="18"/>
                <w:szCs w:val="18"/>
                <w:color w:val="auto"/>
              </w:rPr>
              <w:t>Treatment of Certain Information; Confidentiality</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129</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10.13</w:t>
            </w:r>
          </w:p>
        </w:tc>
        <w:tc>
          <w:tcPr>
            <w:tcW w:w="6660" w:type="dxa"/>
            <w:vAlign w:val="bottom"/>
          </w:tcPr>
          <w:p>
            <w:pPr>
              <w:ind w:left="1600"/>
              <w:spacing w:after="0"/>
              <w:rPr>
                <w:sz w:val="20"/>
                <w:szCs w:val="20"/>
                <w:color w:val="auto"/>
              </w:rPr>
            </w:pPr>
            <w:r>
              <w:rPr>
                <w:rFonts w:ascii="Arial" w:cs="Arial" w:eastAsia="Arial" w:hAnsi="Arial"/>
                <w:sz w:val="18"/>
                <w:szCs w:val="18"/>
                <w:color w:val="auto"/>
              </w:rPr>
              <w:t>USA PATRIOT Act Notice</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129</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10.14</w:t>
            </w:r>
          </w:p>
        </w:tc>
        <w:tc>
          <w:tcPr>
            <w:tcW w:w="6660" w:type="dxa"/>
            <w:vAlign w:val="bottom"/>
          </w:tcPr>
          <w:p>
            <w:pPr>
              <w:ind w:left="1600"/>
              <w:spacing w:after="0"/>
              <w:rPr>
                <w:sz w:val="20"/>
                <w:szCs w:val="20"/>
                <w:color w:val="auto"/>
              </w:rPr>
            </w:pPr>
            <w:r>
              <w:rPr>
                <w:rFonts w:ascii="Arial" w:cs="Arial" w:eastAsia="Arial" w:hAnsi="Arial"/>
                <w:sz w:val="18"/>
                <w:szCs w:val="18"/>
                <w:color w:val="auto"/>
              </w:rPr>
              <w:t>Interest Rate Limitation</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129</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10.15</w:t>
            </w:r>
          </w:p>
        </w:tc>
        <w:tc>
          <w:tcPr>
            <w:tcW w:w="6660" w:type="dxa"/>
            <w:vAlign w:val="bottom"/>
          </w:tcPr>
          <w:p>
            <w:pPr>
              <w:ind w:left="1600"/>
              <w:spacing w:after="0"/>
              <w:rPr>
                <w:sz w:val="20"/>
                <w:szCs w:val="20"/>
                <w:color w:val="auto"/>
              </w:rPr>
            </w:pPr>
            <w:r>
              <w:rPr>
                <w:rFonts w:ascii="Arial" w:cs="Arial" w:eastAsia="Arial" w:hAnsi="Arial"/>
                <w:sz w:val="18"/>
                <w:szCs w:val="18"/>
                <w:color w:val="auto"/>
              </w:rPr>
              <w:t>Lender Addendum</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130</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10.16</w:t>
            </w:r>
          </w:p>
        </w:tc>
        <w:tc>
          <w:tcPr>
            <w:tcW w:w="6660" w:type="dxa"/>
            <w:vAlign w:val="bottom"/>
          </w:tcPr>
          <w:p>
            <w:pPr>
              <w:ind w:left="1600"/>
              <w:spacing w:after="0"/>
              <w:rPr>
                <w:sz w:val="20"/>
                <w:szCs w:val="20"/>
                <w:color w:val="auto"/>
              </w:rPr>
            </w:pPr>
            <w:r>
              <w:rPr>
                <w:rFonts w:ascii="Arial" w:cs="Arial" w:eastAsia="Arial" w:hAnsi="Arial"/>
                <w:sz w:val="18"/>
                <w:szCs w:val="18"/>
                <w:color w:val="auto"/>
              </w:rPr>
              <w:t>Obligations Absolute</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130</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10.17</w:t>
            </w:r>
          </w:p>
        </w:tc>
        <w:tc>
          <w:tcPr>
            <w:tcW w:w="6660" w:type="dxa"/>
            <w:vAlign w:val="bottom"/>
          </w:tcPr>
          <w:p>
            <w:pPr>
              <w:ind w:left="1600"/>
              <w:spacing w:after="0"/>
              <w:rPr>
                <w:sz w:val="20"/>
                <w:szCs w:val="20"/>
                <w:color w:val="auto"/>
              </w:rPr>
            </w:pPr>
            <w:r>
              <w:rPr>
                <w:rFonts w:ascii="Arial" w:cs="Arial" w:eastAsia="Arial" w:hAnsi="Arial"/>
                <w:sz w:val="18"/>
                <w:szCs w:val="18"/>
                <w:color w:val="auto"/>
              </w:rPr>
              <w:t>Dollar Equivalent Calculations</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130</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10.18</w:t>
            </w:r>
          </w:p>
        </w:tc>
        <w:tc>
          <w:tcPr>
            <w:tcW w:w="6660" w:type="dxa"/>
            <w:vAlign w:val="bottom"/>
          </w:tcPr>
          <w:p>
            <w:pPr>
              <w:ind w:left="1600"/>
              <w:spacing w:after="0"/>
              <w:rPr>
                <w:sz w:val="20"/>
                <w:szCs w:val="20"/>
                <w:color w:val="auto"/>
              </w:rPr>
            </w:pPr>
            <w:r>
              <w:rPr>
                <w:rFonts w:ascii="Arial" w:cs="Arial" w:eastAsia="Arial" w:hAnsi="Arial"/>
                <w:sz w:val="18"/>
                <w:szCs w:val="18"/>
                <w:color w:val="auto"/>
              </w:rPr>
              <w:t>Judgment Currency</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130</w:t>
            </w: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10.19</w:t>
            </w:r>
          </w:p>
        </w:tc>
        <w:tc>
          <w:tcPr>
            <w:tcW w:w="6660" w:type="dxa"/>
            <w:vAlign w:val="bottom"/>
          </w:tcPr>
          <w:p>
            <w:pPr>
              <w:ind w:left="1600"/>
              <w:spacing w:after="0"/>
              <w:rPr>
                <w:sz w:val="20"/>
                <w:szCs w:val="20"/>
                <w:color w:val="auto"/>
              </w:rPr>
            </w:pPr>
            <w:r>
              <w:rPr>
                <w:rFonts w:ascii="Arial" w:cs="Arial" w:eastAsia="Arial" w:hAnsi="Arial"/>
                <w:sz w:val="18"/>
                <w:szCs w:val="18"/>
                <w:color w:val="auto"/>
              </w:rPr>
              <w:t>Euro</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131</w:t>
            </w:r>
          </w:p>
        </w:tc>
      </w:tr>
      <w:tr>
        <w:trPr>
          <w:trHeight w:val="230"/>
        </w:trPr>
        <w:tc>
          <w:tcPr>
            <w:tcW w:w="3100" w:type="dxa"/>
            <w:vAlign w:val="bottom"/>
            <w:gridSpan w:val="4"/>
          </w:tcPr>
          <w:p>
            <w:pPr>
              <w:spacing w:after="0"/>
              <w:rPr>
                <w:sz w:val="20"/>
                <w:szCs w:val="20"/>
                <w:color w:val="auto"/>
              </w:rPr>
            </w:pPr>
            <w:r>
              <w:rPr>
                <w:rFonts w:ascii="Arial" w:cs="Arial" w:eastAsia="Arial" w:hAnsi="Arial"/>
                <w:sz w:val="18"/>
                <w:szCs w:val="18"/>
                <w:color w:val="auto"/>
              </w:rPr>
              <w:t>Section 10.20</w:t>
            </w:r>
          </w:p>
        </w:tc>
        <w:tc>
          <w:tcPr>
            <w:tcW w:w="6660" w:type="dxa"/>
            <w:vAlign w:val="bottom"/>
          </w:tcPr>
          <w:p>
            <w:pPr>
              <w:ind w:left="1600"/>
              <w:spacing w:after="0"/>
              <w:rPr>
                <w:sz w:val="20"/>
                <w:szCs w:val="20"/>
                <w:color w:val="auto"/>
              </w:rPr>
            </w:pPr>
            <w:r>
              <w:rPr>
                <w:rFonts w:ascii="Arial" w:cs="Arial" w:eastAsia="Arial" w:hAnsi="Arial"/>
                <w:sz w:val="18"/>
                <w:szCs w:val="18"/>
                <w:color w:val="auto"/>
              </w:rPr>
              <w:t>Special Provisions Relating to Currencies Other Than Dollars</w:t>
            </w:r>
          </w:p>
        </w:tc>
        <w:tc>
          <w:tcPr>
            <w:tcW w:w="1660" w:type="dxa"/>
            <w:vAlign w:val="bottom"/>
          </w:tcPr>
          <w:p>
            <w:pPr>
              <w:jc w:val="right"/>
              <w:ind w:right="670"/>
              <w:spacing w:after="0"/>
              <w:rPr>
                <w:sz w:val="20"/>
                <w:szCs w:val="20"/>
                <w:color w:val="auto"/>
              </w:rPr>
            </w:pPr>
            <w:r>
              <w:rPr>
                <w:rFonts w:ascii="Arial" w:cs="Arial" w:eastAsia="Arial" w:hAnsi="Arial"/>
                <w:sz w:val="18"/>
                <w:szCs w:val="18"/>
                <w:color w:val="auto"/>
              </w:rPr>
              <w:t>131</w:t>
            </w:r>
          </w:p>
        </w:tc>
      </w:tr>
      <w:tr>
        <w:trPr>
          <w:trHeight w:val="392"/>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ANNEXES</w:t>
            </w:r>
          </w:p>
        </w:tc>
        <w:tc>
          <w:tcPr>
            <w:tcW w:w="2160" w:type="dxa"/>
            <w:vAlign w:val="bottom"/>
            <w:gridSpan w:val="2"/>
          </w:tcPr>
          <w:p>
            <w:pPr>
              <w:spacing w:after="0"/>
              <w:rPr>
                <w:sz w:val="24"/>
                <w:szCs w:val="24"/>
                <w:color w:val="auto"/>
              </w:rPr>
            </w:pPr>
          </w:p>
        </w:tc>
        <w:tc>
          <w:tcPr>
            <w:tcW w:w="66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7"/>
        </w:trPr>
        <w:tc>
          <w:tcPr>
            <w:tcW w:w="3100" w:type="dxa"/>
            <w:vAlign w:val="bottom"/>
            <w:gridSpan w:val="4"/>
          </w:tcPr>
          <w:p>
            <w:pPr>
              <w:spacing w:after="0"/>
              <w:rPr>
                <w:sz w:val="20"/>
                <w:szCs w:val="20"/>
                <w:color w:val="auto"/>
              </w:rPr>
            </w:pPr>
            <w:r>
              <w:rPr>
                <w:rFonts w:ascii="Arial" w:cs="Arial" w:eastAsia="Arial" w:hAnsi="Arial"/>
                <w:sz w:val="18"/>
                <w:szCs w:val="18"/>
                <w:color w:val="auto"/>
              </w:rPr>
              <w:t>Annex I</w:t>
            </w:r>
          </w:p>
        </w:tc>
        <w:tc>
          <w:tcPr>
            <w:tcW w:w="6660" w:type="dxa"/>
            <w:vAlign w:val="bottom"/>
          </w:tcPr>
          <w:p>
            <w:pPr>
              <w:ind w:left="1600"/>
              <w:spacing w:after="0"/>
              <w:rPr>
                <w:sz w:val="20"/>
                <w:szCs w:val="20"/>
                <w:color w:val="auto"/>
              </w:rPr>
            </w:pPr>
            <w:r>
              <w:rPr>
                <w:rFonts w:ascii="Arial" w:cs="Arial" w:eastAsia="Arial" w:hAnsi="Arial"/>
                <w:sz w:val="18"/>
                <w:szCs w:val="18"/>
                <w:color w:val="auto"/>
              </w:rPr>
              <w:t>Applicable Margin</w:t>
            </w:r>
          </w:p>
        </w:tc>
        <w:tc>
          <w:tcPr>
            <w:tcW w:w="1660" w:type="dxa"/>
            <w:vAlign w:val="bottom"/>
          </w:tcPr>
          <w:p>
            <w:pPr>
              <w:spacing w:after="0"/>
              <w:rPr>
                <w:sz w:val="20"/>
                <w:szCs w:val="20"/>
                <w:color w:val="auto"/>
              </w:rPr>
            </w:pPr>
          </w:p>
        </w:tc>
      </w:tr>
      <w:tr>
        <w:trPr>
          <w:trHeight w:val="229"/>
        </w:trPr>
        <w:tc>
          <w:tcPr>
            <w:tcW w:w="3100" w:type="dxa"/>
            <w:vAlign w:val="bottom"/>
            <w:gridSpan w:val="4"/>
          </w:tcPr>
          <w:p>
            <w:pPr>
              <w:spacing w:after="0"/>
              <w:rPr>
                <w:sz w:val="20"/>
                <w:szCs w:val="20"/>
                <w:color w:val="auto"/>
              </w:rPr>
            </w:pPr>
            <w:r>
              <w:rPr>
                <w:rFonts w:ascii="Arial" w:cs="Arial" w:eastAsia="Arial" w:hAnsi="Arial"/>
                <w:sz w:val="18"/>
                <w:szCs w:val="18"/>
                <w:color w:val="auto"/>
              </w:rPr>
              <w:t>Annex II</w:t>
            </w:r>
          </w:p>
        </w:tc>
        <w:tc>
          <w:tcPr>
            <w:tcW w:w="6660" w:type="dxa"/>
            <w:vAlign w:val="bottom"/>
          </w:tcPr>
          <w:p>
            <w:pPr>
              <w:ind w:left="1600"/>
              <w:spacing w:after="0"/>
              <w:rPr>
                <w:sz w:val="20"/>
                <w:szCs w:val="20"/>
                <w:color w:val="auto"/>
              </w:rPr>
            </w:pPr>
            <w:r>
              <w:rPr>
                <w:rFonts w:ascii="Arial" w:cs="Arial" w:eastAsia="Arial" w:hAnsi="Arial"/>
                <w:sz w:val="18"/>
                <w:szCs w:val="18"/>
                <w:color w:val="auto"/>
              </w:rPr>
              <w:t>Amortization Table</w:t>
            </w:r>
          </w:p>
        </w:tc>
        <w:tc>
          <w:tcPr>
            <w:tcW w:w="1660" w:type="dxa"/>
            <w:vAlign w:val="bottom"/>
          </w:tcPr>
          <w:p>
            <w:pPr>
              <w:spacing w:after="0"/>
              <w:rPr>
                <w:sz w:val="19"/>
                <w:szCs w:val="19"/>
                <w:color w:val="auto"/>
              </w:rPr>
            </w:pPr>
          </w:p>
        </w:tc>
      </w:tr>
      <w:tr>
        <w:trPr>
          <w:trHeight w:val="230"/>
        </w:trPr>
        <w:tc>
          <w:tcPr>
            <w:tcW w:w="3100" w:type="dxa"/>
            <w:vAlign w:val="bottom"/>
            <w:gridSpan w:val="4"/>
          </w:tcPr>
          <w:p>
            <w:pPr>
              <w:spacing w:after="0"/>
              <w:rPr>
                <w:sz w:val="20"/>
                <w:szCs w:val="20"/>
                <w:color w:val="auto"/>
              </w:rPr>
            </w:pPr>
            <w:r>
              <w:rPr>
                <w:rFonts w:ascii="Arial" w:cs="Arial" w:eastAsia="Arial" w:hAnsi="Arial"/>
                <w:sz w:val="18"/>
                <w:szCs w:val="18"/>
                <w:color w:val="auto"/>
              </w:rPr>
              <w:t>Annex III</w:t>
            </w:r>
          </w:p>
        </w:tc>
        <w:tc>
          <w:tcPr>
            <w:tcW w:w="6660" w:type="dxa"/>
            <w:vAlign w:val="bottom"/>
          </w:tcPr>
          <w:p>
            <w:pPr>
              <w:ind w:left="1600"/>
              <w:spacing w:after="0"/>
              <w:rPr>
                <w:sz w:val="20"/>
                <w:szCs w:val="20"/>
                <w:color w:val="auto"/>
              </w:rPr>
            </w:pPr>
            <w:r>
              <w:rPr>
                <w:rFonts w:ascii="Arial" w:cs="Arial" w:eastAsia="Arial" w:hAnsi="Arial"/>
                <w:sz w:val="18"/>
                <w:szCs w:val="18"/>
                <w:color w:val="auto"/>
              </w:rPr>
              <w:t>Mandatory Cost Formula</w:t>
            </w:r>
          </w:p>
        </w:tc>
        <w:tc>
          <w:tcPr>
            <w:tcW w:w="1660" w:type="dxa"/>
            <w:vAlign w:val="bottom"/>
          </w:tcPr>
          <w:p>
            <w:pPr>
              <w:spacing w:after="0"/>
              <w:rPr>
                <w:sz w:val="20"/>
                <w:szCs w:val="20"/>
                <w:color w:val="auto"/>
              </w:rPr>
            </w:pPr>
          </w:p>
        </w:tc>
      </w:tr>
      <w:tr>
        <w:trPr>
          <w:trHeight w:val="419"/>
        </w:trPr>
        <w:tc>
          <w:tcPr>
            <w:tcW w:w="3100" w:type="dxa"/>
            <w:vAlign w:val="bottom"/>
            <w:gridSpan w:val="4"/>
          </w:tcPr>
          <w:p>
            <w:pPr>
              <w:spacing w:after="0"/>
              <w:rPr>
                <w:sz w:val="20"/>
                <w:szCs w:val="20"/>
                <w:color w:val="auto"/>
              </w:rPr>
            </w:pPr>
            <w:r>
              <w:rPr>
                <w:rFonts w:ascii="Arial" w:cs="Arial" w:eastAsia="Arial" w:hAnsi="Arial"/>
                <w:sz w:val="18"/>
                <w:szCs w:val="18"/>
                <w:color w:val="auto"/>
              </w:rPr>
              <w:t>SCHEDULES</w:t>
            </w:r>
          </w:p>
        </w:tc>
        <w:tc>
          <w:tcPr>
            <w:tcW w:w="66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2"/>
        </w:trPr>
        <w:tc>
          <w:tcPr>
            <w:tcW w:w="3100" w:type="dxa"/>
            <w:vAlign w:val="bottom"/>
            <w:gridSpan w:val="4"/>
          </w:tcPr>
          <w:p>
            <w:pPr>
              <w:spacing w:after="0"/>
              <w:rPr>
                <w:sz w:val="20"/>
                <w:szCs w:val="20"/>
                <w:color w:val="auto"/>
              </w:rPr>
            </w:pPr>
            <w:r>
              <w:rPr>
                <w:rFonts w:ascii="Arial" w:cs="Arial" w:eastAsia="Arial" w:hAnsi="Arial"/>
                <w:sz w:val="18"/>
                <w:szCs w:val="18"/>
                <w:color w:val="auto"/>
              </w:rPr>
              <w:t>Schedule 1.01(a)</w:t>
            </w:r>
          </w:p>
        </w:tc>
        <w:tc>
          <w:tcPr>
            <w:tcW w:w="6660" w:type="dxa"/>
            <w:vAlign w:val="bottom"/>
          </w:tcPr>
          <w:p>
            <w:pPr>
              <w:ind w:left="1600"/>
              <w:spacing w:after="0"/>
              <w:rPr>
                <w:sz w:val="20"/>
                <w:szCs w:val="20"/>
                <w:color w:val="auto"/>
              </w:rPr>
            </w:pPr>
            <w:r>
              <w:rPr>
                <w:rFonts w:ascii="Arial" w:cs="Arial" w:eastAsia="Arial" w:hAnsi="Arial"/>
                <w:sz w:val="18"/>
                <w:szCs w:val="18"/>
                <w:color w:val="auto"/>
              </w:rPr>
              <w:t>Refinancing Indebtedness to Be Repaid</w:t>
            </w:r>
          </w:p>
        </w:tc>
        <w:tc>
          <w:tcPr>
            <w:tcW w:w="1660" w:type="dxa"/>
            <w:vAlign w:val="bottom"/>
          </w:tcPr>
          <w:p>
            <w:pPr>
              <w:spacing w:after="0"/>
              <w:rPr>
                <w:sz w:val="19"/>
                <w:szCs w:val="19"/>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Schedule 1.01(b)</w:t>
            </w:r>
          </w:p>
        </w:tc>
        <w:tc>
          <w:tcPr>
            <w:tcW w:w="6660" w:type="dxa"/>
            <w:vAlign w:val="bottom"/>
          </w:tcPr>
          <w:p>
            <w:pPr>
              <w:ind w:left="1600"/>
              <w:spacing w:after="0"/>
              <w:rPr>
                <w:sz w:val="20"/>
                <w:szCs w:val="20"/>
                <w:color w:val="auto"/>
              </w:rPr>
            </w:pPr>
            <w:r>
              <w:rPr>
                <w:rFonts w:ascii="Arial" w:cs="Arial" w:eastAsia="Arial" w:hAnsi="Arial"/>
                <w:sz w:val="18"/>
                <w:szCs w:val="18"/>
                <w:color w:val="auto"/>
              </w:rPr>
              <w:t>Subsidiary Guarantors</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Schedule 1.01(c)</w:t>
            </w:r>
          </w:p>
        </w:tc>
        <w:tc>
          <w:tcPr>
            <w:tcW w:w="6660" w:type="dxa"/>
            <w:vAlign w:val="bottom"/>
          </w:tcPr>
          <w:p>
            <w:pPr>
              <w:ind w:left="1600"/>
              <w:spacing w:after="0"/>
              <w:rPr>
                <w:sz w:val="20"/>
                <w:szCs w:val="20"/>
                <w:color w:val="auto"/>
              </w:rPr>
            </w:pPr>
            <w:r>
              <w:rPr>
                <w:rFonts w:ascii="Arial" w:cs="Arial" w:eastAsia="Arial" w:hAnsi="Arial"/>
                <w:sz w:val="18"/>
                <w:szCs w:val="18"/>
                <w:color w:val="auto"/>
              </w:rPr>
              <w:t>Existing Letters of Credit</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Schedule 3.03</w:t>
            </w:r>
          </w:p>
        </w:tc>
        <w:tc>
          <w:tcPr>
            <w:tcW w:w="6660" w:type="dxa"/>
            <w:vAlign w:val="bottom"/>
          </w:tcPr>
          <w:p>
            <w:pPr>
              <w:ind w:left="1600"/>
              <w:spacing w:after="0"/>
              <w:rPr>
                <w:sz w:val="20"/>
                <w:szCs w:val="20"/>
                <w:color w:val="auto"/>
              </w:rPr>
            </w:pPr>
            <w:r>
              <w:rPr>
                <w:rFonts w:ascii="Arial" w:cs="Arial" w:eastAsia="Arial" w:hAnsi="Arial"/>
                <w:sz w:val="18"/>
                <w:szCs w:val="18"/>
                <w:color w:val="auto"/>
              </w:rPr>
              <w:t>Governmental Approvals; Compliance with Laws</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Schedule 3.06(c)</w:t>
            </w:r>
          </w:p>
        </w:tc>
        <w:tc>
          <w:tcPr>
            <w:tcW w:w="6660" w:type="dxa"/>
            <w:vAlign w:val="bottom"/>
          </w:tcPr>
          <w:p>
            <w:pPr>
              <w:ind w:left="1600"/>
              <w:spacing w:after="0"/>
              <w:rPr>
                <w:sz w:val="20"/>
                <w:szCs w:val="20"/>
                <w:color w:val="auto"/>
              </w:rPr>
            </w:pPr>
            <w:r>
              <w:rPr>
                <w:rFonts w:ascii="Arial" w:cs="Arial" w:eastAsia="Arial" w:hAnsi="Arial"/>
                <w:sz w:val="18"/>
                <w:szCs w:val="18"/>
                <w:color w:val="auto"/>
              </w:rPr>
              <w:t>Violations or Proceedings</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Schedule 3.07(a)</w:t>
            </w:r>
          </w:p>
        </w:tc>
        <w:tc>
          <w:tcPr>
            <w:tcW w:w="6660" w:type="dxa"/>
            <w:vAlign w:val="bottom"/>
          </w:tcPr>
          <w:p>
            <w:pPr>
              <w:ind w:left="1600"/>
              <w:spacing w:after="0"/>
              <w:rPr>
                <w:sz w:val="20"/>
                <w:szCs w:val="20"/>
                <w:color w:val="auto"/>
              </w:rPr>
            </w:pPr>
            <w:r>
              <w:rPr>
                <w:rFonts w:ascii="Arial" w:cs="Arial" w:eastAsia="Arial" w:hAnsi="Arial"/>
                <w:sz w:val="18"/>
                <w:szCs w:val="18"/>
                <w:color w:val="auto"/>
              </w:rPr>
              <w:t>Certain Equity Interests and Subsidiaries</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Schedule 3.19</w:t>
            </w:r>
          </w:p>
        </w:tc>
        <w:tc>
          <w:tcPr>
            <w:tcW w:w="6660" w:type="dxa"/>
            <w:vAlign w:val="bottom"/>
          </w:tcPr>
          <w:p>
            <w:pPr>
              <w:ind w:left="1600"/>
              <w:spacing w:after="0"/>
              <w:rPr>
                <w:sz w:val="20"/>
                <w:szCs w:val="20"/>
                <w:color w:val="auto"/>
              </w:rPr>
            </w:pPr>
            <w:r>
              <w:rPr>
                <w:rFonts w:ascii="Arial" w:cs="Arial" w:eastAsia="Arial" w:hAnsi="Arial"/>
                <w:sz w:val="18"/>
                <w:szCs w:val="18"/>
                <w:color w:val="auto"/>
              </w:rPr>
              <w:t>Insurance</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Schedule 3.21</w:t>
            </w:r>
          </w:p>
        </w:tc>
        <w:tc>
          <w:tcPr>
            <w:tcW w:w="6660" w:type="dxa"/>
            <w:vAlign w:val="bottom"/>
          </w:tcPr>
          <w:p>
            <w:pPr>
              <w:ind w:left="1600"/>
              <w:spacing w:after="0"/>
              <w:rPr>
                <w:sz w:val="20"/>
                <w:szCs w:val="20"/>
                <w:color w:val="auto"/>
              </w:rPr>
            </w:pPr>
            <w:r>
              <w:rPr>
                <w:rFonts w:ascii="Arial" w:cs="Arial" w:eastAsia="Arial" w:hAnsi="Arial"/>
                <w:sz w:val="18"/>
                <w:szCs w:val="18"/>
                <w:color w:val="auto"/>
              </w:rPr>
              <w:t>Acquisition Documents</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Schedule 4.01(g)</w:t>
            </w:r>
          </w:p>
        </w:tc>
        <w:tc>
          <w:tcPr>
            <w:tcW w:w="6660" w:type="dxa"/>
            <w:vAlign w:val="bottom"/>
          </w:tcPr>
          <w:p>
            <w:pPr>
              <w:ind w:left="1600"/>
              <w:spacing w:after="0"/>
              <w:rPr>
                <w:sz w:val="20"/>
                <w:szCs w:val="20"/>
                <w:color w:val="auto"/>
              </w:rPr>
            </w:pPr>
            <w:r>
              <w:rPr>
                <w:rFonts w:ascii="Arial" w:cs="Arial" w:eastAsia="Arial" w:hAnsi="Arial"/>
                <w:sz w:val="18"/>
                <w:szCs w:val="18"/>
                <w:color w:val="auto"/>
              </w:rPr>
              <w:t>Local and Foreign Counsel</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Schedule 4.01(n)(vi)</w:t>
            </w:r>
          </w:p>
        </w:tc>
        <w:tc>
          <w:tcPr>
            <w:tcW w:w="6660" w:type="dxa"/>
            <w:vAlign w:val="bottom"/>
          </w:tcPr>
          <w:p>
            <w:pPr>
              <w:ind w:left="1600"/>
              <w:spacing w:after="0"/>
              <w:rPr>
                <w:sz w:val="20"/>
                <w:szCs w:val="20"/>
                <w:color w:val="auto"/>
              </w:rPr>
            </w:pPr>
            <w:r>
              <w:rPr>
                <w:rFonts w:ascii="Arial" w:cs="Arial" w:eastAsia="Arial" w:hAnsi="Arial"/>
                <w:sz w:val="18"/>
                <w:szCs w:val="18"/>
                <w:color w:val="auto"/>
              </w:rPr>
              <w:t>Landlord Access Agreements</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Schedule 4.01(o)(iii)</w:t>
            </w:r>
          </w:p>
        </w:tc>
        <w:tc>
          <w:tcPr>
            <w:tcW w:w="6660" w:type="dxa"/>
            <w:vAlign w:val="bottom"/>
          </w:tcPr>
          <w:p>
            <w:pPr>
              <w:ind w:left="1600"/>
              <w:spacing w:after="0"/>
              <w:rPr>
                <w:sz w:val="20"/>
                <w:szCs w:val="20"/>
                <w:color w:val="auto"/>
              </w:rPr>
            </w:pPr>
            <w:r>
              <w:rPr>
                <w:rFonts w:ascii="Arial" w:cs="Arial" w:eastAsia="Arial" w:hAnsi="Arial"/>
                <w:sz w:val="18"/>
                <w:szCs w:val="18"/>
                <w:color w:val="auto"/>
              </w:rPr>
              <w:t>Title Insurance Amounts</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Schedule 5.13</w:t>
            </w:r>
          </w:p>
        </w:tc>
        <w:tc>
          <w:tcPr>
            <w:tcW w:w="6660" w:type="dxa"/>
            <w:vAlign w:val="bottom"/>
          </w:tcPr>
          <w:p>
            <w:pPr>
              <w:ind w:left="1600"/>
              <w:spacing w:after="0"/>
              <w:rPr>
                <w:sz w:val="20"/>
                <w:szCs w:val="20"/>
                <w:color w:val="auto"/>
              </w:rPr>
            </w:pPr>
            <w:r>
              <w:rPr>
                <w:rFonts w:ascii="Arial" w:cs="Arial" w:eastAsia="Arial" w:hAnsi="Arial"/>
                <w:sz w:val="18"/>
                <w:szCs w:val="18"/>
                <w:color w:val="auto"/>
              </w:rPr>
              <w:t>Post-Closing Covenants</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Schedule 6.01(b)</w:t>
            </w:r>
          </w:p>
        </w:tc>
        <w:tc>
          <w:tcPr>
            <w:tcW w:w="6660" w:type="dxa"/>
            <w:vAlign w:val="bottom"/>
          </w:tcPr>
          <w:p>
            <w:pPr>
              <w:ind w:left="1600"/>
              <w:spacing w:after="0"/>
              <w:rPr>
                <w:sz w:val="20"/>
                <w:szCs w:val="20"/>
                <w:color w:val="auto"/>
              </w:rPr>
            </w:pPr>
            <w:r>
              <w:rPr>
                <w:rFonts w:ascii="Arial" w:cs="Arial" w:eastAsia="Arial" w:hAnsi="Arial"/>
                <w:sz w:val="18"/>
                <w:szCs w:val="18"/>
                <w:color w:val="auto"/>
              </w:rPr>
              <w:t>Existing Indebtedness</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Schedule 6.02(c)</w:t>
            </w:r>
          </w:p>
        </w:tc>
        <w:tc>
          <w:tcPr>
            <w:tcW w:w="6660" w:type="dxa"/>
            <w:vAlign w:val="bottom"/>
          </w:tcPr>
          <w:p>
            <w:pPr>
              <w:ind w:left="1600"/>
              <w:spacing w:after="0"/>
              <w:rPr>
                <w:sz w:val="20"/>
                <w:szCs w:val="20"/>
                <w:color w:val="auto"/>
              </w:rPr>
            </w:pPr>
            <w:r>
              <w:rPr>
                <w:rFonts w:ascii="Arial" w:cs="Arial" w:eastAsia="Arial" w:hAnsi="Arial"/>
                <w:sz w:val="18"/>
                <w:szCs w:val="18"/>
                <w:color w:val="auto"/>
              </w:rPr>
              <w:t>Existing Liens</w:t>
            </w:r>
          </w:p>
        </w:tc>
        <w:tc>
          <w:tcPr>
            <w:tcW w:w="1660" w:type="dxa"/>
            <w:vAlign w:val="bottom"/>
          </w:tcPr>
          <w:p>
            <w:pPr>
              <w:spacing w:after="0"/>
              <w:rPr>
                <w:sz w:val="18"/>
                <w:szCs w:val="18"/>
                <w:color w:val="auto"/>
              </w:rPr>
            </w:pPr>
          </w:p>
        </w:tc>
      </w:tr>
      <w:tr>
        <w:trPr>
          <w:trHeight w:val="230"/>
        </w:trPr>
        <w:tc>
          <w:tcPr>
            <w:tcW w:w="3100" w:type="dxa"/>
            <w:vAlign w:val="bottom"/>
            <w:gridSpan w:val="4"/>
          </w:tcPr>
          <w:p>
            <w:pPr>
              <w:spacing w:after="0"/>
              <w:rPr>
                <w:sz w:val="20"/>
                <w:szCs w:val="20"/>
                <w:color w:val="auto"/>
              </w:rPr>
            </w:pPr>
            <w:r>
              <w:rPr>
                <w:rFonts w:ascii="Arial" w:cs="Arial" w:eastAsia="Arial" w:hAnsi="Arial"/>
                <w:sz w:val="18"/>
                <w:szCs w:val="18"/>
                <w:color w:val="auto"/>
              </w:rPr>
              <w:t>Schedule 6.04(b)</w:t>
            </w:r>
          </w:p>
        </w:tc>
        <w:tc>
          <w:tcPr>
            <w:tcW w:w="6660" w:type="dxa"/>
            <w:vAlign w:val="bottom"/>
          </w:tcPr>
          <w:p>
            <w:pPr>
              <w:ind w:left="1600"/>
              <w:spacing w:after="0"/>
              <w:rPr>
                <w:sz w:val="20"/>
                <w:szCs w:val="20"/>
                <w:color w:val="auto"/>
              </w:rPr>
            </w:pPr>
            <w:r>
              <w:rPr>
                <w:rFonts w:ascii="Arial" w:cs="Arial" w:eastAsia="Arial" w:hAnsi="Arial"/>
                <w:sz w:val="18"/>
                <w:szCs w:val="18"/>
                <w:color w:val="auto"/>
              </w:rPr>
              <w:t>Existing Investments</w:t>
            </w:r>
          </w:p>
        </w:tc>
        <w:tc>
          <w:tcPr>
            <w:tcW w:w="1660" w:type="dxa"/>
            <w:vAlign w:val="bottom"/>
          </w:tcPr>
          <w:p>
            <w:pPr>
              <w:spacing w:after="0"/>
              <w:rPr>
                <w:sz w:val="20"/>
                <w:szCs w:val="20"/>
                <w:color w:val="auto"/>
              </w:rPr>
            </w:pPr>
          </w:p>
        </w:tc>
      </w:tr>
      <w:tr>
        <w:trPr>
          <w:trHeight w:val="392"/>
        </w:trPr>
        <w:tc>
          <w:tcPr>
            <w:tcW w:w="3100" w:type="dxa"/>
            <w:vAlign w:val="bottom"/>
            <w:gridSpan w:val="4"/>
          </w:tcPr>
          <w:p>
            <w:pPr>
              <w:spacing w:after="0"/>
              <w:rPr>
                <w:sz w:val="20"/>
                <w:szCs w:val="20"/>
                <w:color w:val="auto"/>
              </w:rPr>
            </w:pPr>
            <w:r>
              <w:rPr>
                <w:rFonts w:ascii="Arial" w:cs="Arial" w:eastAsia="Arial" w:hAnsi="Arial"/>
                <w:sz w:val="18"/>
                <w:szCs w:val="18"/>
                <w:color w:val="auto"/>
              </w:rPr>
              <w:t>EXHIBITS</w:t>
            </w:r>
          </w:p>
        </w:tc>
        <w:tc>
          <w:tcPr>
            <w:tcW w:w="66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2"/>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2280" w:type="dxa"/>
            <w:vAlign w:val="bottom"/>
            <w:gridSpan w:val="3"/>
          </w:tcPr>
          <w:p>
            <w:pPr>
              <w:spacing w:after="0"/>
              <w:rPr>
                <w:sz w:val="19"/>
                <w:szCs w:val="19"/>
                <w:color w:val="auto"/>
              </w:rPr>
            </w:pPr>
          </w:p>
        </w:tc>
        <w:tc>
          <w:tcPr>
            <w:tcW w:w="6660" w:type="dxa"/>
            <w:vAlign w:val="bottom"/>
          </w:tcPr>
          <w:p>
            <w:pPr>
              <w:ind w:left="1600"/>
              <w:spacing w:after="0"/>
              <w:rPr>
                <w:sz w:val="20"/>
                <w:szCs w:val="20"/>
                <w:color w:val="auto"/>
              </w:rPr>
            </w:pPr>
            <w:r>
              <w:rPr>
                <w:rFonts w:ascii="Arial" w:cs="Arial" w:eastAsia="Arial" w:hAnsi="Arial"/>
                <w:sz w:val="18"/>
                <w:szCs w:val="18"/>
                <w:color w:val="auto"/>
              </w:rPr>
              <w:t>Form of Administrative Questionnaire</w:t>
            </w:r>
          </w:p>
        </w:tc>
        <w:tc>
          <w:tcPr>
            <w:tcW w:w="1660" w:type="dxa"/>
            <w:vAlign w:val="bottom"/>
          </w:tcPr>
          <w:p>
            <w:pPr>
              <w:spacing w:after="0"/>
              <w:rPr>
                <w:sz w:val="19"/>
                <w:szCs w:val="19"/>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B</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Assignment and Assumption</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C</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Borrowing Request</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D</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Compliance Certificate</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E</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Interest Election Request</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F</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Joinder Agreement</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G</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Landlord Access Agreement</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H</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LC Request</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I</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Lender Addendum</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J</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Mortgage</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K-1</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Dollar Term Note</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K-2</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Euro Term Note</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K-3</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GBP Term Note</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K-4</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Revolving Note</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K-5</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Swingline Note</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L-1</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Perfection Certificate</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L-2</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Perfection Certificate Supplement</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M</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Security Agreement</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N</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Opinion of Company Counsel</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O</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Solvency Certificate</w:t>
            </w:r>
          </w:p>
        </w:tc>
        <w:tc>
          <w:tcPr>
            <w:tcW w:w="1660" w:type="dxa"/>
            <w:vAlign w:val="bottom"/>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rPr>
              <w:t>Exhibit P</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Intercompany Note</w:t>
            </w:r>
          </w:p>
        </w:tc>
        <w:tc>
          <w:tcPr>
            <w:tcW w:w="1660" w:type="dxa"/>
            <w:vAlign w:val="bottom"/>
          </w:tcPr>
          <w:p>
            <w:pPr>
              <w:spacing w:after="0"/>
              <w:rPr>
                <w:sz w:val="18"/>
                <w:szCs w:val="18"/>
                <w:color w:val="auto"/>
              </w:rPr>
            </w:pPr>
          </w:p>
        </w:tc>
      </w:tr>
      <w:tr>
        <w:trPr>
          <w:trHeight w:val="230"/>
        </w:trPr>
        <w:tc>
          <w:tcPr>
            <w:tcW w:w="3100" w:type="dxa"/>
            <w:vAlign w:val="bottom"/>
            <w:gridSpan w:val="4"/>
          </w:tcPr>
          <w:p>
            <w:pPr>
              <w:spacing w:after="0"/>
              <w:rPr>
                <w:sz w:val="20"/>
                <w:szCs w:val="20"/>
                <w:color w:val="auto"/>
              </w:rPr>
            </w:pPr>
            <w:r>
              <w:rPr>
                <w:rFonts w:ascii="Arial" w:cs="Arial" w:eastAsia="Arial" w:hAnsi="Arial"/>
                <w:sz w:val="18"/>
                <w:szCs w:val="18"/>
                <w:color w:val="auto"/>
              </w:rPr>
              <w:t>Exhibit Q</w:t>
            </w:r>
          </w:p>
        </w:tc>
        <w:tc>
          <w:tcPr>
            <w:tcW w:w="6660" w:type="dxa"/>
            <w:vAlign w:val="bottom"/>
          </w:tcPr>
          <w:p>
            <w:pPr>
              <w:ind w:left="1600"/>
              <w:spacing w:after="0"/>
              <w:rPr>
                <w:sz w:val="20"/>
                <w:szCs w:val="20"/>
                <w:color w:val="auto"/>
              </w:rPr>
            </w:pPr>
            <w:r>
              <w:rPr>
                <w:rFonts w:ascii="Arial" w:cs="Arial" w:eastAsia="Arial" w:hAnsi="Arial"/>
                <w:sz w:val="18"/>
                <w:szCs w:val="18"/>
                <w:color w:val="auto"/>
              </w:rPr>
              <w:t>Form of Non-Bank Certificate</w:t>
            </w:r>
          </w:p>
        </w:tc>
        <w:tc>
          <w:tcPr>
            <w:tcW w:w="1660" w:type="dxa"/>
            <w:vAlign w:val="bottom"/>
          </w:tcPr>
          <w:p>
            <w:pPr>
              <w:spacing w:after="0"/>
              <w:rPr>
                <w:sz w:val="20"/>
                <w:szCs w:val="20"/>
                <w:color w:val="auto"/>
              </w:rPr>
            </w:pPr>
          </w:p>
        </w:tc>
      </w:tr>
      <w:tr>
        <w:trPr>
          <w:trHeight w:val="605"/>
        </w:trPr>
        <w:tc>
          <w:tcPr>
            <w:tcW w:w="8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666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CREDIT AGREEMENT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CREDIT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April 18, 2007, among ITRON, INC., a Washington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the Subsidiary Guarantors (such term and each other capitalized term used but not defined herein having the meaning given to it in Article 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Lenders, UBS SECURITIES LLC, as lead arranger (in such capacity, “</w:t>
      </w:r>
      <w:r>
        <w:rPr>
          <w:rFonts w:ascii="Arial" w:cs="Arial" w:eastAsia="Arial" w:hAnsi="Arial"/>
          <w:sz w:val="16"/>
          <w:szCs w:val="16"/>
          <w:b w:val="1"/>
          <w:bCs w:val="1"/>
          <w:color w:val="auto"/>
        </w:rPr>
        <w:t>Arranger</w:t>
      </w:r>
      <w:r>
        <w:rPr>
          <w:rFonts w:ascii="Arial" w:cs="Arial" w:eastAsia="Arial" w:hAnsi="Arial"/>
          <w:sz w:val="16"/>
          <w:szCs w:val="16"/>
          <w:color w:val="auto"/>
        </w:rPr>
        <w:t>”), and as syndication agent (in such capacity, “</w:t>
      </w:r>
      <w:r>
        <w:rPr>
          <w:rFonts w:ascii="Arial" w:cs="Arial" w:eastAsia="Arial" w:hAnsi="Arial"/>
          <w:sz w:val="16"/>
          <w:szCs w:val="16"/>
          <w:b w:val="1"/>
          <w:bCs w:val="1"/>
          <w:color w:val="auto"/>
        </w:rPr>
        <w:t>Syndication Agent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WELLS FARGO BANK, NATIONAL ASSOCIATION, as swingline lender (in such capacity, “</w:t>
      </w:r>
      <w:r>
        <w:rPr>
          <w:rFonts w:ascii="Arial" w:cs="Arial" w:eastAsia="Arial" w:hAnsi="Arial"/>
          <w:sz w:val="17"/>
          <w:szCs w:val="17"/>
          <w:b w:val="1"/>
          <w:bCs w:val="1"/>
          <w:color w:val="auto"/>
        </w:rPr>
        <w:t>Swingline Lender</w:t>
      </w:r>
      <w:r>
        <w:rPr>
          <w:rFonts w:ascii="Arial" w:cs="Arial" w:eastAsia="Arial" w:hAnsi="Arial"/>
          <w:sz w:val="17"/>
          <w:szCs w:val="17"/>
          <w:color w:val="auto"/>
        </w:rPr>
        <w:t>”), as an Issuing Bank, as administrative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agent (in such capacity, “</w:t>
      </w:r>
      <w:r>
        <w:rPr>
          <w:rFonts w:ascii="Arial" w:cs="Arial" w:eastAsia="Arial" w:hAnsi="Arial"/>
          <w:sz w:val="16"/>
          <w:szCs w:val="16"/>
          <w:b w:val="1"/>
          <w:bCs w:val="1"/>
          <w:color w:val="auto"/>
        </w:rPr>
        <w:t>Administrative Agent</w:t>
      </w:r>
      <w:r>
        <w:rPr>
          <w:rFonts w:ascii="Arial" w:cs="Arial" w:eastAsia="Arial" w:hAnsi="Arial"/>
          <w:sz w:val="16"/>
          <w:szCs w:val="16"/>
          <w:color w:val="auto"/>
        </w:rPr>
        <w:t>”) for the Lenders and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for the Secured Parties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each Issuing Bank, and MIZUHO CORPORATE BANK, LTD., as an Issuing Bank as documentation agent (in such capacity, “</w:t>
      </w:r>
      <w:r>
        <w:rPr>
          <w:rFonts w:ascii="Arial" w:cs="Arial" w:eastAsia="Arial" w:hAnsi="Arial"/>
          <w:sz w:val="17"/>
          <w:szCs w:val="17"/>
          <w:b w:val="1"/>
          <w:bCs w:val="1"/>
          <w:color w:val="auto"/>
        </w:rPr>
        <w:t>Documentation Agent</w:t>
      </w:r>
      <w:r>
        <w:rPr>
          <w:rFonts w:ascii="Arial" w:cs="Arial" w:eastAsia="Arial" w:hAnsi="Arial"/>
          <w:sz w:val="17"/>
          <w:szCs w:val="17"/>
          <w:color w:val="auto"/>
        </w:rPr>
        <w:t>”).</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WITNESSETH:</w:t>
      </w:r>
    </w:p>
    <w:p>
      <w:pPr>
        <w:spacing w:after="0" w:line="200" w:lineRule="exact"/>
        <w:rPr>
          <w:sz w:val="20"/>
          <w:szCs w:val="20"/>
          <w:color w:val="auto"/>
        </w:rPr>
      </w:pPr>
    </w:p>
    <w:p>
      <w:pPr>
        <w:spacing w:after="0" w:line="299"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WHEREAS, Borrower has entered into a Stock Purchase Agreement, dated as of February 25, 2007 (as amended, supplemented or otherwise modified from time to time in accordance with the provisions hereof and thereof, the “</w:t>
      </w:r>
      <w:r>
        <w:rPr>
          <w:rFonts w:ascii="Arial" w:cs="Arial" w:eastAsia="Arial" w:hAnsi="Arial"/>
          <w:sz w:val="18"/>
          <w:szCs w:val="18"/>
          <w:b w:val="1"/>
          <w:bCs w:val="1"/>
          <w:color w:val="auto"/>
        </w:rPr>
        <w:t>Acquisition Agreement</w:t>
      </w:r>
      <w:r>
        <w:rPr>
          <w:rFonts w:ascii="Arial" w:cs="Arial" w:eastAsia="Arial" w:hAnsi="Arial"/>
          <w:sz w:val="18"/>
          <w:szCs w:val="18"/>
          <w:color w:val="auto"/>
        </w:rPr>
        <w:t>”), with the stockholders of the Acquired Business (“</w:t>
      </w:r>
      <w:r>
        <w:rPr>
          <w:rFonts w:ascii="Arial" w:cs="Arial" w:eastAsia="Arial" w:hAnsi="Arial"/>
          <w:sz w:val="18"/>
          <w:szCs w:val="18"/>
          <w:b w:val="1"/>
          <w:bCs w:val="1"/>
          <w:color w:val="auto"/>
        </w:rPr>
        <w:t>Sellers</w:t>
      </w:r>
      <w:r>
        <w:rPr>
          <w:rFonts w:ascii="Arial" w:cs="Arial" w:eastAsia="Arial" w:hAnsi="Arial"/>
          <w:sz w:val="18"/>
          <w:szCs w:val="18"/>
          <w:color w:val="auto"/>
        </w:rPr>
        <w:t>”), LBO France Gestion SAS, and Actaris Metering Systems S.A., a Luxembourg public limited liability company, having its registered office at 26, rue de Louvigny, L-1946, Luxembourg and registered with the Luxembourg Trade and Companies Register under the number B 108445 (the “</w:t>
      </w:r>
      <w:r>
        <w:rPr>
          <w:rFonts w:ascii="Arial" w:cs="Arial" w:eastAsia="Arial" w:hAnsi="Arial"/>
          <w:sz w:val="18"/>
          <w:szCs w:val="18"/>
          <w:b w:val="1"/>
          <w:bCs w:val="1"/>
          <w:color w:val="auto"/>
        </w:rPr>
        <w:t>Acquired Business</w:t>
      </w:r>
      <w:r>
        <w:rPr>
          <w:rFonts w:ascii="Arial" w:cs="Arial" w:eastAsia="Arial" w:hAnsi="Arial"/>
          <w:sz w:val="18"/>
          <w:szCs w:val="18"/>
          <w:color w:val="auto"/>
        </w:rPr>
        <w:t>”), to acquire (the “</w:t>
      </w:r>
      <w:r>
        <w:rPr>
          <w:rFonts w:ascii="Arial" w:cs="Arial" w:eastAsia="Arial" w:hAnsi="Arial"/>
          <w:sz w:val="18"/>
          <w:szCs w:val="18"/>
          <w:b w:val="1"/>
          <w:bCs w:val="1"/>
          <w:color w:val="auto"/>
        </w:rPr>
        <w:t>Acquisition</w:t>
      </w:r>
      <w:r>
        <w:rPr>
          <w:rFonts w:ascii="Arial" w:cs="Arial" w:eastAsia="Arial" w:hAnsi="Arial"/>
          <w:sz w:val="18"/>
          <w:szCs w:val="18"/>
          <w:color w:val="auto"/>
        </w:rPr>
        <w:t>”) 100% of (a) the issued and outstanding shares of common stock, par value €25 per share, of the Acquired Business (the “</w:t>
      </w:r>
      <w:r>
        <w:rPr>
          <w:rFonts w:ascii="Arial" w:cs="Arial" w:eastAsia="Arial" w:hAnsi="Arial"/>
          <w:sz w:val="18"/>
          <w:szCs w:val="18"/>
          <w:b w:val="1"/>
          <w:bCs w:val="1"/>
          <w:color w:val="auto"/>
        </w:rPr>
        <w:t>Acquired Business Common Stock</w:t>
      </w:r>
      <w:r>
        <w:rPr>
          <w:rFonts w:ascii="Arial" w:cs="Arial" w:eastAsia="Arial" w:hAnsi="Arial"/>
          <w:sz w:val="18"/>
          <w:szCs w:val="18"/>
          <w:color w:val="auto"/>
        </w:rPr>
        <w:t>”) and (b) the outstanding convertible bonds issued by the Acquired Business (the “</w:t>
      </w:r>
      <w:r>
        <w:rPr>
          <w:rFonts w:ascii="Arial" w:cs="Arial" w:eastAsia="Arial" w:hAnsi="Arial"/>
          <w:sz w:val="18"/>
          <w:szCs w:val="18"/>
          <w:b w:val="1"/>
          <w:bCs w:val="1"/>
          <w:color w:val="auto"/>
        </w:rPr>
        <w:t>Acquired Business Convertible Bonds</w:t>
      </w:r>
      <w:r>
        <w:rPr>
          <w:rFonts w:ascii="Arial" w:cs="Arial" w:eastAsia="Arial" w:hAnsi="Arial"/>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WHEREAS, the Acquisition will be effected through the purchase by Borrower and its Subsidiaries from Sellers of the Acquired Business Common Stock and the Acquired Business Convertible Bonds.</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Equity Financing shall have been consummated prior to the date hereof.</w:t>
      </w:r>
    </w:p>
    <w:p>
      <w:pPr>
        <w:spacing w:after="0" w:line="200" w:lineRule="exact"/>
        <w:rPr>
          <w:sz w:val="20"/>
          <w:szCs w:val="20"/>
          <w:color w:val="auto"/>
        </w:rPr>
      </w:pPr>
    </w:p>
    <w:p>
      <w:pPr>
        <w:spacing w:after="0" w:line="29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WHEREAS, Borrower has requested the Lenders to extend credit in the form of (a) Dollar Term Loans on the Closing Date, in an aggregate principal amount not in excess of $605.1 million, (b) Euro Term Loans on the Closing Date, in an aggregate principal amount not in excess of €335.0 million,</w:t>
      </w:r>
    </w:p>
    <w:p>
      <w:pPr>
        <w:ind w:right="160" w:firstLine="8"/>
        <w:spacing w:after="0" w:line="255" w:lineRule="auto"/>
        <w:tabs>
          <w:tab w:leader="none" w:pos="24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GBP Term Loans on the Closing Date, in an aggregate principal amount not in excess of £50.0 million and (d) Revolving Loans, to be made available in Approved Currencies, at any time and from time to time, following the Closing Date and prior to the Revolving Maturity Date, in an aggregate principal amount at any time outstanding not in excess of $115.0 million.</w:t>
      </w:r>
    </w:p>
    <w:p>
      <w:pPr>
        <w:spacing w:after="0" w:line="200" w:lineRule="exact"/>
        <w:rPr>
          <w:sz w:val="20"/>
          <w:szCs w:val="20"/>
          <w:color w:val="auto"/>
        </w:rPr>
      </w:pPr>
    </w:p>
    <w:p>
      <w:pPr>
        <w:spacing w:after="0" w:line="260"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WHEREAS, Borrower has requested the Swingline Lender to make Swingline Loans, to be made available in Dollars, at any time and from time to time, following the Closing Date and prior to the Revolving Maturity Date, in an aggregate principal amount at any time outstanding not in excess of $15.0 million.</w:t>
      </w:r>
    </w:p>
    <w:p>
      <w:pPr>
        <w:spacing w:after="0" w:line="200" w:lineRule="exact"/>
        <w:rPr>
          <w:sz w:val="20"/>
          <w:szCs w:val="20"/>
          <w:color w:val="auto"/>
        </w:rPr>
      </w:pPr>
    </w:p>
    <w:p>
      <w:pPr>
        <w:spacing w:after="0" w:line="251"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WHEREAS, Borrower has requested the Issuing Bank to issue letters of credit, to be made available in Approved Currencies, in an aggregate face amount for all letters of credit at any time outstanding not in excess of $100.0 million, to support payment obligations incurred in the ordinary course of business by Borrower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94" w:right="259" w:bottom="1440" w:gutter="0" w:footer="0" w:header="0"/>
        </w:sectPr>
      </w:pPr>
    </w:p>
    <w:bookmarkStart w:id="53" w:name="page54"/>
    <w:bookmarkEnd w:id="53"/>
    <w:p>
      <w:pPr>
        <w:ind w:left="1300"/>
        <w:spacing w:after="0"/>
        <w:rPr>
          <w:sz w:val="20"/>
          <w:szCs w:val="20"/>
          <w:color w:val="auto"/>
        </w:rPr>
      </w:pPr>
      <w:r>
        <w:rPr>
          <w:rFonts w:ascii="Arial" w:cs="Arial" w:eastAsia="Arial" w:hAnsi="Arial"/>
          <w:sz w:val="18"/>
          <w:szCs w:val="18"/>
          <w:color w:val="auto"/>
        </w:rPr>
        <w:t xml:space="preserve">WHEREAS, the proceeds of the Loans are to be used in accordance with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240" w:firstLine="1297"/>
        <w:spacing w:after="0" w:line="308" w:lineRule="auto"/>
        <w:rPr>
          <w:sz w:val="20"/>
          <w:szCs w:val="20"/>
          <w:color w:val="auto"/>
        </w:rPr>
      </w:pPr>
      <w:r>
        <w:rPr>
          <w:rFonts w:ascii="Arial" w:cs="Arial" w:eastAsia="Arial" w:hAnsi="Arial"/>
          <w:sz w:val="17"/>
          <w:szCs w:val="17"/>
          <w:color w:val="auto"/>
        </w:rPr>
        <w:t>NOW, THEREFORE, the Lenders are willing to extend such credit to Borrower and each Issuing Bank is willing to issue letters of credit for the account of Borrower on the terms and subject to the conditions set forth herein. Accordingly, the parties hereto agree as follows:</w:t>
      </w:r>
    </w:p>
    <w:p>
      <w:pPr>
        <w:spacing w:after="0" w:line="200" w:lineRule="exact"/>
        <w:rPr>
          <w:sz w:val="20"/>
          <w:szCs w:val="20"/>
          <w:color w:val="auto"/>
        </w:rPr>
      </w:pPr>
    </w:p>
    <w:p>
      <w:pPr>
        <w:spacing w:after="0" w:line="21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ARTICLE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0" w:lineRule="exact"/>
        <w:rPr>
          <w:sz w:val="20"/>
          <w:szCs w:val="20"/>
          <w:color w:val="auto"/>
        </w:rPr>
      </w:pPr>
    </w:p>
    <w:p>
      <w:pPr>
        <w:spacing w:after="0" w:line="32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u w:val="single" w:color="auto"/>
          <w:color w:val="auto"/>
        </w:rPr>
        <w:t>Defined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As used in this Agreement, the following terms shall have the meanings specified below:</w:t>
      </w:r>
    </w:p>
    <w:p>
      <w:pPr>
        <w:spacing w:after="0" w:line="200" w:lineRule="exact"/>
        <w:rPr>
          <w:sz w:val="20"/>
          <w:szCs w:val="20"/>
          <w:color w:val="auto"/>
        </w:rPr>
      </w:pPr>
    </w:p>
    <w:p>
      <w:pPr>
        <w:spacing w:after="0" w:line="291"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w:t>
      </w:r>
      <w:r>
        <w:rPr>
          <w:rFonts w:ascii="Arial" w:cs="Arial" w:eastAsia="Arial" w:hAnsi="Arial"/>
          <w:sz w:val="18"/>
          <w:szCs w:val="18"/>
          <w:color w:val="auto"/>
        </w:rPr>
        <w:t>”, when used in reference to any Loan or Borrowing, is used when such Loan, or the Loans comprising such Borrowing, are bearing interest at a rate determined by reference to the Alternate Base Rate.</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Borrowing</w:t>
      </w:r>
      <w:r>
        <w:rPr>
          <w:rFonts w:ascii="Arial" w:cs="Arial" w:eastAsia="Arial" w:hAnsi="Arial"/>
          <w:sz w:val="18"/>
          <w:szCs w:val="18"/>
          <w:color w:val="auto"/>
        </w:rPr>
        <w:t>” shall mean a Borrowing comprised of ABR Loans.</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w:t>
      </w:r>
      <w:r>
        <w:rPr>
          <w:rFonts w:ascii="Arial" w:cs="Arial" w:eastAsia="Arial" w:hAnsi="Arial"/>
          <w:sz w:val="18"/>
          <w:szCs w:val="18"/>
          <w:color w:val="auto"/>
        </w:rPr>
        <w:t>” shall mean any ABR Term Loan, ABR Revolving Loan or Swingline Loan.</w:t>
      </w:r>
    </w:p>
    <w:p>
      <w:pPr>
        <w:spacing w:after="0" w:line="200" w:lineRule="exact"/>
        <w:rPr>
          <w:sz w:val="20"/>
          <w:szCs w:val="20"/>
          <w:color w:val="auto"/>
        </w:rPr>
      </w:pPr>
    </w:p>
    <w:p>
      <w:pPr>
        <w:spacing w:after="0" w:line="295"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Revolving Loan</w:t>
      </w:r>
      <w:r>
        <w:rPr>
          <w:rFonts w:ascii="Arial" w:cs="Arial" w:eastAsia="Arial" w:hAnsi="Arial"/>
          <w:sz w:val="18"/>
          <w:szCs w:val="18"/>
          <w:color w:val="auto"/>
        </w:rPr>
        <w:t xml:space="preserve">” shall mean any Revolving Loan bearing interest at a rate determined by reference to the Alternate Base Rate in accordance with 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Term Loan</w:t>
      </w:r>
      <w:r>
        <w:rPr>
          <w:rFonts w:ascii="Arial" w:cs="Arial" w:eastAsia="Arial" w:hAnsi="Arial"/>
          <w:sz w:val="18"/>
          <w:szCs w:val="18"/>
          <w:color w:val="auto"/>
        </w:rPr>
        <w:t xml:space="preserve">” shall mean any Term Loan bearing interest at a rate determined by reference to the Alternate Base Rate in accordance with 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Business</w:t>
      </w:r>
      <w:r>
        <w:rPr>
          <w:rFonts w:ascii="Arial" w:cs="Arial" w:eastAsia="Arial" w:hAnsi="Arial"/>
          <w:sz w:val="18"/>
          <w:szCs w:val="18"/>
          <w:color w:val="auto"/>
        </w:rPr>
        <w:t>” shall have the meaning assigned to such term in the first recital hereto.</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Business Common Stock</w:t>
      </w:r>
      <w:r>
        <w:rPr>
          <w:rFonts w:ascii="Arial" w:cs="Arial" w:eastAsia="Arial" w:hAnsi="Arial"/>
          <w:sz w:val="18"/>
          <w:szCs w:val="18"/>
          <w:color w:val="auto"/>
        </w:rPr>
        <w:t>” shall have the meaning assigned to such term in the first recital hereto.</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Business Convertible Bonds</w:t>
      </w:r>
      <w:r>
        <w:rPr>
          <w:rFonts w:ascii="Arial" w:cs="Arial" w:eastAsia="Arial" w:hAnsi="Arial"/>
          <w:sz w:val="18"/>
          <w:szCs w:val="18"/>
          <w:color w:val="auto"/>
        </w:rPr>
        <w:t>” shall have the meaning assigned to such term in the first recital hereto.</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shall have the meaning assigned to such term in the first recital hereto.</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Agreement</w:t>
      </w:r>
      <w:r>
        <w:rPr>
          <w:rFonts w:ascii="Arial" w:cs="Arial" w:eastAsia="Arial" w:hAnsi="Arial"/>
          <w:sz w:val="18"/>
          <w:szCs w:val="18"/>
          <w:color w:val="auto"/>
        </w:rPr>
        <w:t>” shall have the meaning assigned to such term in the first recital hereto.</w:t>
      </w:r>
    </w:p>
    <w:p>
      <w:pPr>
        <w:spacing w:after="0" w:line="200" w:lineRule="exact"/>
        <w:rPr>
          <w:sz w:val="20"/>
          <w:szCs w:val="20"/>
          <w:color w:val="auto"/>
        </w:rPr>
      </w:pPr>
    </w:p>
    <w:p>
      <w:pPr>
        <w:spacing w:after="0" w:line="295"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Consideration</w:t>
      </w:r>
      <w:r>
        <w:rPr>
          <w:rFonts w:ascii="Arial" w:cs="Arial" w:eastAsia="Arial" w:hAnsi="Arial"/>
          <w:sz w:val="17"/>
          <w:szCs w:val="17"/>
          <w:color w:val="auto"/>
        </w:rPr>
        <w:t xml:space="preserve">” shall mean the purchase consideration for any Permitted Acquisition and all other payments by Borrower or any of its Subsidiaries in exchange for, or as part of, or in connection with, any Permitted Acquisition, whether paid in cash or by exchange of Equity Interests or of properties or otherwise and whether payable at or prior to the consummation of such Permitted Acquisition or deferred for payment at any future time, whether or not any such future payment is subject to the occurrence of any contingency,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future payment that is subject to a contingency shall be considered Acquisition Consideration only to the extent of the reserve, if any, required under GAAP at the time of such sale to be established in respect thereof by Borrower or any of its Subsidiaries.</w:t>
      </w: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Documents</w:t>
      </w:r>
      <w:r>
        <w:rPr>
          <w:rFonts w:ascii="Arial" w:cs="Arial" w:eastAsia="Arial" w:hAnsi="Arial"/>
          <w:sz w:val="16"/>
          <w:szCs w:val="16"/>
          <w:color w:val="auto"/>
        </w:rPr>
        <w:t xml:space="preserve">” shall mean the collective reference to the Acquisition Agreement and the other documents listed on </w:t>
      </w:r>
      <w:r>
        <w:rPr>
          <w:rFonts w:ascii="Arial" w:cs="Arial" w:eastAsia="Arial" w:hAnsi="Arial"/>
          <w:sz w:val="16"/>
          <w:szCs w:val="16"/>
          <w:u w:val="single" w:color="auto"/>
          <w:color w:val="auto"/>
        </w:rPr>
        <w:t>Schedule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3.21</w:t>
      </w:r>
      <w:r>
        <w:rPr>
          <w:rFonts w:ascii="Arial" w:cs="Arial" w:eastAsia="Arial" w:hAnsi="Arial"/>
          <w:sz w:val="18"/>
          <w:szCs w:val="18"/>
          <w:color w:val="auto"/>
        </w:rPr>
        <w:t>.</w:t>
      </w:r>
    </w:p>
    <w:p>
      <w:pPr>
        <w:spacing w:after="0" w:line="200" w:lineRule="exact"/>
        <w:rPr>
          <w:sz w:val="20"/>
          <w:szCs w:val="20"/>
          <w:color w:val="auto"/>
        </w:rPr>
      </w:pPr>
    </w:p>
    <w:p>
      <w:pPr>
        <w:spacing w:after="0" w:line="277" w:lineRule="exact"/>
        <w:rPr>
          <w:sz w:val="20"/>
          <w:szCs w:val="20"/>
          <w:color w:val="auto"/>
        </w:rPr>
      </w:pPr>
    </w:p>
    <w:p>
      <w:pPr>
        <w:ind w:right="100" w:firstLine="1297"/>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 EURIBOR Rate</w:t>
      </w:r>
      <w:r>
        <w:rPr>
          <w:rFonts w:ascii="Arial" w:cs="Arial" w:eastAsia="Arial" w:hAnsi="Arial"/>
          <w:sz w:val="16"/>
          <w:szCs w:val="16"/>
          <w:color w:val="auto"/>
        </w:rPr>
        <w:t xml:space="preserve">” shall mean, with respect to any EURIBOR Borrowing for any Interest Period, an interest rate per annum (rounded upward, if necessary, to the nearest 1/100th of 1%) determined by the Administrative Agent to be equal to the sum of (a) (i) the EURIBOR Rate for such EURIBOR Borrowing in effect for such Interest Period divided by (ii) 1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Statutory Reserves (if any) for such EURIBOR Borrowing for such</w:t>
      </w:r>
    </w:p>
    <w:p>
      <w:pPr>
        <w:sectPr>
          <w:pgSz w:w="11900" w:h="16838" w:orient="portrait"/>
          <w:cols w:equalWidth="0" w:num="1">
            <w:col w:w="11420"/>
          </w:cols>
          <w:pgMar w:left="240" w:top="855" w:right="239" w:bottom="0" w:gutter="0" w:footer="0" w:header="0"/>
        </w:sectPr>
      </w:pPr>
    </w:p>
    <w:bookmarkStart w:id="54" w:name="page55"/>
    <w:bookmarkEnd w:id="54"/>
    <w:p>
      <w:pPr>
        <w:ind w:right="660"/>
        <w:spacing w:after="0" w:line="277" w:lineRule="auto"/>
        <w:rPr>
          <w:sz w:val="20"/>
          <w:szCs w:val="20"/>
          <w:color w:val="auto"/>
        </w:rPr>
      </w:pPr>
      <w:r>
        <w:rPr>
          <w:rFonts w:ascii="Arial" w:cs="Arial" w:eastAsia="Arial" w:hAnsi="Arial"/>
          <w:sz w:val="18"/>
          <w:szCs w:val="18"/>
          <w:color w:val="auto"/>
        </w:rPr>
        <w:t xml:space="preserve">Interest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of any increase in interest rate attributable to Statutory Reserves pursuant to the foregoing clause (ii), (b) the Mandatory Cost (if any).</w:t>
      </w:r>
    </w:p>
    <w:p>
      <w:pPr>
        <w:spacing w:after="0" w:line="200" w:lineRule="exact"/>
        <w:rPr>
          <w:sz w:val="20"/>
          <w:szCs w:val="20"/>
          <w:color w:val="auto"/>
        </w:rPr>
      </w:pPr>
    </w:p>
    <w:p>
      <w:pPr>
        <w:spacing w:after="0" w:line="237" w:lineRule="exact"/>
        <w:rPr>
          <w:sz w:val="20"/>
          <w:szCs w:val="20"/>
          <w:color w:val="auto"/>
        </w:rPr>
      </w:pPr>
    </w:p>
    <w:p>
      <w:pPr>
        <w:ind w:right="18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LIBOR Rate</w:t>
      </w:r>
      <w:r>
        <w:rPr>
          <w:rFonts w:ascii="Arial" w:cs="Arial" w:eastAsia="Arial" w:hAnsi="Arial"/>
          <w:sz w:val="18"/>
          <w:szCs w:val="18"/>
          <w:color w:val="auto"/>
        </w:rPr>
        <w:t xml:space="preserve">” shall mean, with respect to any Eurocurrency Borrowing for any Interest Period, an interest rate per annum (rounded upward, if necessary, to the nearest 1/100th of 1%) determined by the Administrative Agent to be equal to the sum of (a) (i) the LIBOR Rate for such Eurocurrency Borrowing in effect for such Interest Period divided by (ii) 1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Statutory Reserves (if any) for such Eurocurrency Borrowing for such Interest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of any increase in interest rate attributable to Statutory Reserves pursuant to the foregoing clause (ii), (b) the Mandatory Cost (if any).</w:t>
      </w:r>
    </w:p>
    <w:p>
      <w:pPr>
        <w:spacing w:after="0" w:line="200" w:lineRule="exact"/>
        <w:rPr>
          <w:sz w:val="20"/>
          <w:szCs w:val="20"/>
          <w:color w:val="auto"/>
        </w:rPr>
      </w:pPr>
    </w:p>
    <w:p>
      <w:pPr>
        <w:spacing w:after="0" w:line="254"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shall have the meaning assigned to such term in the preamble hereto and includes each other person appointed as the successor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 Fees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2.05(b)</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xml:space="preserve">” shall mean an Administrative Questionnaire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10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shall mean, when used with respect to a specified person, another person that directly, or indirectly through one or more intermediaries, Controls or is Controlled by or is under common Control with the person specified;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Section 6.09</w:t>
      </w:r>
      <w:r>
        <w:rPr>
          <w:rFonts w:ascii="Arial" w:cs="Arial" w:eastAsia="Arial" w:hAnsi="Arial"/>
          <w:sz w:val="18"/>
          <w:szCs w:val="18"/>
          <w:color w:val="auto"/>
        </w:rPr>
        <w:t>, the term “Affiliate” shall also include (i) any person that directly or indirectly owns more than 15% of any class of Equity Interests of the person specified or (ii) any person that is an executive officer or director of the person specified.</w:t>
      </w: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shall mean the Administrative Agent and the Collateral Agent; and “</w:t>
      </w:r>
      <w:r>
        <w:rPr>
          <w:rFonts w:ascii="Arial" w:cs="Arial" w:eastAsia="Arial" w:hAnsi="Arial"/>
          <w:sz w:val="18"/>
          <w:szCs w:val="18"/>
          <w:b w:val="1"/>
          <w:bCs w:val="1"/>
          <w:color w:val="auto"/>
        </w:rPr>
        <w:t>Agent</w:t>
      </w:r>
      <w:r>
        <w:rPr>
          <w:rFonts w:ascii="Arial" w:cs="Arial" w:eastAsia="Arial" w:hAnsi="Arial"/>
          <w:sz w:val="18"/>
          <w:szCs w:val="18"/>
          <w:color w:val="auto"/>
        </w:rPr>
        <w:t>” shall mean any of them.</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assigned to such term in the preamble hereto.</w:t>
      </w:r>
    </w:p>
    <w:p>
      <w:pPr>
        <w:spacing w:after="0" w:line="200" w:lineRule="exact"/>
        <w:rPr>
          <w:sz w:val="20"/>
          <w:szCs w:val="20"/>
          <w:color w:val="auto"/>
        </w:rPr>
      </w:pPr>
    </w:p>
    <w:p>
      <w:pPr>
        <w:spacing w:after="0" w:line="29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Alternate Base Rate</w:t>
      </w:r>
      <w:r>
        <w:rPr>
          <w:rFonts w:ascii="Arial" w:cs="Arial" w:eastAsia="Arial" w:hAnsi="Arial"/>
          <w:sz w:val="17"/>
          <w:szCs w:val="17"/>
          <w:color w:val="auto"/>
        </w:rPr>
        <w:t xml:space="preserve">” shall mean, for any day, a rate per annum (rounded upward, if necessary, to the nearest 1/100th of 1%) equal to the greater of (a) the Base Rate in effect on such day and (b) the Federal Funds Effective Rate in effect on such day </w:t>
      </w:r>
      <w:r>
        <w:rPr>
          <w:rFonts w:ascii="Arial" w:cs="Arial" w:eastAsia="Arial" w:hAnsi="Arial"/>
          <w:sz w:val="17"/>
          <w:szCs w:val="17"/>
          <w:i w:val="1"/>
          <w:iCs w:val="1"/>
          <w:color w:val="auto"/>
        </w:rPr>
        <w:t>plus</w:t>
      </w:r>
      <w:r>
        <w:rPr>
          <w:rFonts w:ascii="Arial" w:cs="Arial" w:eastAsia="Arial" w:hAnsi="Arial"/>
          <w:sz w:val="17"/>
          <w:szCs w:val="17"/>
          <w:color w:val="auto"/>
        </w:rPr>
        <w:t xml:space="preserve"> 0.50%. If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of the definition thereof, the Alternate Base Rate shall be determined without regard to clause (b) of the preceding sentence until the circumstances giving rise to such inability no longer exist. Any change in the Alternate Base Rate due to a change in the Base Rate or the Federal Funds Effective Rate shall be effective on the effective date of such change in the Base Rate or the Federal Funds Effective Rate, respectively.</w:t>
      </w:r>
    </w:p>
    <w:p>
      <w:pPr>
        <w:spacing w:after="0" w:line="200" w:lineRule="exact"/>
        <w:rPr>
          <w:sz w:val="20"/>
          <w:szCs w:val="20"/>
          <w:color w:val="auto"/>
        </w:rPr>
      </w:pP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Currency</w:t>
      </w:r>
      <w:r>
        <w:rPr>
          <w:rFonts w:ascii="Arial" w:cs="Arial" w:eastAsia="Arial" w:hAnsi="Arial"/>
          <w:sz w:val="18"/>
          <w:szCs w:val="18"/>
          <w:color w:val="auto"/>
        </w:rPr>
        <w:t>” shall mean each of Euros and GBP.</w:t>
      </w:r>
    </w:p>
    <w:p>
      <w:pPr>
        <w:spacing w:after="0" w:line="200" w:lineRule="exact"/>
        <w:rPr>
          <w:sz w:val="20"/>
          <w:szCs w:val="20"/>
          <w:color w:val="auto"/>
        </w:rPr>
      </w:pPr>
    </w:p>
    <w:p>
      <w:pPr>
        <w:spacing w:after="0" w:line="295"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Currency Equivalent</w:t>
      </w:r>
      <w:r>
        <w:rPr>
          <w:rFonts w:ascii="Arial" w:cs="Arial" w:eastAsia="Arial" w:hAnsi="Arial"/>
          <w:sz w:val="18"/>
          <w:szCs w:val="18"/>
          <w:color w:val="auto"/>
        </w:rPr>
        <w:t>” shall mean, as to any amount denominated in Dollars as of any date of determination, the amount of the applicable Alternate Currency that could be purchased with such amount of Dollars based upon the Spot Selling Rate.</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Currency Letter of Credit</w:t>
      </w:r>
      <w:r>
        <w:rPr>
          <w:rFonts w:ascii="Arial" w:cs="Arial" w:eastAsia="Arial" w:hAnsi="Arial"/>
          <w:sz w:val="18"/>
          <w:szCs w:val="18"/>
          <w:color w:val="auto"/>
        </w:rPr>
        <w:t>” shall mean any Letter of Credit to the extent denominated in an Alternate Currency.</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Currency Loan</w:t>
      </w:r>
      <w:r>
        <w:rPr>
          <w:rFonts w:ascii="Arial" w:cs="Arial" w:eastAsia="Arial" w:hAnsi="Arial"/>
          <w:sz w:val="18"/>
          <w:szCs w:val="18"/>
          <w:color w:val="auto"/>
        </w:rPr>
        <w:t>” shall mean Euro Loans and GBP Loans.</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3.22</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4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Fee</w:t>
      </w:r>
      <w:r>
        <w:rPr>
          <w:rFonts w:ascii="Arial" w:cs="Arial" w:eastAsia="Arial" w:hAnsi="Arial"/>
          <w:sz w:val="18"/>
          <w:szCs w:val="18"/>
          <w:color w:val="auto"/>
        </w:rPr>
        <w:t xml:space="preserve">” shall mean, for any day, with respect to any Commitment, (a) until the Trigger Date, 0.50% and (b) on and after the Trigger Date, the applicable percentage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under the caption “Applicable Fee”.</w:t>
      </w:r>
    </w:p>
    <w:p>
      <w:pPr>
        <w:spacing w:after="0" w:line="200" w:lineRule="exact"/>
        <w:rPr>
          <w:sz w:val="20"/>
          <w:szCs w:val="20"/>
          <w:color w:val="auto"/>
        </w:rPr>
      </w:pPr>
    </w:p>
    <w:p>
      <w:pPr>
        <w:spacing w:after="0" w:line="232"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Margin</w:t>
      </w:r>
      <w:r>
        <w:rPr>
          <w:rFonts w:ascii="Arial" w:cs="Arial" w:eastAsia="Arial" w:hAnsi="Arial"/>
          <w:sz w:val="16"/>
          <w:szCs w:val="16"/>
          <w:color w:val="auto"/>
        </w:rPr>
        <w:t>” shall mean, for any day, (a) until the Trigger Date, (i) with respect to any Term Loans that are Eurocurrency Loans or EURIBOR Loans, 2.00%, (ii) with respect to any Term Loans that are ABR Loans, 1.00%, (iii) with respect to any Revolving Loans that are Eurocurrency Loans or EURIBOR Loans, 2.00% and (iv) with respect to any Revolving Loans that are ABR Loans, and with respect to any Swingline Loans, 1.00%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on and after the Trigger Date, with respect to any Loan, the applicable percentage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under the appropriate caption.</w:t>
      </w:r>
    </w:p>
    <w:p>
      <w:pPr>
        <w:spacing w:after="0" w:line="200" w:lineRule="exact"/>
        <w:rPr>
          <w:sz w:val="20"/>
          <w:szCs w:val="20"/>
          <w:color w:val="auto"/>
        </w:rPr>
      </w:pPr>
    </w:p>
    <w:p>
      <w:pPr>
        <w:spacing w:after="0" w:line="277"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Percentage</w:t>
      </w:r>
      <w:r>
        <w:rPr>
          <w:rFonts w:ascii="Arial" w:cs="Arial" w:eastAsia="Arial" w:hAnsi="Arial"/>
          <w:sz w:val="18"/>
          <w:szCs w:val="18"/>
          <w:color w:val="auto"/>
        </w:rPr>
        <w:t>” shall mean, with respect to any Lender, the percentage of the total Loans and Commitments represented by such Lender’s Loans and Commitments.</w:t>
      </w:r>
    </w:p>
    <w:p>
      <w:pPr>
        <w:sectPr>
          <w:pgSz w:w="11900" w:h="16838" w:orient="portrait"/>
          <w:cols w:equalWidth="0" w:num="1">
            <w:col w:w="11400"/>
          </w:cols>
          <w:pgMar w:left="240" w:top="125" w:right="259" w:bottom="108" w:gutter="0" w:footer="0" w:header="0"/>
        </w:sectPr>
      </w:pPr>
    </w:p>
    <w:bookmarkStart w:id="55" w:name="page56"/>
    <w:bookmarkEnd w:id="5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Currency</w:t>
      </w:r>
      <w:r>
        <w:rPr>
          <w:rFonts w:ascii="Arial" w:cs="Arial" w:eastAsia="Arial" w:hAnsi="Arial"/>
          <w:sz w:val="18"/>
          <w:szCs w:val="18"/>
          <w:color w:val="auto"/>
        </w:rPr>
        <w:t>” shall mean each of Dollars and each Alternate Currency.</w:t>
      </w:r>
    </w:p>
    <w:p>
      <w:pPr>
        <w:spacing w:after="0" w:line="200" w:lineRule="exact"/>
        <w:rPr>
          <w:sz w:val="20"/>
          <w:szCs w:val="20"/>
          <w:color w:val="auto"/>
        </w:rPr>
      </w:pPr>
    </w:p>
    <w:p>
      <w:pPr>
        <w:spacing w:after="0" w:line="295"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shall mean any Fund that is administered or managed by (a) a Lender, (b) an Affiliate of a Lender or (c) an entity or an Affiliate of an entity that administers or manages a Lender.</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w:t>
      </w:r>
      <w:r>
        <w:rPr>
          <w:rFonts w:ascii="Arial" w:cs="Arial" w:eastAsia="Arial" w:hAnsi="Arial"/>
          <w:sz w:val="18"/>
          <w:szCs w:val="18"/>
          <w:color w:val="auto"/>
        </w:rPr>
        <w:t>” shall have the meaning assigned to such term in the preamble hereto.</w:t>
      </w:r>
    </w:p>
    <w:p>
      <w:pPr>
        <w:spacing w:after="0" w:line="200" w:lineRule="exact"/>
        <w:rPr>
          <w:sz w:val="20"/>
          <w:szCs w:val="20"/>
          <w:color w:val="auto"/>
        </w:rPr>
      </w:pPr>
    </w:p>
    <w:p>
      <w:pPr>
        <w:spacing w:after="0" w:line="295" w:lineRule="exact"/>
        <w:rPr>
          <w:sz w:val="20"/>
          <w:szCs w:val="20"/>
          <w:color w:val="auto"/>
        </w:rPr>
      </w:pPr>
    </w:p>
    <w:p>
      <w:pPr>
        <w:ind w:right="10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xml:space="preserve">” shall mean (a) any conveyance, sale, lease, sublease, assignment, transfer or other disposition (including by way of merger or consolidation and including any Sale and Leaseback Transaction) of any property excluding sales of inventory and dispositions of cash and cash equivalents, in each case, in the ordinary course of business, by Borrower or any of its Subsidiaries and (b) any issuance or sale of any Equity Interests of any Subsidiary of Borrower, in each case, to any person other than (i) Borrower, (ii) any Subsidiary Guarantor or (iii) other than for purposes of </w:t>
      </w:r>
      <w:r>
        <w:rPr>
          <w:rFonts w:ascii="Arial" w:cs="Arial" w:eastAsia="Arial" w:hAnsi="Arial"/>
          <w:sz w:val="18"/>
          <w:szCs w:val="18"/>
          <w:u w:val="single" w:color="auto"/>
          <w:color w:val="auto"/>
        </w:rPr>
        <w:t>Section 6.06</w:t>
      </w:r>
      <w:r>
        <w:rPr>
          <w:rFonts w:ascii="Arial" w:cs="Arial" w:eastAsia="Arial" w:hAnsi="Arial"/>
          <w:sz w:val="18"/>
          <w:szCs w:val="18"/>
          <w:color w:val="auto"/>
        </w:rPr>
        <w:t>, any other Subsidiary.</w:t>
      </w:r>
    </w:p>
    <w:p>
      <w:pPr>
        <w:spacing w:after="0" w:line="200" w:lineRule="exact"/>
        <w:rPr>
          <w:sz w:val="20"/>
          <w:szCs w:val="20"/>
          <w:color w:val="auto"/>
        </w:rPr>
      </w:pPr>
    </w:p>
    <w:p>
      <w:pPr>
        <w:spacing w:after="0" w:line="254"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xml:space="preserve">” shall mean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or any other form approved by the Administrative Agent.</w:t>
      </w:r>
    </w:p>
    <w:p>
      <w:pPr>
        <w:spacing w:after="0" w:line="200" w:lineRule="exact"/>
        <w:rPr>
          <w:sz w:val="20"/>
          <w:szCs w:val="20"/>
          <w:color w:val="auto"/>
        </w:rPr>
      </w:pPr>
    </w:p>
    <w:p>
      <w:pPr>
        <w:spacing w:after="0" w:line="246" w:lineRule="exact"/>
        <w:rPr>
          <w:sz w:val="20"/>
          <w:szCs w:val="20"/>
          <w:color w:val="auto"/>
        </w:rPr>
      </w:pPr>
    </w:p>
    <w:p>
      <w:pPr>
        <w:ind w:right="12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Indebtedness</w:t>
      </w:r>
      <w:r>
        <w:rPr>
          <w:rFonts w:ascii="Arial" w:cs="Arial" w:eastAsia="Arial" w:hAnsi="Arial"/>
          <w:sz w:val="18"/>
          <w:szCs w:val="18"/>
          <w:color w:val="auto"/>
        </w:rPr>
        <w:t>” shall mean, when used with respect to any Sale and Leaseback Transaction, as at the time of determination, the present value (discounted at a rate equivalent to Borrower’s then-current weighted average cost of funds for borrowed money as at the time of determination, compounded on a semi-annual basis) of the total obligations of the lessee for rental payments during the remaining term of the lease included in any such Sale and Leaseback Transaction.</w:t>
      </w: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Bailee Letter</w:t>
      </w:r>
      <w:r>
        <w:rPr>
          <w:rFonts w:ascii="Arial" w:cs="Arial" w:eastAsia="Arial" w:hAnsi="Arial"/>
          <w:sz w:val="18"/>
          <w:szCs w:val="18"/>
          <w:color w:val="auto"/>
        </w:rPr>
        <w:t>” shall have the meaning assigned thereto in the Security Agreement.</w:t>
      </w:r>
    </w:p>
    <w:p>
      <w:pPr>
        <w:spacing w:after="0" w:line="200" w:lineRule="exact"/>
        <w:rPr>
          <w:sz w:val="20"/>
          <w:szCs w:val="20"/>
          <w:color w:val="auto"/>
        </w:rPr>
      </w:pPr>
    </w:p>
    <w:p>
      <w:pPr>
        <w:spacing w:after="0" w:line="295" w:lineRule="exact"/>
        <w:rPr>
          <w:sz w:val="20"/>
          <w:szCs w:val="20"/>
          <w:color w:val="auto"/>
        </w:rPr>
      </w:pPr>
    </w:p>
    <w:p>
      <w:pPr>
        <w:jc w:val="both"/>
        <w:ind w:right="1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shall mean, for any day, a rate per annum that is equal to the corporate base rate of interest established by the Administrative Agent from time to time; each change in the Base Rate shall be effective on the date such change is effective. The corporate base rate is not necessarily the lowest rate charged by the Administrative Agent to its customers.</w:t>
      </w: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Governors of the Federal Reserve System of the United States.</w:t>
      </w:r>
    </w:p>
    <w:p>
      <w:pPr>
        <w:spacing w:after="0" w:line="200" w:lineRule="exact"/>
        <w:rPr>
          <w:sz w:val="20"/>
          <w:szCs w:val="20"/>
          <w:color w:val="auto"/>
        </w:rPr>
      </w:pPr>
    </w:p>
    <w:p>
      <w:pPr>
        <w:spacing w:after="0" w:line="295"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with respect to any person, (i) in the case of any corporation, the board of directors of such person, (ii) in the case of any limited liability company, the board of managers of such person, (iii) in the case of any partnership, the Board of Directors of the general partner of such person and (iv) in any other case, the functional equivalent of the foregoing.</w:t>
      </w: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assigned to such term in the preamble hereto.</w:t>
      </w:r>
    </w:p>
    <w:p>
      <w:pPr>
        <w:spacing w:after="0" w:line="200" w:lineRule="exact"/>
        <w:rPr>
          <w:sz w:val="20"/>
          <w:szCs w:val="20"/>
          <w:color w:val="auto"/>
        </w:rPr>
      </w:pPr>
    </w:p>
    <w:p>
      <w:pPr>
        <w:spacing w:after="0" w:line="295"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ECF Amount</w:t>
      </w:r>
      <w:r>
        <w:rPr>
          <w:rFonts w:ascii="Arial" w:cs="Arial" w:eastAsia="Arial" w:hAnsi="Arial"/>
          <w:sz w:val="18"/>
          <w:szCs w:val="18"/>
          <w:color w:val="auto"/>
        </w:rPr>
        <w:t xml:space="preserve">” shall mean, with respect to any Excess Cash Flow Period of Borrower, commencing with the Excess Cash Flow Period ending December 31, 2007, the product of (x) 100%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ECF Percentage for such Excess Cash Flow Period </w:t>
      </w:r>
      <w:r>
        <w:rPr>
          <w:rFonts w:ascii="Arial" w:cs="Arial" w:eastAsia="Arial" w:hAnsi="Arial"/>
          <w:sz w:val="18"/>
          <w:szCs w:val="18"/>
          <w:i w:val="1"/>
          <w:iCs w:val="1"/>
          <w:color w:val="auto"/>
        </w:rPr>
        <w:t>times</w:t>
      </w:r>
      <w:r>
        <w:rPr>
          <w:rFonts w:ascii="Arial" w:cs="Arial" w:eastAsia="Arial" w:hAnsi="Arial"/>
          <w:sz w:val="18"/>
          <w:szCs w:val="18"/>
          <w:color w:val="auto"/>
        </w:rPr>
        <w:t xml:space="preserve"> (y) the Excess Cash Flow with respect to such Excess Cash Flow Period.</w:t>
      </w:r>
    </w:p>
    <w:p>
      <w:pPr>
        <w:spacing w:after="0" w:line="200" w:lineRule="exact"/>
        <w:rPr>
          <w:sz w:val="20"/>
          <w:szCs w:val="20"/>
          <w:color w:val="auto"/>
        </w:rPr>
      </w:pPr>
    </w:p>
    <w:p>
      <w:pPr>
        <w:spacing w:after="0" w:line="246" w:lineRule="exact"/>
        <w:rPr>
          <w:sz w:val="20"/>
          <w:szCs w:val="20"/>
          <w:color w:val="auto"/>
        </w:rPr>
      </w:pPr>
    </w:p>
    <w:p>
      <w:pPr>
        <w:ind w:right="2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w:t>
      </w:r>
      <w:r>
        <w:rPr>
          <w:rFonts w:ascii="Arial" w:cs="Arial" w:eastAsia="Arial" w:hAnsi="Arial"/>
          <w:sz w:val="17"/>
          <w:szCs w:val="17"/>
          <w:color w:val="auto"/>
        </w:rPr>
        <w:t>” shall mean (a) Loans of the same Class, Type and Approved Currency, made, converted or continued on the same date and, in the case of Eurocurrency Loans and EURIBOR Loans, as to which a single Interest Period is in effect, or (b) a Swingline Loan.</w:t>
      </w:r>
    </w:p>
    <w:p>
      <w:pPr>
        <w:spacing w:after="0" w:line="200" w:lineRule="exact"/>
        <w:rPr>
          <w:sz w:val="20"/>
          <w:szCs w:val="20"/>
          <w:color w:val="auto"/>
        </w:rPr>
      </w:pPr>
    </w:p>
    <w:p>
      <w:pPr>
        <w:spacing w:after="0" w:line="208" w:lineRule="exact"/>
        <w:rPr>
          <w:sz w:val="20"/>
          <w:szCs w:val="20"/>
          <w:color w:val="auto"/>
        </w:rPr>
      </w:pPr>
    </w:p>
    <w:p>
      <w:pPr>
        <w:ind w:right="4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Request</w:t>
      </w:r>
      <w:r>
        <w:rPr>
          <w:rFonts w:ascii="Arial" w:cs="Arial" w:eastAsia="Arial" w:hAnsi="Arial"/>
          <w:sz w:val="18"/>
          <w:szCs w:val="18"/>
          <w:color w:val="auto"/>
        </w:rPr>
        <w:t xml:space="preserve">” shall mean a request by Borrower in accordance with the terms of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or such other form as shall be approved by the Administrative Agent.</w:t>
      </w:r>
    </w:p>
    <w:p>
      <w:pPr>
        <w:spacing w:after="0" w:line="200" w:lineRule="exact"/>
        <w:rPr>
          <w:sz w:val="20"/>
          <w:szCs w:val="20"/>
          <w:color w:val="auto"/>
        </w:rPr>
      </w:pPr>
    </w:p>
    <w:p>
      <w:pPr>
        <w:spacing w:after="0" w:line="232"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shall mean any day other than a Saturday, Sunday or other day on which banks in New York City are authorized or required by law to close;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when used in connection with (a) a Eurocurrency Loan, the term “Business Day” shall also exclude any day on which banks are not open for dealings in Dollar deposits in the London interbank market, (b) a Euro Term Loan or a Euro Revolving Loan, the term “Business Day” shall also exclude any day which is not a TARGET Day (as determined in good faith by the Administrative Agent), (c) a GBP Term Loan or a GBP Revolving Loan, the term “Business Day” shall also exclude any day on which banks are not open for dealings in GBP deposits in the London interbank market, (d) any Letter of Credit, the term “Business Day” shall also exclude any day on which banks in London are authorized or required by law to close.</w:t>
      </w:r>
    </w:p>
    <w:p>
      <w:pPr>
        <w:spacing w:after="0" w:line="200" w:lineRule="exact"/>
        <w:rPr>
          <w:sz w:val="20"/>
          <w:szCs w:val="20"/>
          <w:color w:val="auto"/>
        </w:rPr>
      </w:pPr>
    </w:p>
    <w:p>
      <w:pPr>
        <w:spacing w:after="0" w:line="259" w:lineRule="exact"/>
        <w:rPr>
          <w:sz w:val="20"/>
          <w:szCs w:val="20"/>
          <w:color w:val="auto"/>
        </w:rPr>
      </w:pPr>
    </w:p>
    <w:p>
      <w:pPr>
        <w:jc w:val="both"/>
        <w:ind w:right="10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Assets</w:t>
      </w:r>
      <w:r>
        <w:rPr>
          <w:rFonts w:ascii="Arial" w:cs="Arial" w:eastAsia="Arial" w:hAnsi="Arial"/>
          <w:sz w:val="18"/>
          <w:szCs w:val="18"/>
          <w:color w:val="auto"/>
        </w:rPr>
        <w:t>” shall mean, with respect to any person, all equipment, fixed assets and Real Property or improvements of such person, or replacements or substitutions therefor or additions thereto, that, in accordance with GAAP, have been or should be reflected as additions to property, plant or equipment on the balance sheet of such person.</w:t>
      </w:r>
    </w:p>
    <w:p>
      <w:pPr>
        <w:sectPr>
          <w:pgSz w:w="11900" w:h="16838" w:orient="portrait"/>
          <w:cols w:equalWidth="0" w:num="1">
            <w:col w:w="11400"/>
          </w:cols>
          <w:pgMar w:left="240" w:top="121" w:right="259" w:bottom="0" w:gutter="0" w:footer="0" w:header="0"/>
        </w:sectPr>
      </w:pPr>
    </w:p>
    <w:bookmarkStart w:id="56" w:name="page57"/>
    <w:bookmarkEnd w:id="56"/>
    <w:p>
      <w:pPr>
        <w:spacing w:after="0" w:line="5"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Expenditures</w:t>
      </w:r>
      <w:r>
        <w:rPr>
          <w:rFonts w:ascii="Arial" w:cs="Arial" w:eastAsia="Arial" w:hAnsi="Arial"/>
          <w:sz w:val="17"/>
          <w:szCs w:val="17"/>
          <w:color w:val="auto"/>
        </w:rPr>
        <w:t xml:space="preserve">” shall mean, for any period, without duplication, all expenditures made directly or indirectly by Borrower and its Subsidiaries during such period for Capital Assets (whether paid in cash or other consideration, financed by the incurrence of Indebtedness or accrued as a liability), but excluding (i) expenditures made in connection with the replacement, substitution or restoration of property pursuant to </w:t>
      </w:r>
      <w:r>
        <w:rPr>
          <w:rFonts w:ascii="Arial" w:cs="Arial" w:eastAsia="Arial" w:hAnsi="Arial"/>
          <w:sz w:val="17"/>
          <w:szCs w:val="17"/>
          <w:u w:val="single" w:color="auto"/>
          <w:color w:val="auto"/>
        </w:rPr>
        <w:t>Section 2.10(e)</w:t>
      </w:r>
      <w:r>
        <w:rPr>
          <w:rFonts w:ascii="Arial" w:cs="Arial" w:eastAsia="Arial" w:hAnsi="Arial"/>
          <w:sz w:val="17"/>
          <w:szCs w:val="17"/>
          <w:color w:val="auto"/>
        </w:rPr>
        <w:t xml:space="preserve"> and (ii) any portion of such increase attributable solely to acquisitions of property, plant and equipment in Permitted Acquisitions. For purposes of this definition, the purchase price of equipment or other fixed assets that are purchased simultaneously with the trade-in of existing assets or with insurance proceeds shall be included in Capital Expenditures only to the extent of the gross amount by which such purchase price exceeds the credit granted by the seller of such assets for the assets being traded in at such time or the amount of such insurance proceeds, as the case may be.</w:t>
      </w:r>
    </w:p>
    <w:p>
      <w:pPr>
        <w:spacing w:after="0" w:line="200" w:lineRule="exact"/>
        <w:rPr>
          <w:sz w:val="20"/>
          <w:szCs w:val="20"/>
          <w:color w:val="auto"/>
        </w:rPr>
      </w:pPr>
    </w:p>
    <w:p>
      <w:pPr>
        <w:spacing w:after="0" w:line="242" w:lineRule="exact"/>
        <w:rPr>
          <w:sz w:val="20"/>
          <w:szCs w:val="20"/>
          <w:color w:val="auto"/>
        </w:rPr>
      </w:pPr>
    </w:p>
    <w:p>
      <w:pPr>
        <w:ind w:right="20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 Obligations</w:t>
      </w:r>
      <w:r>
        <w:rPr>
          <w:rFonts w:ascii="Arial" w:cs="Arial" w:eastAsia="Arial" w:hAnsi="Arial"/>
          <w:sz w:val="18"/>
          <w:szCs w:val="18"/>
          <w:color w:val="auto"/>
        </w:rPr>
        <w:t>” of any person shall mean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200" w:lineRule="exact"/>
        <w:rPr>
          <w:sz w:val="20"/>
          <w:szCs w:val="20"/>
          <w:color w:val="auto"/>
        </w:rPr>
      </w:pPr>
    </w:p>
    <w:p>
      <w:pPr>
        <w:spacing w:after="0" w:line="250"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shall mean, as to any person, (a) securities issued, or directly, unconditionally and fully guaranteed or insured, by the United States or any agency or instrumentality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full faith and credit of the United States is pledged in support thereof) having maturities of not more than one year from the date of acquisition by such person; (b) time deposits and certificates of deposit of any Lender or any commercial bank having, or which is the principal banking subsidiary of a bank holding company organized under the laws of the United States, any state thereof or the District of Columbia having, capital and surplus aggregating in excess of $500.0 million and a rating of “A” (or such other similar equivalent rating) or higher by at least one nationally recognized statistical rating organization (as defined in Rule 436 under the Securities Act) with maturities of not more than one year from the date of acquisition by such person; (c) repurchase obligations with a term of not more than 30 days for underlying securities of the types described in clause (a) above entered into with any bank meeting the qualifications specified in clause (b) above, which repurchase obligations are secured by a valid perfected security interest in the underlying securities; (d) commercial paper issued by any person incorporated in the United States rated at least A-1 or the equivalent thereof by Standard &amp; Poor’s Rating Service or at least P-1 or the equivalent thereof by Moody’s Investors Service Inc., and in each case maturing not more than one year after the date of acquisition by such person; (e) investments in money market funds substantially all of whose assets are comprised of securities of the types described in clauses (a) through (d) above; (f) demand deposit accounts maintained in the ordinary course of business; and (g) Investments made in jurisdictions outside of the United States, where Borrower and its Subsidiaries conduct business which are of a type and credit quality, comparable for such jurisdiction, to the Investments described in clauses (a) through (f) above.</w:t>
      </w:r>
    </w:p>
    <w:p>
      <w:pPr>
        <w:spacing w:after="0" w:line="200" w:lineRule="exact"/>
        <w:rPr>
          <w:sz w:val="20"/>
          <w:szCs w:val="20"/>
          <w:color w:val="auto"/>
        </w:rPr>
      </w:pPr>
    </w:p>
    <w:p>
      <w:pPr>
        <w:spacing w:after="0" w:line="242"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Interest Expense</w:t>
      </w:r>
      <w:r>
        <w:rPr>
          <w:rFonts w:ascii="Arial" w:cs="Arial" w:eastAsia="Arial" w:hAnsi="Arial"/>
          <w:sz w:val="18"/>
          <w:szCs w:val="18"/>
          <w:color w:val="auto"/>
        </w:rPr>
        <w:t xml:space="preserve">” shall mean, for any period, Consolidated Interest Expense for such period,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sum of (a) interest on any debt paid by the increase in the principal amount of such debt including by issuance of additional debt of such kind, (b) items described in clause (c) or, other than to the extent paid in cash, clause (g) of the definition of “Consolidated Interest Expense” and (c) gross interest income of Borrower and its Subsidiaries for such period.</w:t>
      </w:r>
    </w:p>
    <w:p>
      <w:pPr>
        <w:spacing w:after="0" w:line="200" w:lineRule="exact"/>
        <w:rPr>
          <w:sz w:val="20"/>
          <w:szCs w:val="20"/>
          <w:color w:val="auto"/>
        </w:rPr>
      </w:pPr>
    </w:p>
    <w:p>
      <w:pPr>
        <w:spacing w:after="0" w:line="250" w:lineRule="exact"/>
        <w:rPr>
          <w:sz w:val="20"/>
          <w:szCs w:val="20"/>
          <w:color w:val="auto"/>
        </w:rPr>
      </w:pPr>
    </w:p>
    <w:p>
      <w:pPr>
        <w:ind w:firstLine="129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shall mean any involuntary loss of title, any involuntary loss of, damage to or any destruction of, or any condemnation or other taking (including by any Governmental Authority) of, any property of Borrower or any of its Subsidiaries. “Casualty Event” shall include but not be limited to any taking of all or any part of any Real Property of any person or any part thereof, in or by condemnation or other eminent domain proceedings pursuant to any Requirement of Law, or by reason of the temporary requisition of the use or occupancy of all or any part of any Real Property of any person or any part thereof by any Governmental Authority, civil or military, or any settlement in lieu thereof.</w:t>
      </w:r>
    </w:p>
    <w:p>
      <w:pPr>
        <w:spacing w:after="0" w:line="200" w:lineRule="exact"/>
        <w:rPr>
          <w:sz w:val="20"/>
          <w:szCs w:val="20"/>
          <w:color w:val="auto"/>
        </w:rPr>
      </w:pPr>
    </w:p>
    <w:p>
      <w:pPr>
        <w:spacing w:after="0" w:line="239"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CERCLA</w:t>
      </w:r>
      <w:r>
        <w:rPr>
          <w:rFonts w:ascii="Arial" w:cs="Arial" w:eastAsia="Arial" w:hAnsi="Arial"/>
          <w:sz w:val="18"/>
          <w:szCs w:val="18"/>
          <w:color w:val="auto"/>
        </w:rPr>
        <w:t xml:space="preserve">” shall mean the Comprehensive Environmental Response, Compensation, and Liability Act of 1980, as amended, 42 U.S.C. § 9601 </w:t>
      </w:r>
      <w:r>
        <w:rPr>
          <w:rFonts w:ascii="Arial" w:cs="Arial" w:eastAsia="Arial" w:hAnsi="Arial"/>
          <w:sz w:val="18"/>
          <w:szCs w:val="18"/>
          <w:i w:val="1"/>
          <w:iCs w:val="1"/>
          <w:color w:val="auto"/>
        </w:rPr>
        <w:t>et seq</w:t>
      </w:r>
      <w:r>
        <w:rPr>
          <w:rFonts w:ascii="Arial" w:cs="Arial" w:eastAsia="Arial" w:hAnsi="Arial"/>
          <w:sz w:val="18"/>
          <w:szCs w:val="18"/>
          <w:color w:val="auto"/>
        </w:rPr>
        <w:t>. and all implementing regulations.</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have occurred if:</w:t>
      </w:r>
    </w:p>
    <w:p>
      <w:pPr>
        <w:spacing w:after="0" w:line="200" w:lineRule="exact"/>
        <w:rPr>
          <w:sz w:val="20"/>
          <w:szCs w:val="20"/>
          <w:color w:val="auto"/>
        </w:rPr>
      </w:pPr>
    </w:p>
    <w:p>
      <w:pPr>
        <w:spacing w:after="0" w:line="326" w:lineRule="exact"/>
        <w:rPr>
          <w:sz w:val="20"/>
          <w:szCs w:val="20"/>
          <w:color w:val="auto"/>
        </w:rPr>
      </w:pPr>
    </w:p>
    <w:p>
      <w:pPr>
        <w:ind w:right="20" w:firstLine="1953"/>
        <w:spacing w:after="0" w:line="257" w:lineRule="auto"/>
        <w:tabs>
          <w:tab w:leader="none" w:pos="257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is or becomes the beneficial owner (as defined in Rules 13d-3 and 13d-5 under the Exchange Act, except that for purposes of this clause such person or group shall be deemed to have “beneficial ownership” of all securities that such person or group has the right to acquire, whether such right is exercisable immediately or only after the passage of time), directly or indirectly, of Voting Stock of Borrower representing more than 25% of the voting power of the total outstanding Voting Stock of Borrower; or</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firstLine="1953"/>
        <w:spacing w:after="0" w:line="257" w:lineRule="auto"/>
        <w:tabs>
          <w:tab w:leader="none" w:pos="258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constituted the Board of Directors of Borrower (together with any new directors whose election to such Board of Directors or whose nomination for election was approved by a vote of a majority of the members of the Board of Directors of Borrower, which members comprising such majority are then still in office and were either directors at the beginning of such period or whose election or nomination for election was previously so approved) cease for any reason to constitute a majority of the Board of Directors of Borrower.</w:t>
      </w:r>
    </w:p>
    <w:p>
      <w:pPr>
        <w:spacing w:after="0" w:line="200" w:lineRule="exact"/>
        <w:rPr>
          <w:sz w:val="20"/>
          <w:szCs w:val="20"/>
          <w:color w:val="auto"/>
        </w:rPr>
      </w:pPr>
    </w:p>
    <w:p>
      <w:pPr>
        <w:spacing w:after="0" w:line="258" w:lineRule="exact"/>
        <w:rPr>
          <w:sz w:val="20"/>
          <w:szCs w:val="20"/>
          <w:color w:val="auto"/>
        </w:rPr>
      </w:pPr>
    </w:p>
    <w:p>
      <w:pPr>
        <w:ind w:right="280" w:firstLine="1297"/>
        <w:spacing w:after="0" w:line="308" w:lineRule="auto"/>
        <w:rPr>
          <w:sz w:val="20"/>
          <w:szCs w:val="20"/>
          <w:color w:val="auto"/>
        </w:rPr>
      </w:pPr>
      <w:r>
        <w:rPr>
          <w:rFonts w:ascii="Arial" w:cs="Arial" w:eastAsia="Arial" w:hAnsi="Arial"/>
          <w:sz w:val="17"/>
          <w:szCs w:val="17"/>
          <w:color w:val="auto"/>
        </w:rPr>
        <w:t>For purposes of this definition, a person shall not be deemed to have beneficial ownership of Equity Interests subject to a stock purchase agreement, merger agreement or similar agreement until the consummation of the transactions contemplated by such agreement.</w:t>
      </w:r>
    </w:p>
    <w:p>
      <w:pPr>
        <w:spacing w:after="0" w:line="200" w:lineRule="exact"/>
        <w:rPr>
          <w:sz w:val="20"/>
          <w:szCs w:val="20"/>
          <w:color w:val="auto"/>
        </w:rPr>
      </w:pPr>
    </w:p>
    <w:p>
      <w:pPr>
        <w:spacing w:after="0" w:line="213" w:lineRule="exact"/>
        <w:rPr>
          <w:sz w:val="20"/>
          <w:szCs w:val="20"/>
          <w:color w:val="auto"/>
        </w:rPr>
      </w:pPr>
    </w:p>
    <w:p>
      <w:pPr>
        <w:ind w:right="42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Law</w:t>
      </w:r>
      <w:r>
        <w:rPr>
          <w:rFonts w:ascii="Arial" w:cs="Arial" w:eastAsia="Arial" w:hAnsi="Arial"/>
          <w:sz w:val="16"/>
          <w:szCs w:val="16"/>
          <w:color w:val="auto"/>
        </w:rPr>
        <w:t>” shall mean the occurrence, after the date of this Agreement, of any of the following: (a) the adoption or taking into effect of any law, treaty, order, policy, rule or regulation, (b) any change in any law, treaty, order, policy, rule or regulation or in the administration,</w:t>
      </w:r>
    </w:p>
    <w:p>
      <w:pPr>
        <w:sectPr>
          <w:pgSz w:w="11900" w:h="16844" w:orient="portrait"/>
          <w:cols w:equalWidth="0" w:num="1">
            <w:col w:w="11400"/>
          </w:cols>
          <w:pgMar w:left="240" w:top="607" w:right="259" w:bottom="0" w:gutter="0" w:footer="0" w:header="0"/>
        </w:sectPr>
      </w:pPr>
    </w:p>
    <w:bookmarkStart w:id="57" w:name="page58"/>
    <w:bookmarkEnd w:id="57"/>
    <w:p>
      <w:pPr>
        <w:ind w:right="500"/>
        <w:spacing w:after="0" w:line="277" w:lineRule="auto"/>
        <w:rPr>
          <w:sz w:val="20"/>
          <w:szCs w:val="20"/>
          <w:color w:val="auto"/>
        </w:rPr>
      </w:pPr>
      <w:r>
        <w:rPr>
          <w:rFonts w:ascii="Arial" w:cs="Arial" w:eastAsia="Arial" w:hAnsi="Arial"/>
          <w:sz w:val="18"/>
          <w:szCs w:val="18"/>
          <w:color w:val="auto"/>
        </w:rPr>
        <w:t>interpretation or application thereof by any Governmental Authority or (c) the making or issuance of any request, guideline or directive (whether or not having the force of law) by any Governmental Authority.</w:t>
      </w: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10.14</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6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when used in reference to any Loan or Borrowing, refers to whether such Loan, or the Loans comprising such Borrowing, are Dollar Revolving Loans, Dollar Term Loans, Euro Revolving Loans, Euro Term Loans, GBP Revolving Loans, GBP Term Loans or Swingline Loans and, when used in reference to any Commitment, refers to whether such Commitment is a Revolving Commitment, Dollar Term Commitment, Euro Term Commitment, GBP Term Commitment or Swingline Commitment, in each case, under this Agreement, of which such Loan, Borrowing or Commitment shall be a part.</w:t>
      </w:r>
    </w:p>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date of the initial Credit Extension hereunder.</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w:t>
      </w:r>
    </w:p>
    <w:p>
      <w:pPr>
        <w:spacing w:after="0" w:line="200" w:lineRule="exact"/>
        <w:rPr>
          <w:sz w:val="20"/>
          <w:szCs w:val="20"/>
          <w:color w:val="auto"/>
        </w:rPr>
      </w:pPr>
    </w:p>
    <w:p>
      <w:pPr>
        <w:spacing w:after="0" w:line="295"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collectively, all of the Security Agreement Collateral, the Mortgaged Property and all other property of whatever kind and nature subject or purported to be subject from time to time to a Lien under any Security Document.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shall have the meaning assigned to such term in the preamble hereto.</w:t>
      </w:r>
    </w:p>
    <w:p>
      <w:pPr>
        <w:spacing w:after="0" w:line="200" w:lineRule="exact"/>
        <w:rPr>
          <w:sz w:val="20"/>
          <w:szCs w:val="20"/>
          <w:color w:val="auto"/>
        </w:rPr>
      </w:pPr>
    </w:p>
    <w:p>
      <w:pPr>
        <w:spacing w:after="0" w:line="295" w:lineRule="exact"/>
        <w:rPr>
          <w:sz w:val="20"/>
          <w:szCs w:val="20"/>
          <w:color w:val="auto"/>
        </w:rPr>
      </w:pPr>
    </w:p>
    <w:p>
      <w:pPr>
        <w:ind w:right="20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Commercial Letter of Credit</w:t>
      </w:r>
      <w:r>
        <w:rPr>
          <w:rFonts w:ascii="Arial" w:cs="Arial" w:eastAsia="Arial" w:hAnsi="Arial"/>
          <w:sz w:val="16"/>
          <w:szCs w:val="16"/>
          <w:color w:val="auto"/>
        </w:rPr>
        <w:t>” shall mean any letter of credit or similar instrument issued for the purpose of providing credit support in connection with the purchase of materials, goods or services by Borrower or any of its Subsidiaries in the ordinary course of their businesses.</w:t>
      </w:r>
    </w:p>
    <w:p>
      <w:pPr>
        <w:spacing w:after="0" w:line="386" w:lineRule="exact"/>
        <w:rPr>
          <w:sz w:val="20"/>
          <w:szCs w:val="20"/>
          <w:color w:val="auto"/>
        </w:rPr>
      </w:pPr>
    </w:p>
    <w:p>
      <w:pPr>
        <w:ind w:right="3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shall mean, with respect to any Lender, such Lender’s Revolving Commitment, Dollar Term Commitment, Euro Term Commitment, GBP Term Commitment or Swingline Commitment.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2.05(a)</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w:t>
      </w:r>
      <w:r>
        <w:rPr>
          <w:rFonts w:ascii="Arial" w:cs="Arial" w:eastAsia="Arial" w:hAnsi="Arial"/>
          <w:sz w:val="18"/>
          <w:szCs w:val="18"/>
          <w:color w:val="auto"/>
        </w:rPr>
        <w:t>” shall mean Borrower and its Subsidiaries; and “</w:t>
      </w:r>
      <w:r>
        <w:rPr>
          <w:rFonts w:ascii="Arial" w:cs="Arial" w:eastAsia="Arial" w:hAnsi="Arial"/>
          <w:sz w:val="18"/>
          <w:szCs w:val="18"/>
          <w:b w:val="1"/>
          <w:bCs w:val="1"/>
          <w:color w:val="auto"/>
        </w:rPr>
        <w:t>Company</w:t>
      </w:r>
      <w:r>
        <w:rPr>
          <w:rFonts w:ascii="Arial" w:cs="Arial" w:eastAsia="Arial" w:hAnsi="Arial"/>
          <w:sz w:val="18"/>
          <w:szCs w:val="18"/>
          <w:color w:val="auto"/>
        </w:rPr>
        <w:t>” shall mean any one of them.</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shall mean a certificate of a Financial Officer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 Memorandum</w:t>
      </w:r>
      <w:r>
        <w:rPr>
          <w:rFonts w:ascii="Arial" w:cs="Arial" w:eastAsia="Arial" w:hAnsi="Arial"/>
          <w:sz w:val="18"/>
          <w:szCs w:val="18"/>
          <w:color w:val="auto"/>
        </w:rPr>
        <w:t>” shall mean that certain confidential information memorandum dated March 2007.</w:t>
      </w:r>
    </w:p>
    <w:p>
      <w:pPr>
        <w:spacing w:after="0" w:line="200" w:lineRule="exact"/>
        <w:rPr>
          <w:sz w:val="20"/>
          <w:szCs w:val="20"/>
          <w:color w:val="auto"/>
        </w:rPr>
      </w:pPr>
    </w:p>
    <w:p>
      <w:pPr>
        <w:spacing w:after="0" w:line="295" w:lineRule="exact"/>
        <w:rPr>
          <w:sz w:val="20"/>
          <w:szCs w:val="20"/>
          <w:color w:val="auto"/>
        </w:rPr>
      </w:pPr>
    </w:p>
    <w:p>
      <w:pPr>
        <w:ind w:right="3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Amortization Expense</w:t>
      </w:r>
      <w:r>
        <w:rPr>
          <w:rFonts w:ascii="Arial" w:cs="Arial" w:eastAsia="Arial" w:hAnsi="Arial"/>
          <w:sz w:val="18"/>
          <w:szCs w:val="18"/>
          <w:color w:val="auto"/>
        </w:rPr>
        <w:t>” shall mean, for any period, the amortization expense of Borrower and its Subsidiaries for such period, determined on a consolidated basis in accordance with GAAP.</w:t>
      </w:r>
    </w:p>
    <w:p>
      <w:pPr>
        <w:spacing w:after="0" w:line="200" w:lineRule="exact"/>
        <w:rPr>
          <w:sz w:val="20"/>
          <w:szCs w:val="20"/>
          <w:color w:val="auto"/>
        </w:rPr>
      </w:pPr>
    </w:p>
    <w:p>
      <w:pPr>
        <w:spacing w:after="0" w:line="232" w:lineRule="exact"/>
        <w:rPr>
          <w:sz w:val="20"/>
          <w:szCs w:val="20"/>
          <w:color w:val="auto"/>
        </w:rPr>
      </w:pPr>
    </w:p>
    <w:p>
      <w:pPr>
        <w:ind w:right="1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Assets</w:t>
      </w:r>
      <w:r>
        <w:rPr>
          <w:rFonts w:ascii="Arial" w:cs="Arial" w:eastAsia="Arial" w:hAnsi="Arial"/>
          <w:sz w:val="18"/>
          <w:szCs w:val="18"/>
          <w:color w:val="auto"/>
        </w:rPr>
        <w:t>” shall mean, as at any date of determination, the total assets of Borrower and its Subsidiaries which may properly be classified as current assets on a consolidated balance sheet of Borrower and its Subsidiaries in accordance with GAAP, excluding cash and Cash Equivalents.</w:t>
      </w:r>
    </w:p>
    <w:p>
      <w:pPr>
        <w:spacing w:after="0" w:line="200" w:lineRule="exact"/>
        <w:rPr>
          <w:sz w:val="20"/>
          <w:szCs w:val="20"/>
          <w:color w:val="auto"/>
        </w:rPr>
      </w:pPr>
    </w:p>
    <w:p>
      <w:pPr>
        <w:spacing w:after="0" w:line="246" w:lineRule="exact"/>
        <w:rPr>
          <w:sz w:val="20"/>
          <w:szCs w:val="20"/>
          <w:color w:val="auto"/>
        </w:rPr>
      </w:pPr>
    </w:p>
    <w:p>
      <w:pPr>
        <w:jc w:val="both"/>
        <w:ind w:right="20"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Current Liabilities</w:t>
      </w:r>
      <w:r>
        <w:rPr>
          <w:rFonts w:ascii="Arial" w:cs="Arial" w:eastAsia="Arial" w:hAnsi="Arial"/>
          <w:sz w:val="17"/>
          <w:szCs w:val="17"/>
          <w:color w:val="auto"/>
        </w:rPr>
        <w:t>” shall mean, as at any date of determination, the total liabilities of Borrower and its Subsidiaries which may properly be classified as current liabilities (other than the current portion of any Loans) on a consolidated balance sheet of Borrower and its Subsidiaries in accordance with GAAP, but excluding (a) the current portion of any Funded Debt of Borrower and its Subsidiaries and (b) without duplication of clause (a) above, all Indebtedness consisting of Revolving Loans or Swingline Loans to the extent otherwise included therein.</w:t>
      </w:r>
    </w:p>
    <w:p>
      <w:pPr>
        <w:spacing w:after="0" w:line="200" w:lineRule="exact"/>
        <w:rPr>
          <w:sz w:val="20"/>
          <w:szCs w:val="20"/>
          <w:color w:val="auto"/>
        </w:rPr>
      </w:pPr>
    </w:p>
    <w:p>
      <w:pPr>
        <w:spacing w:after="0" w:line="235" w:lineRule="exact"/>
        <w:rPr>
          <w:sz w:val="20"/>
          <w:szCs w:val="20"/>
          <w:color w:val="auto"/>
        </w:rPr>
      </w:pPr>
    </w:p>
    <w:p>
      <w:pPr>
        <w:ind w:right="4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Depreciation Expense</w:t>
      </w:r>
      <w:r>
        <w:rPr>
          <w:rFonts w:ascii="Arial" w:cs="Arial" w:eastAsia="Arial" w:hAnsi="Arial"/>
          <w:sz w:val="18"/>
          <w:szCs w:val="18"/>
          <w:color w:val="auto"/>
        </w:rPr>
        <w:t>” shall mean, for any period, the depreciation expense of Borrower and its Subsidiaries for such period, determined on a consolidated basis in accordance with GAAP.</w:t>
      </w:r>
    </w:p>
    <w:p>
      <w:pPr>
        <w:spacing w:after="0" w:line="200" w:lineRule="exact"/>
        <w:rPr>
          <w:sz w:val="20"/>
          <w:szCs w:val="20"/>
          <w:color w:val="auto"/>
        </w:rPr>
      </w:pPr>
    </w:p>
    <w:p>
      <w:pPr>
        <w:spacing w:after="0" w:line="232" w:lineRule="exact"/>
        <w:rPr>
          <w:sz w:val="20"/>
          <w:szCs w:val="20"/>
          <w:color w:val="auto"/>
        </w:rPr>
      </w:pPr>
    </w:p>
    <w:p>
      <w:pPr>
        <w:ind w:firstLine="129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xml:space="preserve">” shall mean, for any period, Consolidated Net Income for such period, adjusted by (x) </w:t>
      </w:r>
      <w:r>
        <w:rPr>
          <w:rFonts w:ascii="Arial" w:cs="Arial" w:eastAsia="Arial" w:hAnsi="Arial"/>
          <w:sz w:val="17"/>
          <w:szCs w:val="17"/>
          <w:i w:val="1"/>
          <w:iCs w:val="1"/>
          <w:color w:val="auto"/>
        </w:rPr>
        <w:t>adding thereto</w:t>
      </w:r>
      <w:r>
        <w:rPr>
          <w:rFonts w:ascii="Arial" w:cs="Arial" w:eastAsia="Arial" w:hAnsi="Arial"/>
          <w:sz w:val="17"/>
          <w:szCs w:val="17"/>
          <w:color w:val="auto"/>
        </w:rPr>
        <w:t>, in each case only to the extent (and in the same proportion) deducted in determining such Consolidated Net Income and without duplication (and with respect to the portion of Consolidated Net Income attributable to any Subsidiary of Borrower only if a corresponding amount would be permitted at the date of determination to be distributed to Borrower by such Subsidiary without prior approval (that has not been obtained), pursuant to the terms of its Organizational Documents and all agreements, instruments and Requirements of Law applicable to such Subsidiary or its equityholders):</w:t>
      </w:r>
    </w:p>
    <w:p>
      <w:pPr>
        <w:sectPr>
          <w:pgSz w:w="11900" w:h="16838" w:orient="portrait"/>
          <w:cols w:equalWidth="0" w:num="1">
            <w:col w:w="11400"/>
          </w:cols>
          <w:pgMar w:left="240" w:top="125" w:right="259" w:bottom="0" w:gutter="0" w:footer="0" w:header="0"/>
        </w:sectPr>
      </w:pPr>
    </w:p>
    <w:bookmarkStart w:id="58" w:name="page59"/>
    <w:bookmarkEnd w:id="58"/>
    <w:p>
      <w:pPr>
        <w:ind w:left="2000" w:hanging="695"/>
        <w:spacing w:after="0"/>
        <w:tabs>
          <w:tab w:leader="none" w:pos="2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Consolidated Interest Expense for such period,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000" w:hanging="695"/>
        <w:spacing w:after="0"/>
        <w:tabs>
          <w:tab w:leader="none" w:pos="2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Consolidated Amortization Expense for such period,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000" w:hanging="695"/>
        <w:spacing w:after="0"/>
        <w:tabs>
          <w:tab w:leader="none" w:pos="2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Consolidated Depreciation Expense for such period,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000" w:hanging="695"/>
        <w:spacing w:after="0"/>
        <w:tabs>
          <w:tab w:leader="none" w:pos="2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Consolidated Tax Expense for such period,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both"/>
        <w:ind w:right="200" w:firstLine="1305"/>
        <w:spacing w:after="0" w:line="264" w:lineRule="auto"/>
        <w:tabs>
          <w:tab w:leader="none" w:pos="199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costs and expenses directly incurred in connection with the Transactions (not to exceed $43.0 million in the aggregate for all Test Periods) and (ii) costs and expenses directly incurred in connection with the Equity Financing (not to exceed $10.0 million in the aggregate for all Test Periods), and</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right="20" w:firstLine="1305"/>
        <w:spacing w:after="0" w:line="277" w:lineRule="auto"/>
        <w:tabs>
          <w:tab w:leader="none" w:pos="197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aggregate amount of all other non-cash charges reducing Consolidated Net Income (excluding any non-cash charge that results in an accrual of a reserve for cash charges in any future period) for such period, and</w:t>
      </w:r>
    </w:p>
    <w:p>
      <w:pPr>
        <w:spacing w:after="0" w:line="200" w:lineRule="exact"/>
        <w:rPr>
          <w:sz w:val="20"/>
          <w:szCs w:val="20"/>
          <w:color w:val="auto"/>
        </w:rPr>
      </w:pPr>
    </w:p>
    <w:p>
      <w:pPr>
        <w:spacing w:after="0" w:line="241" w:lineRule="exact"/>
        <w:rPr>
          <w:sz w:val="20"/>
          <w:szCs w:val="20"/>
          <w:color w:val="auto"/>
        </w:rPr>
      </w:pPr>
    </w:p>
    <w:p>
      <w:pPr>
        <w:ind w:right="360" w:firstLine="1305"/>
        <w:spacing w:after="0" w:line="264" w:lineRule="auto"/>
        <w:tabs>
          <w:tab w:leader="none" w:pos="1551"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subtracting therefrom </w:t>
      </w:r>
      <w:r>
        <w:rPr>
          <w:rFonts w:ascii="Arial" w:cs="Arial" w:eastAsia="Arial" w:hAnsi="Arial"/>
          <w:sz w:val="18"/>
          <w:szCs w:val="18"/>
          <w:color w:val="auto"/>
        </w:rPr>
        <w:t>the aggregate amount of all (a) non-cash items increasing Consolidated Net Income (other than the accrual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or recording of receivables in the ordinary course of business) for such period and (b) interest income of Borrower and its Subsidiaries for such period.</w:t>
      </w:r>
    </w:p>
    <w:p>
      <w:pPr>
        <w:spacing w:after="0" w:line="200" w:lineRule="exact"/>
        <w:rPr>
          <w:sz w:val="20"/>
          <w:szCs w:val="20"/>
          <w:color w:val="auto"/>
        </w:rPr>
      </w:pPr>
    </w:p>
    <w:p>
      <w:pPr>
        <w:spacing w:after="0" w:line="251"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 xml:space="preserve">Other than for purposes of calculating Excess Cash Flow, Consolidated EBITDA shall be calculated on a Pro Forma Basis to give effect to the Acquisition, any Permitted Acquisition and Asset Sales (other than any dispositions in the ordinary course of business) consummated at any time on or after the first day of the Test Period thereof as if the Acquisition and each such Permitted Acquisition had been effected on the first day of such period and as if each such Asset Sale had been consummated on the day prior to the first day of such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 of the foregoing, (i) Consolidated EBITDA for the fiscal quarter of Borrower ended June 30, 2006, calculated on a Pro Forma Basis to give effect to the Acquisition, shall be deemed to be $73.4 million, (ii) Consolidated EBITDA for the fiscal quarter of Borrower ended September 30, 2006, calculated on a Pro Forma Basis to give effect to the Acquisition, shall be deemed to be $71.3 million and (iii) Consolidated EBITDA for the fiscal quarter of Borrower ended December 31, 2006, calculated on a Pro Forma Basis to give effect to the Acquisition, shall be deemed to be $67.7 million.</w:t>
      </w:r>
    </w:p>
    <w:p>
      <w:pPr>
        <w:spacing w:after="0" w:line="200" w:lineRule="exact"/>
        <w:rPr>
          <w:sz w:val="20"/>
          <w:szCs w:val="20"/>
          <w:color w:val="auto"/>
        </w:rPr>
      </w:pPr>
    </w:p>
    <w:p>
      <w:pPr>
        <w:spacing w:after="0" w:line="245"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Indebtedness</w:t>
      </w:r>
      <w:r>
        <w:rPr>
          <w:rFonts w:ascii="Arial" w:cs="Arial" w:eastAsia="Arial" w:hAnsi="Arial"/>
          <w:sz w:val="18"/>
          <w:szCs w:val="18"/>
          <w:color w:val="auto"/>
        </w:rPr>
        <w:t>” shall mean, as at any date of determination, the aggregate amount of all Indebtedness of Borrower and its Subsidiaries, determined on a consolidated basis in accordance with GAAP.</w:t>
      </w:r>
    </w:p>
    <w:p>
      <w:pPr>
        <w:spacing w:after="0" w:line="200" w:lineRule="exact"/>
        <w:rPr>
          <w:sz w:val="20"/>
          <w:szCs w:val="20"/>
          <w:color w:val="auto"/>
        </w:rPr>
      </w:pPr>
    </w:p>
    <w:p>
      <w:pPr>
        <w:spacing w:after="0" w:line="232" w:lineRule="exact"/>
        <w:rPr>
          <w:sz w:val="20"/>
          <w:szCs w:val="20"/>
          <w:color w:val="auto"/>
        </w:rPr>
      </w:pPr>
    </w:p>
    <w:p>
      <w:pPr>
        <w:ind w:firstLine="1297"/>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Interest Coverage Ratio</w:t>
      </w:r>
      <w:r>
        <w:rPr>
          <w:rFonts w:ascii="Arial" w:cs="Arial" w:eastAsia="Arial" w:hAnsi="Arial"/>
          <w:sz w:val="16"/>
          <w:szCs w:val="16"/>
          <w:color w:val="auto"/>
        </w:rPr>
        <w:t xml:space="preserve">” shall mean, for any Test Period, the ratio of (x) Consolidated EBITDA for such Test Period to (y) Consolidated Interest Expense for such Test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determining Consolidated Interest Expense for any period ending prior to the first anniversary of the Closing Date, in connection with the calculation of the Consolidated Interest Coverage Ratio, Consolidated Interest Expense shall be an amount equal to actual Consolidated Interest Expense from the Closing Date through the date of determination multiplied by a fraction the numerator of which is 365 and the denominator of which is the number of days from the Closing Date through the date of determination.</w:t>
      </w:r>
    </w:p>
    <w:p>
      <w:pPr>
        <w:spacing w:after="0" w:line="200" w:lineRule="exact"/>
        <w:rPr>
          <w:sz w:val="20"/>
          <w:szCs w:val="20"/>
          <w:color w:val="auto"/>
        </w:rPr>
      </w:pPr>
    </w:p>
    <w:p>
      <w:pPr>
        <w:spacing w:after="0" w:line="224" w:lineRule="exact"/>
        <w:rPr>
          <w:sz w:val="20"/>
          <w:szCs w:val="20"/>
          <w:color w:val="auto"/>
        </w:rPr>
      </w:pPr>
    </w:p>
    <w:p>
      <w:pPr>
        <w:ind w:right="2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xml:space="preserve">” shall mean, for any period, the total consolidated interest expense of Borrower and its Subsidiaries for such period determined on a consolidated basis in accordance with GAAP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200" w:lineRule="exact"/>
        <w:rPr>
          <w:sz w:val="20"/>
          <w:szCs w:val="20"/>
          <w:color w:val="auto"/>
        </w:rPr>
      </w:pPr>
    </w:p>
    <w:p>
      <w:pPr>
        <w:spacing w:after="0" w:line="236" w:lineRule="exact"/>
        <w:rPr>
          <w:sz w:val="20"/>
          <w:szCs w:val="20"/>
          <w:color w:val="auto"/>
        </w:rPr>
      </w:pPr>
    </w:p>
    <w:p>
      <w:pPr>
        <w:ind w:left="2560" w:hanging="607"/>
        <w:spacing w:after="0"/>
        <w:tabs>
          <w:tab w:leader="none" w:pos="25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imputed interest on Capital Lease Obligations and Attributable Indebtedness of Borrower and its Subsidiaries for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00" w:lineRule="exact"/>
        <w:rPr>
          <w:sz w:val="20"/>
          <w:szCs w:val="20"/>
          <w:color w:val="auto"/>
        </w:rPr>
      </w:pPr>
    </w:p>
    <w:p>
      <w:pPr>
        <w:spacing w:after="0" w:line="308" w:lineRule="exact"/>
        <w:rPr>
          <w:sz w:val="20"/>
          <w:szCs w:val="20"/>
          <w:color w:val="auto"/>
        </w:rPr>
      </w:pPr>
    </w:p>
    <w:p>
      <w:pPr>
        <w:ind w:right="140" w:firstLine="1953"/>
        <w:spacing w:after="0" w:line="277" w:lineRule="auto"/>
        <w:tabs>
          <w:tab w:leader="none" w:pos="258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commissions, discounts and other fees and charges owed by Borrower or any of its Subsidiaries with respect to letters of credit securing financial obligations, bankers’ acceptance financing and receivables financings for such period;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700" w:firstLine="1953"/>
        <w:spacing w:after="0" w:line="277" w:lineRule="auto"/>
        <w:tabs>
          <w:tab w:leader="none" w:pos="257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 incurred by Borrower or any of its Subsidiaries for such period;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160" w:firstLine="1953"/>
        <w:spacing w:after="0" w:line="264" w:lineRule="auto"/>
        <w:tabs>
          <w:tab w:leader="none" w:pos="258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cash contributions to any employee stock ownership plan or similar trust made by Borrower or any of its Subsidiaries to the extent such contributions are used by such plan or trust to pay interest or fees to any person (other than Borrower or a Wholly Owned Subsidiary) in connection with Indebtedness incurred by such plan or trust for such period;</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2580" w:hanging="627"/>
        <w:spacing w:after="0"/>
        <w:tabs>
          <w:tab w:leader="none" w:pos="25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all interest paid or payable with respect to discontinued operations of Borrower or any of its Subsidiaries for such period;</w:t>
      </w:r>
    </w:p>
    <w:p>
      <w:pPr>
        <w:sectPr>
          <w:pgSz w:w="11900" w:h="16838" w:orient="portrait"/>
          <w:cols w:equalWidth="0" w:num="1">
            <w:col w:w="11400"/>
          </w:cols>
          <w:pgMar w:left="240" w:top="368" w:right="259" w:bottom="109" w:gutter="0" w:footer="0" w:header="0"/>
        </w:sectPr>
      </w:pPr>
    </w:p>
    <w:bookmarkStart w:id="59" w:name="page60"/>
    <w:bookmarkEnd w:id="59"/>
    <w:p>
      <w:pPr>
        <w:ind w:left="2560" w:hanging="607"/>
        <w:spacing w:after="0"/>
        <w:tabs>
          <w:tab w:leader="none" w:pos="2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 of Borrower or any of its Subsidiaries for such period;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380" w:firstLine="1953"/>
        <w:spacing w:after="0" w:line="277" w:lineRule="auto"/>
        <w:tabs>
          <w:tab w:leader="none" w:pos="258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interest on any Indebtedness of Borrower or any of its Subsidiaries of the type described in clause (f) or (k) of the definition of “Indebtedness” for such period;</w:t>
      </w:r>
    </w:p>
    <w:p>
      <w:pPr>
        <w:spacing w:after="0" w:line="200" w:lineRule="exact"/>
        <w:rPr>
          <w:sz w:val="20"/>
          <w:szCs w:val="20"/>
          <w:color w:val="auto"/>
        </w:rPr>
      </w:pPr>
    </w:p>
    <w:p>
      <w:pPr>
        <w:spacing w:after="0" w:line="2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to the extent directly related to the Transactions, debt issuance costs, debt discount or premium and other financing fees and expenses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excluded from the calculation of Consolidated Interest Expense and (b) Consolidated Interest Expense shall be calculated after giving effect to Hedging Agreements related to interest rates (including associated costs), but excluding unrealized gains and losses with respect to Hedging Agreements related to interest rates.</w:t>
      </w:r>
    </w:p>
    <w:p>
      <w:pPr>
        <w:spacing w:after="0" w:line="200" w:lineRule="exact"/>
        <w:rPr>
          <w:sz w:val="20"/>
          <w:szCs w:val="20"/>
          <w:color w:val="auto"/>
        </w:rPr>
      </w:pPr>
    </w:p>
    <w:p>
      <w:pPr>
        <w:spacing w:after="0" w:line="257"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Other than for purposes of calculating Cash Interest Expense, Consolidated Interest Expense shall be calculated on a Pro Forma Basis to give effect to any Indebtedness incurred, assumed or permanently repaid or extinguished during the relevant Test Period in connection with the Acquisition, any Permitted Acquisitions and Asset Sales (other than any dispositions in the ordinary course of business) as if such incurrence, assumption, repayment or extinguishing had been effected on the first day of such period.</w:t>
      </w:r>
    </w:p>
    <w:p>
      <w:pPr>
        <w:spacing w:after="0" w:line="200" w:lineRule="exact"/>
        <w:rPr>
          <w:sz w:val="20"/>
          <w:szCs w:val="20"/>
          <w:color w:val="auto"/>
        </w:rPr>
      </w:pPr>
    </w:p>
    <w:p>
      <w:pPr>
        <w:spacing w:after="0" w:line="253"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xml:space="preserve">” shall mean, for any period, the consolidated net income (or loss) of Borrower and its Subsidiaries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from such net income (to the extent otherwise included therein), without duplication:</w:t>
      </w:r>
    </w:p>
    <w:p>
      <w:pPr>
        <w:spacing w:after="0" w:line="200" w:lineRule="exact"/>
        <w:rPr>
          <w:sz w:val="20"/>
          <w:szCs w:val="20"/>
          <w:color w:val="auto"/>
        </w:rPr>
      </w:pPr>
    </w:p>
    <w:p>
      <w:pPr>
        <w:spacing w:after="0" w:line="250" w:lineRule="exact"/>
        <w:rPr>
          <w:sz w:val="20"/>
          <w:szCs w:val="20"/>
          <w:color w:val="auto"/>
        </w:rPr>
      </w:pPr>
    </w:p>
    <w:p>
      <w:pPr>
        <w:ind w:right="40" w:firstLine="1953"/>
        <w:spacing w:after="0" w:line="264" w:lineRule="auto"/>
        <w:tabs>
          <w:tab w:leader="none" w:pos="25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net income (or loss) of any person (other than a Subsidiary of Borrower) in which any person other than Borrower and its Subsidiaries has an ownership interest, except to the extent that cash in an amount equal to any such income has actually been received by Borrower or (subject to clause (b)(i) below) any of its Subsidiaries during such period;</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100" w:firstLine="1953"/>
        <w:spacing w:after="0" w:line="257" w:lineRule="auto"/>
        <w:tabs>
          <w:tab w:leader="none" w:pos="258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the net income of any Subsidiary of Borrower during such period to the extent that the declaration or payment of dividends or similar distributions by such Subsidiary of that income is not permitted by operation of the terms of its Organizational Documents or any agreement, instrument or Requirement of Law applicable to that Subsidiary during such period, except that Borrower’s equity in net loss of any such Subsidiary for such period shall be included in determining Consolidated Net Income and (ii) the net income (or loss) of any Outsourcing Project Subsidiary if such Outsourcing Project Subsidiary is in default under its Outsourcing Project Indebtedness;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right="300" w:firstLine="1953"/>
        <w:spacing w:after="0" w:line="264" w:lineRule="auto"/>
        <w:tabs>
          <w:tab w:leader="none" w:pos="257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provisions for taxes on any such gain (or the tax effect of any such loss), realized during such period by Borrower or any of its Subsidiaries upon any Asset Sale (other than any dispositions in the ordinary course of business) by Borrower or any of its Subsidiaries;</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2600" w:hanging="647"/>
        <w:spacing w:after="0"/>
        <w:tabs>
          <w:tab w:leader="none" w:pos="26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gains and losses due solely to fluctuations in currency values and the related tax effects determined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GAAP for such period;</w:t>
      </w: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2580" w:hanging="627"/>
        <w:spacing w:after="0"/>
        <w:tabs>
          <w:tab w:leader="none" w:pos="25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earnings resulting from any reappraisal, revaluation or write-up of assets;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560" w:hanging="607"/>
        <w:spacing w:after="0"/>
        <w:tabs>
          <w:tab w:leader="none" w:pos="25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unrealized gains and losses with respect to Hedging Obligations for such period; and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300" w:firstLine="1953"/>
        <w:spacing w:after="0" w:line="308" w:lineRule="auto"/>
        <w:tabs>
          <w:tab w:leader="none" w:pos="258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extraordinary or nonrecurring gain (or extraordinary or nonrecurring loss), together with any related provision for taxes on any such gain (or the tax effect of any such loss), recorded or recognized by Borrower or any of its Subsidiaries during such period.</w:t>
      </w:r>
    </w:p>
    <w:p>
      <w:pPr>
        <w:spacing w:after="0" w:line="200" w:lineRule="exact"/>
        <w:rPr>
          <w:sz w:val="20"/>
          <w:szCs w:val="20"/>
          <w:color w:val="auto"/>
        </w:rPr>
      </w:pPr>
    </w:p>
    <w:p>
      <w:pPr>
        <w:spacing w:after="0" w:line="213"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color w:val="auto"/>
        </w:rPr>
        <w:t>For purposes of this definition of “Consolidated Net Income,” “</w:t>
      </w:r>
      <w:r>
        <w:rPr>
          <w:rFonts w:ascii="Arial" w:cs="Arial" w:eastAsia="Arial" w:hAnsi="Arial"/>
          <w:sz w:val="18"/>
          <w:szCs w:val="18"/>
          <w:b w:val="1"/>
          <w:bCs w:val="1"/>
          <w:color w:val="auto"/>
        </w:rPr>
        <w:t>nonrecurring</w:t>
      </w:r>
      <w:r>
        <w:rPr>
          <w:rFonts w:ascii="Arial" w:cs="Arial" w:eastAsia="Arial" w:hAnsi="Arial"/>
          <w:sz w:val="18"/>
          <w:szCs w:val="18"/>
          <w:color w:val="auto"/>
        </w:rPr>
        <w:t xml:space="preserve">” means any gain or loss as of any date that is not reasonably likely to recur within the two years following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there was a gain or loss similar to such gain or loss within the two years preceding such date, such gain or loss shall not be deemed nonrecurring.</w:t>
      </w:r>
    </w:p>
    <w:p>
      <w:pPr>
        <w:spacing w:after="0" w:line="200" w:lineRule="exact"/>
        <w:rPr>
          <w:sz w:val="20"/>
          <w:szCs w:val="20"/>
          <w:color w:val="auto"/>
        </w:rPr>
      </w:pPr>
    </w:p>
    <w:p>
      <w:pPr>
        <w:spacing w:after="0" w:line="246"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Tax Expense</w:t>
      </w:r>
      <w:r>
        <w:rPr>
          <w:rFonts w:ascii="Arial" w:cs="Arial" w:eastAsia="Arial" w:hAnsi="Arial"/>
          <w:sz w:val="18"/>
          <w:szCs w:val="18"/>
          <w:color w:val="auto"/>
        </w:rPr>
        <w:t>” shall mean, for any period, the tax expense of Borrower and its Subsidiaries, for such period, determined on a consolidated basis in accordance with GAAP.</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Contested Collateral Lien Conditions</w:t>
      </w:r>
      <w:r>
        <w:rPr>
          <w:rFonts w:ascii="Arial" w:cs="Arial" w:eastAsia="Arial" w:hAnsi="Arial"/>
          <w:sz w:val="16"/>
          <w:szCs w:val="16"/>
          <w:color w:val="auto"/>
        </w:rPr>
        <w:t>” shall mean, with respect to any Permitted Lien of the type described in clauses (a), (b), (e) and (f)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6.02</w:t>
      </w:r>
      <w:r>
        <w:rPr>
          <w:rFonts w:ascii="Arial" w:cs="Arial" w:eastAsia="Arial" w:hAnsi="Arial"/>
          <w:sz w:val="18"/>
          <w:szCs w:val="18"/>
          <w:color w:val="auto"/>
        </w:rPr>
        <w:t>, the following conditions:</w:t>
      </w:r>
    </w:p>
    <w:p>
      <w:pPr>
        <w:spacing w:after="0" w:line="200" w:lineRule="exact"/>
        <w:rPr>
          <w:sz w:val="20"/>
          <w:szCs w:val="20"/>
          <w:color w:val="auto"/>
        </w:rPr>
      </w:pPr>
    </w:p>
    <w:p>
      <w:pPr>
        <w:spacing w:after="0" w:line="281" w:lineRule="exact"/>
        <w:rPr>
          <w:sz w:val="20"/>
          <w:szCs w:val="20"/>
          <w:color w:val="auto"/>
        </w:rPr>
      </w:pPr>
    </w:p>
    <w:p>
      <w:pPr>
        <w:ind w:left="2560" w:hanging="607"/>
        <w:spacing w:after="0"/>
        <w:tabs>
          <w:tab w:leader="none" w:pos="25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Borrower shall cause any proceeding instituted contesting such Lien to stay the sale or forfeiture of any portion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Collateral on account of such Lien;</w:t>
      </w:r>
    </w:p>
    <w:p>
      <w:pPr>
        <w:sectPr>
          <w:pgSz w:w="11900" w:h="16838" w:orient="portrait"/>
          <w:cols w:equalWidth="0" w:num="1">
            <w:col w:w="11380"/>
          </w:cols>
          <w:pgMar w:left="240" w:top="152" w:right="279" w:bottom="0" w:gutter="0" w:footer="0" w:header="0"/>
        </w:sectPr>
      </w:pPr>
    </w:p>
    <w:bookmarkStart w:id="60" w:name="page61"/>
    <w:bookmarkEnd w:id="60"/>
    <w:p>
      <w:pPr>
        <w:ind w:firstLine="1953"/>
        <w:spacing w:after="0" w:line="264" w:lineRule="auto"/>
        <w:tabs>
          <w:tab w:leader="none" w:pos="258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at the option and at the request of the Administrative Agent, to the extent such Lien is in an amount in excess of $100,000, the appropriate Loan Party shall maintain cash reserves in an amount sufficient to pay and discharge such Lien and the Administrative Agent’s reasonable estimate of all interest and penalties related thereto; and</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jc w:val="both"/>
        <w:ind w:right="20" w:firstLine="1953"/>
        <w:spacing w:after="0" w:line="264" w:lineRule="auto"/>
        <w:tabs>
          <w:tab w:leader="none" w:pos="25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Lien shall in all respects be subject and subordinate in priority to the Lien and security interest created and evidenced by the Security Documents, except if and to the extent that the Requirement of Law creating, permitting or authorizing such Lien provides that such Lien is or must be superior to the Lien and security interest created and evidenced by the Security Documents.</w:t>
      </w:r>
    </w:p>
    <w:p>
      <w:pPr>
        <w:spacing w:after="0" w:line="200" w:lineRule="exact"/>
        <w:rPr>
          <w:sz w:val="20"/>
          <w:szCs w:val="20"/>
          <w:color w:val="auto"/>
        </w:rPr>
      </w:pPr>
    </w:p>
    <w:p>
      <w:pPr>
        <w:spacing w:after="0" w:line="247"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shall mean, as to any person, any obligation, agreement, understanding or arrangement of such person guaranteeing or intended to guarantee any Indebtedness, leases, dividends or other obligations (“</w:t>
      </w:r>
      <w:r>
        <w:rPr>
          <w:rFonts w:ascii="Arial" w:cs="Arial" w:eastAsia="Arial" w:hAnsi="Arial"/>
          <w:sz w:val="17"/>
          <w:szCs w:val="17"/>
          <w:b w:val="1"/>
          <w:bCs w:val="1"/>
          <w:color w:val="auto"/>
        </w:rPr>
        <w:t>primary obligations</w:t>
      </w:r>
      <w:r>
        <w:rPr>
          <w:rFonts w:ascii="Arial" w:cs="Arial" w:eastAsia="Arial" w:hAnsi="Arial"/>
          <w:sz w:val="17"/>
          <w:szCs w:val="17"/>
          <w:color w:val="auto"/>
        </w:rPr>
        <w:t>”) of any other person (the “</w:t>
      </w:r>
      <w:r>
        <w:rPr>
          <w:rFonts w:ascii="Arial" w:cs="Arial" w:eastAsia="Arial" w:hAnsi="Arial"/>
          <w:sz w:val="17"/>
          <w:szCs w:val="17"/>
          <w:b w:val="1"/>
          <w:bCs w:val="1"/>
          <w:color w:val="auto"/>
        </w:rPr>
        <w:t>primary</w:t>
      </w:r>
      <w:r>
        <w:rPr>
          <w:rFonts w:ascii="Arial" w:cs="Arial" w:eastAsia="Arial" w:hAnsi="Arial"/>
          <w:sz w:val="17"/>
          <w:szCs w:val="17"/>
          <w:color w:val="auto"/>
        </w:rPr>
        <w:t xml:space="preserve"> </w:t>
      </w:r>
      <w:r>
        <w:rPr>
          <w:rFonts w:ascii="Arial" w:cs="Arial" w:eastAsia="Arial" w:hAnsi="Arial"/>
          <w:sz w:val="17"/>
          <w:szCs w:val="17"/>
          <w:b w:val="1"/>
          <w:bCs w:val="1"/>
          <w:color w:val="auto"/>
        </w:rPr>
        <w:t>obligor</w:t>
      </w:r>
      <w:r>
        <w:rPr>
          <w:rFonts w:ascii="Arial" w:cs="Arial" w:eastAsia="Arial" w:hAnsi="Arial"/>
          <w:sz w:val="17"/>
          <w:szCs w:val="17"/>
          <w:color w:val="auto"/>
        </w:rPr>
        <w:t>”) in any manner, whether directly or indirectly, including any obligation of such person, whether or not contingent, (a) to purchase any such primary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(d) with respect to bankers’ acceptances, letters of credit and similar credit arrangements, until a reimbursement obligation arises (which reimbursement obligation shall constitute Indebtedness); or (e) otherwise to assure or hold harmless the holder of such primary obligation against loss in respect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term “Contingent Obligation” shall not include endorsements of instruments for deposit or collection in the ordinary course of business or any product warranties.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whether singly or jointly, pursuant to the terms of the instrument evidencing such Contingent Obligation) or, if not stated or determinable, the maximum reasonably anticipated liability in respect thereof (assuming such person is required to perform thereunder) as determined by such person in good faith.</w:t>
      </w:r>
    </w:p>
    <w:p>
      <w:pPr>
        <w:spacing w:after="0" w:line="200" w:lineRule="exact"/>
        <w:rPr>
          <w:sz w:val="20"/>
          <w:szCs w:val="20"/>
          <w:color w:val="auto"/>
        </w:rPr>
      </w:pPr>
    </w:p>
    <w:p>
      <w:pPr>
        <w:spacing w:after="0" w:line="255" w:lineRule="exact"/>
        <w:rPr>
          <w:sz w:val="20"/>
          <w:szCs w:val="20"/>
          <w:color w:val="auto"/>
        </w:rPr>
      </w:pPr>
    </w:p>
    <w:p>
      <w:pPr>
        <w:ind w:right="1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ownership of voting securities, by contract or otherwise, and the terms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shall have meanings correlative thereto.</w:t>
      </w: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shall have the meaning assigned to such term in the Security Agreement.</w:t>
      </w:r>
    </w:p>
    <w:p>
      <w:pPr>
        <w:spacing w:after="0" w:line="200" w:lineRule="exact"/>
        <w:rPr>
          <w:sz w:val="20"/>
          <w:szCs w:val="20"/>
          <w:color w:val="auto"/>
        </w:rPr>
      </w:pPr>
    </w:p>
    <w:p>
      <w:pPr>
        <w:spacing w:after="0" w:line="295" w:lineRule="exact"/>
        <w:rPr>
          <w:sz w:val="20"/>
          <w:szCs w:val="20"/>
          <w:color w:val="auto"/>
        </w:rPr>
      </w:pPr>
    </w:p>
    <w:p>
      <w:pPr>
        <w:ind w:right="28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Senior Subordinated Note Agreement</w:t>
      </w:r>
      <w:r>
        <w:rPr>
          <w:rFonts w:ascii="Arial" w:cs="Arial" w:eastAsia="Arial" w:hAnsi="Arial"/>
          <w:sz w:val="18"/>
          <w:szCs w:val="18"/>
          <w:color w:val="auto"/>
        </w:rPr>
        <w:t>” shall mean the indenture pursuant to which the Convertible Senior Subordinated Notes are issued and the Convertible Senior Subordinated Notes as in effect on the date hereof and thereafter amended from time to time subject to the requirements of this Agreement.</w:t>
      </w:r>
    </w:p>
    <w:p>
      <w:pPr>
        <w:spacing w:after="0" w:line="200" w:lineRule="exact"/>
        <w:rPr>
          <w:sz w:val="20"/>
          <w:szCs w:val="20"/>
          <w:color w:val="auto"/>
        </w:rPr>
      </w:pPr>
    </w:p>
    <w:p>
      <w:pPr>
        <w:spacing w:after="0" w:line="246" w:lineRule="exact"/>
        <w:rPr>
          <w:sz w:val="20"/>
          <w:szCs w:val="20"/>
          <w:color w:val="auto"/>
        </w:rPr>
      </w:pPr>
    </w:p>
    <w:p>
      <w:pPr>
        <w:jc w:val="both"/>
        <w:ind w:right="400" w:firstLine="129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Convertible Senior Subordinated Note Documents</w:t>
      </w:r>
      <w:r>
        <w:rPr>
          <w:rFonts w:ascii="Arial" w:cs="Arial" w:eastAsia="Arial" w:hAnsi="Arial"/>
          <w:sz w:val="17"/>
          <w:szCs w:val="17"/>
          <w:color w:val="auto"/>
        </w:rPr>
        <w:t>” shall mean the Convertible Senior Subordinated Notes, the Convertible Senior Subordinated Note Agreement, the Convertible Senior Subordinated Note Guarantees and all other documents executed and delivered with respect to the Convertible Senior Subordinated Notes or the Convertible Senior Subordinated Note Agreement.</w:t>
      </w:r>
    </w:p>
    <w:p>
      <w:pPr>
        <w:spacing w:after="0" w:line="200" w:lineRule="exact"/>
        <w:rPr>
          <w:sz w:val="20"/>
          <w:szCs w:val="20"/>
          <w:color w:val="auto"/>
        </w:rPr>
      </w:pPr>
    </w:p>
    <w:p>
      <w:pPr>
        <w:spacing w:after="0" w:line="228"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Senior Subordinated Note Guarantees</w:t>
      </w:r>
      <w:r>
        <w:rPr>
          <w:rFonts w:ascii="Arial" w:cs="Arial" w:eastAsia="Arial" w:hAnsi="Arial"/>
          <w:sz w:val="18"/>
          <w:szCs w:val="18"/>
          <w:color w:val="auto"/>
        </w:rPr>
        <w:t>” shall mean the guarantees of the Subsidiary Guarantors pursuant to the Convertible Senior Subordinated Note Agreement.</w:t>
      </w:r>
    </w:p>
    <w:p>
      <w:pPr>
        <w:spacing w:after="0" w:line="200" w:lineRule="exact"/>
        <w:rPr>
          <w:sz w:val="20"/>
          <w:szCs w:val="20"/>
          <w:color w:val="auto"/>
        </w:rPr>
      </w:pPr>
    </w:p>
    <w:p>
      <w:pPr>
        <w:spacing w:after="0" w:line="232" w:lineRule="exact"/>
        <w:rPr>
          <w:sz w:val="20"/>
          <w:szCs w:val="20"/>
          <w:color w:val="auto"/>
        </w:rPr>
      </w:pPr>
    </w:p>
    <w:p>
      <w:pPr>
        <w:ind w:right="1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Senior Subordinated Notes</w:t>
      </w:r>
      <w:r>
        <w:rPr>
          <w:rFonts w:ascii="Arial" w:cs="Arial" w:eastAsia="Arial" w:hAnsi="Arial"/>
          <w:sz w:val="18"/>
          <w:szCs w:val="18"/>
          <w:color w:val="auto"/>
        </w:rPr>
        <w:t>” shall mean Borrower’s 2.50% Convertible Senior Subordinated Notes due 2026 issued pursuant to the Convertible Senior Subordinated Note Agreement and the registered notes issued by Borrower in exchange for, and as contemplated by, such notes with substantially identical terms as such notes.</w:t>
      </w:r>
    </w:p>
    <w:p>
      <w:pPr>
        <w:spacing w:after="0" w:line="200" w:lineRule="exact"/>
        <w:rPr>
          <w:sz w:val="20"/>
          <w:szCs w:val="20"/>
          <w:color w:val="auto"/>
        </w:rPr>
      </w:pPr>
    </w:p>
    <w:p>
      <w:pPr>
        <w:spacing w:after="0" w:line="246"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shall mean, as the context may require, (i) the making of a Loan by a Lender or (ii) the issuance of any Letter of Credit, or the amendment, extension or renewal of any existing Letter of Credit, by the Issuing Bank.</w:t>
      </w:r>
    </w:p>
    <w:p>
      <w:pPr>
        <w:spacing w:after="0" w:line="200" w:lineRule="exact"/>
        <w:rPr>
          <w:sz w:val="20"/>
          <w:szCs w:val="20"/>
          <w:color w:val="auto"/>
        </w:rPr>
      </w:pPr>
    </w:p>
    <w:p>
      <w:pPr>
        <w:spacing w:after="0" w:line="232"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Cumulative Equity Amount</w:t>
      </w:r>
      <w:r>
        <w:rPr>
          <w:rFonts w:ascii="Arial" w:cs="Arial" w:eastAsia="Arial" w:hAnsi="Arial"/>
          <w:sz w:val="18"/>
          <w:szCs w:val="18"/>
          <w:color w:val="auto"/>
        </w:rPr>
        <w:t>” shall mean, on any date of determination, an amount equal to the aggregate amount of Net Cash Proceeds in respect of the issuance and sale (to persons other than Companies) of Qualified Capital Stock of Borrower after the Closing Date to the extent that such Net Cash Proceeds shall have been actually received by Borrower on or prior to such date of determination.</w:t>
      </w:r>
    </w:p>
    <w:p>
      <w:pPr>
        <w:spacing w:after="0" w:line="200" w:lineRule="exact"/>
        <w:rPr>
          <w:sz w:val="20"/>
          <w:szCs w:val="20"/>
          <w:color w:val="auto"/>
        </w:rPr>
      </w:pPr>
    </w:p>
    <w:p>
      <w:pPr>
        <w:spacing w:after="0" w:line="246"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Cumulative Excess Cash Flow Amount</w:t>
      </w:r>
      <w:r>
        <w:rPr>
          <w:rFonts w:ascii="Arial" w:cs="Arial" w:eastAsia="Arial" w:hAnsi="Arial"/>
          <w:sz w:val="16"/>
          <w:szCs w:val="16"/>
          <w:color w:val="auto"/>
        </w:rPr>
        <w:t xml:space="preserve">” shall mean, on any date of determination, an amount equal to the difference between (i) the sum of Excess Cash Flow for all Excess Cash Flow Periods ended prior to such date of determination that was not required to be applied to prepay the Loans pursuant to </w:t>
      </w:r>
      <w:r>
        <w:rPr>
          <w:rFonts w:ascii="Arial" w:cs="Arial" w:eastAsia="Arial" w:hAnsi="Arial"/>
          <w:sz w:val="16"/>
          <w:szCs w:val="16"/>
          <w:u w:val="single" w:color="auto"/>
          <w:color w:val="auto"/>
        </w:rPr>
        <w:t>Section 2.10(f)</w:t>
      </w:r>
      <w:r>
        <w:rPr>
          <w:rFonts w:ascii="Arial" w:cs="Arial" w:eastAsia="Arial" w:hAnsi="Arial"/>
          <w:sz w:val="16"/>
          <w:szCs w:val="16"/>
          <w:color w:val="auto"/>
        </w:rPr>
        <w:t xml:space="preserve"> (whether or not prepayments are accepted by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Excess Cash Flow Period in respect of which the amount of Excess Cash Flow shall have been calculated as contemplated by </w:t>
      </w:r>
      <w:r>
        <w:rPr>
          <w:rFonts w:ascii="Arial" w:cs="Arial" w:eastAsia="Arial" w:hAnsi="Arial"/>
          <w:sz w:val="16"/>
          <w:szCs w:val="16"/>
          <w:u w:val="single" w:color="auto"/>
          <w:color w:val="auto"/>
        </w:rPr>
        <w:t>Section 5.01(c)</w:t>
      </w:r>
      <w:r>
        <w:rPr>
          <w:rFonts w:ascii="Arial" w:cs="Arial" w:eastAsia="Arial" w:hAnsi="Arial"/>
          <w:sz w:val="16"/>
          <w:szCs w:val="16"/>
          <w:color w:val="auto"/>
        </w:rPr>
        <w:t xml:space="preserve"> but the prepayment required pursuant to </w:t>
      </w:r>
      <w:r>
        <w:rPr>
          <w:rFonts w:ascii="Arial" w:cs="Arial" w:eastAsia="Arial" w:hAnsi="Arial"/>
          <w:sz w:val="16"/>
          <w:szCs w:val="16"/>
          <w:u w:val="single" w:color="auto"/>
          <w:color w:val="auto"/>
        </w:rPr>
        <w:t>Section 2.10(f)</w:t>
      </w:r>
      <w:r>
        <w:rPr>
          <w:rFonts w:ascii="Arial" w:cs="Arial" w:eastAsia="Arial" w:hAnsi="Arial"/>
          <w:sz w:val="16"/>
          <w:szCs w:val="16"/>
          <w:color w:val="auto"/>
        </w:rPr>
        <w:t xml:space="preserve"> is not yet due and payable in accordance with the provisions of </w:t>
      </w:r>
      <w:r>
        <w:rPr>
          <w:rFonts w:ascii="Arial" w:cs="Arial" w:eastAsia="Arial" w:hAnsi="Arial"/>
          <w:sz w:val="16"/>
          <w:szCs w:val="16"/>
          <w:u w:val="single" w:color="auto"/>
          <w:color w:val="auto"/>
        </w:rPr>
        <w:t>Section 2.10(f)</w:t>
      </w:r>
      <w:r>
        <w:rPr>
          <w:rFonts w:ascii="Arial" w:cs="Arial" w:eastAsia="Arial" w:hAnsi="Arial"/>
          <w:sz w:val="16"/>
          <w:szCs w:val="16"/>
          <w:color w:val="auto"/>
        </w:rPr>
        <w:t xml:space="preserve"> as of the date of determination, then the amount of prepayments that will be so required to be made in respect of such Excess Cash Flow shall be deemed to be made for purposes of this clause (i)),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sum of (x) to the extent such amounts were deducted from Excess Cash Flow in determining the amount of Excess Cash Flow required to be applied to prepay the Loans pursuant to </w:t>
      </w:r>
      <w:r>
        <w:rPr>
          <w:rFonts w:ascii="Arial" w:cs="Arial" w:eastAsia="Arial" w:hAnsi="Arial"/>
          <w:sz w:val="16"/>
          <w:szCs w:val="16"/>
          <w:u w:val="single" w:color="auto"/>
          <w:color w:val="auto"/>
        </w:rPr>
        <w:t>Section 2.10(f)</w:t>
      </w:r>
      <w:r>
        <w:rPr>
          <w:rFonts w:ascii="Arial" w:cs="Arial" w:eastAsia="Arial" w:hAnsi="Arial"/>
          <w:sz w:val="16"/>
          <w:szCs w:val="16"/>
          <w:color w:val="auto"/>
        </w:rPr>
        <w:t xml:space="preserve"> for any Excess Cash Flow Periods ended prior to such date of determination, the aggregate amount of any voluntary prepayments of Term Loans and any permanent voluntary reductions to the Revolving Commitments to the extent that an equal amount of the Revolving Loans was simultaneously repaid during the relevant Excess Cash Flow Periods, (y) the aggregate amount of payments, prepayments on or redemptions or acquisitions for value of,</w:t>
      </w:r>
    </w:p>
    <w:p>
      <w:pPr>
        <w:sectPr>
          <w:pgSz w:w="11900" w:h="16838" w:orient="portrait"/>
          <w:cols w:equalWidth="0" w:num="1">
            <w:col w:w="11420"/>
          </w:cols>
          <w:pgMar w:left="240" w:top="395" w:right="239" w:bottom="0" w:gutter="0" w:footer="0" w:header="0"/>
        </w:sectPr>
      </w:pPr>
    </w:p>
    <w:bookmarkStart w:id="61" w:name="page62"/>
    <w:bookmarkEnd w:id="61"/>
    <w:p>
      <w:pPr>
        <w:ind w:right="220"/>
        <w:spacing w:after="0" w:line="277" w:lineRule="auto"/>
        <w:rPr>
          <w:sz w:val="20"/>
          <w:szCs w:val="20"/>
          <w:color w:val="auto"/>
        </w:rPr>
      </w:pPr>
      <w:r>
        <w:rPr>
          <w:rFonts w:ascii="Arial" w:cs="Arial" w:eastAsia="Arial" w:hAnsi="Arial"/>
          <w:sz w:val="18"/>
          <w:szCs w:val="18"/>
          <w:color w:val="auto"/>
        </w:rPr>
        <w:t xml:space="preserve">Indebtedness, made from and after the Closing Date under clause (z) of </w:t>
      </w:r>
      <w:r>
        <w:rPr>
          <w:rFonts w:ascii="Arial" w:cs="Arial" w:eastAsia="Arial" w:hAnsi="Arial"/>
          <w:sz w:val="18"/>
          <w:szCs w:val="18"/>
          <w:u w:val="single" w:color="auto"/>
          <w:color w:val="auto"/>
        </w:rPr>
        <w:t>Section 6.11(a)</w:t>
      </w:r>
      <w:r>
        <w:rPr>
          <w:rFonts w:ascii="Arial" w:cs="Arial" w:eastAsia="Arial" w:hAnsi="Arial"/>
          <w:sz w:val="18"/>
          <w:szCs w:val="18"/>
          <w:color w:val="auto"/>
        </w:rPr>
        <w:t xml:space="preserve"> and (z) the aggregate amount of purchases in excess of $5.0 million made from and after the Closing Date under </w:t>
      </w:r>
      <w:r>
        <w:rPr>
          <w:rFonts w:ascii="Arial" w:cs="Arial" w:eastAsia="Arial" w:hAnsi="Arial"/>
          <w:sz w:val="18"/>
          <w:szCs w:val="18"/>
          <w:u w:val="single" w:color="auto"/>
          <w:color w:val="auto"/>
        </w:rPr>
        <w:t>Section 6.08(d)</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Issuance</w:t>
      </w:r>
      <w:r>
        <w:rPr>
          <w:rFonts w:ascii="Arial" w:cs="Arial" w:eastAsia="Arial" w:hAnsi="Arial"/>
          <w:sz w:val="18"/>
          <w:szCs w:val="18"/>
          <w:color w:val="auto"/>
        </w:rPr>
        <w:t xml:space="preserve">” shall mean the incurrence by Borrower or any of its Subsidiaries of any Indebtedness after the Closing Date (other than as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 Service</w:t>
      </w:r>
      <w:r>
        <w:rPr>
          <w:rFonts w:ascii="Arial" w:cs="Arial" w:eastAsia="Arial" w:hAnsi="Arial"/>
          <w:sz w:val="16"/>
          <w:szCs w:val="16"/>
          <w:color w:val="auto"/>
        </w:rPr>
        <w:t>” shall mean, for any period, Cash Interest Expense for such period plus scheduled principal amortization of all Indebtedness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 such period.</w:t>
      </w: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w:t>
      </w:r>
      <w:r>
        <w:rPr>
          <w:rFonts w:ascii="Arial" w:cs="Arial" w:eastAsia="Arial" w:hAnsi="Arial"/>
          <w:sz w:val="17"/>
          <w:szCs w:val="17"/>
          <w:color w:val="auto"/>
        </w:rPr>
        <w:t>” shall mean any event, occurrence or condition which is, or upon notice, lapse of time or both would constitute, an Event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2.06(d)</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Capital Stock</w:t>
      </w:r>
      <w:r>
        <w:rPr>
          <w:rFonts w:ascii="Arial" w:cs="Arial" w:eastAsia="Arial" w:hAnsi="Arial"/>
          <w:sz w:val="16"/>
          <w:szCs w:val="16"/>
          <w:color w:val="auto"/>
        </w:rPr>
        <w:t>” shall mean any Equity Interest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on or prior to the first anniversary of the Final Maturity Date, (b) is convertible into or exchangeable (unless at the sole option of the issuer thereof) for</w:t>
      </w:r>
    </w:p>
    <w:p>
      <w:pPr>
        <w:spacing w:after="0" w:line="3" w:lineRule="exact"/>
        <w:rPr>
          <w:sz w:val="20"/>
          <w:szCs w:val="20"/>
          <w:color w:val="auto"/>
        </w:rPr>
      </w:pPr>
    </w:p>
    <w:p>
      <w:pPr>
        <w:ind w:left="220" w:hanging="212"/>
        <w:spacing w:after="0"/>
        <w:tabs>
          <w:tab w:leader="none" w:pos="2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debt securities or (ii) any Equity Interests referred to in (a) above, in each case at any time on or prior to the first anniversary of the Final Maturity Date, or</w:t>
      </w:r>
    </w:p>
    <w:p>
      <w:pPr>
        <w:spacing w:after="0" w:line="32" w:lineRule="exact"/>
        <w:rPr>
          <w:rFonts w:ascii="Arial" w:cs="Arial" w:eastAsia="Arial" w:hAnsi="Arial"/>
          <w:sz w:val="16"/>
          <w:szCs w:val="16"/>
          <w:color w:val="auto"/>
        </w:rPr>
      </w:pPr>
    </w:p>
    <w:p>
      <w:pPr>
        <w:ind w:right="260" w:firstLine="8"/>
        <w:spacing w:after="0" w:line="252" w:lineRule="auto"/>
        <w:tabs>
          <w:tab w:leader="none" w:pos="24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contains any repurchase obligation which may come into effect prior to payment in full of all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Equity Interests that would not constitute Disqualified Capital Stock but for provisions thereof giving holders thereof (or the holders of any security into or for which such Equity Interests is convertible, exchangeable or exercisable) the right to require the issuer thereof to redeem such Equity Interests upon the occurrence of a change in control or an asset sale occurring prior to the first anniversary of the Final Maturity Date shall not constitute Disqualified Capital Stock if such Equity Interests provide that the issuer thereof will not redeem any such Equity Interests pursuant to such provisions prior to the repayment in full of the Obligations.</w:t>
      </w:r>
    </w:p>
    <w:p>
      <w:pPr>
        <w:spacing w:after="0" w:line="200" w:lineRule="exact"/>
        <w:rPr>
          <w:sz w:val="20"/>
          <w:szCs w:val="20"/>
          <w:color w:val="auto"/>
        </w:rPr>
      </w:pPr>
    </w:p>
    <w:p>
      <w:pPr>
        <w:spacing w:after="0" w:line="260"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Dividend</w:t>
      </w:r>
      <w:r>
        <w:rPr>
          <w:rFonts w:ascii="Arial" w:cs="Arial" w:eastAsia="Arial" w:hAnsi="Arial"/>
          <w:sz w:val="17"/>
          <w:szCs w:val="17"/>
          <w:color w:val="auto"/>
        </w:rPr>
        <w:t>” with respect to any person shall mean that such person has declared or paid a dividend or returned any equity capital to the holders of its Equity Interests or authorized or made any other distribution, payment or delivery of property (other than Qualified Capital Stock of such person) or cash to the holders of its Equity Interests as such, or redeemed, retired, purchased or otherwise acquired, directly or indirectly, for consideration any of its Equity Interests outstanding (or any options or warrants issued by such person with respect to its Equity Interests), or set aside any funds for any of the foregoing purposes, or shall have permitted any of its Subsidiaries to purchase or otherwise acquire for consideration any of the Equity Interests of such person outstanding (or any options or warrants issued by such person with respect to its Equity Interests). Without limiting the foregoing, “Dividends” with respect to any person shall also include all payments made or required to be made by such person with respect to any stock appreciation rights, plans, equity incentive or achievement plans or any similar plans or setting aside of any funds for the foregoing purposes.</w:t>
      </w: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w:t>
      </w:r>
      <w:r>
        <w:rPr>
          <w:rFonts w:ascii="Arial" w:cs="Arial" w:eastAsia="Arial" w:hAnsi="Arial"/>
          <w:sz w:val="18"/>
          <w:szCs w:val="18"/>
          <w:color w:val="auto"/>
        </w:rPr>
        <w:t>” shall have the meaning assigned to such term in the preamble hereto.</w:t>
      </w:r>
    </w:p>
    <w:p>
      <w:pPr>
        <w:spacing w:after="0" w:line="200" w:lineRule="exact"/>
        <w:rPr>
          <w:sz w:val="20"/>
          <w:szCs w:val="20"/>
          <w:color w:val="auto"/>
        </w:rPr>
      </w:pPr>
    </w:p>
    <w:p>
      <w:pPr>
        <w:spacing w:after="0" w:line="295"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w:t>
      </w:r>
      <w:r>
        <w:rPr>
          <w:rFonts w:ascii="Arial" w:cs="Arial" w:eastAsia="Arial" w:hAnsi="Arial"/>
          <w:sz w:val="18"/>
          <w:szCs w:val="18"/>
          <w:color w:val="auto"/>
        </w:rPr>
        <w:t>” shall mean, (a) as to any amount denominated in an Alternate Currency as of any date of determination, the amount of Dollars that would be required to purchase the amount of such Alternate Currency based upon the Spot Selling Rate and (b) for the avoidance of doubt, as to any amount denominated in Dollars as of any date of determination, such amount.</w:t>
      </w: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Loan</w:t>
      </w:r>
      <w:r>
        <w:rPr>
          <w:rFonts w:ascii="Arial" w:cs="Arial" w:eastAsia="Arial" w:hAnsi="Arial"/>
          <w:sz w:val="18"/>
          <w:szCs w:val="18"/>
          <w:color w:val="auto"/>
        </w:rPr>
        <w:t>” shall mean each Loan denominated in Dollars.</w:t>
      </w:r>
    </w:p>
    <w:p>
      <w:pPr>
        <w:spacing w:after="0" w:line="200" w:lineRule="exact"/>
        <w:rPr>
          <w:sz w:val="20"/>
          <w:szCs w:val="20"/>
          <w:color w:val="auto"/>
        </w:rPr>
      </w:pPr>
    </w:p>
    <w:p>
      <w:pPr>
        <w:spacing w:after="0" w:line="295" w:lineRule="exact"/>
        <w:rPr>
          <w:sz w:val="20"/>
          <w:szCs w:val="20"/>
          <w:color w:val="auto"/>
        </w:rPr>
      </w:pPr>
    </w:p>
    <w:p>
      <w:pPr>
        <w:jc w:val="both"/>
        <w:ind w:right="120" w:firstLine="129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DollarLC Exposure</w:t>
      </w:r>
      <w:r>
        <w:rPr>
          <w:rFonts w:ascii="Arial" w:cs="Arial" w:eastAsia="Arial" w:hAnsi="Arial"/>
          <w:sz w:val="17"/>
          <w:szCs w:val="17"/>
          <w:color w:val="auto"/>
        </w:rPr>
        <w:t xml:space="preserve">” shall mean at any time the sum of (a) the aggregate undrawn amount of all outstanding Dollar denominated Letters of Credit at such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aggregate principal amount of all Reimbursement Obligations payable in Dollars outstanding at such time. The Dollar LC Exposure of any Revolving Lender at any time shall mean its Pro Rata Percentage of the aggregate Dollar LC Exposure at such time.</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Revolving Loan</w:t>
      </w:r>
      <w:r>
        <w:rPr>
          <w:rFonts w:ascii="Arial" w:cs="Arial" w:eastAsia="Arial" w:hAnsi="Arial"/>
          <w:sz w:val="17"/>
          <w:szCs w:val="17"/>
          <w:color w:val="auto"/>
        </w:rPr>
        <w:t xml:space="preserve">” shall mean Dollar denominated revolving loans made by the Lenders to Borrower pursuant to </w:t>
      </w:r>
      <w:r>
        <w:rPr>
          <w:rFonts w:ascii="Arial" w:cs="Arial" w:eastAsia="Arial" w:hAnsi="Arial"/>
          <w:sz w:val="17"/>
          <w:szCs w:val="17"/>
          <w:u w:val="single" w:color="auto"/>
          <w:color w:val="auto"/>
        </w:rPr>
        <w:t>Section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2.01(b)</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Sections 2.11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2.12</w:t>
      </w:r>
      <w:r>
        <w:rPr>
          <w:rFonts w:ascii="Arial" w:cs="Arial" w:eastAsia="Arial" w:hAnsi="Arial"/>
          <w:sz w:val="17"/>
          <w:szCs w:val="17"/>
          <w:color w:val="auto"/>
        </w:rPr>
        <w:t>, each Dollar Revolving Loan shall be either an ABR Revolving Loan or a Eurocurrency Revolving Loan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Borrower may request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00" w:lineRule="exact"/>
        <w:rPr>
          <w:sz w:val="20"/>
          <w:szCs w:val="20"/>
          <w:color w:val="auto"/>
        </w:rPr>
      </w:pPr>
    </w:p>
    <w:p>
      <w:pPr>
        <w:spacing w:after="0" w:line="277" w:lineRule="exact"/>
        <w:rPr>
          <w:sz w:val="20"/>
          <w:szCs w:val="20"/>
          <w:color w:val="auto"/>
        </w:rPr>
      </w:pPr>
    </w:p>
    <w:p>
      <w:pPr>
        <w:jc w:val="both"/>
        <w:ind w:right="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Term Commitment</w:t>
      </w:r>
      <w:r>
        <w:rPr>
          <w:rFonts w:ascii="Arial" w:cs="Arial" w:eastAsia="Arial" w:hAnsi="Arial"/>
          <w:sz w:val="18"/>
          <w:szCs w:val="18"/>
          <w:color w:val="auto"/>
        </w:rPr>
        <w:t>” shall mean, with respect to each Lender, the commitment, if any, of such Lender to make a Dollar Term Loan hereunder on the Closing Date in the amount set forth on Schedule I to the Lender Addendum executed and delivered by such Lender. The aggregate amount of the Lenders’ Dollar Term Commitments is $605.1 million.</w:t>
      </w: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Term Lender</w:t>
      </w:r>
      <w:r>
        <w:rPr>
          <w:rFonts w:ascii="Arial" w:cs="Arial" w:eastAsia="Arial" w:hAnsi="Arial"/>
          <w:sz w:val="18"/>
          <w:szCs w:val="18"/>
          <w:color w:val="auto"/>
        </w:rPr>
        <w:t>” shall mean a Lender with a Dollar Term Commitment or an outstanding Dollar Term Loan.</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Term Loan</w:t>
      </w:r>
      <w:r>
        <w:rPr>
          <w:rFonts w:ascii="Arial" w:cs="Arial" w:eastAsia="Arial" w:hAnsi="Arial"/>
          <w:sz w:val="17"/>
          <w:szCs w:val="17"/>
          <w:color w:val="auto"/>
        </w:rPr>
        <w:t xml:space="preserve">” shall mean the Dollar denominated term loans made by the Lenders to Borrower pursuant to </w:t>
      </w:r>
      <w:r>
        <w:rPr>
          <w:rFonts w:ascii="Arial" w:cs="Arial" w:eastAsia="Arial" w:hAnsi="Arial"/>
          <w:sz w:val="17"/>
          <w:szCs w:val="17"/>
          <w:u w:val="single" w:color="auto"/>
          <w:color w:val="auto"/>
        </w:rPr>
        <w:t>Section 2.01(a)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2.11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2.12</w:t>
      </w:r>
      <w:r>
        <w:rPr>
          <w:rFonts w:ascii="Arial" w:cs="Arial" w:eastAsia="Arial" w:hAnsi="Arial"/>
          <w:sz w:val="16"/>
          <w:szCs w:val="16"/>
          <w:color w:val="auto"/>
        </w:rPr>
        <w:t>, each Dollar Term Loan shall be either an ABR Term Loan or a Eurocurrency Term Loan as Borrower may request</w:t>
      </w:r>
    </w:p>
    <w:p>
      <w:pPr>
        <w:sectPr>
          <w:pgSz w:w="11900" w:h="16838" w:orient="portrait"/>
          <w:cols w:equalWidth="0" w:num="1">
            <w:col w:w="11420"/>
          </w:cols>
          <w:pgMar w:left="240" w:top="125" w:right="239" w:bottom="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00" w:lineRule="exact"/>
        <w:rPr>
          <w:sz w:val="20"/>
          <w:szCs w:val="20"/>
          <w:color w:val="auto"/>
        </w:rPr>
      </w:pP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shall mean lawful money of the United States.</w:t>
      </w:r>
    </w:p>
    <w:p>
      <w:pPr>
        <w:spacing w:after="0" w:line="200" w:lineRule="exact"/>
        <w:rPr>
          <w:sz w:val="20"/>
          <w:szCs w:val="20"/>
          <w:color w:val="auto"/>
        </w:rPr>
      </w:pPr>
    </w:p>
    <w:p>
      <w:pPr>
        <w:spacing w:after="0" w:line="295"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shall mean any Subsidiary that is organized or existing under the laws of the United States, any state thereof or the District of Columbia.</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Percentage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2.10(f)</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xml:space="preserve">” shall mean (a) if the assignment does not include assignment of a Revolving Commitment, (i) any Lender, (ii) an Affiliate of any Lender, (iii) an Approved Fund and (iv) any other person approved by the Administrative Agent (such approval not to be unreasonably withheld or delayed) and (b) if the assignment includes assignment of a Revolving Commitment, (i) any Revolving Lender, (ii) an Affiliate of any Revolving Lender approved by each Issuing Bank (each such approval not to be unreasonably withheld or delayed), (iii) an Approved Fund of a Revolving Lender approved by each Issuing Bank (each such approval not to be unreasonably withheld or delayed) and (iv) any other person approved by the Administrative Agent, each Issuing Bank, the Swingline Lender and Borrower (each such approval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no approval of Borrower shall be required during the continuance of a Default or prior to the completion of the primary syndication of the Commitments and Loans (as determined by the Arranger) and (y) “Eligible Assignee” shall not include Borrower or any of its Affiliates or Subsidiaries or any natural person.</w:t>
      </w:r>
    </w:p>
    <w:p>
      <w:pPr>
        <w:spacing w:after="0" w:line="200" w:lineRule="exact"/>
        <w:rPr>
          <w:sz w:val="20"/>
          <w:szCs w:val="20"/>
          <w:color w:val="auto"/>
        </w:rPr>
      </w:pP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Embargoed Person</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6.20</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shall mean ambient air, indoor air, surface water and groundwater (including potable water, navigable water and wetlands), the land surface or subsurface strata, natural resources, the workplace or as otherwise defined in any Environmental Law.</w:t>
      </w:r>
    </w:p>
    <w:p>
      <w:pPr>
        <w:spacing w:after="0" w:line="200" w:lineRule="exact"/>
        <w:rPr>
          <w:sz w:val="20"/>
          <w:szCs w:val="20"/>
          <w:color w:val="auto"/>
        </w:rPr>
      </w:pPr>
    </w:p>
    <w:p>
      <w:pPr>
        <w:spacing w:after="0" w:line="232" w:lineRule="exact"/>
        <w:rPr>
          <w:sz w:val="20"/>
          <w:szCs w:val="20"/>
          <w:color w:val="auto"/>
        </w:rPr>
      </w:pPr>
    </w:p>
    <w:p>
      <w:pPr>
        <w:ind w:firstLine="1297"/>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Claim</w:t>
      </w:r>
      <w:r>
        <w:rPr>
          <w:rFonts w:ascii="Arial" w:cs="Arial" w:eastAsia="Arial" w:hAnsi="Arial"/>
          <w:sz w:val="17"/>
          <w:szCs w:val="17"/>
          <w:color w:val="auto"/>
        </w:rPr>
        <w:t>” shall mean any claim, notice, demand, order, action, suit, proceeding or other communication alleging liability for or obligation with respect to any investigation, remediation, removal, cleanup, response, corrective action, damages to natural resources, personal injury, property damage, fines, penalties or other costs resulting from, related to or arising out of (i) the presence, Release or threatened Release in or into the Environment of Hazardous Material at any location or (ii) any violation or alleged violation of any Environmental Law, and shall include any claim seeking damages, contribution, indemnification, cost recovery, compensation or injunctive relief resulting from, related to or arising out of the presence, Release or threatened Release of Hazardous Material or alleged injury or threat of injury to health, safety or the Environment.</w:t>
      </w:r>
    </w:p>
    <w:p>
      <w:pPr>
        <w:spacing w:after="0" w:line="200" w:lineRule="exact"/>
        <w:rPr>
          <w:sz w:val="20"/>
          <w:szCs w:val="20"/>
          <w:color w:val="auto"/>
        </w:rPr>
      </w:pPr>
    </w:p>
    <w:p>
      <w:pPr>
        <w:spacing w:after="0" w:line="244" w:lineRule="exact"/>
        <w:rPr>
          <w:sz w:val="20"/>
          <w:szCs w:val="20"/>
          <w:color w:val="auto"/>
        </w:rPr>
      </w:pPr>
    </w:p>
    <w:p>
      <w:pPr>
        <w:ind w:right="16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shall mean any and all present and future treaties, laws, statutes, ordinances, regulations, rules, decrees, orders, judgments, consent orders, consent decrees, code or other binding requirements, and the common law, relating to protection of public health or the Environment, the Release or threatened Release of Hazardous Material, natural resources or natural resource damages, or occupational safety or health, and any and all Environmental Permits.</w:t>
      </w:r>
    </w:p>
    <w:p>
      <w:pPr>
        <w:spacing w:after="0" w:line="200" w:lineRule="exact"/>
        <w:rPr>
          <w:sz w:val="20"/>
          <w:szCs w:val="20"/>
          <w:color w:val="auto"/>
        </w:rPr>
      </w:pPr>
    </w:p>
    <w:p>
      <w:pPr>
        <w:spacing w:after="0" w:line="250"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w:t>
      </w:r>
      <w:r>
        <w:rPr>
          <w:rFonts w:ascii="Arial" w:cs="Arial" w:eastAsia="Arial" w:hAnsi="Arial"/>
          <w:sz w:val="18"/>
          <w:szCs w:val="18"/>
          <w:color w:val="auto"/>
        </w:rPr>
        <w:t>” shall mean any permit, license, approval, registration, notification, exemption, consent or other authorization required by or from a Governmental Authority under Environmental Law.</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shall have the meaning assigned to such term in the Security Agreement.</w:t>
      </w:r>
    </w:p>
    <w:p>
      <w:pPr>
        <w:spacing w:after="0" w:line="200" w:lineRule="exact"/>
        <w:rPr>
          <w:sz w:val="20"/>
          <w:szCs w:val="20"/>
          <w:color w:val="auto"/>
        </w:rPr>
      </w:pPr>
    </w:p>
    <w:p>
      <w:pPr>
        <w:spacing w:after="0" w:line="295"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Financing</w:t>
      </w:r>
      <w:r>
        <w:rPr>
          <w:rFonts w:ascii="Arial" w:cs="Arial" w:eastAsia="Arial" w:hAnsi="Arial"/>
          <w:sz w:val="18"/>
          <w:szCs w:val="18"/>
          <w:color w:val="auto"/>
        </w:rPr>
        <w:t>” shall mean the issuance by Borrower on March 1, 2007 of approximately 4.09 million shares of its common stock, no par value, for gross proceeds of $235.0 million.</w:t>
      </w:r>
    </w:p>
    <w:p>
      <w:pPr>
        <w:spacing w:after="0" w:line="200" w:lineRule="exact"/>
        <w:rPr>
          <w:sz w:val="20"/>
          <w:szCs w:val="20"/>
          <w:color w:val="auto"/>
        </w:rPr>
      </w:pPr>
    </w:p>
    <w:p>
      <w:pPr>
        <w:spacing w:after="0" w:line="232" w:lineRule="exact"/>
        <w:rPr>
          <w:sz w:val="20"/>
          <w:szCs w:val="20"/>
          <w:color w:val="auto"/>
        </w:rPr>
      </w:pPr>
    </w:p>
    <w:p>
      <w:pPr>
        <w:ind w:right="6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w:t>
      </w:r>
      <w:r>
        <w:rPr>
          <w:rFonts w:ascii="Arial" w:cs="Arial" w:eastAsia="Arial" w:hAnsi="Arial"/>
          <w:sz w:val="18"/>
          <w:szCs w:val="18"/>
          <w:color w:val="auto"/>
        </w:rPr>
        <w:t>” shall mean,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whether outstanding on the date hereof or issued after the Closing Date, but excluding debt securities convertible or exchangeable into such equity.</w:t>
      </w:r>
    </w:p>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the same may be amended from time to time.</w:t>
      </w:r>
    </w:p>
    <w:p>
      <w:pPr>
        <w:spacing w:after="0" w:line="200" w:lineRule="exact"/>
        <w:rPr>
          <w:sz w:val="20"/>
          <w:szCs w:val="20"/>
          <w:color w:val="auto"/>
        </w:rPr>
      </w:pPr>
    </w:p>
    <w:p>
      <w:pPr>
        <w:spacing w:after="0" w:line="295" w:lineRule="exact"/>
        <w:rPr>
          <w:sz w:val="20"/>
          <w:szCs w:val="20"/>
          <w:color w:val="auto"/>
        </w:rPr>
      </w:pPr>
    </w:p>
    <w:p>
      <w:pPr>
        <w:jc w:val="both"/>
        <w:ind w:right="30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shall mean, with respect to any person, any trade or business (whether or not incorporated) that, together with such person, is treated as a single employer under Section 414(b) of the Code or, solely for purposes of the funding requirements of Section 412 of the Code or Section 302 of ERISA, Section 414(m) or (o) of the Code.</w:t>
      </w:r>
    </w:p>
    <w:p>
      <w:pPr>
        <w:spacing w:after="0" w:line="200" w:lineRule="exact"/>
        <w:rPr>
          <w:sz w:val="20"/>
          <w:szCs w:val="20"/>
          <w:color w:val="auto"/>
        </w:rPr>
      </w:pPr>
    </w:p>
    <w:p>
      <w:pPr>
        <w:spacing w:after="0" w:line="246" w:lineRule="exact"/>
        <w:rPr>
          <w:sz w:val="20"/>
          <w:szCs w:val="20"/>
          <w:color w:val="auto"/>
        </w:rPr>
      </w:pPr>
    </w:p>
    <w:p>
      <w:pPr>
        <w:ind w:right="36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shall mean (a) any “reportable event,” as defined in Section 4043 of ERISA or the regulations issued thereunder, with respect to a Plan (other than an event for which the 30-day notice period is waived by statute, regulation or other legally binding action of a relevant</w:t>
      </w:r>
    </w:p>
    <w:p>
      <w:pPr>
        <w:sectPr>
          <w:pgSz w:w="11900" w:h="16838" w:orient="portrait"/>
          <w:cols w:equalWidth="0" w:num="1">
            <w:col w:w="11380"/>
          </w:cols>
          <w:pgMar w:left="240" w:top="125" w:right="279" w:bottom="0" w:gutter="0" w:footer="0" w:header="0"/>
        </w:sectPr>
      </w:pPr>
    </w:p>
    <w:bookmarkStart w:id="63" w:name="page64"/>
    <w:bookmarkEnd w:id="63"/>
    <w:p>
      <w:pPr>
        <w:spacing w:after="0" w:line="286" w:lineRule="auto"/>
        <w:rPr>
          <w:sz w:val="20"/>
          <w:szCs w:val="20"/>
          <w:color w:val="auto"/>
        </w:rPr>
      </w:pPr>
      <w:r>
        <w:rPr>
          <w:rFonts w:ascii="Arial" w:cs="Arial" w:eastAsia="Arial" w:hAnsi="Arial"/>
          <w:sz w:val="16"/>
          <w:szCs w:val="16"/>
          <w:color w:val="auto"/>
        </w:rPr>
        <w:t>Governmental Authority); (b) the existence with respect to any Plan of an “accumulated funding deficiency” (as defined in Section 412 of the Code or Section 302 of ERISA), whether or not waived; (c) the failure to make by its due date a required installment under Section 412(m) of the Code with respect to any Plan or the failure to make any required contribution to a Multiemployer Plan; (d) the filing pursuant to Section 412(d) of the Code or Section 303(d) of ERISA of an application for a waiver of the minimum funding standard with respect to any Plan; (e) the incurrence by any Company or any of its ERISA Affiliates of any liability under Title IV of ERISA with respect to the termination of any Plan; (f) the receipt by any Company or any of its ERISA Affiliates from the PBGC or a plan administrator of any notice relating to the intention to terminate any Plan or Plans or to appoint a trustee to administer any Plan, or the occurrence of any event or condition which could reasonably be expected to constitute grounds under ERISA for the termination of, or the appointment of a trustee to administer, any Plan; (g) the incurrence by any Company or any of its ERISA Affiliates of any liability with respect to the withdrawal from any Plan or Multiemployer Plan; (h) the receipt by any Company or its ERISA Affiliates of any notice, concerning the imposition of Withdrawal Liability or a determination that a Multiemployer Plan is, or is expected to be, insolvent or in reorganization, within the meaning of Title IV of ERISA; (i) the “substantial cessation of operations” within the meaning of Section 4062(e) of ERISA with respect to a Plan; (j) the making of any amendment to any Plan which could result in the imposition of a lien or the posting of a bond or other security; and (k) the occurrence of a nonexempt prohibited transaction (within the meaning of Section 4975 of the Code or Section 406 of ERISA) which could reasonably be expected to result in liability to any Company.</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 Borrowing</w:t>
      </w:r>
      <w:r>
        <w:rPr>
          <w:rFonts w:ascii="Arial" w:cs="Arial" w:eastAsia="Arial" w:hAnsi="Arial"/>
          <w:sz w:val="18"/>
          <w:szCs w:val="18"/>
          <w:color w:val="auto"/>
        </w:rPr>
        <w:t>” shall mean a Borrowing comprised of EURIBOR Loans.</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 Loan</w:t>
      </w:r>
      <w:r>
        <w:rPr>
          <w:rFonts w:ascii="Arial" w:cs="Arial" w:eastAsia="Arial" w:hAnsi="Arial"/>
          <w:sz w:val="18"/>
          <w:szCs w:val="18"/>
          <w:color w:val="auto"/>
        </w:rPr>
        <w:t>” shall mean any EURIBOR Revolving Loan or EURIBOR Term Loan.</w:t>
      </w:r>
    </w:p>
    <w:p>
      <w:pPr>
        <w:spacing w:after="0" w:line="200" w:lineRule="exact"/>
        <w:rPr>
          <w:sz w:val="20"/>
          <w:szCs w:val="20"/>
          <w:color w:val="auto"/>
        </w:rPr>
      </w:pPr>
    </w:p>
    <w:p>
      <w:pPr>
        <w:spacing w:after="0" w:line="295"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EURIBOR Rate</w:t>
      </w:r>
      <w:r>
        <w:rPr>
          <w:rFonts w:ascii="Arial" w:cs="Arial" w:eastAsia="Arial" w:hAnsi="Arial"/>
          <w:sz w:val="16"/>
          <w:szCs w:val="16"/>
          <w:color w:val="auto"/>
        </w:rPr>
        <w:t xml:space="preserve">” shall mean, with respect to any EURIBOR Borrowing for any Interest Period, the interest rate per annum determined by the Banking Federation of the European Union for deposits in Euros (for delivery on the first day of such Interest Period) with a term comparable to such Interest Period, determined as of approximately 11:00 a.m., Brussels time, on the second full TARGET Day preceding the first day of such Interest Period (as set forth by Reuters or any successor thereto or any other service selected by the Administrative Agent which has been nominated by the Banking Federation of the European Union as an authorized information vendor for the purpose of displaying such rates);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if no comparable term for an Interest Period is available, the EURIBOR Rate shall be determined using the weighted average of the offered rates for the two terms most nearly corresponding to such Interest Period and (ii) if the rate referenced above is not available, “EURIBOR Rate” shall mean, with respect to each day during each Interest Period pertaining to EURIBOR Borrowings comprising part of the same Borrowing, the rate per annum equal to the rate at which the Administrative Agent (or such other bank or banks as may be designated by the Administrative Agent in consultation with Borrower) is offered deposits in Euros at approximately 11:00 a.m., Brussels time, two TARGET Days prior to the first day of such Interest Period, for delivery on the first day of such Interest Period for the number of days comprised therein and in an amount comparable to its portion of the amount of such EURIBOR Borrowing to be outstanding during such Interest Period (or such other amount as the Administrative Agent may reasonably determine).</w:t>
      </w:r>
    </w:p>
    <w:p>
      <w:pPr>
        <w:spacing w:after="0" w:line="200" w:lineRule="exact"/>
        <w:rPr>
          <w:sz w:val="20"/>
          <w:szCs w:val="20"/>
          <w:color w:val="auto"/>
        </w:rPr>
      </w:pP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 Revolving Borrowing</w:t>
      </w:r>
      <w:r>
        <w:rPr>
          <w:rFonts w:ascii="Arial" w:cs="Arial" w:eastAsia="Arial" w:hAnsi="Arial"/>
          <w:sz w:val="18"/>
          <w:szCs w:val="18"/>
          <w:color w:val="auto"/>
        </w:rPr>
        <w:t>” shall mean a Borrowing comprised of EURIBOR Revolving Loans.</w:t>
      </w:r>
    </w:p>
    <w:p>
      <w:pPr>
        <w:spacing w:after="0" w:line="200" w:lineRule="exact"/>
        <w:rPr>
          <w:sz w:val="20"/>
          <w:szCs w:val="20"/>
          <w:color w:val="auto"/>
        </w:rPr>
      </w:pPr>
    </w:p>
    <w:p>
      <w:pPr>
        <w:spacing w:after="0" w:line="295" w:lineRule="exact"/>
        <w:rPr>
          <w:sz w:val="20"/>
          <w:szCs w:val="20"/>
          <w:color w:val="auto"/>
        </w:rPr>
      </w:pPr>
    </w:p>
    <w:p>
      <w:pPr>
        <w:ind w:right="8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 Revolving Loan</w:t>
      </w:r>
      <w:r>
        <w:rPr>
          <w:rFonts w:ascii="Arial" w:cs="Arial" w:eastAsia="Arial" w:hAnsi="Arial"/>
          <w:sz w:val="18"/>
          <w:szCs w:val="18"/>
          <w:color w:val="auto"/>
        </w:rPr>
        <w:t xml:space="preserve">” shall mean any Revolving Loan bearing interest at a rate determined by reference to the Adjusted EURIBOR Rate in accordance with 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 Term Borrowing</w:t>
      </w:r>
      <w:r>
        <w:rPr>
          <w:rFonts w:ascii="Arial" w:cs="Arial" w:eastAsia="Arial" w:hAnsi="Arial"/>
          <w:sz w:val="18"/>
          <w:szCs w:val="18"/>
          <w:color w:val="auto"/>
        </w:rPr>
        <w:t>” shall mean a Borrowing comprised of EURIBOR Term Loans.</w:t>
      </w:r>
    </w:p>
    <w:p>
      <w:pPr>
        <w:spacing w:after="0" w:line="200" w:lineRule="exact"/>
        <w:rPr>
          <w:sz w:val="20"/>
          <w:szCs w:val="20"/>
          <w:color w:val="auto"/>
        </w:rPr>
      </w:pPr>
    </w:p>
    <w:p>
      <w:pPr>
        <w:spacing w:after="0" w:line="295"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 Term Loan</w:t>
      </w:r>
      <w:r>
        <w:rPr>
          <w:rFonts w:ascii="Arial" w:cs="Arial" w:eastAsia="Arial" w:hAnsi="Arial"/>
          <w:sz w:val="18"/>
          <w:szCs w:val="18"/>
          <w:color w:val="auto"/>
        </w:rPr>
        <w:t xml:space="preserve">” shall mean any Term Loan bearing interest at a rate determined by reference to the Adjusted EURIBOR Rate in accordance with 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shall mean the single currency of the Participating Member States.</w:t>
      </w:r>
    </w:p>
    <w:p>
      <w:pPr>
        <w:spacing w:after="0" w:line="200" w:lineRule="exact"/>
        <w:rPr>
          <w:sz w:val="20"/>
          <w:szCs w:val="20"/>
          <w:color w:val="auto"/>
        </w:rPr>
      </w:pPr>
    </w:p>
    <w:p>
      <w:pPr>
        <w:spacing w:after="0" w:line="295" w:lineRule="exact"/>
        <w:rPr>
          <w:sz w:val="20"/>
          <w:szCs w:val="20"/>
          <w:color w:val="auto"/>
        </w:rPr>
      </w:pPr>
    </w:p>
    <w:p>
      <w:pPr>
        <w:ind w:right="140" w:firstLine="129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EuroLC Exposure</w:t>
      </w:r>
      <w:r>
        <w:rPr>
          <w:rFonts w:ascii="Arial" w:cs="Arial" w:eastAsia="Arial" w:hAnsi="Arial"/>
          <w:sz w:val="17"/>
          <w:szCs w:val="17"/>
          <w:color w:val="auto"/>
        </w:rPr>
        <w:t xml:space="preserve">” shall mean at any time the sum of (a) the aggregate undrawn amount of all outstanding Euro denominated Letters of Credit at such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aggregate principal amount of all Reimbursement Obligations payable in Euros outstanding at such time. The Euro LC Exposure of any Revolving Lender at any time shall mean its Pro Rata Percentage of the aggregate Euro LC Exposure at such time.</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 Loan</w:t>
      </w:r>
      <w:r>
        <w:rPr>
          <w:rFonts w:ascii="Arial" w:cs="Arial" w:eastAsia="Arial" w:hAnsi="Arial"/>
          <w:sz w:val="18"/>
          <w:szCs w:val="18"/>
          <w:color w:val="auto"/>
        </w:rPr>
        <w:t>” shall mean each Loan denominated in Euros.</w:t>
      </w:r>
    </w:p>
    <w:p>
      <w:pPr>
        <w:spacing w:after="0" w:line="200" w:lineRule="exact"/>
        <w:rPr>
          <w:sz w:val="20"/>
          <w:szCs w:val="20"/>
          <w:color w:val="auto"/>
        </w:rPr>
      </w:pPr>
    </w:p>
    <w:p>
      <w:pPr>
        <w:spacing w:after="0" w:line="295" w:lineRule="exact"/>
        <w:rPr>
          <w:sz w:val="20"/>
          <w:szCs w:val="20"/>
          <w:color w:val="auto"/>
        </w:rPr>
      </w:pPr>
    </w:p>
    <w:p>
      <w:pPr>
        <w:ind w:right="10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 Revolving Loan</w:t>
      </w:r>
      <w:r>
        <w:rPr>
          <w:rFonts w:ascii="Arial" w:cs="Arial" w:eastAsia="Arial" w:hAnsi="Arial"/>
          <w:sz w:val="18"/>
          <w:szCs w:val="18"/>
          <w:color w:val="auto"/>
        </w:rPr>
        <w:t xml:space="preserve">” shall mean Euro denominated revolving loans made by the Lenders to Borrower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2.01(b)</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2.11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2.12</w:t>
      </w:r>
      <w:r>
        <w:rPr>
          <w:rFonts w:ascii="Arial" w:cs="Arial" w:eastAsia="Arial" w:hAnsi="Arial"/>
          <w:sz w:val="18"/>
          <w:szCs w:val="18"/>
          <w:color w:val="auto"/>
        </w:rPr>
        <w:t>, each Euro Revolving Loan shall be a EURIBOR Revolving Loan.</w:t>
      </w:r>
    </w:p>
    <w:p>
      <w:pPr>
        <w:spacing w:after="0" w:line="200" w:lineRule="exact"/>
        <w:rPr>
          <w:sz w:val="20"/>
          <w:szCs w:val="20"/>
          <w:color w:val="auto"/>
        </w:rPr>
      </w:pPr>
    </w:p>
    <w:p>
      <w:pPr>
        <w:spacing w:after="0" w:line="232" w:lineRule="exact"/>
        <w:rPr>
          <w:sz w:val="20"/>
          <w:szCs w:val="20"/>
          <w:color w:val="auto"/>
        </w:rPr>
      </w:pPr>
    </w:p>
    <w:p>
      <w:pPr>
        <w:ind w:right="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 Term Commitment</w:t>
      </w:r>
      <w:r>
        <w:rPr>
          <w:rFonts w:ascii="Arial" w:cs="Arial" w:eastAsia="Arial" w:hAnsi="Arial"/>
          <w:sz w:val="18"/>
          <w:szCs w:val="18"/>
          <w:color w:val="auto"/>
        </w:rPr>
        <w:t>” shall mean, with respect to each Lender, the commitment, if any, of such Lender to make a Euro Term Loan hereunder on the Closing Date in the amount set forth on Schedule I to the Lender Addendum executed and delivered by such Lender. The aggregate amount of the Lenders’ Euro Term Commitments is €335.0 million.</w:t>
      </w: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 Term Lender</w:t>
      </w:r>
      <w:r>
        <w:rPr>
          <w:rFonts w:ascii="Arial" w:cs="Arial" w:eastAsia="Arial" w:hAnsi="Arial"/>
          <w:sz w:val="18"/>
          <w:szCs w:val="18"/>
          <w:color w:val="auto"/>
        </w:rPr>
        <w:t>” shall mean a Lender with a Euro Term Commitment or an outstanding Euro Term Loan.</w:t>
      </w:r>
    </w:p>
    <w:p>
      <w:pPr>
        <w:sectPr>
          <w:pgSz w:w="11900" w:h="16838" w:orient="portrait"/>
          <w:cols w:equalWidth="0" w:num="1">
            <w:col w:w="11420"/>
          </w:cols>
          <w:pgMar w:left="240" w:top="125" w:right="239" w:bottom="333" w:gutter="0" w:footer="0" w:header="0"/>
        </w:sectPr>
      </w:pPr>
    </w:p>
    <w:bookmarkStart w:id="64" w:name="page65"/>
    <w:bookmarkEnd w:id="64"/>
    <w:p>
      <w:pPr>
        <w:ind w:right="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 Term Loan</w:t>
      </w:r>
      <w:r>
        <w:rPr>
          <w:rFonts w:ascii="Arial" w:cs="Arial" w:eastAsia="Arial" w:hAnsi="Arial"/>
          <w:sz w:val="18"/>
          <w:szCs w:val="18"/>
          <w:color w:val="auto"/>
        </w:rPr>
        <w:t xml:space="preserve">” shall mean the Euro denominated term loans made by the Lenders to Borrower pursuant to </w:t>
      </w:r>
      <w:r>
        <w:rPr>
          <w:rFonts w:ascii="Arial" w:cs="Arial" w:eastAsia="Arial" w:hAnsi="Arial"/>
          <w:sz w:val="18"/>
          <w:szCs w:val="18"/>
          <w:u w:val="single" w:color="auto"/>
          <w:color w:val="auto"/>
        </w:rPr>
        <w:t>Section 2.01(a)(ii)</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2.11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2.12</w:t>
      </w:r>
      <w:r>
        <w:rPr>
          <w:rFonts w:ascii="Arial" w:cs="Arial" w:eastAsia="Arial" w:hAnsi="Arial"/>
          <w:sz w:val="18"/>
          <w:szCs w:val="18"/>
          <w:color w:val="auto"/>
        </w:rPr>
        <w:t>, each Euro Term Loan shall be a EURIBOR Term Loan.</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Eurocurrency Borrowing</w:t>
      </w:r>
      <w:r>
        <w:rPr>
          <w:rFonts w:ascii="Arial" w:cs="Arial" w:eastAsia="Arial" w:hAnsi="Arial"/>
          <w:sz w:val="18"/>
          <w:szCs w:val="18"/>
          <w:color w:val="auto"/>
        </w:rPr>
        <w:t>” shall mean a Borrowing comprised of Eurocurrency Loans.</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Eurocurrency Loan</w:t>
      </w:r>
      <w:r>
        <w:rPr>
          <w:rFonts w:ascii="Arial" w:cs="Arial" w:eastAsia="Arial" w:hAnsi="Arial"/>
          <w:sz w:val="18"/>
          <w:szCs w:val="18"/>
          <w:color w:val="auto"/>
        </w:rPr>
        <w:t>” shall mean any Eurocurrency Revolving Loan or Eurocurrency Term Loan.</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Eurocurrency Revolving Borrowing</w:t>
      </w:r>
      <w:r>
        <w:rPr>
          <w:rFonts w:ascii="Arial" w:cs="Arial" w:eastAsia="Arial" w:hAnsi="Arial"/>
          <w:sz w:val="18"/>
          <w:szCs w:val="18"/>
          <w:color w:val="auto"/>
        </w:rPr>
        <w:t>” shall mean a Borrowing comprised of Eurocurrency Revolving Loans.</w:t>
      </w:r>
    </w:p>
    <w:p>
      <w:pPr>
        <w:spacing w:after="0" w:line="200" w:lineRule="exact"/>
        <w:rPr>
          <w:sz w:val="20"/>
          <w:szCs w:val="20"/>
          <w:color w:val="auto"/>
        </w:rPr>
      </w:pPr>
    </w:p>
    <w:p>
      <w:pPr>
        <w:spacing w:after="0" w:line="295" w:lineRule="exact"/>
        <w:rPr>
          <w:sz w:val="20"/>
          <w:szCs w:val="20"/>
          <w:color w:val="auto"/>
        </w:rPr>
      </w:pPr>
    </w:p>
    <w:p>
      <w:pPr>
        <w:ind w:right="5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Eurocurrency Revolving Loan</w:t>
      </w:r>
      <w:r>
        <w:rPr>
          <w:rFonts w:ascii="Arial" w:cs="Arial" w:eastAsia="Arial" w:hAnsi="Arial"/>
          <w:sz w:val="18"/>
          <w:szCs w:val="18"/>
          <w:color w:val="auto"/>
        </w:rPr>
        <w:t xml:space="preserve">” shall mean any Revolving Loan bearing interest at a rate determined by reference to the Adjusted LIBOR Rate in accordance with 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Eurocurrency Term Borrowing</w:t>
      </w:r>
      <w:r>
        <w:rPr>
          <w:rFonts w:ascii="Arial" w:cs="Arial" w:eastAsia="Arial" w:hAnsi="Arial"/>
          <w:sz w:val="18"/>
          <w:szCs w:val="18"/>
          <w:color w:val="auto"/>
        </w:rPr>
        <w:t>” shall mean a Borrowing comprised of Eurocurrency Term Loans.</w:t>
      </w:r>
    </w:p>
    <w:p>
      <w:pPr>
        <w:spacing w:after="0" w:line="200" w:lineRule="exact"/>
        <w:rPr>
          <w:sz w:val="20"/>
          <w:szCs w:val="20"/>
          <w:color w:val="auto"/>
        </w:rPr>
      </w:pPr>
    </w:p>
    <w:p>
      <w:pPr>
        <w:spacing w:after="0" w:line="295"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Eurocurrency Term Loan</w:t>
      </w:r>
      <w:r>
        <w:rPr>
          <w:rFonts w:ascii="Arial" w:cs="Arial" w:eastAsia="Arial" w:hAnsi="Arial"/>
          <w:sz w:val="18"/>
          <w:szCs w:val="18"/>
          <w:color w:val="auto"/>
        </w:rPr>
        <w:t xml:space="preserve">” shall mean any Term Loan bearing interest at a rate determined by reference to the Adjusted LIBOR Rate in accordance with 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Amount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2.10(g)</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4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xml:space="preserve">” shall mean, for any Excess Cash Flow Period, Consolidated EBITDA for such Excess Cash Flow Period,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w:t>
      </w:r>
    </w:p>
    <w:p>
      <w:pPr>
        <w:spacing w:after="0" w:line="200" w:lineRule="exact"/>
        <w:rPr>
          <w:sz w:val="20"/>
          <w:szCs w:val="20"/>
          <w:color w:val="auto"/>
        </w:rPr>
      </w:pPr>
    </w:p>
    <w:p>
      <w:pPr>
        <w:spacing w:after="0" w:line="236" w:lineRule="exact"/>
        <w:rPr>
          <w:sz w:val="20"/>
          <w:szCs w:val="20"/>
          <w:color w:val="auto"/>
        </w:rPr>
      </w:pPr>
    </w:p>
    <w:p>
      <w:pPr>
        <w:ind w:left="2560" w:hanging="607"/>
        <w:spacing w:after="0"/>
        <w:tabs>
          <w:tab w:leader="none" w:pos="25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Debt Service for such Excess Cash Flow Period;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200" w:firstLine="1953"/>
        <w:spacing w:after="0" w:line="277" w:lineRule="auto"/>
        <w:tabs>
          <w:tab w:leader="none" w:pos="25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Capital Expenditures during such Excess Cash Flow Period (excluding Capital Expenditures made in such Excess Cash Flow Period where a certificate contemplated by the following clause (c) was previously delivered) that are paid in cash;</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120" w:firstLine="1953"/>
        <w:spacing w:after="0" w:line="259" w:lineRule="auto"/>
        <w:tabs>
          <w:tab w:leader="none" w:pos="257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Capital Expenditures that Borrower or any of its Subsidiaries shall, during such Excess Cash Flow Period, become obligated to make but that are not made during such Excess Cash Flow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shall deliver a certificate to the Administrative Agent not later than 90 days after the end of such Excess Cash Flow Period, signed by a Responsible Officer of Borrower and certifying that such Capital Expenditures will be made in the following Excess Cash Flow Period;</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right="120" w:firstLine="1953"/>
        <w:spacing w:after="0" w:line="264" w:lineRule="auto"/>
        <w:tabs>
          <w:tab w:leader="none" w:pos="25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 an amount equal to 50% of the aggregate amount of investments made in cash during such period constituting Permitted Acquisitions and (ii) the aggregate amount of investments made in cash during such period constituting Investments permitted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6.04(j)</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firstLine="1953"/>
        <w:spacing w:after="0" w:line="257" w:lineRule="auto"/>
        <w:tabs>
          <w:tab w:leader="none" w:pos="257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 taxes of Borrower and its Subsidiaries that were paid in cash during such Excess Cash Flow Period (excluding taxes paid in such Excess Cash Flow period where a certificate contemplated by clause (ii) has previously been delivered) or (ii) taxes of Borrower and its Subsidiaries that will be paid within six months after the end of such Excess Cash Flow Period and for which reserves have been established;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shall deliver a certificate to the Administrative Agent not later than 90 days after the end of such Excess Cash Flow Period, signed by a Responsible Officer of Borrower and certifying that such taxes will be paid within such six month period;</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jc w:val="both"/>
        <w:ind w:right="40" w:firstLine="1953"/>
        <w:spacing w:after="0" w:line="264" w:lineRule="auto"/>
        <w:tabs>
          <w:tab w:leader="none" w:pos="255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absolute value of the difference, if negative, of the amount of Net Working Capital at the end of the prior Excess Cash Flow Period (or, in the case of the Excess Cash Flow Period ending December 31, 2007, at the first day of such Excess Cash Flow Period) over the amount of Net Working Capital at the end of such Excess Cash Flow Period;</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20" w:firstLine="1953"/>
        <w:spacing w:after="0" w:line="277" w:lineRule="auto"/>
        <w:tabs>
          <w:tab w:leader="none" w:pos="25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losses excluded from the calculation of Consolidated Net Income by operation of clause (c) or (g) of the definition thereof that are paid in cash during such Excess Cash Flow Period; and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120" w:firstLine="1953"/>
        <w:spacing w:after="0" w:line="277" w:lineRule="auto"/>
        <w:tabs>
          <w:tab w:leader="none" w:pos="25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extent added to determine Consolidated EBITDA, all items that did not result from a cash payment to Borrower or any of its Subsidiaries on a consolidated basis during such Excess Cash Flow Period;</w:t>
      </w:r>
    </w:p>
    <w:p>
      <w:pPr>
        <w:sectPr>
          <w:pgSz w:w="11900" w:h="16838" w:orient="portrait"/>
          <w:cols w:equalWidth="0" w:num="1">
            <w:col w:w="11400"/>
          </w:cols>
          <w:pgMar w:left="240" w:top="121" w:right="259" w:bottom="0" w:gutter="0" w:footer="0" w:header="0"/>
        </w:sectPr>
      </w:pPr>
    </w:p>
    <w:bookmarkStart w:id="65" w:name="page66"/>
    <w:bookmarkEnd w:id="65"/>
    <w:p>
      <w:pPr>
        <w:ind w:right="36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amount deducted pursuant to any of the foregoing clauses that will be paid after the close of such Excess Cash Flow Period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deducted again in a subsequent Excess Cash Flow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200" w:lineRule="exact"/>
        <w:rPr>
          <w:sz w:val="20"/>
          <w:szCs w:val="20"/>
          <w:color w:val="auto"/>
        </w:rPr>
      </w:pPr>
    </w:p>
    <w:p>
      <w:pPr>
        <w:spacing w:after="0" w:line="268" w:lineRule="exact"/>
        <w:rPr>
          <w:sz w:val="20"/>
          <w:szCs w:val="20"/>
          <w:color w:val="auto"/>
        </w:rPr>
      </w:pPr>
    </w:p>
    <w:p>
      <w:pPr>
        <w:ind w:left="660" w:right="60" w:firstLine="2913"/>
        <w:spacing w:after="0" w:line="264" w:lineRule="auto"/>
        <w:tabs>
          <w:tab w:leader="none" w:pos="417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difference, if positive, of the amount of Net Working Capital at the end of the prior Excess Cash Flow Period (or, in the case of the Excess Cash Flow Period ending December 31, 2007, at the first day of such Excess Cash Flow Period) over the amount of Net Working Capital at the end of such Excess Cash Flow Period;</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660" w:right="80" w:firstLine="2913"/>
        <w:spacing w:after="0" w:line="257" w:lineRule="auto"/>
        <w:tabs>
          <w:tab w:leader="none" w:pos="422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(1) all proceeds received during such Excess Cash Flow Period of (x) any equity issuance by Borrower or (y) any Indebtedness (other than Revolving Loans and Swingline Loans), in each case, to the extent used to finance any Investment permitted pursuant to </w:t>
      </w:r>
      <w:r>
        <w:rPr>
          <w:rFonts w:ascii="Arial" w:cs="Arial" w:eastAsia="Arial" w:hAnsi="Arial"/>
          <w:sz w:val="18"/>
          <w:szCs w:val="18"/>
          <w:u w:val="single" w:color="auto"/>
          <w:color w:val="auto"/>
        </w:rPr>
        <w:t>Section 6.04(j)</w:t>
      </w:r>
      <w:r>
        <w:rPr>
          <w:rFonts w:ascii="Arial" w:cs="Arial" w:eastAsia="Arial" w:hAnsi="Arial"/>
          <w:sz w:val="18"/>
          <w:szCs w:val="18"/>
          <w:color w:val="auto"/>
        </w:rPr>
        <w:t xml:space="preserve"> or any Capital Expenditure and (2) an amount equal to 50% of all proceeds received during such Excess Cash Flow Period of (x) any equity issuance by Borrower or (y) any Indebtedness (other than Revolving Loans and Swingline Loans), in each case, to the extent used to finance any Permitted Acquisition;</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660" w:right="60" w:firstLine="2913"/>
        <w:spacing w:after="0" w:line="264" w:lineRule="auto"/>
        <w:tabs>
          <w:tab w:leader="none" w:pos="427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to the extent any permitted Capital Expenditures referred to in clause (c) above do not occur in the Excess Cash Flow Period specified in the certificate of Borrower provided pursuant to clause (c) above, such amounts of Capital Expenditures that were not so made in the Excess Cash Flow Period specified in such certificates;</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jc w:val="both"/>
        <w:ind w:left="660" w:right="180" w:firstLine="2913"/>
        <w:spacing w:after="0" w:line="264" w:lineRule="auto"/>
        <w:tabs>
          <w:tab w:leader="none" w:pos="426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to the extent any tax payments referred to in clause (e)(ii) above do not occur in the Excess Cash Flow Period specified in the certificate of Borrower provided pursuant to clause (e)(ii) above, such amounts of tax payments that were not so made in the Excess Cash Flow Period specified in such certificates;</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4220" w:hanging="647"/>
        <w:spacing w:after="0"/>
        <w:tabs>
          <w:tab w:leader="none" w:pos="422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income or gain excluded from the calculation of Consolidated Net Income by operation of clause</w:t>
      </w:r>
    </w:p>
    <w:p>
      <w:pPr>
        <w:spacing w:after="0" w:line="46" w:lineRule="exact"/>
        <w:rPr>
          <w:rFonts w:ascii="Arial" w:cs="Arial" w:eastAsia="Arial" w:hAnsi="Arial"/>
          <w:sz w:val="16"/>
          <w:szCs w:val="16"/>
          <w:color w:val="auto"/>
        </w:rPr>
      </w:pPr>
    </w:p>
    <w:p>
      <w:pPr>
        <w:ind w:left="660" w:right="220" w:hanging="4"/>
        <w:spacing w:after="0" w:line="261" w:lineRule="auto"/>
        <w:tabs>
          <w:tab w:leader="none" w:pos="9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or (g) of the definition thereof that is realized in cash during such Excess Cash Flow Period (except to the extent such gain is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4260" w:hanging="687"/>
        <w:spacing w:after="0"/>
        <w:tabs>
          <w:tab w:leader="none" w:pos="42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deducted in the computation of Consolidated EBITDA, interest income; and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320" w:hanging="747"/>
        <w:spacing w:after="0"/>
        <w:tabs>
          <w:tab w:leader="none" w:pos="432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to the extent subtracted in determining Consolidated EBITDA, all items that did not result from a</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cash payment by Borrower or any of its Subsidiaries on a consolidated basis during such Excess Cash Flow Period.</w:t>
      </w:r>
    </w:p>
    <w:p>
      <w:pPr>
        <w:spacing w:after="0" w:line="200" w:lineRule="exact"/>
        <w:rPr>
          <w:sz w:val="20"/>
          <w:szCs w:val="20"/>
          <w:color w:val="auto"/>
        </w:rPr>
      </w:pPr>
    </w:p>
    <w:p>
      <w:pPr>
        <w:spacing w:after="0" w:line="277"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 Period</w:t>
      </w:r>
      <w:r>
        <w:rPr>
          <w:rFonts w:ascii="Arial" w:cs="Arial" w:eastAsia="Arial" w:hAnsi="Arial"/>
          <w:sz w:val="18"/>
          <w:szCs w:val="18"/>
          <w:color w:val="auto"/>
        </w:rPr>
        <w:t>” shall mean (i) the period taken as one accounting period from May 1, 2007 and ending on December 31, 2007 and (ii) each fiscal year of Borrower thereafter.</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200" w:lineRule="exact"/>
        <w:rPr>
          <w:sz w:val="20"/>
          <w:szCs w:val="20"/>
          <w:color w:val="auto"/>
        </w:rPr>
      </w:pPr>
    </w:p>
    <w:p>
      <w:pPr>
        <w:spacing w:after="0" w:line="295" w:lineRule="exact"/>
        <w:rPr>
          <w:sz w:val="20"/>
          <w:szCs w:val="20"/>
          <w:color w:val="auto"/>
        </w:rPr>
      </w:pPr>
    </w:p>
    <w:p>
      <w:pPr>
        <w:ind w:right="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Stock Consideration</w:t>
      </w:r>
      <w:r>
        <w:rPr>
          <w:rFonts w:ascii="Arial" w:cs="Arial" w:eastAsia="Arial" w:hAnsi="Arial"/>
          <w:sz w:val="18"/>
          <w:szCs w:val="18"/>
          <w:color w:val="auto"/>
        </w:rPr>
        <w:t>” shall mean Acquisition Consideration consisting solely of Qualified Capital Stock of Borrower issued in connection with a Permitted Acquisition. For the avoidance of doubt, it is expressly understood and agreed that Excluded Stock Consideration shall not be included in the Cumulative Equity Amount.</w:t>
      </w:r>
    </w:p>
    <w:p>
      <w:pPr>
        <w:spacing w:after="0" w:line="200" w:lineRule="exact"/>
        <w:rPr>
          <w:sz w:val="20"/>
          <w:szCs w:val="20"/>
          <w:color w:val="auto"/>
        </w:rPr>
      </w:pPr>
    </w:p>
    <w:p>
      <w:pPr>
        <w:spacing w:after="0" w:line="246" w:lineRule="exact"/>
        <w:rPr>
          <w:sz w:val="20"/>
          <w:szCs w:val="20"/>
          <w:color w:val="auto"/>
        </w:rPr>
      </w:pPr>
    </w:p>
    <w:p>
      <w:pPr>
        <w:ind w:right="40"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xml:space="preserve">” shall mean, with respect to the Administrative Agent, any Lender, the Issuing Bank or any other recipient of any payment to be made by or on account of any obligation of Borrower hereunder, (a) taxes imposed on or measured by its overall net income (however denominated), franchise taxes imposed on it (in lieu of net income taxes) and branch profits taxes imposed on it, by a jurisdiction (or any political subdivision thereof) as a result of the recipient being organized or having its principal office or, in the case of any Lender, its applicable lending office in such jurisdiction and (b) in the case of a Foreign Lender, any U.S. federal withholding tax that (i) is imposed on amounts payable to such Foreign Lender at the time such Foreign Lender becomes a party hereto (or designates a new lending office), except (x) to the extent that such Foreign Lender (or its assignor, if any) was entitled, at the time of designation of a new lending office (or assignment), to receive additional amounts from Borrower with respect to such withholding tax pursuant to </w:t>
      </w:r>
      <w:r>
        <w:rPr>
          <w:rFonts w:ascii="Arial" w:cs="Arial" w:eastAsia="Arial" w:hAnsi="Arial"/>
          <w:sz w:val="16"/>
          <w:szCs w:val="16"/>
          <w:u w:val="single" w:color="auto"/>
          <w:color w:val="auto"/>
        </w:rPr>
        <w:t>Section 2.15(a)</w:t>
      </w:r>
      <w:r>
        <w:rPr>
          <w:rFonts w:ascii="Arial" w:cs="Arial" w:eastAsia="Arial" w:hAnsi="Arial"/>
          <w:sz w:val="16"/>
          <w:szCs w:val="16"/>
          <w:color w:val="auto"/>
        </w:rPr>
        <w:t xml:space="preserve"> or (y) if such Foreign Lender is an assignee pursuant to a request by Borrower under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subclause (b)</w:t>
      </w:r>
    </w:p>
    <w:p>
      <w:pPr>
        <w:spacing w:after="0" w:line="5" w:lineRule="exact"/>
        <w:rPr>
          <w:sz w:val="20"/>
          <w:szCs w:val="20"/>
          <w:color w:val="auto"/>
        </w:rPr>
      </w:pPr>
    </w:p>
    <w:p>
      <w:pPr>
        <w:ind w:right="600" w:firstLine="8"/>
        <w:spacing w:after="0" w:line="290" w:lineRule="auto"/>
        <w:tabs>
          <w:tab w:leader="none" w:pos="21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shall not apply to any Tax imposed on a Lender in connection with an interest or participation in any Loan or other obligation that such Lender was required to acquire pursuant to </w:t>
      </w:r>
      <w:r>
        <w:rPr>
          <w:rFonts w:ascii="Arial" w:cs="Arial" w:eastAsia="Arial" w:hAnsi="Arial"/>
          <w:sz w:val="17"/>
          <w:szCs w:val="17"/>
          <w:u w:val="single" w:color="auto"/>
          <w:color w:val="auto"/>
        </w:rPr>
        <w:t>Section 2.14(d)</w:t>
      </w:r>
      <w:r>
        <w:rPr>
          <w:rFonts w:ascii="Arial" w:cs="Arial" w:eastAsia="Arial" w:hAnsi="Arial"/>
          <w:sz w:val="17"/>
          <w:szCs w:val="17"/>
          <w:color w:val="auto"/>
        </w:rPr>
        <w:t xml:space="preserve">, or (ii) is attributable to such Foreign Lender’s failure to comply with </w:t>
      </w:r>
      <w:r>
        <w:rPr>
          <w:rFonts w:ascii="Arial" w:cs="Arial" w:eastAsia="Arial" w:hAnsi="Arial"/>
          <w:sz w:val="17"/>
          <w:szCs w:val="17"/>
          <w:u w:val="single" w:color="auto"/>
          <w:color w:val="auto"/>
        </w:rPr>
        <w:t>Section 2.15(e)</w:t>
      </w:r>
      <w:r>
        <w:rPr>
          <w:rFonts w:ascii="Arial" w:cs="Arial" w:eastAsia="Arial" w:hAnsi="Arial"/>
          <w:sz w:val="17"/>
          <w:szCs w:val="17"/>
          <w:color w:val="auto"/>
        </w:rPr>
        <w:t>.</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3.22</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Letters of Credit</w:t>
      </w:r>
      <w:r>
        <w:rPr>
          <w:rFonts w:ascii="Arial" w:cs="Arial" w:eastAsia="Arial" w:hAnsi="Arial"/>
          <w:sz w:val="18"/>
          <w:szCs w:val="18"/>
          <w:color w:val="auto"/>
        </w:rPr>
        <w:t xml:space="preserve">” shall mean each of the letters of credit identified on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issued by Wells Fargo, Mizuho or any of their respective Affiliates.</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Lien</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6.02(c)</w:t>
      </w:r>
      <w:r>
        <w:rPr>
          <w:rFonts w:ascii="Arial" w:cs="Arial" w:eastAsia="Arial" w:hAnsi="Arial"/>
          <w:sz w:val="18"/>
          <w:szCs w:val="18"/>
          <w:color w:val="auto"/>
        </w:rPr>
        <w:t>.</w:t>
      </w:r>
    </w:p>
    <w:p>
      <w:pPr>
        <w:sectPr>
          <w:pgSz w:w="11900" w:h="16838" w:orient="portrait"/>
          <w:cols w:equalWidth="0" w:num="1">
            <w:col w:w="11420"/>
          </w:cols>
          <w:pgMar w:left="240" w:top="368" w:right="239" w:bottom="0" w:gutter="0" w:footer="0" w:header="0"/>
        </w:sectPr>
      </w:pPr>
    </w:p>
    <w:bookmarkStart w:id="66" w:name="page67"/>
    <w:bookmarkEnd w:id="66"/>
    <w:p>
      <w:pPr>
        <w:ind w:right="3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Senior Subordinated Notes Documents</w:t>
      </w:r>
      <w:r>
        <w:rPr>
          <w:rFonts w:ascii="Arial" w:cs="Arial" w:eastAsia="Arial" w:hAnsi="Arial"/>
          <w:sz w:val="18"/>
          <w:szCs w:val="18"/>
          <w:color w:val="auto"/>
        </w:rPr>
        <w:t>” shall mean the Senior Subordinated Notes Documents and the Convertible Senior Subordinated Notes Documents.</w:t>
      </w:r>
    </w:p>
    <w:p>
      <w:pPr>
        <w:spacing w:after="0" w:line="200" w:lineRule="exact"/>
        <w:rPr>
          <w:sz w:val="20"/>
          <w:szCs w:val="20"/>
          <w:color w:val="auto"/>
        </w:rPr>
      </w:pPr>
    </w:p>
    <w:p>
      <w:pPr>
        <w:spacing w:after="0" w:line="232" w:lineRule="exact"/>
        <w:rPr>
          <w:sz w:val="20"/>
          <w:szCs w:val="20"/>
          <w:color w:val="auto"/>
        </w:rPr>
      </w:pPr>
    </w:p>
    <w:p>
      <w:pPr>
        <w:ind w:right="180"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Effective Rate</w:t>
      </w:r>
      <w:r>
        <w:rPr>
          <w:rFonts w:ascii="Arial" w:cs="Arial" w:eastAsia="Arial" w:hAnsi="Arial"/>
          <w:sz w:val="17"/>
          <w:szCs w:val="17"/>
          <w:color w:val="auto"/>
        </w:rPr>
        <w:t>” shall mean, for any day, the weighted average of the rates on overnight federal funds transactions with members of the Federal Reserve System of the United States arranged by federal funds brokers, as published on the next succeeding Business Day by the Federal Reserve Bank of New York, or, if such rate is not so published for any day that is a Business Day, the average of the quotations for the day for such transactions received by the Administrative Agent from three federal funds brokers of recognized standing selected by it.</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shall mean the Commitment Fees, the Administrative Agent Fees, the LC Participation Fees and the Fronting Fees.</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shall mean the latest of the Revolving Maturity Date and the Term Loan Maturity Date.</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 Officer</w:t>
      </w:r>
      <w:r>
        <w:rPr>
          <w:rFonts w:ascii="Arial" w:cs="Arial" w:eastAsia="Arial" w:hAnsi="Arial"/>
          <w:sz w:val="16"/>
          <w:szCs w:val="16"/>
          <w:color w:val="auto"/>
        </w:rPr>
        <w:t>” of any person shall mean the chief financial officer, principal accounting officer, treasurer or controller of such person.</w:t>
      </w:r>
    </w:p>
    <w:p>
      <w:pPr>
        <w:spacing w:after="0" w:line="200" w:lineRule="exact"/>
        <w:rPr>
          <w:sz w:val="20"/>
          <w:szCs w:val="20"/>
          <w:color w:val="auto"/>
        </w:rPr>
      </w:pPr>
    </w:p>
    <w:p>
      <w:pPr>
        <w:spacing w:after="0" w:line="3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FIRREA</w:t>
      </w:r>
      <w:r>
        <w:rPr>
          <w:rFonts w:ascii="Arial" w:cs="Arial" w:eastAsia="Arial" w:hAnsi="Arial"/>
          <w:sz w:val="18"/>
          <w:szCs w:val="18"/>
          <w:color w:val="auto"/>
        </w:rPr>
        <w:t>” shall mean the Federal Institutions Reform, Recovery and Enforcement Act of 1989, as amended.</w:t>
      </w:r>
    </w:p>
    <w:p>
      <w:pPr>
        <w:spacing w:after="0" w:line="200" w:lineRule="exact"/>
        <w:rPr>
          <w:sz w:val="20"/>
          <w:szCs w:val="20"/>
          <w:color w:val="auto"/>
        </w:rPr>
      </w:pPr>
    </w:p>
    <w:p>
      <w:pPr>
        <w:spacing w:after="0" w:line="295"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Acquisition</w:t>
      </w:r>
      <w:r>
        <w:rPr>
          <w:rFonts w:ascii="Arial" w:cs="Arial" w:eastAsia="Arial" w:hAnsi="Arial"/>
          <w:sz w:val="17"/>
          <w:szCs w:val="17"/>
          <w:color w:val="auto"/>
        </w:rPr>
        <w:t xml:space="preserve">” shall mean any transaction or series of related transactions for the direct or indirect (including through the acquisition of a person organized under the laws of the United States or any state thereof or the District of Columbia) (a) acquisition of all or substantially all of the property of any person, or of any business or division of any person; (b) acquisition of in excess of 50% of the Equity Interests of any person (and otherwise causing such person to become a Subsidiary of such person); or (c) merger or consolidation or any other combination with any person, whose principal assets and business are located in a jurisdiction other than, or that is organized under the laws of a jurisdiction other than, the United States or any state thereof or the District of Columbia;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“Foreign Acquisition” shall include the portion of any such acquisition or investment in a person organized under the laws of the United States or any state thereof or the District of Columbia attributable to any property, business or division of such person located outside of the United States, based on the relative value thereof.</w:t>
      </w:r>
    </w:p>
    <w:p>
      <w:pPr>
        <w:spacing w:after="0" w:line="200" w:lineRule="exact"/>
        <w:rPr>
          <w:sz w:val="20"/>
          <w:szCs w:val="20"/>
          <w:color w:val="auto"/>
        </w:rPr>
      </w:pPr>
    </w:p>
    <w:p>
      <w:pPr>
        <w:spacing w:after="0" w:line="243" w:lineRule="exact"/>
        <w:rPr>
          <w:sz w:val="20"/>
          <w:szCs w:val="20"/>
          <w:color w:val="auto"/>
        </w:rPr>
      </w:pPr>
    </w:p>
    <w:p>
      <w:pPr>
        <w:ind w:right="8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shall mean any Lender that is not, for United States federal income tax purposes, (i) an individual who is a citizen or resident of the United States, (ii) a corporation, partnership or other entity treated as a corporation or partnership created or organized in or under the laws of the United States, or any political subdivision thereof, (iii) an estate whose income is subject to U.S. federal income taxation regardless of its source or (iv) a trust if a court within the United States is able to exercise primary supervision over the administration of such trust and one or more United States persons have the authority to control all substantial decisions of such trust.</w:t>
      </w:r>
    </w:p>
    <w:p>
      <w:pPr>
        <w:spacing w:after="0" w:line="200" w:lineRule="exact"/>
        <w:rPr>
          <w:sz w:val="20"/>
          <w:szCs w:val="20"/>
          <w:color w:val="auto"/>
        </w:rPr>
      </w:pPr>
    </w:p>
    <w:p>
      <w:pPr>
        <w:spacing w:after="0" w:line="254"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shall mean any employee benefit or retirement plan, program, policy, arrangement or agreement maintained or contributed to by any Company with respect to employees employed outside the United States.</w:t>
      </w:r>
    </w:p>
    <w:p>
      <w:pPr>
        <w:spacing w:after="0" w:line="200" w:lineRule="exact"/>
        <w:rPr>
          <w:sz w:val="20"/>
          <w:szCs w:val="20"/>
          <w:color w:val="auto"/>
        </w:rPr>
      </w:pPr>
    </w:p>
    <w:p>
      <w:pPr>
        <w:spacing w:after="0" w:line="232"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a Subsidiary that is organized under the laws of a jurisdiction other than the United States or any state thereof or the District of Columbia.</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Fronting Fee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shall mean any person that is (or will be) engaged in making, purchasing, holding or otherwise investing in commercial loans and similar extensions of credit in the ordinary course.</w:t>
      </w:r>
    </w:p>
    <w:p>
      <w:pPr>
        <w:spacing w:after="0" w:line="200" w:lineRule="exact"/>
        <w:rPr>
          <w:sz w:val="20"/>
          <w:szCs w:val="20"/>
          <w:color w:val="auto"/>
        </w:rPr>
      </w:pPr>
    </w:p>
    <w:p>
      <w:pPr>
        <w:spacing w:after="0" w:line="232" w:lineRule="exact"/>
        <w:rPr>
          <w:sz w:val="20"/>
          <w:szCs w:val="20"/>
          <w:color w:val="auto"/>
        </w:rPr>
      </w:pPr>
    </w:p>
    <w:p>
      <w:pPr>
        <w:ind w:firstLine="129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Funded Debt</w:t>
      </w:r>
      <w:r>
        <w:rPr>
          <w:rFonts w:ascii="Arial" w:cs="Arial" w:eastAsia="Arial" w:hAnsi="Arial"/>
          <w:sz w:val="17"/>
          <w:szCs w:val="17"/>
          <w:color w:val="auto"/>
        </w:rPr>
        <w:t>” shall mean, as to any person, all Indebtedness of such person that matures more than one year from the date of its creation or matures within one year from such date but is renewable or extendible, at the option of such person, to a date more than one year from such date or arises under a revolving credit or similar agreement that obligates the lender or lenders to extend credit during a period of more than one year from such date, including all current maturities and current sinking fund payments in respect of such Indebtedness whether or not required to be paid within one year from the date of its creation and, in the case of Borrower, Indebtedness in respect of the Loans.</w:t>
      </w:r>
    </w:p>
    <w:p>
      <w:pPr>
        <w:spacing w:after="0" w:line="200" w:lineRule="exact"/>
        <w:rPr>
          <w:sz w:val="20"/>
          <w:szCs w:val="20"/>
          <w:color w:val="auto"/>
        </w:rPr>
      </w:pP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shall mean generally accepted accounting principles in the United States applied on a consistent basis.</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GBP</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shall mean lawful money of the United Kingdom.</w:t>
      </w:r>
    </w:p>
    <w:p>
      <w:pPr>
        <w:spacing w:after="0" w:line="200" w:lineRule="exact"/>
        <w:rPr>
          <w:sz w:val="20"/>
          <w:szCs w:val="20"/>
          <w:color w:val="auto"/>
        </w:rPr>
      </w:pPr>
    </w:p>
    <w:p>
      <w:pPr>
        <w:spacing w:after="0" w:line="295" w:lineRule="exact"/>
        <w:rPr>
          <w:sz w:val="20"/>
          <w:szCs w:val="20"/>
          <w:color w:val="auto"/>
        </w:rPr>
      </w:pPr>
    </w:p>
    <w:p>
      <w:pPr>
        <w:ind w:right="120" w:firstLine="129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GBPLC Exposure</w:t>
      </w:r>
      <w:r>
        <w:rPr>
          <w:rFonts w:ascii="Arial" w:cs="Arial" w:eastAsia="Arial" w:hAnsi="Arial"/>
          <w:sz w:val="17"/>
          <w:szCs w:val="17"/>
          <w:color w:val="auto"/>
        </w:rPr>
        <w:t xml:space="preserve">” shall mean at any time the sum of (a) the aggregate undrawn amount of all outstanding GBP denominated Letters of Credit at such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aggregate principal amount of all Reimbursement Obligations payable in GBP outstanding at such time. The GBP LC Exposure of any Revolving Lender at any time shall mean its Pro Rata Percentage of the aggregate GBP LC Exposure at such time.</w:t>
      </w:r>
    </w:p>
    <w:p>
      <w:pPr>
        <w:sectPr>
          <w:pgSz w:w="11900" w:h="16838" w:orient="portrait"/>
          <w:cols w:equalWidth="0" w:num="1">
            <w:col w:w="11380"/>
          </w:cols>
          <w:pgMar w:left="240" w:top="364" w:right="279" w:bottom="0" w:gutter="0" w:footer="0" w:header="0"/>
        </w:sectPr>
      </w:pPr>
    </w:p>
    <w:bookmarkStart w:id="67" w:name="page68"/>
    <w:bookmarkEnd w:id="67"/>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GBP Loan</w:t>
      </w:r>
      <w:r>
        <w:rPr>
          <w:rFonts w:ascii="Arial" w:cs="Arial" w:eastAsia="Arial" w:hAnsi="Arial"/>
          <w:sz w:val="18"/>
          <w:szCs w:val="18"/>
          <w:color w:val="auto"/>
        </w:rPr>
        <w:t>” shall mean each Loan denominated in GBP.</w:t>
      </w:r>
    </w:p>
    <w:p>
      <w:pPr>
        <w:spacing w:after="0" w:line="200" w:lineRule="exact"/>
        <w:rPr>
          <w:sz w:val="20"/>
          <w:szCs w:val="20"/>
          <w:color w:val="auto"/>
        </w:rPr>
      </w:pPr>
    </w:p>
    <w:p>
      <w:pPr>
        <w:spacing w:after="0" w:line="295" w:lineRule="exact"/>
        <w:rPr>
          <w:sz w:val="20"/>
          <w:szCs w:val="20"/>
          <w:color w:val="auto"/>
        </w:rPr>
      </w:pPr>
    </w:p>
    <w:p>
      <w:pPr>
        <w:ind w:right="106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GBP Revolving Loan</w:t>
      </w:r>
      <w:r>
        <w:rPr>
          <w:rFonts w:ascii="Arial" w:cs="Arial" w:eastAsia="Arial" w:hAnsi="Arial"/>
          <w:sz w:val="17"/>
          <w:szCs w:val="17"/>
          <w:color w:val="auto"/>
        </w:rPr>
        <w:t xml:space="preserve">” shall mean GBP denominated revolving loans made by the Lenders to Borrower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2.01(b)</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Sections 2.11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2.12</w:t>
      </w:r>
      <w:r>
        <w:rPr>
          <w:rFonts w:ascii="Arial" w:cs="Arial" w:eastAsia="Arial" w:hAnsi="Arial"/>
          <w:sz w:val="17"/>
          <w:szCs w:val="17"/>
          <w:color w:val="auto"/>
        </w:rPr>
        <w:t>, each GBP Revolving Loan shall be a Eurocurrency Revolving Loan.</w:t>
      </w:r>
    </w:p>
    <w:p>
      <w:pPr>
        <w:spacing w:after="0" w:line="200" w:lineRule="exact"/>
        <w:rPr>
          <w:sz w:val="20"/>
          <w:szCs w:val="20"/>
          <w:color w:val="auto"/>
        </w:rPr>
      </w:pPr>
    </w:p>
    <w:p>
      <w:pPr>
        <w:spacing w:after="0" w:line="208"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GBP Term Commitment</w:t>
      </w:r>
      <w:r>
        <w:rPr>
          <w:rFonts w:ascii="Arial" w:cs="Arial" w:eastAsia="Arial" w:hAnsi="Arial"/>
          <w:sz w:val="18"/>
          <w:szCs w:val="18"/>
          <w:color w:val="auto"/>
        </w:rPr>
        <w:t>” shall mean, with respect to each Lender, the commitment, if any, of such Lender to make a GBP Term Loan hereunder on the Closing Date in the amount set forth on Schedule I to the Lender Addendum executed and delivered by such Lender. The aggregate amount of the Lenders’ GBP Term Commitments is £50.0 million.</w:t>
      </w: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GBP Term Lender</w:t>
      </w:r>
      <w:r>
        <w:rPr>
          <w:rFonts w:ascii="Arial" w:cs="Arial" w:eastAsia="Arial" w:hAnsi="Arial"/>
          <w:sz w:val="18"/>
          <w:szCs w:val="18"/>
          <w:color w:val="auto"/>
        </w:rPr>
        <w:t>” shall mean a Lender with a GBP Term Commitment or an outstanding GBP Term Loan.</w:t>
      </w:r>
    </w:p>
    <w:p>
      <w:pPr>
        <w:spacing w:after="0" w:line="200" w:lineRule="exact"/>
        <w:rPr>
          <w:sz w:val="20"/>
          <w:szCs w:val="20"/>
          <w:color w:val="auto"/>
        </w:rPr>
      </w:pPr>
    </w:p>
    <w:p>
      <w:pPr>
        <w:spacing w:after="0" w:line="29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GBP Term Loan</w:t>
      </w:r>
      <w:r>
        <w:rPr>
          <w:rFonts w:ascii="Arial" w:cs="Arial" w:eastAsia="Arial" w:hAnsi="Arial"/>
          <w:sz w:val="18"/>
          <w:szCs w:val="18"/>
          <w:color w:val="auto"/>
        </w:rPr>
        <w:t xml:space="preserve">” shall mean the GBP denominated term loans made by the Lenders to Borrower pursuant to </w:t>
      </w:r>
      <w:r>
        <w:rPr>
          <w:rFonts w:ascii="Arial" w:cs="Arial" w:eastAsia="Arial" w:hAnsi="Arial"/>
          <w:sz w:val="18"/>
          <w:szCs w:val="18"/>
          <w:u w:val="single" w:color="auto"/>
          <w:color w:val="auto"/>
        </w:rPr>
        <w:t>Section 2.01(a)(iii)</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2.11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2.12</w:t>
      </w:r>
      <w:r>
        <w:rPr>
          <w:rFonts w:ascii="Arial" w:cs="Arial" w:eastAsia="Arial" w:hAnsi="Arial"/>
          <w:sz w:val="18"/>
          <w:szCs w:val="18"/>
          <w:color w:val="auto"/>
        </w:rPr>
        <w:t>, each GBP Term Loan shall be a Eurocurrency Term Loan.</w:t>
      </w:r>
    </w:p>
    <w:p>
      <w:pPr>
        <w:spacing w:after="0" w:line="200" w:lineRule="exact"/>
        <w:rPr>
          <w:sz w:val="20"/>
          <w:szCs w:val="20"/>
          <w:color w:val="auto"/>
        </w:rPr>
      </w:pPr>
    </w:p>
    <w:p>
      <w:pPr>
        <w:spacing w:after="0" w:line="232" w:lineRule="exact"/>
        <w:rPr>
          <w:sz w:val="20"/>
          <w:szCs w:val="20"/>
          <w:color w:val="auto"/>
        </w:rPr>
      </w:pPr>
    </w:p>
    <w:p>
      <w:pPr>
        <w:ind w:right="14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the government of the United States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0" w:lineRule="exact"/>
        <w:rPr>
          <w:sz w:val="20"/>
          <w:szCs w:val="20"/>
          <w:color w:val="auto"/>
        </w:rPr>
      </w:pPr>
    </w:p>
    <w:p>
      <w:pPr>
        <w:spacing w:after="0" w:line="250" w:lineRule="exact"/>
        <w:rPr>
          <w:sz w:val="20"/>
          <w:szCs w:val="20"/>
          <w:color w:val="auto"/>
        </w:rPr>
      </w:pPr>
    </w:p>
    <w:p>
      <w:pPr>
        <w:ind w:right="60" w:firstLine="129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Real Property Disclosure Requirements</w:t>
      </w:r>
      <w:r>
        <w:rPr>
          <w:rFonts w:ascii="Arial" w:cs="Arial" w:eastAsia="Arial" w:hAnsi="Arial"/>
          <w:sz w:val="18"/>
          <w:szCs w:val="18"/>
          <w:color w:val="auto"/>
        </w:rPr>
        <w:t>” shall mean any Requirement of Law of any Governmental Authority requiring notification of the buyer, lessee, mortgagee, assignee or other transferee of any Real Property, facility, establishment or business, or notification, registration or filing to or with any Governmental Authority, in connection with the sale, lease, mortgage, assignment or other transfer (including any transfer of control) of any Real Property, facility, establishment or business, of the actual or threatened presence or Release in or into the Environment, or the use, disposal or handling of Hazardous Material on, at, under or near the Real Property, facility, establishment or business to be sold, leased, mortgaged, assigned or transferred.</w:t>
      </w:r>
    </w:p>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Guarantees</w:t>
      </w:r>
      <w:r>
        <w:rPr>
          <w:rFonts w:ascii="Arial" w:cs="Arial" w:eastAsia="Arial" w:hAnsi="Arial"/>
          <w:sz w:val="18"/>
          <w:szCs w:val="18"/>
          <w:color w:val="auto"/>
        </w:rPr>
        <w:t xml:space="preserve">” shall mean the guarantees issued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by the Subsidiary Guarantors.</w:t>
      </w:r>
    </w:p>
    <w:p>
      <w:pPr>
        <w:spacing w:after="0" w:line="200" w:lineRule="exact"/>
        <w:rPr>
          <w:sz w:val="20"/>
          <w:szCs w:val="20"/>
          <w:color w:val="auto"/>
        </w:rPr>
      </w:pPr>
    </w:p>
    <w:p>
      <w:pPr>
        <w:spacing w:after="0" w:line="295" w:lineRule="exact"/>
        <w:rPr>
          <w:sz w:val="20"/>
          <w:szCs w:val="20"/>
          <w:color w:val="auto"/>
        </w:rPr>
      </w:pPr>
    </w:p>
    <w:p>
      <w:pPr>
        <w:ind w:right="140" w:firstLine="1297"/>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shall mean the following: hazardous substances; hazardous wastes; polychlorinated biphenyls (“</w:t>
      </w:r>
      <w:r>
        <w:rPr>
          <w:rFonts w:ascii="Arial" w:cs="Arial" w:eastAsia="Arial" w:hAnsi="Arial"/>
          <w:sz w:val="16"/>
          <w:szCs w:val="16"/>
          <w:b w:val="1"/>
          <w:bCs w:val="1"/>
          <w:color w:val="auto"/>
        </w:rPr>
        <w:t>PCBs</w:t>
      </w:r>
      <w:r>
        <w:rPr>
          <w:rFonts w:ascii="Arial" w:cs="Arial" w:eastAsia="Arial" w:hAnsi="Arial"/>
          <w:sz w:val="16"/>
          <w:szCs w:val="16"/>
          <w:color w:val="auto"/>
        </w:rPr>
        <w:t>”) or any substance or compound containing PCBs; asbestos or any asbestos-containing materials in any form or condition; radon or any other radioactive materials including any source, special nuclear or by-product material; petroleum, crude oil or any fraction thereof; and any other pollutant or contaminant or chemicals, wastes, materials, compounds, constituents or substances, subject to regulation or which can give rise to liability under any Environmental Laws.</w:t>
      </w:r>
    </w:p>
    <w:p>
      <w:pPr>
        <w:spacing w:after="0" w:line="200" w:lineRule="exact"/>
        <w:rPr>
          <w:sz w:val="20"/>
          <w:szCs w:val="20"/>
          <w:color w:val="auto"/>
        </w:rPr>
      </w:pPr>
    </w:p>
    <w:p>
      <w:pPr>
        <w:spacing w:after="0" w:line="221" w:lineRule="exact"/>
        <w:rPr>
          <w:sz w:val="20"/>
          <w:szCs w:val="20"/>
          <w:color w:val="auto"/>
        </w:rPr>
      </w:pPr>
    </w:p>
    <w:p>
      <w:pPr>
        <w:ind w:right="3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w:t>
      </w:r>
      <w:r>
        <w:rPr>
          <w:rFonts w:ascii="Arial" w:cs="Arial" w:eastAsia="Arial" w:hAnsi="Arial"/>
          <w:sz w:val="18"/>
          <w:szCs w:val="18"/>
          <w:color w:val="auto"/>
        </w:rPr>
        <w:t>” shall mean any swap, cap, collar, forward purchase or similar agreements or arrangements dealing with interest rates, currency exchange rates or commodity prices, either generally or under specific contingencies.</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shall mean obligations under or with respect to Hedging Agreements.</w:t>
      </w:r>
    </w:p>
    <w:p>
      <w:pPr>
        <w:spacing w:after="0" w:line="200" w:lineRule="exact"/>
        <w:rPr>
          <w:sz w:val="20"/>
          <w:szCs w:val="20"/>
          <w:color w:val="auto"/>
        </w:rPr>
      </w:pPr>
    </w:p>
    <w:p>
      <w:pPr>
        <w:spacing w:after="0" w:line="295"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Subsidiaries</w:t>
      </w:r>
      <w:r>
        <w:rPr>
          <w:rFonts w:ascii="Arial" w:cs="Arial" w:eastAsia="Arial" w:hAnsi="Arial"/>
          <w:sz w:val="18"/>
          <w:szCs w:val="18"/>
          <w:color w:val="auto"/>
        </w:rPr>
        <w:t>” shall mean direct and indirect Subsidiaries of Borrower that represent, individually, less than 5%, and in the aggregate, less than 10%, of gross revenues of Borrower and its Subsidiaries, on a consolidated basis.</w:t>
      </w:r>
    </w:p>
    <w:p>
      <w:pPr>
        <w:spacing w:after="0" w:line="200" w:lineRule="exact"/>
        <w:rPr>
          <w:sz w:val="20"/>
          <w:szCs w:val="20"/>
          <w:color w:val="auto"/>
        </w:rPr>
      </w:pPr>
    </w:p>
    <w:p>
      <w:pPr>
        <w:spacing w:after="0" w:line="232"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shall mean, without duplication, (a) all obligations of such person for borrowed money or advances; (b) all obligations of such person evidenced by bonds, debentures, notes or similar instruments; (c) all obligations of such person upon which interest charges are customarily paid or accrued; (d) all obligations of such person under conditional sale or other title retention agreements relating to property purchased by such person; (e) all obligations of such person issued or assumed as the deferred purchase price of property or services (excluding trade accounts payable and accrued obligations incurred in the ordinary course of business on normal trade terms and not overdue by more than 90 days); (f) all Indebtedness of others secured by any Lien on property owned or acquired by such person, whether or not the obligations secured thereby have been assumed, but limited to the fair market value of such property; (g) all Capital Lease Obligations, Purchase Money Obligations and synthetic lease obligations of such person; (h) all Hedging Obligations to the extent required to be reflected on a balance sheet of such person; (i) all Attributable Indebtedness of such person; (j) all obligations of such person for the reimbursement of any obligor in respect of letters of credit, letters of guaranty, bankers’ acceptances and similar credit transactions; and (k) all Contingent Obligations of such person in respect of Indebtedness or obligations of others of the kinds referred to in clauses (a) through (j) above.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(other than in the case of general partner liability) to the extent that terms of such Indebtedness expressly provide that such person is not liable therefor.</w:t>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shall mean all Taxes other than Excluded Taxes.</w:t>
      </w:r>
    </w:p>
    <w:p>
      <w:pPr>
        <w:sectPr>
          <w:pgSz w:w="11900" w:h="16870" w:orient="portrait"/>
          <w:cols w:equalWidth="0" w:num="1">
            <w:col w:w="11400"/>
          </w:cols>
          <w:pgMar w:left="240" w:top="364" w:right="259" w:bottom="0" w:gutter="0" w:footer="0" w:header="0"/>
        </w:sectPr>
      </w:pPr>
    </w:p>
    <w:bookmarkStart w:id="68" w:name="page69"/>
    <w:bookmarkEnd w:id="6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10.03(b)</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10.12</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18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Insurance Policies</w:t>
      </w:r>
      <w:r>
        <w:rPr>
          <w:rFonts w:ascii="Arial" w:cs="Arial" w:eastAsia="Arial" w:hAnsi="Arial"/>
          <w:sz w:val="17"/>
          <w:szCs w:val="17"/>
          <w:color w:val="auto"/>
        </w:rPr>
        <w:t xml:space="preserve">” shall mean the insurance policies and coverages required to be maintained by each Loan Party which is an owner of Mortgaged Property with respect to the applicable Mortgaged Property pursuant to </w:t>
      </w:r>
      <w:r>
        <w:rPr>
          <w:rFonts w:ascii="Arial" w:cs="Arial" w:eastAsia="Arial" w:hAnsi="Arial"/>
          <w:sz w:val="17"/>
          <w:szCs w:val="17"/>
          <w:u w:val="single" w:color="auto"/>
          <w:color w:val="auto"/>
        </w:rPr>
        <w:t>Section 5.04</w:t>
      </w:r>
      <w:r>
        <w:rPr>
          <w:rFonts w:ascii="Arial" w:cs="Arial" w:eastAsia="Arial" w:hAnsi="Arial"/>
          <w:sz w:val="17"/>
          <w:szCs w:val="17"/>
          <w:color w:val="auto"/>
        </w:rPr>
        <w:t xml:space="preserve"> and all renewals and extensions thereof.</w:t>
      </w:r>
    </w:p>
    <w:p>
      <w:pPr>
        <w:spacing w:after="0" w:line="200" w:lineRule="exact"/>
        <w:rPr>
          <w:sz w:val="20"/>
          <w:szCs w:val="20"/>
          <w:color w:val="auto"/>
        </w:rPr>
      </w:pPr>
    </w:p>
    <w:p>
      <w:pPr>
        <w:spacing w:after="0" w:line="208" w:lineRule="exact"/>
        <w:rPr>
          <w:sz w:val="20"/>
          <w:szCs w:val="20"/>
          <w:color w:val="auto"/>
        </w:rPr>
      </w:pPr>
    </w:p>
    <w:p>
      <w:pPr>
        <w:ind w:right="12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Requirements</w:t>
      </w:r>
      <w:r>
        <w:rPr>
          <w:rFonts w:ascii="Arial" w:cs="Arial" w:eastAsia="Arial" w:hAnsi="Arial"/>
          <w:sz w:val="18"/>
          <w:szCs w:val="18"/>
          <w:color w:val="auto"/>
        </w:rPr>
        <w:t>” shall mean, collectively, all provisions of the Insurance Policies, all requirements of the issuer of any of the Insurance Policies and all orders, rules, regulations and any other requirements of the National Board of Fire Underwriters (or any other body exercising similar functions) binding upon each Loan Party which is an owner of Mortgaged Property and applicable to the Mortgaged Property or any use or condition thereof.</w:t>
      </w: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3.06(a)</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6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Interbank Rate</w:t>
      </w:r>
      <w:r>
        <w:rPr>
          <w:rFonts w:ascii="Arial" w:cs="Arial" w:eastAsia="Arial" w:hAnsi="Arial"/>
          <w:sz w:val="18"/>
          <w:szCs w:val="18"/>
          <w:color w:val="auto"/>
        </w:rPr>
        <w:t>” means, for any period, with respect to (a) any amount denominated in Dollars, the greater of the Federal Funds Effective Rate and a rate determined by the Administrative Agent in accordance with banking industry rules on interbank compensation, (b) any amount denominated in Euros, the cost to the Administrative Agent of acquiring overnight funds in Euros and (c) any amount denominated in GBP, the cost to the Administrative Agent of acquiring overnight funds in GBP.</w:t>
      </w:r>
    </w:p>
    <w:p>
      <w:pPr>
        <w:spacing w:after="0" w:line="200" w:lineRule="exact"/>
        <w:rPr>
          <w:sz w:val="20"/>
          <w:szCs w:val="20"/>
          <w:color w:val="auto"/>
        </w:rPr>
      </w:pPr>
    </w:p>
    <w:p>
      <w:pPr>
        <w:spacing w:after="0" w:line="250" w:lineRule="exact"/>
        <w:rPr>
          <w:sz w:val="20"/>
          <w:szCs w:val="20"/>
          <w:color w:val="auto"/>
        </w:rPr>
      </w:pPr>
    </w:p>
    <w:p>
      <w:pPr>
        <w:ind w:right="2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Note</w:t>
      </w:r>
      <w:r>
        <w:rPr>
          <w:rFonts w:ascii="Arial" w:cs="Arial" w:eastAsia="Arial" w:hAnsi="Arial"/>
          <w:sz w:val="18"/>
          <w:szCs w:val="18"/>
          <w:color w:val="auto"/>
        </w:rPr>
        <w:t xml:space="preserve">” shall mean a promissory note substantially in the form of </w:t>
      </w:r>
      <w:r>
        <w:rPr>
          <w:rFonts w:ascii="Arial" w:cs="Arial" w:eastAsia="Arial" w:hAnsi="Arial"/>
          <w:sz w:val="18"/>
          <w:szCs w:val="18"/>
          <w:u w:val="single" w:color="auto"/>
          <w:color w:val="auto"/>
        </w:rPr>
        <w:t>Exhibit P</w:t>
      </w:r>
      <w:r>
        <w:rPr>
          <w:rFonts w:ascii="Arial" w:cs="Arial" w:eastAsia="Arial" w:hAnsi="Arial"/>
          <w:sz w:val="18"/>
          <w:szCs w:val="18"/>
          <w:color w:val="auto"/>
        </w:rPr>
        <w:t>, or in such other form as may be agreed by the Administrative Agent in its sole discretion.</w:t>
      </w:r>
    </w:p>
    <w:p>
      <w:pPr>
        <w:spacing w:after="0" w:line="200" w:lineRule="exact"/>
        <w:rPr>
          <w:sz w:val="20"/>
          <w:szCs w:val="20"/>
          <w:color w:val="auto"/>
        </w:rPr>
      </w:pPr>
    </w:p>
    <w:p>
      <w:pPr>
        <w:spacing w:after="0" w:line="232"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Election Request</w:t>
      </w:r>
      <w:r>
        <w:rPr>
          <w:rFonts w:ascii="Arial" w:cs="Arial" w:eastAsia="Arial" w:hAnsi="Arial"/>
          <w:sz w:val="18"/>
          <w:szCs w:val="18"/>
          <w:color w:val="auto"/>
        </w:rPr>
        <w:t xml:space="preserve">” shall mean a request by Borrower to convert or continue a Revolving Borrowing or Term Borrowing in accordance with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shall mean (a) with respect to any ABR Loan (including Swingline Loans), the last Business Day of each March, June, September and December to occur during any period in which such Loan is outstanding, (b) with respect to any Eurocurrency Loan or EURIBOR Loan, the last day of the Interest Period applicable to the Borrowing of which such Loan is a part and (i) in the case of a Eurocurrency Loan that is a Dollar Loan with an Interest Period of more than three months’ duration, each day prior to the last day of such Interest Period that occurs at intervals of three months’ duration after the first day of such Interest Period, (ii) in the case of a Eurocurrency Loan that is a GBP Loan with an Interest Period of more than six months’ duration, each day prior to the last day of such Interest Period that occurs at intervals of six months’ duration after the first day of such Interest Period and (iii) in the case of a EURIBOR Loan with an Interest Period of more than six months’ duration, each day prior to the last day of such Interest Period that occurs at intervals of six months’ duration after the first day of such Interest Period, (c) with respect to any Revolving Loan or Swingline Loan, the Revolving Maturity Date or such earlier date on which the Revolving Commitments are terminated and (d) with respect to any Term Loan, the Term Loan Maturity Date, as the case may be.</w:t>
      </w:r>
    </w:p>
    <w:p>
      <w:pPr>
        <w:spacing w:after="0" w:line="200" w:lineRule="exact"/>
        <w:rPr>
          <w:sz w:val="20"/>
          <w:szCs w:val="20"/>
          <w:color w:val="auto"/>
        </w:rPr>
      </w:pPr>
    </w:p>
    <w:p>
      <w:pPr>
        <w:spacing w:after="0" w:line="248"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xml:space="preserve">” shall mean, with respect to any Eurocurrency Borrowing or EURIBOR Borrowing, the period commencing on the date of such Borrowing and ending on the numerically corresponding day in the calendar month that is one, two, three or six months (or, if each affected Lender so agrees, nine months) thereafter, as Borrower may elect;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Borrower shall not select an Interest Period that would extend beyond the Revolving Maturity Date (in the case of Revolving Loans) or beyond the Term Loan Maturity Date (in the case of Term Loans), (d) Borrower shall not select Interest Periods so as to require a payment or prepayment of any Eurocurrency Loan or EURIBOR Loan during an Interest Period for such Loan and (e) any Eurocurrency Borrowings or EURIBOR Borrowings made or continued during the period ending on the earlier of (x) six months following the Closing Date and (y) the completion of the primary syndication of the Commitments and Loans (as determined by the Arranger), shall have an Interest Period of one month. For purposes hereof, the date of a Borrowing initially shall be the date on which such Borrowing is made and thereafter shall be the effective date of the most recent conversion or continuation of such Borrowing.</w:t>
      </w:r>
    </w:p>
    <w:p>
      <w:pPr>
        <w:spacing w:after="0" w:line="200" w:lineRule="exact"/>
        <w:rPr>
          <w:sz w:val="20"/>
          <w:szCs w:val="20"/>
          <w:color w:val="auto"/>
        </w:rPr>
      </w:pP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6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Issuing Bank</w:t>
      </w:r>
      <w:r>
        <w:rPr>
          <w:rFonts w:ascii="Arial" w:cs="Arial" w:eastAsia="Arial" w:hAnsi="Arial"/>
          <w:sz w:val="18"/>
          <w:szCs w:val="18"/>
          <w:color w:val="auto"/>
        </w:rPr>
        <w:t xml:space="preserve">” shall mean, as the context may require, (a) Wells Fargo or any Affiliate thereof, in its capacity as issuer of Letters of Credit and any Existing Letters of Credit issued by it; (b) Mizuho or any Affiliate thereof, in its capacity as issuer of Letters of Credit and any Existing Letters of Credit issued by it; (c) any other Lender that may become an Issuing Bank pursuant to </w:t>
      </w:r>
      <w:r>
        <w:rPr>
          <w:rFonts w:ascii="Arial" w:cs="Arial" w:eastAsia="Arial" w:hAnsi="Arial"/>
          <w:sz w:val="18"/>
          <w:szCs w:val="18"/>
          <w:u w:val="single" w:color="auto"/>
          <w:color w:val="auto"/>
        </w:rPr>
        <w:t>Sections 2.18(j)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(k)</w:t>
      </w:r>
      <w:r>
        <w:rPr>
          <w:rFonts w:ascii="Arial" w:cs="Arial" w:eastAsia="Arial" w:hAnsi="Arial"/>
          <w:sz w:val="18"/>
          <w:szCs w:val="18"/>
          <w:color w:val="auto"/>
        </w:rPr>
        <w:t xml:space="preserve"> in its capacity as issuer of Letters of Credit issued by such Lender; or (d) collectively, all of the foregoing.</w:t>
      </w: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Issuing Country</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10.19(a)</w:t>
      </w:r>
      <w:r>
        <w:rPr>
          <w:rFonts w:ascii="Arial" w:cs="Arial" w:eastAsia="Arial" w:hAnsi="Arial"/>
          <w:sz w:val="18"/>
          <w:szCs w:val="18"/>
          <w:color w:val="auto"/>
        </w:rPr>
        <w:t>.</w:t>
      </w:r>
    </w:p>
    <w:p>
      <w:pPr>
        <w:sectPr>
          <w:pgSz w:w="11900" w:h="16838" w:orient="portrait"/>
          <w:cols w:equalWidth="0" w:num="1">
            <w:col w:w="11420"/>
          </w:cols>
          <w:pgMar w:left="240" w:top="607" w:right="239" w:bottom="0" w:gutter="0" w:footer="0" w:header="0"/>
        </w:sectPr>
      </w:pPr>
    </w:p>
    <w:bookmarkStart w:id="69" w:name="page70"/>
    <w:bookmarkEnd w:id="69"/>
    <w:p>
      <w:pPr>
        <w:ind w:right="1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Itron Acquisition Company</w:t>
      </w:r>
      <w:r>
        <w:rPr>
          <w:rFonts w:ascii="Arial" w:cs="Arial" w:eastAsia="Arial" w:hAnsi="Arial"/>
          <w:sz w:val="18"/>
          <w:szCs w:val="18"/>
          <w:color w:val="auto"/>
        </w:rPr>
        <w:t>” shall mean Itron Acquisition Company S. à r.l., a Luxembourg private limited liability company, having its registered office at L-2086 Luxembourg, 23, avenue Monterey.</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w:t>
      </w:r>
      <w:r>
        <w:rPr>
          <w:rFonts w:ascii="Arial" w:cs="Arial" w:eastAsia="Arial" w:hAnsi="Arial"/>
          <w:sz w:val="18"/>
          <w:szCs w:val="18"/>
          <w:color w:val="auto"/>
        </w:rPr>
        <w:t xml:space="preserve">” shall mean a joinder agreement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10.18(a)</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 Conversion Date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10.18(a)</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 Access Agreement</w:t>
      </w:r>
      <w:r>
        <w:rPr>
          <w:rFonts w:ascii="Arial" w:cs="Arial" w:eastAsia="Arial" w:hAnsi="Arial"/>
          <w:sz w:val="18"/>
          <w:szCs w:val="18"/>
          <w:color w:val="auto"/>
        </w:rPr>
        <w:t xml:space="preserve">” shall mean a Landlord Access Agreement,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or such other form as may reasonably be acceptable to the Administrative Agent.</w:t>
      </w:r>
    </w:p>
    <w:p>
      <w:pPr>
        <w:spacing w:after="0" w:line="200" w:lineRule="exact"/>
        <w:rPr>
          <w:sz w:val="20"/>
          <w:szCs w:val="20"/>
          <w:color w:val="auto"/>
        </w:rPr>
      </w:pPr>
    </w:p>
    <w:p>
      <w:pPr>
        <w:spacing w:after="0" w:line="232" w:lineRule="exact"/>
        <w:rPr>
          <w:sz w:val="20"/>
          <w:szCs w:val="20"/>
          <w:color w:val="auto"/>
        </w:rPr>
      </w:pPr>
    </w:p>
    <w:p>
      <w:pPr>
        <w:ind w:right="2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Commitment</w:t>
      </w:r>
      <w:r>
        <w:rPr>
          <w:rFonts w:ascii="Arial" w:cs="Arial" w:eastAsia="Arial" w:hAnsi="Arial"/>
          <w:sz w:val="18"/>
          <w:szCs w:val="18"/>
          <w:color w:val="auto"/>
        </w:rPr>
        <w:t xml:space="preserve">” shall mean the commitment of each Issuing Bank to issue Letters of Credit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The aggregate amount of the LC Commitment shall initially be $100.0 million, but in no event exceed the Revolving Commitment.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Disbursement</w:t>
      </w:r>
      <w:r>
        <w:rPr>
          <w:rFonts w:ascii="Arial" w:cs="Arial" w:eastAsia="Arial" w:hAnsi="Arial"/>
          <w:sz w:val="17"/>
          <w:szCs w:val="17"/>
          <w:color w:val="auto"/>
        </w:rPr>
        <w:t>” shall mean a payment or disbursement made by the Issuing Bank pursuant to a drawing under a Letter of Credit.</w:t>
      </w:r>
    </w:p>
    <w:p>
      <w:pPr>
        <w:spacing w:after="0" w:line="200" w:lineRule="exact"/>
        <w:rPr>
          <w:sz w:val="20"/>
          <w:szCs w:val="20"/>
          <w:color w:val="auto"/>
        </w:rPr>
      </w:pPr>
    </w:p>
    <w:p>
      <w:pPr>
        <w:spacing w:after="0" w:line="307" w:lineRule="exact"/>
        <w:rPr>
          <w:sz w:val="20"/>
          <w:szCs w:val="20"/>
          <w:color w:val="auto"/>
        </w:rPr>
      </w:pPr>
    </w:p>
    <w:p>
      <w:pPr>
        <w:ind w:right="100" w:firstLine="129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Exposure</w:t>
      </w:r>
      <w:r>
        <w:rPr>
          <w:rFonts w:ascii="Arial" w:cs="Arial" w:eastAsia="Arial" w:hAnsi="Arial"/>
          <w:sz w:val="17"/>
          <w:szCs w:val="17"/>
          <w:color w:val="auto"/>
        </w:rPr>
        <w:t xml:space="preserve">” shall mean at any time the sum of (a) the Dollar Equivalent of the aggregate undrawn amount of all outstanding Letters of Credit at such time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Dollar Equivalent of the aggregate principal amount of all Reimbursement Obligations outstanding at such time. The LC Exposure of any Revolving Lender at any time shall mean its Pro Rata Percentage of the aggregate LC Exposure at such time.</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Participation Fee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Request</w:t>
      </w:r>
      <w:r>
        <w:rPr>
          <w:rFonts w:ascii="Arial" w:cs="Arial" w:eastAsia="Arial" w:hAnsi="Arial"/>
          <w:sz w:val="18"/>
          <w:szCs w:val="18"/>
          <w:color w:val="auto"/>
        </w:rPr>
        <w:t xml:space="preserve">” shall mean a request by Borrower in accordance with the terms of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and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or such other form as shall be approved by the Administrative Agent.</w:t>
      </w:r>
    </w:p>
    <w:p>
      <w:pPr>
        <w:spacing w:after="0" w:line="200" w:lineRule="exact"/>
        <w:rPr>
          <w:sz w:val="20"/>
          <w:szCs w:val="20"/>
          <w:color w:val="auto"/>
        </w:rPr>
      </w:pPr>
    </w:p>
    <w:p>
      <w:pPr>
        <w:spacing w:after="0" w:line="232" w:lineRule="exact"/>
        <w:rPr>
          <w:sz w:val="20"/>
          <w:szCs w:val="20"/>
          <w:color w:val="auto"/>
        </w:rPr>
      </w:pPr>
    </w:p>
    <w:p>
      <w:pPr>
        <w:ind w:right="24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Leases</w:t>
      </w:r>
      <w:r>
        <w:rPr>
          <w:rFonts w:ascii="Arial" w:cs="Arial" w:eastAsia="Arial" w:hAnsi="Arial"/>
          <w:sz w:val="18"/>
          <w:szCs w:val="18"/>
          <w:color w:val="auto"/>
        </w:rPr>
        <w:t>” shall mean any and all leases, subleases, tenancies, options, concession agreements, rental agreements, occupancy agreements, franchise agreements, access agreements and any other agreements (including all amendments, extensions, replacements, renewals, modifications and/or guarantees thereof), whether or not of record and whether now in existence or hereafter entered into, affecting the use or occupancy of all or any portion of any Real Property.</w:t>
      </w:r>
    </w:p>
    <w:p>
      <w:pPr>
        <w:spacing w:after="0" w:line="200" w:lineRule="exact"/>
        <w:rPr>
          <w:sz w:val="20"/>
          <w:szCs w:val="20"/>
          <w:color w:val="auto"/>
        </w:rPr>
      </w:pPr>
    </w:p>
    <w:p>
      <w:pPr>
        <w:spacing w:after="0" w:line="250" w:lineRule="exact"/>
        <w:rPr>
          <w:sz w:val="20"/>
          <w:szCs w:val="20"/>
          <w:color w:val="auto"/>
        </w:rPr>
      </w:pPr>
    </w:p>
    <w:p>
      <w:pPr>
        <w:ind w:right="5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Addendum</w:t>
      </w:r>
      <w:r>
        <w:rPr>
          <w:rFonts w:ascii="Arial" w:cs="Arial" w:eastAsia="Arial" w:hAnsi="Arial"/>
          <w:sz w:val="18"/>
          <w:szCs w:val="18"/>
          <w:color w:val="auto"/>
        </w:rPr>
        <w:t xml:space="preserve">” shall mean with respect to any Lender on the Closing Date, a lender addendum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to be executed and delivered by such Lender on the Closing Date as provided in </w:t>
      </w:r>
      <w:r>
        <w:rPr>
          <w:rFonts w:ascii="Arial" w:cs="Arial" w:eastAsia="Arial" w:hAnsi="Arial"/>
          <w:sz w:val="18"/>
          <w:szCs w:val="18"/>
          <w:u w:val="single" w:color="auto"/>
          <w:color w:val="auto"/>
        </w:rPr>
        <w:t>Section 10.15</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right="30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shall mean (a) the banks, financial institutions and other entities that have become a party hereto pursuant to a Lender Addendum and (b) any bank, financial institution or other entity that has become a party hereto pursuant to an Assignment and Assumption, other than, in each case, any such bank, financial institution or other entity that has ceased to be a party hereto pursuant to an Assignment and Assumption. Unless the context clearly indicates otherwise, the term “</w:t>
      </w:r>
      <w:r>
        <w:rPr>
          <w:rFonts w:ascii="Arial" w:cs="Arial" w:eastAsia="Arial" w:hAnsi="Arial"/>
          <w:sz w:val="18"/>
          <w:szCs w:val="18"/>
          <w:b w:val="1"/>
          <w:bCs w:val="1"/>
          <w:color w:val="auto"/>
        </w:rPr>
        <w:t>Lenders</w:t>
      </w:r>
      <w:r>
        <w:rPr>
          <w:rFonts w:ascii="Arial" w:cs="Arial" w:eastAsia="Arial" w:hAnsi="Arial"/>
          <w:sz w:val="18"/>
          <w:szCs w:val="18"/>
          <w:color w:val="auto"/>
        </w:rPr>
        <w:t>” shall include the Swingline Lender.</w:t>
      </w:r>
    </w:p>
    <w:p>
      <w:pPr>
        <w:spacing w:after="0" w:line="200" w:lineRule="exact"/>
        <w:rPr>
          <w:sz w:val="20"/>
          <w:szCs w:val="20"/>
          <w:color w:val="auto"/>
        </w:rPr>
      </w:pPr>
    </w:p>
    <w:p>
      <w:pPr>
        <w:spacing w:after="0" w:line="250"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shall mean any (i) Standby Letter of Credit and (ii) Commercial Letter of Credit, in each case, issued or to be issued by an Issuing Bank for the account of Borrower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Expiration Date</w:t>
      </w:r>
      <w:r>
        <w:rPr>
          <w:rFonts w:ascii="Arial" w:cs="Arial" w:eastAsia="Arial" w:hAnsi="Arial"/>
          <w:sz w:val="18"/>
          <w:szCs w:val="18"/>
          <w:color w:val="auto"/>
        </w:rPr>
        <w:t>” shall mean the date which is fifteen days prior to the Revolving Maturity Date or, if such date is not a Business Day, the immediately preceding Business Day.</w:t>
      </w:r>
    </w:p>
    <w:p>
      <w:pPr>
        <w:spacing w:after="0" w:line="200" w:lineRule="exact"/>
        <w:rPr>
          <w:sz w:val="20"/>
          <w:szCs w:val="20"/>
          <w:color w:val="auto"/>
        </w:rPr>
      </w:pPr>
    </w:p>
    <w:p>
      <w:pPr>
        <w:spacing w:after="0" w:line="232"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Rate</w:t>
      </w:r>
      <w:r>
        <w:rPr>
          <w:rFonts w:ascii="Arial" w:cs="Arial" w:eastAsia="Arial" w:hAnsi="Arial"/>
          <w:sz w:val="16"/>
          <w:szCs w:val="16"/>
          <w:color w:val="auto"/>
        </w:rPr>
        <w:t xml:space="preserve">” shall mean, with respect to any Eurocurrency Borrowing for any Interest Period, the interest rate per annum determined by the Administrative Agent to be the arithmetic mean of the offered rates for deposits in the relevant Approved Currency (for delivery on the first day of such Interest Period) with a term comparable to such Interest Period that appears on the Telerate British Bankers Assoc. Interest Settlement Rates Page (as defined below) (or as set forth on the applicable page of any successor service or any other service selected by the Administrative Agent which has been nominated by the British Bankers’ Association as an authorized information vendor for the purpose of displaying such rates) at approximately 11:00 a.m., London, England time, on the second full Business Day preceding the first day of such 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if no comparable term for an Interest Period is available, the LIBOR Rate shall be determined using the weighted average of the offered rates for the two terms most nearly corresponding to such Interest Period and (ii) if the rate referenced above is not available, “LIBOR Rate” shall mean, with respect to each day during each Interest Period pertaining to Eurocurrency Borrowings comprising part of the same Borrowing, the rate per annum equal to the rate at which the Administrative Agent is offered deposits in the relevant Approved Currency at approximately 11:00 a.m., London, England time, two Business Days prior to the first day of such Interest Period in the London interbank market for delivery on the first day of such Interest Period for the number of days comprised therein and in an amount</w:t>
      </w:r>
    </w:p>
    <w:p>
      <w:pPr>
        <w:sectPr>
          <w:pgSz w:w="11900" w:h="16838" w:orient="portrait"/>
          <w:cols w:equalWidth="0" w:num="1">
            <w:col w:w="11400"/>
          </w:cols>
          <w:pgMar w:left="240" w:top="364" w:right="259" w:bottom="0" w:gutter="0" w:footer="0" w:header="0"/>
        </w:sectPr>
      </w:pPr>
    </w:p>
    <w:bookmarkStart w:id="70" w:name="page71"/>
    <w:bookmarkEnd w:id="70"/>
    <w:p>
      <w:pPr>
        <w:spacing w:after="0" w:line="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comparable to its portion of the amount of such Eurocurrency Borrowing to be outstanding during such Interest Period (or such other amount as the Administrative Agent shall reasonably determine). “</w:t>
      </w:r>
      <w:r>
        <w:rPr>
          <w:rFonts w:ascii="Arial" w:cs="Arial" w:eastAsia="Arial" w:hAnsi="Arial"/>
          <w:sz w:val="18"/>
          <w:szCs w:val="18"/>
          <w:b w:val="1"/>
          <w:bCs w:val="1"/>
          <w:color w:val="auto"/>
        </w:rPr>
        <w:t>Telerate British Bankers Assoc. Interest Settlement Rates Page</w:t>
      </w:r>
      <w:r>
        <w:rPr>
          <w:rFonts w:ascii="Arial" w:cs="Arial" w:eastAsia="Arial" w:hAnsi="Arial"/>
          <w:sz w:val="18"/>
          <w:szCs w:val="18"/>
          <w:color w:val="auto"/>
        </w:rPr>
        <w:t>” shall mean the display designated as Page 3750 (or other appropriate page if the relevant Approved Currency does not appear on such page) on the Telerate System Incorporated Service (or such other page as may replace such page on such service for the purpose of displaying the rates at which the relevant Approved Currency deposits are offered by leading banks in the London interbank deposit market).</w:t>
      </w:r>
    </w:p>
    <w:p>
      <w:pPr>
        <w:spacing w:after="0" w:line="200" w:lineRule="exact"/>
        <w:rPr>
          <w:sz w:val="20"/>
          <w:szCs w:val="20"/>
          <w:color w:val="auto"/>
        </w:rPr>
      </w:pPr>
    </w:p>
    <w:p>
      <w:pPr>
        <w:spacing w:after="0" w:line="254"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shall mean, with respect to any property, (a) any mortgage, deed of trust, lien, pledge, encumbrance, claim, charge, assignment, hypothecation, security interest or encumbrance of any kind or any arrangement to provide priority or preference or any filing of any financing statement under the UCC or any other similar notice of lien under any similar notice or recording statute of any Governmental Authority, including any easement, right-of-way or other encumbrance on title to Real Property, in each of the foregoing cases whether voluntary or imposed by law, and any agreement to give any of the foregoing; (b) the interest of a vendor or a lessor under any conditional sale agreement, capital lease or title retention agreement (or any financing lease having substantially the same economic effect as any of the foregoing) relating to such property; and (c) in the case of securities, any purchase option, call or similar right of a third party with respect to such securities.</w:t>
      </w:r>
    </w:p>
    <w:p>
      <w:pPr>
        <w:spacing w:after="0" w:line="200" w:lineRule="exact"/>
        <w:rPr>
          <w:sz w:val="20"/>
          <w:szCs w:val="20"/>
          <w:color w:val="auto"/>
        </w:rPr>
      </w:pPr>
    </w:p>
    <w:p>
      <w:pPr>
        <w:spacing w:after="0" w:line="242" w:lineRule="exact"/>
        <w:rPr>
          <w:sz w:val="20"/>
          <w:szCs w:val="20"/>
          <w:color w:val="auto"/>
        </w:rPr>
      </w:pPr>
    </w:p>
    <w:p>
      <w:pPr>
        <w:ind w:right="5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xml:space="preserve">” shall mean this Agreement, the Letters of Credit, the Notes (if any), and the Security Documents and, solely for purposes of paragraph (e) of </w:t>
      </w:r>
      <w:r>
        <w:rPr>
          <w:rFonts w:ascii="Arial" w:cs="Arial" w:eastAsia="Arial" w:hAnsi="Arial"/>
          <w:sz w:val="18"/>
          <w:szCs w:val="18"/>
          <w:u w:val="single" w:color="auto"/>
          <w:color w:val="auto"/>
        </w:rPr>
        <w:t>Section 8.01</w:t>
      </w:r>
      <w:r>
        <w:rPr>
          <w:rFonts w:ascii="Arial" w:cs="Arial" w:eastAsia="Arial" w:hAnsi="Arial"/>
          <w:sz w:val="18"/>
          <w:szCs w:val="18"/>
          <w:color w:val="auto"/>
        </w:rPr>
        <w:t>, the confidential Fee Letter, dated February 23, 2007, among Borrower, UBS Loan Finance LLC and UBS Securities LLC.</w:t>
      </w: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Parties</w:t>
      </w:r>
      <w:r>
        <w:rPr>
          <w:rFonts w:ascii="Arial" w:cs="Arial" w:eastAsia="Arial" w:hAnsi="Arial"/>
          <w:sz w:val="18"/>
          <w:szCs w:val="18"/>
          <w:color w:val="auto"/>
        </w:rPr>
        <w:t>” shall mean Borrower and the Subsidiary Guarantors.</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shall mean, as the context may require, a Revolving Loan, a Term Loan or a Swingline Loan.</w:t>
      </w:r>
    </w:p>
    <w:p>
      <w:pPr>
        <w:spacing w:after="0" w:line="200" w:lineRule="exact"/>
        <w:rPr>
          <w:sz w:val="20"/>
          <w:szCs w:val="20"/>
          <w:color w:val="auto"/>
        </w:rPr>
      </w:pPr>
    </w:p>
    <w:p>
      <w:pPr>
        <w:spacing w:after="0" w:line="295" w:lineRule="exact"/>
        <w:rPr>
          <w:sz w:val="20"/>
          <w:szCs w:val="20"/>
          <w:color w:val="auto"/>
        </w:rPr>
      </w:pPr>
    </w:p>
    <w:p>
      <w:pPr>
        <w:ind w:right="6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Local Time</w:t>
      </w:r>
      <w:r>
        <w:rPr>
          <w:rFonts w:ascii="Arial" w:cs="Arial" w:eastAsia="Arial" w:hAnsi="Arial"/>
          <w:sz w:val="17"/>
          <w:szCs w:val="17"/>
          <w:color w:val="auto"/>
        </w:rPr>
        <w:t>” means, with respect to (a) any Dollar Loans or any other Obligations or Letters of Credit denominated in Dollars, New York City time and (b) any Alternate Currency Loans or any other Obligations or Letters of Credit denominated in an Alternate Currency, London time.</w:t>
      </w:r>
    </w:p>
    <w:p>
      <w:pPr>
        <w:spacing w:after="0" w:line="200" w:lineRule="exact"/>
        <w:rPr>
          <w:sz w:val="20"/>
          <w:szCs w:val="20"/>
          <w:color w:val="auto"/>
        </w:rPr>
      </w:pPr>
    </w:p>
    <w:p>
      <w:pPr>
        <w:spacing w:after="0" w:line="208" w:lineRule="exact"/>
        <w:rPr>
          <w:sz w:val="20"/>
          <w:szCs w:val="20"/>
          <w:color w:val="auto"/>
        </w:rPr>
      </w:pPr>
    </w:p>
    <w:p>
      <w:pPr>
        <w:ind w:right="5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Cost</w:t>
      </w:r>
      <w:r>
        <w:rPr>
          <w:rFonts w:ascii="Arial" w:cs="Arial" w:eastAsia="Arial" w:hAnsi="Arial"/>
          <w:sz w:val="18"/>
          <w:szCs w:val="18"/>
          <w:color w:val="auto"/>
        </w:rPr>
        <w:t xml:space="preserve">” shall mean the per annum percentage rate calculated by the Administrative Agent in accordance with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(Mandatory Cost Formula).</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shall have the meaning assigned to such term in Regulation U.</w:t>
      </w:r>
    </w:p>
    <w:p>
      <w:pPr>
        <w:spacing w:after="0" w:line="200" w:lineRule="exact"/>
        <w:rPr>
          <w:sz w:val="20"/>
          <w:szCs w:val="20"/>
          <w:color w:val="auto"/>
        </w:rPr>
      </w:pPr>
    </w:p>
    <w:p>
      <w:pPr>
        <w:spacing w:after="0" w:line="29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shall mean (a) for purposes of the representation in the last sentence of </w:t>
      </w:r>
      <w:r>
        <w:rPr>
          <w:rFonts w:ascii="Arial" w:cs="Arial" w:eastAsia="Arial" w:hAnsi="Arial"/>
          <w:sz w:val="16"/>
          <w:szCs w:val="16"/>
          <w:u w:val="single" w:color="auto"/>
          <w:color w:val="auto"/>
        </w:rPr>
        <w:t>Section 3.04(b)</w:t>
      </w:r>
      <w:r>
        <w:rPr>
          <w:rFonts w:ascii="Arial" w:cs="Arial" w:eastAsia="Arial" w:hAnsi="Arial"/>
          <w:sz w:val="16"/>
          <w:szCs w:val="16"/>
          <w:color w:val="auto"/>
        </w:rPr>
        <w:t xml:space="preserve"> on the Closing Date only, any event, change, circumstance, development, effect or state of facts that is or could reasonably be expected to be materially adverse to the business, financial condition, operations, assets, liabilities or results of operations of the Acquired Business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however, that for such purposes, Material Adverse Effect shall not include the effect of any circumstance, change, development, event or state of facts arising out of or attributable to any of the following, either alone or in combination: (i) the markets in which the Acquired Business and its subsidiaries operate generally (so long as the Acquired Business and its subsidiaries are not disproportionately affected thereby); or (ii) general economic or political conditions (including those affecting the securities markets) (so long as the Acquired Business and its subsidiaries are not disproportionately affected thereby)) and (b) for all other purposes, (i) a material adverse effect on the business, property, results of operations, prospects or condition, financial or otherwise, or material agreements of Borrower and its Subsidiaries, taken as a whole; (ii) material impairment of the ability of Borrower or the Subsidiary Guarantors, taken as a whole, to fully and timely perform any of their obligations under any Loan Document; (iii) material impairment of the rights of or benefits or remedies available to the Lenders or the Collateral Agent under any Loan Document; or (iv) a material adverse effect on the Collateral or the Liens in favor of the Collateral Agent (for its benefit and for the benefit of the other Secured Parties) on the Collateral or the priority of such Liens.</w:t>
      </w:r>
    </w:p>
    <w:p>
      <w:pPr>
        <w:spacing w:after="0" w:line="200" w:lineRule="exact"/>
        <w:rPr>
          <w:sz w:val="20"/>
          <w:szCs w:val="20"/>
          <w:color w:val="auto"/>
        </w:rPr>
      </w:pPr>
    </w:p>
    <w:p>
      <w:pPr>
        <w:spacing w:after="0" w:line="239" w:lineRule="exact"/>
        <w:rPr>
          <w:sz w:val="20"/>
          <w:szCs w:val="20"/>
          <w:color w:val="auto"/>
        </w:rPr>
      </w:pPr>
    </w:p>
    <w:p>
      <w:pPr>
        <w:ind w:right="180" w:firstLine="1297"/>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Indebtedness</w:t>
      </w:r>
      <w:r>
        <w:rPr>
          <w:rFonts w:ascii="Arial" w:cs="Arial" w:eastAsia="Arial" w:hAnsi="Arial"/>
          <w:sz w:val="16"/>
          <w:szCs w:val="16"/>
          <w:color w:val="auto"/>
        </w:rPr>
        <w:t xml:space="preserve">” shall mean (a) Indebtedness under the Existing Senior Subordinated Notes Documents (or any refinancings of any thereof permitted under </w:t>
      </w:r>
      <w:r>
        <w:rPr>
          <w:rFonts w:ascii="Arial" w:cs="Arial" w:eastAsia="Arial" w:hAnsi="Arial"/>
          <w:sz w:val="16"/>
          <w:szCs w:val="16"/>
          <w:u w:val="single" w:color="auto"/>
          <w:color w:val="auto"/>
        </w:rPr>
        <w:t>Section 6.01(b)(ii)</w:t>
      </w:r>
      <w:r>
        <w:rPr>
          <w:rFonts w:ascii="Arial" w:cs="Arial" w:eastAsia="Arial" w:hAnsi="Arial"/>
          <w:sz w:val="16"/>
          <w:szCs w:val="16"/>
          <w:color w:val="auto"/>
        </w:rPr>
        <w:t>) and (b) any other Indebtedness (other than the Loans and Letters of Credit) or Hedging Obligations of Borrower or any of its Subsidiaries in an aggregate outstanding principal amount exceeding $25.0 million. For purposes of determining Material Indebtedness, the “principal amount” in respect of any Hedging Obligations of any Loan Party at any time shall be the maximum aggregate amount (giving effect to any netting agreements) that such Loan Party would be required to pay if the related Hedging Agreement were terminated at such time.</w:t>
      </w:r>
    </w:p>
    <w:p>
      <w:pPr>
        <w:spacing w:after="0" w:line="200" w:lineRule="exact"/>
        <w:rPr>
          <w:sz w:val="20"/>
          <w:szCs w:val="20"/>
          <w:color w:val="auto"/>
        </w:rPr>
      </w:pP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10.14</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Mizuho</w:t>
      </w:r>
      <w:r>
        <w:rPr>
          <w:rFonts w:ascii="Arial" w:cs="Arial" w:eastAsia="Arial" w:hAnsi="Arial"/>
          <w:sz w:val="18"/>
          <w:szCs w:val="18"/>
          <w:color w:val="auto"/>
        </w:rPr>
        <w:t>” shall mean Mizuho Corporate Bank, Ltd.</w:t>
      </w:r>
    </w:p>
    <w:p>
      <w:pPr>
        <w:spacing w:after="0" w:line="200" w:lineRule="exact"/>
        <w:rPr>
          <w:sz w:val="20"/>
          <w:szCs w:val="20"/>
          <w:color w:val="auto"/>
        </w:rPr>
      </w:pPr>
    </w:p>
    <w:p>
      <w:pPr>
        <w:spacing w:after="0" w:line="295"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shall mean an agreement, including, but not limited to, a mortgage, deed of trust or any other document, creating and evidencing a Lien on a Mortgaged Property, which shall be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or other form reasonably satisfactory to the Collateral Agent, in each case, with such schedules and including such provisions as shall be necessary to conform such document to applicable local or foreign law or as shall be customary under applicable local or foreign law.</w:t>
      </w:r>
    </w:p>
    <w:p>
      <w:pPr>
        <w:spacing w:after="0" w:line="200" w:lineRule="exact"/>
        <w:rPr>
          <w:sz w:val="20"/>
          <w:szCs w:val="20"/>
          <w:color w:val="auto"/>
        </w:rPr>
      </w:pPr>
    </w:p>
    <w:p>
      <w:pPr>
        <w:spacing w:after="0" w:line="250" w:lineRule="exact"/>
        <w:rPr>
          <w:sz w:val="20"/>
          <w:szCs w:val="20"/>
          <w:color w:val="auto"/>
        </w:rPr>
      </w:pPr>
    </w:p>
    <w:p>
      <w:pPr>
        <w:ind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Mortgaged Property</w:t>
      </w:r>
      <w:r>
        <w:rPr>
          <w:rFonts w:ascii="Arial" w:cs="Arial" w:eastAsia="Arial" w:hAnsi="Arial"/>
          <w:sz w:val="16"/>
          <w:szCs w:val="16"/>
          <w:color w:val="auto"/>
        </w:rPr>
        <w:t xml:space="preserve">” shall mean (a) each Real Property identified as a Mortgaged Property on </w:t>
      </w:r>
      <w:r>
        <w:rPr>
          <w:rFonts w:ascii="Arial" w:cs="Arial" w:eastAsia="Arial" w:hAnsi="Arial"/>
          <w:sz w:val="16"/>
          <w:szCs w:val="16"/>
          <w:u w:val="single" w:color="auto"/>
          <w:color w:val="auto"/>
        </w:rPr>
        <w:t>Schedule 8(a)</w:t>
      </w:r>
      <w:r>
        <w:rPr>
          <w:rFonts w:ascii="Arial" w:cs="Arial" w:eastAsia="Arial" w:hAnsi="Arial"/>
          <w:sz w:val="16"/>
          <w:szCs w:val="16"/>
          <w:color w:val="auto"/>
        </w:rPr>
        <w:t xml:space="preserve"> to the Perfection Certificate dated the Closing Date and (b) each Real Property, if any, which shall be subject to a Mortgage delivered after the Closing Date pursuant to </w:t>
      </w:r>
      <w:r>
        <w:rPr>
          <w:rFonts w:ascii="Arial" w:cs="Arial" w:eastAsia="Arial" w:hAnsi="Arial"/>
          <w:sz w:val="16"/>
          <w:szCs w:val="16"/>
          <w:u w:val="single" w:color="auto"/>
          <w:color w:val="auto"/>
        </w:rPr>
        <w:t>Section 5.10(c)</w:t>
      </w:r>
      <w:r>
        <w:rPr>
          <w:rFonts w:ascii="Arial" w:cs="Arial" w:eastAsia="Arial" w:hAnsi="Arial"/>
          <w:sz w:val="16"/>
          <w:szCs w:val="16"/>
          <w:color w:val="auto"/>
        </w:rPr>
        <w:t>.</w:t>
      </w:r>
    </w:p>
    <w:p>
      <w:pPr>
        <w:sectPr>
          <w:pgSz w:w="11900" w:h="16898" w:orient="portrait"/>
          <w:cols w:equalWidth="0" w:num="1">
            <w:col w:w="11380"/>
          </w:cols>
          <w:pgMar w:left="240" w:top="125" w:right="279" w:bottom="0" w:gutter="0" w:footer="0" w:header="0"/>
        </w:sectPr>
      </w:pPr>
    </w:p>
    <w:bookmarkStart w:id="71" w:name="page72"/>
    <w:bookmarkEnd w:id="71"/>
    <w:p>
      <w:pPr>
        <w:ind w:right="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shall mean a multiemployer plan within the meaning of Section 4001(a)(3) of ERISA (a) to which any Company or any of its ERISA Affiliates is then making or accruing an obligation to make contributions; (b) to which any Company or any of its ERISA Affiliates has within the preceding five plan years made contributions; or (c) with respect to which any Company could incur liability.</w:t>
      </w: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shall mean:</w:t>
      </w:r>
    </w:p>
    <w:p>
      <w:pPr>
        <w:spacing w:after="0" w:line="200" w:lineRule="exact"/>
        <w:rPr>
          <w:sz w:val="20"/>
          <w:szCs w:val="20"/>
          <w:color w:val="auto"/>
        </w:rPr>
      </w:pPr>
    </w:p>
    <w:p>
      <w:pPr>
        <w:spacing w:after="0" w:line="299" w:lineRule="exact"/>
        <w:rPr>
          <w:sz w:val="20"/>
          <w:szCs w:val="20"/>
          <w:color w:val="auto"/>
        </w:rPr>
      </w:pPr>
    </w:p>
    <w:p>
      <w:pPr>
        <w:ind w:firstLine="1953"/>
        <w:spacing w:after="0" w:line="268" w:lineRule="auto"/>
        <w:tabs>
          <w:tab w:leader="none" w:pos="254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with respect to any Asset Sale (other than any issuance or sale of Equity Interests), the cash proceeds received by Borrower or any of its Subsidiaries (including cash proceeds subsequently received (as and when received by Borrower or any of its Subsidiaries) in respect of non-cash consideration initially received) net of (i) selling expenses (including reasonable brokers’ fees or commissions, legal, accounting and other professional and transactional fees, transfer and similar taxes and Borrower’s good faith estimate of income taxes paid or payable in connection with such sale, taking into account the reduction in tax liability resulting from any available operating losses and net operating loss carryovers, tax credits and tax credit carry-forwards and similar tax attributes); (ii) amounts provided as a reserve, in accordance with GAAP, against (x) any liabilities under any indemnification obligations associated with such Asset Sale or (y) any other liabilities retained by Borrower or any of its Subsidiaries associated with the properties sold in such Asset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and at the time any such amounts are released from such reserve, such amounts shall constitute Net Cash Proceeds); (iii) Borrower’s good faith estimate of payments required to be made with respect to unassumed liabilities relating to the properties sold within 90 days of such Asset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cash proceeds are not used to make payments in respect of such unassumed liabilities within 90 days of such Asset Sale, such cash proceeds shall constitute Net Cash Proceeds); and (iv) the principal amount, premium or penalty, if any, interest and other amounts on any Indebtedness for borrowed money which is secured by a Lien on the properties sold in such Asset Sale (so long as such Lien was permitted to encumber such properties under the Loan Documents at the time of such sale) and which is repaid with such proceeds (other than the Loans and any such Indebtedness assumed by the purchaser of such properties);</w:t>
      </w: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ind w:right="200" w:firstLine="1953"/>
        <w:spacing w:after="0" w:line="264" w:lineRule="auto"/>
        <w:tabs>
          <w:tab w:leader="none" w:pos="258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 respect to any Debt Issuance or issuance of Equity Interests by Borrower or any of its Subsidiaries or any sale of Equity Interests by Borrower or any of its Subsidiaries, the cash proceeds thereof, net of customary fees, commissions, costs and other expenses incurred in connection therewith; and</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140" w:firstLine="1953"/>
        <w:spacing w:after="0" w:line="297" w:lineRule="auto"/>
        <w:tabs>
          <w:tab w:leader="none" w:pos="257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with respect to any Casualty Event, the cash insurance proceeds, condemnation awards and other compensation received by Borrower or any of its Subsidiaries in respect thereof, net of (i) all reasonable costs and expenses incurred in connection with the collection of such proceeds, awards or other compensation in respect of such Casualty Event; and (ii) the principal amount, premium or penalty, if any, interest and other amounts on any Indebtedness for borrowed money which is secured by a Lien on the properties subject to such Casualty Event (so long as such Lien was permitted to encumber such properties under the Loan Documents at the time of such sale) and which is repaid with such proceeds (other than the Loans).</w:t>
      </w:r>
    </w:p>
    <w:p>
      <w:pPr>
        <w:spacing w:after="0" w:line="200" w:lineRule="exact"/>
        <w:rPr>
          <w:sz w:val="20"/>
          <w:szCs w:val="20"/>
          <w:color w:val="auto"/>
        </w:rPr>
      </w:pP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Working Capital</w:t>
      </w:r>
      <w:r>
        <w:rPr>
          <w:rFonts w:ascii="Arial" w:cs="Arial" w:eastAsia="Arial" w:hAnsi="Arial"/>
          <w:sz w:val="16"/>
          <w:szCs w:val="16"/>
          <w:color w:val="auto"/>
        </w:rPr>
        <w:t>” shall mean, at any time, Consolidated Current Assets at such time minus Consolidated Current Liabilities 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0" w:lineRule="exact"/>
        <w:rPr>
          <w:sz w:val="20"/>
          <w:szCs w:val="20"/>
          <w:color w:val="auto"/>
        </w:rPr>
      </w:pPr>
    </w:p>
    <w:p>
      <w:pPr>
        <w:spacing w:after="0" w:line="277" w:lineRule="exact"/>
        <w:rPr>
          <w:sz w:val="20"/>
          <w:szCs w:val="20"/>
          <w:color w:val="auto"/>
        </w:rPr>
      </w:pPr>
    </w:p>
    <w:p>
      <w:pPr>
        <w:ind w:right="4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xml:space="preserve">” shall mean any notes evidencing the Dollar Term Loans, Euro Term Loans, GBP Term Loans, Revolving Loans or Swingline Loans issued pursuant to this Agreement, if any, substantially in the form of </w:t>
      </w:r>
      <w:r>
        <w:rPr>
          <w:rFonts w:ascii="Arial" w:cs="Arial" w:eastAsia="Arial" w:hAnsi="Arial"/>
          <w:sz w:val="18"/>
          <w:szCs w:val="18"/>
          <w:u w:val="single" w:color="auto"/>
          <w:color w:val="auto"/>
        </w:rPr>
        <w:t>Exhibit K-1</w:t>
      </w:r>
      <w:r>
        <w:rPr>
          <w:rFonts w:ascii="Arial" w:cs="Arial" w:eastAsia="Arial" w:hAnsi="Arial"/>
          <w:sz w:val="18"/>
          <w:szCs w:val="18"/>
          <w:color w:val="auto"/>
        </w:rPr>
        <w:t xml:space="preserve">, </w:t>
      </w:r>
      <w:r>
        <w:rPr>
          <w:rFonts w:ascii="Arial" w:cs="Arial" w:eastAsia="Arial" w:hAnsi="Arial"/>
          <w:sz w:val="18"/>
          <w:szCs w:val="18"/>
          <w:u w:val="single" w:color="auto"/>
          <w:color w:val="auto"/>
        </w:rPr>
        <w:t>K-2</w:t>
      </w:r>
      <w:r>
        <w:rPr>
          <w:rFonts w:ascii="Arial" w:cs="Arial" w:eastAsia="Arial" w:hAnsi="Arial"/>
          <w:sz w:val="18"/>
          <w:szCs w:val="18"/>
          <w:color w:val="auto"/>
        </w:rPr>
        <w:t xml:space="preserve">, </w:t>
      </w:r>
      <w:r>
        <w:rPr>
          <w:rFonts w:ascii="Arial" w:cs="Arial" w:eastAsia="Arial" w:hAnsi="Arial"/>
          <w:sz w:val="18"/>
          <w:szCs w:val="18"/>
          <w:u w:val="single" w:color="auto"/>
          <w:color w:val="auto"/>
        </w:rPr>
        <w:t>K-3</w:t>
      </w:r>
      <w:r>
        <w:rPr>
          <w:rFonts w:ascii="Arial" w:cs="Arial" w:eastAsia="Arial" w:hAnsi="Arial"/>
          <w:sz w:val="18"/>
          <w:szCs w:val="18"/>
          <w:color w:val="auto"/>
        </w:rPr>
        <w:t xml:space="preserve">, </w:t>
      </w:r>
      <w:r>
        <w:rPr>
          <w:rFonts w:ascii="Arial" w:cs="Arial" w:eastAsia="Arial" w:hAnsi="Arial"/>
          <w:sz w:val="18"/>
          <w:szCs w:val="18"/>
          <w:u w:val="single" w:color="auto"/>
          <w:color w:val="auto"/>
        </w:rPr>
        <w:t>K-4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K-5</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 Currency</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10.18(a)</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shall mean (a) obligations of Borrower and the other Loan Parties from time to time arising under or in respect of the due and punctual payment of (i) the principal of and premium, if any,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Borrower and the other Loan Parties under this Agreement in respect of any Letter of Credit, when and as due, including payments in respect of Reimbursement Obligations, interest thereon and obligations to provide cash collateral and (iii) all other monetary obligations,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Borrower and the other Loan Parties under this Agreement and the other Loan Documents, and (b) the due and punctual performance of all covenants, agreements, obligations and liabilities of Borrower and the other Loan Parties under or pursuant to this Agreement and the other Loan Documents.</w:t>
      </w:r>
    </w:p>
    <w:p>
      <w:pPr>
        <w:spacing w:after="0" w:line="200" w:lineRule="exact"/>
        <w:rPr>
          <w:sz w:val="20"/>
          <w:szCs w:val="20"/>
          <w:color w:val="auto"/>
        </w:r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3.22</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4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shall mean a certificate executed by the chairman of the Board of Directors (if an officer), the chief executive officer, the president or one of the Financial Officers, in his or her official (and not individual) capacity.</w:t>
      </w:r>
    </w:p>
    <w:p>
      <w:pPr>
        <w:spacing w:after="0" w:line="200" w:lineRule="exact"/>
        <w:rPr>
          <w:sz w:val="20"/>
          <w:szCs w:val="20"/>
          <w:color w:val="auto"/>
        </w:rPr>
      </w:pPr>
    </w:p>
    <w:p>
      <w:pPr>
        <w:spacing w:after="0" w:line="232" w:lineRule="exact"/>
        <w:rPr>
          <w:sz w:val="20"/>
          <w:szCs w:val="20"/>
          <w:color w:val="auto"/>
        </w:rPr>
      </w:pPr>
    </w:p>
    <w:p>
      <w:pPr>
        <w:ind w:right="4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shall mean, with respect to any person, (i) in the case of any corporation, the certificate of incorporation and by-laws (or similar documents) of such person, (ii) in the case of any limited liability company, the certificate of formation and operating agreement (or similar documents) of such person, (iii) in the case of any limited partnership, the certificate of formation and limited partnership agreement (or similar documents) of such person, (iv) in the case of any general partnership, the partnership agreement (or similar document) of such person and (v) in any other case, the functional equivalent of the foregoing.</w:t>
      </w:r>
    </w:p>
    <w:p>
      <w:pPr>
        <w:sectPr>
          <w:pgSz w:w="11900" w:h="16838" w:orient="portrait"/>
          <w:cols w:equalWidth="0" w:num="1">
            <w:col w:w="11400"/>
          </w:cols>
          <w:pgMar w:left="240" w:top="607" w:right="259" w:bottom="0" w:gutter="0" w:footer="0" w:header="0"/>
        </w:sectPr>
      </w:pPr>
    </w:p>
    <w:bookmarkStart w:id="72" w:name="page73"/>
    <w:bookmarkEnd w:id="72"/>
    <w:p>
      <w:pPr>
        <w:spacing w:after="0" w:line="2"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shall mean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200" w:lineRule="exact"/>
        <w:rPr>
          <w:sz w:val="20"/>
          <w:szCs w:val="20"/>
          <w:color w:val="auto"/>
        </w:rPr>
      </w:pPr>
    </w:p>
    <w:p>
      <w:pPr>
        <w:spacing w:after="0" w:line="246" w:lineRule="exact"/>
        <w:rPr>
          <w:sz w:val="20"/>
          <w:szCs w:val="20"/>
          <w:color w:val="auto"/>
        </w:rPr>
      </w:pPr>
    </w:p>
    <w:p>
      <w:pPr>
        <w:jc w:val="both"/>
        <w:ind w:right="18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Outsourcing Project</w:t>
      </w:r>
      <w:r>
        <w:rPr>
          <w:rFonts w:ascii="Arial" w:cs="Arial" w:eastAsia="Arial" w:hAnsi="Arial"/>
          <w:sz w:val="18"/>
          <w:szCs w:val="18"/>
          <w:color w:val="auto"/>
        </w:rPr>
        <w:t>” shall mean a project under which an Outsourcing Project Subsidiary operates a meter reading system constructed by Borrower or its Subsidiaries consisting of hardware and software within the service territory of a utility or the equivalent and enters into or succeeds to a contract with such Person for the construction or operation of the meter reading system and long-term operations and maintenance thereof for a price to be paid as output is delivered.</w:t>
      </w:r>
    </w:p>
    <w:p>
      <w:pPr>
        <w:spacing w:after="0" w:line="200" w:lineRule="exact"/>
        <w:rPr>
          <w:sz w:val="20"/>
          <w:szCs w:val="20"/>
          <w:color w:val="auto"/>
        </w:rPr>
      </w:pPr>
    </w:p>
    <w:p>
      <w:pPr>
        <w:spacing w:after="0" w:line="250" w:lineRule="exact"/>
        <w:rPr>
          <w:sz w:val="20"/>
          <w:szCs w:val="20"/>
          <w:color w:val="auto"/>
        </w:rPr>
      </w:pPr>
    </w:p>
    <w:p>
      <w:pPr>
        <w:ind w:right="80" w:firstLine="129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Outsourcing Project Assets</w:t>
      </w:r>
      <w:r>
        <w:rPr>
          <w:rFonts w:ascii="Arial" w:cs="Arial" w:eastAsia="Arial" w:hAnsi="Arial"/>
          <w:sz w:val="18"/>
          <w:szCs w:val="18"/>
          <w:color w:val="auto"/>
        </w:rPr>
        <w:t>” shall mean, with respect to any Outsourcing Project Subsidiary described in clause (a) of the definition thereof, (a) any assets employed in the operation of an Outsourcing Project which are owned by such Outsourcing Project Subsidiary, including the hardware and software components of the meter reading system that comprise the related Outsourcing Project, together with the rights to intellectual property and licenses necessary to operate and maintain the meter reading system, the trade and contract receivables arising from the Outsourcing Project Subsidiary’s performance under the contracts relating to the Outsourcing Project and the contracts relating to the Outsourcing Project themselves and (b) the Equity Interests of such Outsourcing Project Subsidiary.</w:t>
      </w:r>
    </w:p>
    <w:p>
      <w:pPr>
        <w:spacing w:after="0" w:line="200" w:lineRule="exact"/>
        <w:rPr>
          <w:sz w:val="20"/>
          <w:szCs w:val="20"/>
          <w:color w:val="auto"/>
        </w:rPr>
      </w:pPr>
    </w:p>
    <w:p>
      <w:pPr>
        <w:spacing w:after="0" w:line="258" w:lineRule="exact"/>
        <w:rPr>
          <w:sz w:val="20"/>
          <w:szCs w:val="20"/>
          <w:color w:val="auto"/>
        </w:rPr>
      </w:pPr>
    </w:p>
    <w:p>
      <w:pPr>
        <w:ind w:right="30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Outsourcing Project Debt Documentation</w:t>
      </w:r>
      <w:r>
        <w:rPr>
          <w:rFonts w:ascii="Arial" w:cs="Arial" w:eastAsia="Arial" w:hAnsi="Arial"/>
          <w:sz w:val="16"/>
          <w:szCs w:val="16"/>
          <w:color w:val="auto"/>
        </w:rPr>
        <w:t xml:space="preserve">” shall mean all documentation, including any loan agreement and any security agreement, executed by any Loan Party or any Outsourcing Project Subsidiary in connection with the incurrence of any Indebtedness permitted by </w:t>
      </w:r>
      <w:r>
        <w:rPr>
          <w:rFonts w:ascii="Arial" w:cs="Arial" w:eastAsia="Arial" w:hAnsi="Arial"/>
          <w:sz w:val="16"/>
          <w:szCs w:val="16"/>
          <w:u w:val="single" w:color="auto"/>
          <w:color w:val="auto"/>
        </w:rPr>
        <w:t>Section 6.01(m)</w:t>
      </w:r>
      <w:r>
        <w:rPr>
          <w:rFonts w:ascii="Arial" w:cs="Arial" w:eastAsia="Arial" w:hAnsi="Arial"/>
          <w:sz w:val="16"/>
          <w:szCs w:val="16"/>
          <w:color w:val="auto"/>
        </w:rPr>
        <w:t>.</w:t>
      </w:r>
    </w:p>
    <w:p>
      <w:pPr>
        <w:spacing w:after="0" w:line="386" w:lineRule="exact"/>
        <w:rPr>
          <w:sz w:val="20"/>
          <w:szCs w:val="20"/>
          <w:color w:val="auto"/>
        </w:rPr>
      </w:pPr>
    </w:p>
    <w:p>
      <w:pPr>
        <w:ind w:right="320"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Outsourcing Project Guarantee</w:t>
      </w:r>
      <w:r>
        <w:rPr>
          <w:rFonts w:ascii="Arial" w:cs="Arial" w:eastAsia="Arial" w:hAnsi="Arial"/>
          <w:sz w:val="17"/>
          <w:szCs w:val="17"/>
          <w:color w:val="auto"/>
        </w:rPr>
        <w:t xml:space="preserve">” shall mean, with respect to any Outsourcing Project Indebtedness permitted by </w:t>
      </w:r>
      <w:r>
        <w:rPr>
          <w:rFonts w:ascii="Arial" w:cs="Arial" w:eastAsia="Arial" w:hAnsi="Arial"/>
          <w:sz w:val="17"/>
          <w:szCs w:val="17"/>
          <w:u w:val="single" w:color="auto"/>
          <w:color w:val="auto"/>
        </w:rPr>
        <w:t>Section 6.01(m)</w:t>
      </w:r>
      <w:r>
        <w:rPr>
          <w:rFonts w:ascii="Arial" w:cs="Arial" w:eastAsia="Arial" w:hAnsi="Arial"/>
          <w:sz w:val="17"/>
          <w:szCs w:val="17"/>
          <w:color w:val="auto"/>
        </w:rPr>
        <w:t>, an unsecured Contingent Obligation in respect of such Outsourcing Project Indebtedness which is contingent upon either (a) the failure of Borrower or the Outsourcing Project Subsidiary to perform its obligations under the contracts entered into with respect to the related Outsourcing Project or (b) a payment default by the Outsourcing Project Subsidiary of its obligations with respect to such Outsourcing Project Indebtedness.</w:t>
      </w:r>
    </w:p>
    <w:p>
      <w:pPr>
        <w:spacing w:after="0" w:line="200" w:lineRule="exact"/>
        <w:rPr>
          <w:sz w:val="20"/>
          <w:szCs w:val="20"/>
          <w:color w:val="auto"/>
        </w:rPr>
      </w:pPr>
    </w:p>
    <w:p>
      <w:pPr>
        <w:spacing w:after="0" w:line="235"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Outsourcing Project Indebtedness</w:t>
      </w:r>
      <w:r>
        <w:rPr>
          <w:rFonts w:ascii="Arial" w:cs="Arial" w:eastAsia="Arial" w:hAnsi="Arial"/>
          <w:sz w:val="18"/>
          <w:szCs w:val="18"/>
          <w:color w:val="auto"/>
        </w:rPr>
        <w:t>” shall mean Indebtedness incurred by an Outsourcing Project Subsidiary as to which (a) neither Borrower nor any of its other Subsidiaries: (i) provides credit support of any kind (including any undertaking, agreement or instrument that would constitute Indebtedness) other than an Outsourcing Project Guarantee, (ii) is directly or indirectly liable as a guarantor or otherwise other than through an Outsourcing Project Guarantee, or (iii) constitutes the lender; and (b) the lenders thereof have no recourse to the stock or assets of Borrower or any of its Subsidiaries other than the Outsourcing Project Assets of such Outsourcing Project Subsidiary and other than by enforcement of the Outsourcing Project Guarantee against Borrower.</w:t>
      </w:r>
    </w:p>
    <w:p>
      <w:pPr>
        <w:spacing w:after="0" w:line="200" w:lineRule="exact"/>
        <w:rPr>
          <w:sz w:val="20"/>
          <w:szCs w:val="20"/>
          <w:color w:val="auto"/>
        </w:rPr>
      </w:pPr>
    </w:p>
    <w:p>
      <w:pPr>
        <w:spacing w:after="0" w:line="258" w:lineRule="exact"/>
        <w:rPr>
          <w:sz w:val="20"/>
          <w:szCs w:val="20"/>
          <w:color w:val="auto"/>
        </w:rPr>
      </w:pPr>
    </w:p>
    <w:p>
      <w:pPr>
        <w:jc w:val="both"/>
        <w:ind w:right="36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Outsourcing Project Subsidiary</w:t>
      </w:r>
      <w:r>
        <w:rPr>
          <w:rFonts w:ascii="Arial" w:cs="Arial" w:eastAsia="Arial" w:hAnsi="Arial"/>
          <w:sz w:val="16"/>
          <w:szCs w:val="16"/>
          <w:color w:val="auto"/>
        </w:rPr>
        <w:t>” shall mean (a) a special purpose Wholly Owned Subsidiary of Borrower formed for the purpose of obtaining financing for an Outsourcing Project and (b) any holding company whose sole asset is the Equity Interests of Outsourcing Project Subsidiaries.</w:t>
      </w:r>
    </w:p>
    <w:p>
      <w:pPr>
        <w:spacing w:after="0" w:line="3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10.04(d)</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States</w:t>
      </w:r>
      <w:r>
        <w:rPr>
          <w:rFonts w:ascii="Arial" w:cs="Arial" w:eastAsia="Arial" w:hAnsi="Arial"/>
          <w:sz w:val="18"/>
          <w:szCs w:val="18"/>
          <w:color w:val="auto"/>
        </w:rPr>
        <w:t>” shall mean the member states of the European Communities that adopt or have adopted the Euro as their lawful currency in accordance with the legislation of the European Union relating to European Monetary Union.</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w:t>
      </w:r>
    </w:p>
    <w:p>
      <w:pPr>
        <w:spacing w:after="0" w:line="200" w:lineRule="exact"/>
        <w:rPr>
          <w:sz w:val="20"/>
          <w:szCs w:val="20"/>
          <w:color w:val="auto"/>
        </w:rPr>
      </w:pPr>
    </w:p>
    <w:p>
      <w:pPr>
        <w:spacing w:after="0" w:line="295" w:lineRule="exact"/>
        <w:rPr>
          <w:sz w:val="20"/>
          <w:szCs w:val="20"/>
          <w:color w:val="auto"/>
        </w:rPr>
      </w:pPr>
    </w:p>
    <w:p>
      <w:pPr>
        <w:ind w:right="4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xml:space="preserve">” shall mean a certificate in the form of </w:t>
      </w:r>
      <w:r>
        <w:rPr>
          <w:rFonts w:ascii="Arial" w:cs="Arial" w:eastAsia="Arial" w:hAnsi="Arial"/>
          <w:sz w:val="18"/>
          <w:szCs w:val="18"/>
          <w:u w:val="single" w:color="auto"/>
          <w:color w:val="auto"/>
        </w:rPr>
        <w:t>Exhibit L-1</w:t>
      </w:r>
      <w:r>
        <w:rPr>
          <w:rFonts w:ascii="Arial" w:cs="Arial" w:eastAsia="Arial" w:hAnsi="Arial"/>
          <w:sz w:val="18"/>
          <w:szCs w:val="18"/>
          <w:color w:val="auto"/>
        </w:rPr>
        <w:t xml:space="preserve"> or any other form approved by the Collateral Agent, as the same shall be supplemented from time to time by a Perfection Certificate Supplement or otherwise.</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Perfection Certificate Supplement</w:t>
      </w:r>
      <w:r>
        <w:rPr>
          <w:rFonts w:ascii="Arial" w:cs="Arial" w:eastAsia="Arial" w:hAnsi="Arial"/>
          <w:sz w:val="17"/>
          <w:szCs w:val="17"/>
          <w:color w:val="auto"/>
        </w:rPr>
        <w:t xml:space="preserve">” shall mean a certificate supplement in the form of </w:t>
      </w:r>
      <w:r>
        <w:rPr>
          <w:rFonts w:ascii="Arial" w:cs="Arial" w:eastAsia="Arial" w:hAnsi="Arial"/>
          <w:sz w:val="17"/>
          <w:szCs w:val="17"/>
          <w:u w:val="single" w:color="auto"/>
          <w:color w:val="auto"/>
        </w:rPr>
        <w:t>Exhibit L-2</w:t>
      </w:r>
      <w:r>
        <w:rPr>
          <w:rFonts w:ascii="Arial" w:cs="Arial" w:eastAsia="Arial" w:hAnsi="Arial"/>
          <w:sz w:val="17"/>
          <w:szCs w:val="17"/>
          <w:color w:val="auto"/>
        </w:rPr>
        <w:t xml:space="preserve"> or any other form approved by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Collateral Agent.</w:t>
      </w:r>
    </w:p>
    <w:p>
      <w:pPr>
        <w:spacing w:after="0" w:line="200" w:lineRule="exact"/>
        <w:rPr>
          <w:sz w:val="20"/>
          <w:szCs w:val="20"/>
          <w:color w:val="auto"/>
        </w:rPr>
      </w:pPr>
    </w:p>
    <w:p>
      <w:pPr>
        <w:spacing w:after="0" w:line="277" w:lineRule="exact"/>
        <w:rPr>
          <w:sz w:val="20"/>
          <w:szCs w:val="20"/>
          <w:color w:val="auto"/>
        </w:rPr>
      </w:pPr>
    </w:p>
    <w:p>
      <w:pPr>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shall mean any transaction or series of related transactions for the direct or indirect (a) acquisition of all or substantially all of the property of any person, or of any business or division of any person; (b) acquisition of in excess of 50% of the Equity Interests of any person, and otherwise causing such person to become a Subsidiary of such person; or (c) merger or consolidation or any other combination with any person, if each of the following conditions is met:</w:t>
      </w:r>
    </w:p>
    <w:p>
      <w:pPr>
        <w:spacing w:after="0" w:line="200" w:lineRule="exact"/>
        <w:rPr>
          <w:sz w:val="20"/>
          <w:szCs w:val="20"/>
          <w:color w:val="auto"/>
        </w:rPr>
      </w:pPr>
    </w:p>
    <w:p>
      <w:pPr>
        <w:spacing w:after="0" w:line="281" w:lineRule="exact"/>
        <w:rPr>
          <w:sz w:val="20"/>
          <w:szCs w:val="20"/>
          <w:color w:val="auto"/>
        </w:rPr>
      </w:pPr>
    </w:p>
    <w:p>
      <w:pPr>
        <w:ind w:left="4180" w:hanging="607"/>
        <w:spacing w:after="0"/>
        <w:tabs>
          <w:tab w:leader="none" w:pos="41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Default then exists or would result therefrom;</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jc w:val="both"/>
        <w:ind w:left="660" w:right="160" w:firstLine="2913"/>
        <w:spacing w:after="0" w:line="342" w:lineRule="auto"/>
        <w:tabs>
          <w:tab w:leader="none" w:pos="422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after giving effect to such transaction on a Pro Forma Basis, (A) Borrower shall be in compliance with all covenants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as of the most recent Test Period (assuming, for purposes of </w:t>
      </w:r>
      <w:r>
        <w:rPr>
          <w:rFonts w:ascii="Arial" w:cs="Arial" w:eastAsia="Arial" w:hAnsi="Arial"/>
          <w:sz w:val="16"/>
          <w:szCs w:val="16"/>
          <w:u w:val="single" w:color="auto"/>
          <w:color w:val="auto"/>
        </w:rPr>
        <w:t>Section 6.10</w:t>
      </w:r>
      <w:r>
        <w:rPr>
          <w:rFonts w:ascii="Arial" w:cs="Arial" w:eastAsia="Arial" w:hAnsi="Arial"/>
          <w:sz w:val="16"/>
          <w:szCs w:val="16"/>
          <w:color w:val="auto"/>
        </w:rPr>
        <w:t>, that such transaction, and all</w:t>
      </w:r>
    </w:p>
    <w:p>
      <w:pPr>
        <w:sectPr>
          <w:pgSz w:w="11900" w:h="16840" w:orient="portrait"/>
          <w:cols w:equalWidth="0" w:num="1">
            <w:col w:w="11400"/>
          </w:cols>
          <w:pgMar w:left="240" w:top="607" w:right="259" w:bottom="0" w:gutter="0" w:footer="0" w:header="0"/>
        </w:sectPr>
      </w:pPr>
    </w:p>
    <w:bookmarkStart w:id="73" w:name="page74"/>
    <w:bookmarkEnd w:id="73"/>
    <w:p>
      <w:pPr>
        <w:ind w:left="660" w:right="40"/>
        <w:spacing w:after="0" w:line="259" w:lineRule="auto"/>
        <w:rPr>
          <w:sz w:val="20"/>
          <w:szCs w:val="20"/>
          <w:color w:val="auto"/>
        </w:rPr>
      </w:pPr>
      <w:r>
        <w:rPr>
          <w:rFonts w:ascii="Arial" w:cs="Arial" w:eastAsia="Arial" w:hAnsi="Arial"/>
          <w:sz w:val="18"/>
          <w:szCs w:val="18"/>
          <w:color w:val="auto"/>
        </w:rPr>
        <w:t xml:space="preserve">other Permitted Acquisitions consummated since the first day of the relevant Test Period for each of the financial covenants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ending on or prior to the date of such transaction, had occurred on the first day of such relevant Test Period), and (B) unless expressly approved by the Administrative Agent, the person or business to be acquired shall have generated positive cash flow for the Test Period most recently ended prior to the date of consummation of such acquisition;</w:t>
      </w:r>
    </w:p>
    <w:p>
      <w:pPr>
        <w:spacing w:after="0" w:line="200" w:lineRule="exact"/>
        <w:rPr>
          <w:sz w:val="20"/>
          <w:szCs w:val="20"/>
          <w:color w:val="auto"/>
        </w:rPr>
      </w:pPr>
    </w:p>
    <w:p>
      <w:pPr>
        <w:spacing w:after="0" w:line="284" w:lineRule="exact"/>
        <w:rPr>
          <w:sz w:val="20"/>
          <w:szCs w:val="20"/>
          <w:color w:val="auto"/>
        </w:rPr>
      </w:pPr>
    </w:p>
    <w:p>
      <w:pPr>
        <w:ind w:left="4280" w:hanging="707"/>
        <w:spacing w:after="0"/>
        <w:tabs>
          <w:tab w:leader="none" w:pos="42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no Company shall, in connection with any such transaction, assume or remain liable with respect</w:t>
      </w:r>
    </w:p>
    <w:p>
      <w:pPr>
        <w:spacing w:after="0" w:line="46" w:lineRule="exact"/>
        <w:rPr>
          <w:rFonts w:ascii="Arial" w:cs="Arial" w:eastAsia="Arial" w:hAnsi="Arial"/>
          <w:sz w:val="16"/>
          <w:szCs w:val="16"/>
          <w:color w:val="auto"/>
        </w:rPr>
      </w:pPr>
    </w:p>
    <w:p>
      <w:pPr>
        <w:ind w:left="660" w:right="2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to any Indebtedness or other liability (including any material tax or ERISA liability) of the related seller or the business, person or properties acquired, except (A) to the extent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obligations not constituting Indebtedness incurred in the ordinary course of business and necessary or desirable to the continued operation of the underlying properties, and any other such liabilities or obligations not permitted to be assumed or otherwise supported by any Company hereunder shall be paid in full or released as to the business, persons or properties being so acquired on or before the consummation of such acquisition;</w:t>
      </w:r>
    </w:p>
    <w:p>
      <w:pPr>
        <w:spacing w:after="0" w:line="200" w:lineRule="exact"/>
        <w:rPr>
          <w:rFonts w:ascii="Arial" w:cs="Arial" w:eastAsia="Arial" w:hAnsi="Arial"/>
          <w:sz w:val="16"/>
          <w:szCs w:val="16"/>
          <w:color w:val="auto"/>
        </w:rPr>
      </w:pPr>
    </w:p>
    <w:p>
      <w:pPr>
        <w:spacing w:after="0" w:line="288" w:lineRule="exact"/>
        <w:rPr>
          <w:rFonts w:ascii="Arial" w:cs="Arial" w:eastAsia="Arial" w:hAnsi="Arial"/>
          <w:sz w:val="16"/>
          <w:szCs w:val="16"/>
          <w:color w:val="auto"/>
        </w:rPr>
      </w:pPr>
    </w:p>
    <w:p>
      <w:pPr>
        <w:ind w:left="660" w:right="40" w:firstLine="2913"/>
        <w:spacing w:after="0" w:line="259" w:lineRule="auto"/>
        <w:tabs>
          <w:tab w:leader="none" w:pos="426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person or business to be acquired shall be, or shall be engaged in, a business of the type that Borrower and the Subsidiaries are permitted to be engaged in under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and, to the extent required by </w:t>
      </w:r>
      <w:r>
        <w:rPr>
          <w:rFonts w:ascii="Arial" w:cs="Arial" w:eastAsia="Arial" w:hAnsi="Arial"/>
          <w:sz w:val="18"/>
          <w:szCs w:val="18"/>
          <w:u w:val="single" w:color="auto"/>
          <w:color w:val="auto"/>
        </w:rPr>
        <w:t>Section 5.10</w:t>
      </w:r>
      <w:r>
        <w:rPr>
          <w:rFonts w:ascii="Arial" w:cs="Arial" w:eastAsia="Arial" w:hAnsi="Arial"/>
          <w:sz w:val="18"/>
          <w:szCs w:val="18"/>
          <w:color w:val="auto"/>
        </w:rPr>
        <w:t>, the property acquired in connection with any such transaction shall be made subject to the Lien of the Security Documents and to the extent constituting Collateral, shall be free and clear of any Liens, other than Permitted Collateral Liens;</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right="140" w:firstLine="2913"/>
        <w:spacing w:after="0" w:line="277" w:lineRule="auto"/>
        <w:tabs>
          <w:tab w:leader="none" w:pos="421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Board of Directors of the person to be acquired shall not have indicated publicly its opposition to the consummation of such acquisition (which opposition has not been publicly withdrawn);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4260" w:hanging="687"/>
        <w:spacing w:after="0"/>
        <w:tabs>
          <w:tab w:leader="none" w:pos="42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all transactions in connection therewith shall be consummated in accordance with all applicable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Requirements of Law;</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660" w:right="40" w:firstLine="2913"/>
        <w:spacing w:after="0" w:line="271" w:lineRule="auto"/>
        <w:tabs>
          <w:tab w:leader="none" w:pos="4319"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with respect to any transaction involving Acquisition Consideration of more than $25.0 million, unless the Administrative Agent shall otherwise agree, Borrower shall have provided the Administrative Agent and the Lenders with (A) historical financial statements for the most recently ended fiscal year of the person or business to be acquired (audited if available without undue cost or delay) and unaudited financial statements thereof for the most recent interim period which are available, (B) reasonably detailed projections for the succeeding fiscal year pertaining to the person or business to be acquired and updated projections for Borrower after giving effect to such transaction, (C) a reasonably detailed description of all material information relating thereto and copies of all material documentation pertaining to such transaction, and (D) all such other information and data relating to such transaction or the person or business to be acquired as may be reasonably requested by the Administrative Agent or the Required Lenders;</w:t>
      </w:r>
    </w:p>
    <w:p>
      <w:pPr>
        <w:spacing w:after="0" w:line="200" w:lineRule="exact"/>
        <w:rPr>
          <w:rFonts w:ascii="Arial" w:cs="Arial" w:eastAsia="Arial" w:hAnsi="Arial"/>
          <w:sz w:val="17"/>
          <w:szCs w:val="17"/>
          <w:color w:val="auto"/>
        </w:rPr>
      </w:pPr>
    </w:p>
    <w:p>
      <w:pPr>
        <w:spacing w:after="0" w:line="276" w:lineRule="exact"/>
        <w:rPr>
          <w:rFonts w:ascii="Arial" w:cs="Arial" w:eastAsia="Arial" w:hAnsi="Arial"/>
          <w:sz w:val="17"/>
          <w:szCs w:val="17"/>
          <w:color w:val="auto"/>
        </w:rPr>
      </w:pPr>
    </w:p>
    <w:p>
      <w:pPr>
        <w:ind w:left="660" w:firstLine="2913"/>
        <w:spacing w:after="0" w:line="259" w:lineRule="auto"/>
        <w:tabs>
          <w:tab w:leader="none" w:pos="436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at least 10 Business Days prior to the proposed date of consummation of the transaction, Borrower shall have delivered to the Agents and the Lenders an Officer’s Certificate certifying that (A) such transaction complies with this definition (which shall have attached thereto reasonably detailed backup data and calculations showing such compliance), and (B) such transaction could not reasonably be expected to result in a Material Adverse Effect; and</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right="20" w:firstLine="2913"/>
        <w:spacing w:after="0" w:line="290" w:lineRule="auto"/>
        <w:tabs>
          <w:tab w:leader="none" w:pos="426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(A) the aggregate amount of the Acquisition Consideration for all Foreign Acquisitions since the Closing Date shall not exceed the difference between (1) $150.0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(2) the aggregate amount of Investments in excess of $100.0 million outstanding under clause (vi) of </w:t>
      </w:r>
      <w:r>
        <w:rPr>
          <w:rFonts w:ascii="Arial" w:cs="Arial" w:eastAsia="Arial" w:hAnsi="Arial"/>
          <w:sz w:val="16"/>
          <w:szCs w:val="16"/>
          <w:u w:val="single" w:color="auto"/>
          <w:color w:val="auto"/>
        </w:rPr>
        <w:t>Section 6.04(f)</w:t>
      </w:r>
      <w:r>
        <w:rPr>
          <w:rFonts w:ascii="Arial" w:cs="Arial" w:eastAsia="Arial" w:hAnsi="Arial"/>
          <w:sz w:val="16"/>
          <w:szCs w:val="16"/>
          <w:color w:val="auto"/>
        </w:rPr>
        <w:t xml:space="preserve"> and (B) the aggregate amount of the Acquisition Consideration (exclusive of any amounts financed with Excluded Stock Consideration) for all Permitted Acquisitions (including, without limitation, Foreign Acquisitions) since the Closing Date shall not exceed the sum of (1) $250.0 million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(2) an aggregate amount, from and after the Closing Date, not exceeding the difference between (x) the Cumulative Equity Amount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the portion of the Cumulative Equity Amount applied to make payments, prepayments on or redemptions or acquisitions for value of, Indebtedness pursuant to clause (y) of </w:t>
      </w:r>
      <w:r>
        <w:rPr>
          <w:rFonts w:ascii="Arial" w:cs="Arial" w:eastAsia="Arial" w:hAnsi="Arial"/>
          <w:sz w:val="16"/>
          <w:szCs w:val="16"/>
          <w:u w:val="single" w:color="auto"/>
          <w:color w:val="auto"/>
        </w:rPr>
        <w:t>Section 6.11(a)</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Equity Interests constituting all or a portion of any Acquisition Consideration in respect of any Permitted Acquisitions shall not have a cash dividend requirement on or prior to the Final Maturity Date.</w:t>
      </w:r>
    </w:p>
    <w:p>
      <w:pPr>
        <w:spacing w:after="0" w:line="200" w:lineRule="exact"/>
        <w:rPr>
          <w:sz w:val="20"/>
          <w:szCs w:val="20"/>
          <w:color w:val="auto"/>
        </w:rPr>
      </w:pPr>
    </w:p>
    <w:p>
      <w:pPr>
        <w:spacing w:after="0" w:line="232" w:lineRule="exact"/>
        <w:rPr>
          <w:sz w:val="20"/>
          <w:szCs w:val="20"/>
          <w:color w:val="auto"/>
        </w:rPr>
      </w:pPr>
    </w:p>
    <w:p>
      <w:pPr>
        <w:ind w:right="20" w:firstLine="1297"/>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Collateral Liens</w:t>
      </w:r>
      <w:r>
        <w:rPr>
          <w:rFonts w:ascii="Arial" w:cs="Arial" w:eastAsia="Arial" w:hAnsi="Arial"/>
          <w:sz w:val="16"/>
          <w:szCs w:val="16"/>
          <w:color w:val="auto"/>
        </w:rPr>
        <w:t xml:space="preserve">” means (a) in the case of Collateral other than Mortgaged Property, the Liens described in clauses (a), (b), (c), (d), (e), (f), (g), (h), (j), (k), (l), (m), (n) and (r) of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and (b) in the case of Mortgaged Property, “Permitted Collateral Liens” shall mean the Liens described in clauses (a), (b), (d), (e), (g) and (l) of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on the Closing Date or upon the date of delivery of each additional Mortgage under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5.11</w:t>
      </w:r>
      <w:r>
        <w:rPr>
          <w:rFonts w:ascii="Arial" w:cs="Arial" w:eastAsia="Arial" w:hAnsi="Arial"/>
          <w:sz w:val="16"/>
          <w:szCs w:val="16"/>
          <w:color w:val="auto"/>
        </w:rPr>
        <w:t>, Permitted Collateral Liens shall mean only those Liens set forth in Schedule B to the applicable Mortgage.</w:t>
      </w:r>
    </w:p>
    <w:p>
      <w:pPr>
        <w:spacing w:after="0" w:line="200" w:lineRule="exact"/>
        <w:rPr>
          <w:sz w:val="20"/>
          <w:szCs w:val="20"/>
          <w:color w:val="auto"/>
        </w:rPr>
      </w:pP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4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w:t>
      </w:r>
      <w:r>
        <w:rPr>
          <w:rFonts w:ascii="Arial" w:cs="Arial" w:eastAsia="Arial" w:hAnsi="Arial"/>
          <w:sz w:val="18"/>
          <w:szCs w:val="18"/>
          <w:color w:val="auto"/>
        </w:rPr>
        <w:t>” shall mean any natural person, corporation, limited liability company, trust, joint venture, association, company, partnership, Governmental Authority or other entity.</w:t>
      </w:r>
    </w:p>
    <w:p>
      <w:pPr>
        <w:spacing w:after="0" w:line="200" w:lineRule="exact"/>
        <w:rPr>
          <w:sz w:val="20"/>
          <w:szCs w:val="20"/>
          <w:color w:val="auto"/>
        </w:rPr>
      </w:pPr>
    </w:p>
    <w:p>
      <w:pPr>
        <w:spacing w:after="0" w:line="232" w:lineRule="exact"/>
        <w:rPr>
          <w:sz w:val="20"/>
          <w:szCs w:val="20"/>
          <w:color w:val="auto"/>
        </w:rPr>
      </w:pPr>
    </w:p>
    <w:p>
      <w:pPr>
        <w:jc w:val="both"/>
        <w:ind w:right="8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any employee pension benefit plan (other than a Multiemployer Plan) subject to the provisions of Title IV of ERISA or Section 412 of the Code or Section 302 of ERISA which is maintained or contributed to by any Company or its ERISA Affiliate or with respect to which any Company could incur liability (including under Section 4069 of ERISA).</w:t>
      </w:r>
    </w:p>
    <w:p>
      <w:pPr>
        <w:sectPr>
          <w:pgSz w:w="11900" w:h="16838" w:orient="portrait"/>
          <w:cols w:equalWidth="0" w:num="1">
            <w:col w:w="11420"/>
          </w:cols>
          <w:pgMar w:left="240" w:top="125" w:right="239" w:bottom="203" w:gutter="0" w:footer="0" w:header="0"/>
        </w:sectPr>
      </w:pPr>
    </w:p>
    <w:bookmarkStart w:id="74" w:name="page75"/>
    <w:bookmarkEnd w:id="74"/>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shall mean, with respect to any person, any and all preferred or preference Equity Interests (however designated) of such person whether now outstanding or issued after the Closing Date.</w:t>
      </w:r>
    </w:p>
    <w:p>
      <w:pPr>
        <w:spacing w:after="0" w:line="200" w:lineRule="exact"/>
        <w:rPr>
          <w:sz w:val="20"/>
          <w:szCs w:val="20"/>
          <w:color w:val="auto"/>
        </w:rPr>
      </w:pPr>
    </w:p>
    <w:p>
      <w:pPr>
        <w:spacing w:after="0" w:line="232" w:lineRule="exact"/>
        <w:rPr>
          <w:sz w:val="20"/>
          <w:szCs w:val="20"/>
          <w:color w:val="auto"/>
        </w:rPr>
      </w:pPr>
    </w:p>
    <w:p>
      <w:pPr>
        <w:jc w:val="both"/>
        <w:ind w:right="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 Issuance</w:t>
      </w:r>
      <w:r>
        <w:rPr>
          <w:rFonts w:ascii="Arial" w:cs="Arial" w:eastAsia="Arial" w:hAnsi="Arial"/>
          <w:sz w:val="18"/>
          <w:szCs w:val="18"/>
          <w:color w:val="auto"/>
        </w:rPr>
        <w:t xml:space="preserve">” shall mean the issuance or sale by Borrower or any of its Subsidiaries of any Preferred Stock after the Closing Date (other than as permitted by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shall have the meaning assigned thereto in the applicable Mortgage.</w:t>
      </w:r>
    </w:p>
    <w:p>
      <w:pPr>
        <w:spacing w:after="0" w:line="200" w:lineRule="exact"/>
        <w:rPr>
          <w:sz w:val="20"/>
          <w:szCs w:val="20"/>
          <w:color w:val="auto"/>
        </w:rPr>
      </w:pPr>
    </w:p>
    <w:p>
      <w:pPr>
        <w:spacing w:after="0" w:line="295" w:lineRule="exact"/>
        <w:rPr>
          <w:sz w:val="20"/>
          <w:szCs w:val="20"/>
          <w:color w:val="auto"/>
        </w:rPr>
      </w:pPr>
    </w:p>
    <w:p>
      <w:pPr>
        <w:ind w:right="4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Basis</w:t>
      </w:r>
      <w:r>
        <w:rPr>
          <w:rFonts w:ascii="Arial" w:cs="Arial" w:eastAsia="Arial" w:hAnsi="Arial"/>
          <w:sz w:val="18"/>
          <w:szCs w:val="18"/>
          <w:color w:val="auto"/>
        </w:rPr>
        <w:t>” shall mean on a basis in accordance with GAAP and Regulation S-X and otherwise reasonably satisfactory to the Administrative Agent.</w:t>
      </w:r>
    </w:p>
    <w:p>
      <w:pPr>
        <w:spacing w:after="0" w:line="200" w:lineRule="exact"/>
        <w:rPr>
          <w:sz w:val="20"/>
          <w:szCs w:val="20"/>
          <w:color w:val="auto"/>
        </w:rPr>
      </w:pPr>
    </w:p>
    <w:p>
      <w:pPr>
        <w:spacing w:after="0" w:line="232" w:lineRule="exact"/>
        <w:rPr>
          <w:sz w:val="20"/>
          <w:szCs w:val="20"/>
          <w:color w:val="auto"/>
        </w:rPr>
      </w:pPr>
    </w:p>
    <w:p>
      <w:pPr>
        <w:ind w:right="6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Percentage</w:t>
      </w:r>
      <w:r>
        <w:rPr>
          <w:rFonts w:ascii="Arial" w:cs="Arial" w:eastAsia="Arial" w:hAnsi="Arial"/>
          <w:sz w:val="18"/>
          <w:szCs w:val="18"/>
          <w:color w:val="auto"/>
        </w:rPr>
        <w:t>” of any Revolving Lender at any time shall mean the percentage of the total Revolving Commitments of all Revolving Lenders represented by such Lender’s Revolving Commitment.</w:t>
      </w:r>
    </w:p>
    <w:p>
      <w:pPr>
        <w:spacing w:after="0" w:line="200" w:lineRule="exact"/>
        <w:rPr>
          <w:sz w:val="20"/>
          <w:szCs w:val="20"/>
          <w:color w:val="auto"/>
        </w:rPr>
      </w:pPr>
    </w:p>
    <w:p>
      <w:pPr>
        <w:spacing w:after="0" w:line="232" w:lineRule="exact"/>
        <w:rPr>
          <w:sz w:val="20"/>
          <w:szCs w:val="20"/>
          <w:color w:val="auto"/>
        </w:rPr>
      </w:pPr>
    </w:p>
    <w:p>
      <w:pPr>
        <w:jc w:val="both"/>
        <w:ind w:right="6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or “</w:t>
      </w:r>
      <w:r>
        <w:rPr>
          <w:rFonts w:ascii="Arial" w:cs="Arial" w:eastAsia="Arial" w:hAnsi="Arial"/>
          <w:sz w:val="18"/>
          <w:szCs w:val="18"/>
          <w:b w:val="1"/>
          <w:bCs w:val="1"/>
          <w:color w:val="auto"/>
        </w:rPr>
        <w:t>Property</w:t>
      </w:r>
      <w:r>
        <w:rPr>
          <w:rFonts w:ascii="Arial" w:cs="Arial" w:eastAsia="Arial" w:hAnsi="Arial"/>
          <w:sz w:val="18"/>
          <w:szCs w:val="18"/>
          <w:color w:val="auto"/>
        </w:rPr>
        <w:t>” shall mean any right, title or interest in or to property or assets of any kind whatsoever, whether real, personal or mixed and whether tangible or intangible and including Equity Interests or other ownership interests of any person and whether now in existence or owned or hereafter entered into or acquired, including all Real Property.</w:t>
      </w: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 Material Adverse Effect</w:t>
      </w:r>
      <w:r>
        <w:rPr>
          <w:rFonts w:ascii="Arial" w:cs="Arial" w:eastAsia="Arial" w:hAnsi="Arial"/>
          <w:sz w:val="18"/>
          <w:szCs w:val="18"/>
          <w:color w:val="auto"/>
        </w:rPr>
        <w:t>” shall have the meaning assigned thereto in the Mortgage.</w:t>
      </w:r>
    </w:p>
    <w:p>
      <w:pPr>
        <w:spacing w:after="0" w:line="200" w:lineRule="exact"/>
        <w:rPr>
          <w:sz w:val="20"/>
          <w:szCs w:val="20"/>
          <w:color w:val="auto"/>
        </w:rPr>
      </w:pPr>
    </w:p>
    <w:p>
      <w:pPr>
        <w:spacing w:after="0" w:line="29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 Money Obligation</w:t>
      </w:r>
      <w:r>
        <w:rPr>
          <w:rFonts w:ascii="Arial" w:cs="Arial" w:eastAsia="Arial" w:hAnsi="Arial"/>
          <w:sz w:val="17"/>
          <w:szCs w:val="17"/>
          <w:color w:val="auto"/>
        </w:rPr>
        <w:t xml:space="preserve">” shall mean, for any person, the obligations of such person in respect of Indebtedness (including Capital Lease Obligations) incurred for the purpose of financing all or any part of the purchase price of any property (including Equity Interests of any person) or the cost of installation, construction or improvement of any property and any refinancing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such Indebtedness is incurred within one year after such acquisition, installation, construction or improvement of such property by such person and (ii) the amount of such Indebtedness does not exceed 100% of the cost of such acquisition, installation, construction or improvement, as the case may be.</w:t>
      </w:r>
    </w:p>
    <w:p>
      <w:pPr>
        <w:spacing w:after="0" w:line="200" w:lineRule="exact"/>
        <w:rPr>
          <w:sz w:val="20"/>
          <w:szCs w:val="20"/>
          <w:color w:val="auto"/>
        </w:rPr>
      </w:pP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Capital Stock</w:t>
      </w:r>
      <w:r>
        <w:rPr>
          <w:rFonts w:ascii="Arial" w:cs="Arial" w:eastAsia="Arial" w:hAnsi="Arial"/>
          <w:sz w:val="18"/>
          <w:szCs w:val="18"/>
          <w:color w:val="auto"/>
        </w:rPr>
        <w:t>” of any person shall mean any Equity Interests of such person that are not Disqualified Capital Stock.</w:t>
      </w:r>
    </w:p>
    <w:p>
      <w:pPr>
        <w:spacing w:after="0" w:line="200" w:lineRule="exact"/>
        <w:rPr>
          <w:sz w:val="20"/>
          <w:szCs w:val="20"/>
          <w:color w:val="auto"/>
        </w:rPr>
      </w:pPr>
    </w:p>
    <w:p>
      <w:pPr>
        <w:spacing w:after="0" w:line="295" w:lineRule="exact"/>
        <w:rPr>
          <w:sz w:val="20"/>
          <w:szCs w:val="20"/>
          <w:color w:val="auto"/>
        </w:rPr>
      </w:pPr>
    </w:p>
    <w:p>
      <w:pPr>
        <w:ind w:right="14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shall mean, collectively, all right, title and interest (including any leasehold, mineral or other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200" w:lineRule="exact"/>
        <w:rPr>
          <w:sz w:val="20"/>
          <w:szCs w:val="20"/>
          <w:color w:val="auto"/>
        </w:rPr>
      </w:pPr>
    </w:p>
    <w:p>
      <w:pPr>
        <w:spacing w:after="0" w:line="250"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w:t>
      </w:r>
      <w:r>
        <w:rPr>
          <w:rFonts w:ascii="Arial" w:cs="Arial" w:eastAsia="Arial" w:hAnsi="Arial"/>
          <w:sz w:val="18"/>
          <w:szCs w:val="18"/>
          <w:color w:val="auto"/>
        </w:rPr>
        <w:t xml:space="preserve">” shall mean the repayment in full and the termination of any commitment to make extensions of credit under all of the outstanding indebtedness listed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of Borrower and its Subsidiaries and the Acquired Business.</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shall have the meaning assigned to such term in Section </w:t>
      </w:r>
      <w:r>
        <w:rPr>
          <w:rFonts w:ascii="Arial" w:cs="Arial" w:eastAsia="Arial" w:hAnsi="Arial"/>
          <w:sz w:val="18"/>
          <w:szCs w:val="18"/>
          <w:u w:val="single" w:color="auto"/>
          <w:color w:val="auto"/>
        </w:rPr>
        <w:t>10.04(c)</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 D</w:t>
      </w:r>
      <w:r>
        <w:rPr>
          <w:rFonts w:ascii="Arial" w:cs="Arial" w:eastAsia="Arial" w:hAnsi="Arial"/>
          <w:sz w:val="16"/>
          <w:szCs w:val="16"/>
          <w:color w:val="auto"/>
        </w:rPr>
        <w:t>” shall mean Regulation D of the Board as from time to time in effect and all official rulings and interpretations thereunder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 thereof.</w:t>
      </w: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S-X</w:t>
      </w:r>
      <w:r>
        <w:rPr>
          <w:rFonts w:ascii="Arial" w:cs="Arial" w:eastAsia="Arial" w:hAnsi="Arial"/>
          <w:sz w:val="18"/>
          <w:szCs w:val="18"/>
          <w:color w:val="auto"/>
        </w:rPr>
        <w:t>” shall mean Regulation S-X promulgated under the Securities Act.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 T</w:t>
      </w:r>
      <w:r>
        <w:rPr>
          <w:rFonts w:ascii="Arial" w:cs="Arial" w:eastAsia="Arial" w:hAnsi="Arial"/>
          <w:sz w:val="16"/>
          <w:szCs w:val="16"/>
          <w:color w:val="auto"/>
        </w:rPr>
        <w:t>” shall mean Regulation T of the Board as from time to time in effect and all official rulings and interpretations thereunder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 U</w:t>
      </w:r>
      <w:r>
        <w:rPr>
          <w:rFonts w:ascii="Arial" w:cs="Arial" w:eastAsia="Arial" w:hAnsi="Arial"/>
          <w:sz w:val="16"/>
          <w:szCs w:val="16"/>
          <w:color w:val="auto"/>
        </w:rPr>
        <w:t>” shall mean Regulation U of the Board as from time to time in effect and all official rulings and interpretations thereunder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 thereof.</w:t>
      </w: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 X</w:t>
      </w:r>
      <w:r>
        <w:rPr>
          <w:rFonts w:ascii="Arial" w:cs="Arial" w:eastAsia="Arial" w:hAnsi="Arial"/>
          <w:sz w:val="16"/>
          <w:szCs w:val="16"/>
          <w:color w:val="auto"/>
        </w:rPr>
        <w:t>” shall mean Regulation X of the Board as from time to time in effect and all official rulings and interpretations thereunder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 thereof.</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Obligations</w:t>
      </w:r>
      <w:r>
        <w:rPr>
          <w:rFonts w:ascii="Arial" w:cs="Arial" w:eastAsia="Arial" w:hAnsi="Arial"/>
          <w:sz w:val="18"/>
          <w:szCs w:val="18"/>
          <w:color w:val="auto"/>
        </w:rPr>
        <w:t xml:space="preserve">” shall mean Borrower’s obligations under </w:t>
      </w:r>
      <w:r>
        <w:rPr>
          <w:rFonts w:ascii="Arial" w:cs="Arial" w:eastAsia="Arial" w:hAnsi="Arial"/>
          <w:sz w:val="18"/>
          <w:szCs w:val="18"/>
          <w:u w:val="single" w:color="auto"/>
          <w:color w:val="auto"/>
        </w:rPr>
        <w:t>Section 2.18(e)</w:t>
      </w:r>
      <w:r>
        <w:rPr>
          <w:rFonts w:ascii="Arial" w:cs="Arial" w:eastAsia="Arial" w:hAnsi="Arial"/>
          <w:sz w:val="18"/>
          <w:szCs w:val="18"/>
          <w:color w:val="auto"/>
        </w:rPr>
        <w:t xml:space="preserve"> to reimburse LC Disbursements.</w:t>
      </w:r>
    </w:p>
    <w:p>
      <w:pPr>
        <w:sectPr>
          <w:pgSz w:w="11900" w:h="16838" w:orient="portrait"/>
          <w:cols w:equalWidth="0" w:num="1">
            <w:col w:w="11420"/>
          </w:cols>
          <w:pgMar w:left="240" w:top="121" w:right="239" w:bottom="117" w:gutter="0" w:footer="0" w:header="0"/>
        </w:sectPr>
      </w:pPr>
    </w:p>
    <w:bookmarkStart w:id="75" w:name="page76"/>
    <w:bookmarkEnd w:id="75"/>
    <w:p>
      <w:pPr>
        <w:ind w:right="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person, such person’s Affiliates and the partners, trustees, directors, officers, employees, agents and advisors of such person and of such person’s Affiliates.</w:t>
      </w:r>
    </w:p>
    <w:p>
      <w:pPr>
        <w:spacing w:after="0" w:line="200" w:lineRule="exact"/>
        <w:rPr>
          <w:sz w:val="20"/>
          <w:szCs w:val="20"/>
          <w:color w:val="auto"/>
        </w:rPr>
      </w:pPr>
    </w:p>
    <w:p>
      <w:pPr>
        <w:spacing w:after="0" w:line="232" w:lineRule="exact"/>
        <w:rPr>
          <w:sz w:val="20"/>
          <w:szCs w:val="20"/>
          <w:color w:val="auto"/>
        </w:rPr>
      </w:pPr>
    </w:p>
    <w:p>
      <w:pPr>
        <w:ind w:right="42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w:t>
      </w:r>
      <w:r>
        <w:rPr>
          <w:rFonts w:ascii="Arial" w:cs="Arial" w:eastAsia="Arial" w:hAnsi="Arial"/>
          <w:sz w:val="17"/>
          <w:szCs w:val="17"/>
          <w:color w:val="auto"/>
        </w:rPr>
        <w:t>” shall mean any spilling, leaking, seepage, pumping, pouring, emitting, emptying, discharging, injecting, escaping, leaching, dumping, disposing, depositing, dispersing, emanating or migrating of any Hazardous Material in, into, onto or through the Environment.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Currency Equivalent</w:t>
      </w:r>
      <w:r>
        <w:rPr>
          <w:rFonts w:ascii="Arial" w:cs="Arial" w:eastAsia="Arial" w:hAnsi="Arial"/>
          <w:sz w:val="18"/>
          <w:szCs w:val="18"/>
          <w:color w:val="auto"/>
        </w:rPr>
        <w:t>” shall mean the Dollar Equivalent or each Alternate Currency Equivalent, as applicable.</w:t>
      </w:r>
    </w:p>
    <w:p>
      <w:pPr>
        <w:spacing w:after="0" w:line="200" w:lineRule="exact"/>
        <w:rPr>
          <w:sz w:val="20"/>
          <w:szCs w:val="20"/>
          <w:color w:val="auto"/>
        </w:rPr>
      </w:pPr>
    </w:p>
    <w:p>
      <w:pPr>
        <w:spacing w:after="0" w:line="29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Class Lenders</w:t>
      </w:r>
      <w:r>
        <w:rPr>
          <w:rFonts w:ascii="Arial" w:cs="Arial" w:eastAsia="Arial" w:hAnsi="Arial"/>
          <w:sz w:val="18"/>
          <w:szCs w:val="18"/>
          <w:color w:val="auto"/>
        </w:rPr>
        <w:t>” shall mean (i) with respect to each Class of Term Loans, Lenders having more than 50% of all Term Loans of such Class outstanding and (ii) with respect to Revolving Loans, Required Revolving Lenders.</w:t>
      </w:r>
    </w:p>
    <w:p>
      <w:pPr>
        <w:spacing w:after="0" w:line="200" w:lineRule="exact"/>
        <w:rPr>
          <w:sz w:val="20"/>
          <w:szCs w:val="20"/>
          <w:color w:val="auto"/>
        </w:rPr>
      </w:pPr>
    </w:p>
    <w:p>
      <w:pPr>
        <w:spacing w:after="0" w:line="232"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shall mean Lenders having more than 50% of the sum of all Loans outstanding, LC Exposure and unused Revolving Commitments and Term Loan Commitments.</w:t>
      </w:r>
    </w:p>
    <w:p>
      <w:pPr>
        <w:spacing w:after="0" w:line="200" w:lineRule="exact"/>
        <w:rPr>
          <w:sz w:val="20"/>
          <w:szCs w:val="20"/>
          <w:color w:val="auto"/>
        </w:rPr>
      </w:pPr>
    </w:p>
    <w:p>
      <w:pPr>
        <w:spacing w:after="0" w:line="232" w:lineRule="exact"/>
        <w:rPr>
          <w:sz w:val="20"/>
          <w:szCs w:val="20"/>
          <w:color w:val="auto"/>
        </w:rPr>
      </w:pPr>
    </w:p>
    <w:p>
      <w:pPr>
        <w:ind w:right="6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Lenders</w:t>
      </w:r>
      <w:r>
        <w:rPr>
          <w:rFonts w:ascii="Arial" w:cs="Arial" w:eastAsia="Arial" w:hAnsi="Arial"/>
          <w:sz w:val="18"/>
          <w:szCs w:val="18"/>
          <w:color w:val="auto"/>
        </w:rPr>
        <w:t>” shall mean Lenders having more than 50% of all Revolving Commitments or, after the Revolving Commitments have terminated, more than 50% of all Revolving Exposure.</w:t>
      </w:r>
    </w:p>
    <w:p>
      <w:pPr>
        <w:spacing w:after="0" w:line="200" w:lineRule="exact"/>
        <w:rPr>
          <w:sz w:val="20"/>
          <w:szCs w:val="20"/>
          <w:color w:val="auto"/>
        </w:rPr>
      </w:pPr>
    </w:p>
    <w:p>
      <w:pPr>
        <w:spacing w:after="0" w:line="232" w:lineRule="exact"/>
        <w:rPr>
          <w:sz w:val="20"/>
          <w:szCs w:val="20"/>
          <w:color w:val="auto"/>
        </w:rPr>
      </w:pPr>
    </w:p>
    <w:p>
      <w:pPr>
        <w:ind w:right="3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Requirements of Law</w:t>
      </w:r>
      <w:r>
        <w:rPr>
          <w:rFonts w:ascii="Arial" w:cs="Arial" w:eastAsia="Arial" w:hAnsi="Arial"/>
          <w:sz w:val="18"/>
          <w:szCs w:val="18"/>
          <w:color w:val="auto"/>
        </w:rPr>
        <w:t>” shall mean, collectively, any and all requirements of any Governmental Authority including any and all laws, judgments, orders, decrees, ordinances, rules, regulations, statutes or case law.</w:t>
      </w:r>
    </w:p>
    <w:p>
      <w:pPr>
        <w:spacing w:after="0" w:line="200" w:lineRule="exact"/>
        <w:rPr>
          <w:sz w:val="20"/>
          <w:szCs w:val="20"/>
          <w:color w:val="auto"/>
        </w:rPr>
      </w:pPr>
    </w:p>
    <w:p>
      <w:pPr>
        <w:spacing w:after="0" w:line="232" w:lineRule="exact"/>
        <w:rPr>
          <w:sz w:val="20"/>
          <w:szCs w:val="20"/>
          <w:color w:val="auto"/>
        </w:rPr>
      </w:pPr>
    </w:p>
    <w:p>
      <w:pPr>
        <w:ind w:right="60" w:firstLine="12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Response</w:t>
      </w:r>
      <w:r>
        <w:rPr>
          <w:rFonts w:ascii="Arial" w:cs="Arial" w:eastAsia="Arial" w:hAnsi="Arial"/>
          <w:sz w:val="17"/>
          <w:szCs w:val="17"/>
          <w:color w:val="auto"/>
        </w:rPr>
        <w:t>” shall mean (a) “response” as such term is defined in CERCLA, 42 U.S.C. § 9601(24), and (b) all other actions required by any Governmental Authority or voluntarily undertaken to (i) clean up, remove, treat, abate or in any other way address any Hazardous Material in the Environment; (ii) prevent the Release or threat of Release, or minimize the further Release, of any Hazardous Material; or (iii) perform studies and investigations in connection with, or as a precondition to, or to determine the necessity of the activities described in, clause (i) or (ii) above.</w:t>
      </w:r>
    </w:p>
    <w:p>
      <w:pPr>
        <w:spacing w:after="0" w:line="200" w:lineRule="exact"/>
        <w:rPr>
          <w:sz w:val="20"/>
          <w:szCs w:val="20"/>
          <w:color w:val="auto"/>
        </w:rPr>
      </w:pPr>
    </w:p>
    <w:p>
      <w:pPr>
        <w:spacing w:after="0" w:line="23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of any person shall mean any executive officer or Financial Officer of such person and any other officer or similar official thereof with responsibility for the administration of the obligations of such person in respect of this Agreement.</w:t>
      </w:r>
    </w:p>
    <w:p>
      <w:pPr>
        <w:spacing w:after="0" w:line="200" w:lineRule="exact"/>
        <w:rPr>
          <w:sz w:val="20"/>
          <w:szCs w:val="20"/>
          <w:color w:val="auto"/>
        </w:rPr>
      </w:pPr>
    </w:p>
    <w:p>
      <w:pPr>
        <w:spacing w:after="0" w:line="232"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Availability Period</w:t>
      </w:r>
      <w:r>
        <w:rPr>
          <w:rFonts w:ascii="Arial" w:cs="Arial" w:eastAsia="Arial" w:hAnsi="Arial"/>
          <w:sz w:val="18"/>
          <w:szCs w:val="18"/>
          <w:color w:val="auto"/>
        </w:rPr>
        <w:t>” shall mean the period from and including the Closing Date to but excluding the earlier of (i) the Business Day preceding the Revolving Maturity Date and (ii) the date of termination of the Revolving Commitments.</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Borrowing</w:t>
      </w:r>
      <w:r>
        <w:rPr>
          <w:rFonts w:ascii="Arial" w:cs="Arial" w:eastAsia="Arial" w:hAnsi="Arial"/>
          <w:sz w:val="18"/>
          <w:szCs w:val="18"/>
          <w:color w:val="auto"/>
        </w:rPr>
        <w:t>” shall mean a Borrowing comprised of Revolving Loans.</w:t>
      </w:r>
    </w:p>
    <w:p>
      <w:pPr>
        <w:spacing w:after="0" w:line="200" w:lineRule="exact"/>
        <w:rPr>
          <w:sz w:val="20"/>
          <w:szCs w:val="20"/>
          <w:color w:val="auto"/>
        </w:rPr>
      </w:pPr>
    </w:p>
    <w:p>
      <w:pPr>
        <w:spacing w:after="0" w:line="295" w:lineRule="exact"/>
        <w:rPr>
          <w:sz w:val="20"/>
          <w:szCs w:val="20"/>
          <w:color w:val="auto"/>
        </w:rPr>
      </w:pPr>
    </w:p>
    <w:p>
      <w:pPr>
        <w:ind w:right="20"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Commitment</w:t>
      </w:r>
      <w:r>
        <w:rPr>
          <w:rFonts w:ascii="Arial" w:cs="Arial" w:eastAsia="Arial" w:hAnsi="Arial"/>
          <w:sz w:val="18"/>
          <w:szCs w:val="18"/>
          <w:color w:val="auto"/>
        </w:rPr>
        <w:t xml:space="preserve">” shall mean, with respect to each Lender, the commitment, if any, of such Lender to make Revolving Loans hereunder up to the amount set forth on Schedule I to the Lender Addendum executed and delivered by such Lender, or in the Assignment and Assumption pursuant to which such Lender assumed its Revolving Commitment, as applicable, as the same may be (a) reduced from time to time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and (b) reduced or increased from time to time pursuant to assignments by or to such Lender pursuant to </w:t>
      </w:r>
      <w:r>
        <w:rPr>
          <w:rFonts w:ascii="Arial" w:cs="Arial" w:eastAsia="Arial" w:hAnsi="Arial"/>
          <w:sz w:val="18"/>
          <w:szCs w:val="18"/>
          <w:u w:val="single" w:color="auto"/>
          <w:color w:val="auto"/>
        </w:rPr>
        <w:t>Section 10.04</w:t>
      </w:r>
      <w:r>
        <w:rPr>
          <w:rFonts w:ascii="Arial" w:cs="Arial" w:eastAsia="Arial" w:hAnsi="Arial"/>
          <w:sz w:val="18"/>
          <w:szCs w:val="18"/>
          <w:color w:val="auto"/>
        </w:rPr>
        <w:t>. The aggregate amount of the Lenders’ Revolving Commitments on the Closing Date is $115.0 million.</w:t>
      </w:r>
    </w:p>
    <w:p>
      <w:pPr>
        <w:spacing w:after="0" w:line="200" w:lineRule="exact"/>
        <w:rPr>
          <w:sz w:val="20"/>
          <w:szCs w:val="20"/>
          <w:color w:val="auto"/>
        </w:rPr>
      </w:pPr>
    </w:p>
    <w:p>
      <w:pPr>
        <w:spacing w:after="0" w:line="254" w:lineRule="exact"/>
        <w:rPr>
          <w:sz w:val="20"/>
          <w:szCs w:val="20"/>
          <w:color w:val="auto"/>
        </w:rPr>
      </w:pPr>
    </w:p>
    <w:p>
      <w:pPr>
        <w:jc w:val="both"/>
        <w:ind w:right="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Exposure</w:t>
      </w:r>
      <w:r>
        <w:rPr>
          <w:rFonts w:ascii="Arial" w:cs="Arial" w:eastAsia="Arial" w:hAnsi="Arial"/>
          <w:sz w:val="18"/>
          <w:szCs w:val="18"/>
          <w:color w:val="auto"/>
        </w:rPr>
        <w:t xml:space="preserve">” shall mean, with respect to any Lender at any time, the Dollar Equivalent of the aggregate principal amount at such time of all outstanding Revolving Loans of such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Dollar Equivalent of the aggregate amount at such time of such Lender’s LC Exposure,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Dollar Equivalent of the aggregate amount at such time of such Lender’s Swingline Exposure.</w:t>
      </w: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Lender</w:t>
      </w:r>
      <w:r>
        <w:rPr>
          <w:rFonts w:ascii="Arial" w:cs="Arial" w:eastAsia="Arial" w:hAnsi="Arial"/>
          <w:sz w:val="18"/>
          <w:szCs w:val="18"/>
          <w:color w:val="auto"/>
        </w:rPr>
        <w:t>” shall mean a Lender with a Revolving Commitment.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Loans</w:t>
      </w:r>
      <w:r>
        <w:rPr>
          <w:rFonts w:ascii="Arial" w:cs="Arial" w:eastAsia="Arial" w:hAnsi="Arial"/>
          <w:sz w:val="17"/>
          <w:szCs w:val="17"/>
          <w:color w:val="auto"/>
        </w:rPr>
        <w:t>” shall mean the Dollar Revolving Loans, the Euro Revolving Loans and the GBP Revolving Loans, collectively.</w:t>
      </w:r>
    </w:p>
    <w:p>
      <w:pPr>
        <w:spacing w:after="0" w:line="200" w:lineRule="exact"/>
        <w:rPr>
          <w:sz w:val="20"/>
          <w:szCs w:val="20"/>
          <w:color w:val="auto"/>
        </w:rPr>
      </w:pPr>
    </w:p>
    <w:p>
      <w:pPr>
        <w:spacing w:after="0" w:line="307"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Maturity Date</w:t>
      </w:r>
      <w:r>
        <w:rPr>
          <w:rFonts w:ascii="Arial" w:cs="Arial" w:eastAsia="Arial" w:hAnsi="Arial"/>
          <w:sz w:val="18"/>
          <w:szCs w:val="18"/>
          <w:color w:val="auto"/>
        </w:rPr>
        <w:t xml:space="preserve">” shall mean the date which is the earlier of (a) the date which is six years after the Closing Date or, if such date is not a Business Day, the first Business Day thereafter and (b) the date which is 180 days prior to the Senior Subordinated Note Maturity Date or, if such date is not a Business Day, the first Business Day thereafter;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as of the date referred to in clause (b), the Total Leverage Ratio as of the end of the most recent Test Period ending on or prior to such date is less than 2.0 to 1.0, then clause (b) shall not be given effect and the Revolving Maturity Date shall be the date referred to in clause (a).</w:t>
      </w:r>
    </w:p>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ectPr>
          <w:pgSz w:w="11900" w:h="16838" w:orient="portrait"/>
          <w:cols w:equalWidth="0" w:num="1">
            <w:col w:w="11400"/>
          </w:cols>
          <w:pgMar w:left="240" w:top="121" w:right="259" w:bottom="171" w:gutter="0" w:footer="0" w:header="0"/>
        </w:sectPr>
      </w:pPr>
    </w:p>
    <w:bookmarkStart w:id="76" w:name="page77"/>
    <w:bookmarkEnd w:id="76"/>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Sarbanes-Oxley Act</w:t>
      </w:r>
      <w:r>
        <w:rPr>
          <w:rFonts w:ascii="Arial" w:cs="Arial" w:eastAsia="Arial" w:hAnsi="Arial"/>
          <w:sz w:val="16"/>
          <w:szCs w:val="16"/>
          <w:color w:val="auto"/>
        </w:rPr>
        <w:t>” shall mean the United States Sarbanes-Oxley Act of 2002, as amended, and all rules and regulations promulgated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0" w:lineRule="exact"/>
        <w:rPr>
          <w:sz w:val="20"/>
          <w:szCs w:val="20"/>
          <w:color w:val="auto"/>
        </w:rPr>
      </w:pPr>
    </w:p>
    <w:p>
      <w:pPr>
        <w:spacing w:after="0" w:line="277" w:lineRule="exact"/>
        <w:rPr>
          <w:sz w:val="20"/>
          <w:szCs w:val="20"/>
          <w:color w:val="auto"/>
        </w:rPr>
      </w:pPr>
    </w:p>
    <w:p>
      <w:pPr>
        <w:ind w:right="24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shall mean (a) the Obligations, (b) the due and punctual payment and performance of all obligations of Borrower and the other Loan Parties under each Hedging Agreement entered into with any counterparty that is a Secured Party and (c) the due and punctual payment and performance of all obligations of Borrower and the other Loan Parties (including overdrafts and related liabilities) under each Treasury Services Agreement entered into with any counterparty that is a Secured Party.</w:t>
      </w:r>
    </w:p>
    <w:p>
      <w:pPr>
        <w:spacing w:after="0" w:line="200" w:lineRule="exact"/>
        <w:rPr>
          <w:sz w:val="20"/>
          <w:szCs w:val="20"/>
          <w:color w:val="auto"/>
        </w:rPr>
      </w:pPr>
    </w:p>
    <w:p>
      <w:pPr>
        <w:spacing w:after="0" w:line="250" w:lineRule="exact"/>
        <w:rPr>
          <w:sz w:val="20"/>
          <w:szCs w:val="20"/>
          <w:color w:val="auto"/>
        </w:rPr>
      </w:pPr>
    </w:p>
    <w:p>
      <w:pPr>
        <w:ind w:right="20" w:firstLine="129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xml:space="preserve">” shall mean, collectively, the Administrative Agent, the Collateral Agent, each other Agent, each Issuing Bank, the Lenders and each counterparty to a Hedging Agreement or Treasury Services Agreement if at the date of entering into such Hedging Agreement or Treasury Services Agreement such person was an Arranger, an Agent, a Lender or an Affiliate of an Arranger or an Agent or a Lender and such person executes and delivers to the Administrative Agent a letter agreement in form and substance acceptable to the Administrative Agent pursuant to which such person (i) appoints the Collateral Agent as its agent under the applicable Loan Documents and (ii) agrees to be bound by the provisions of </w:t>
      </w:r>
      <w:r>
        <w:rPr>
          <w:rFonts w:ascii="Arial" w:cs="Arial" w:eastAsia="Arial" w:hAnsi="Arial"/>
          <w:sz w:val="18"/>
          <w:szCs w:val="18"/>
          <w:u w:val="single" w:color="auto"/>
          <w:color w:val="auto"/>
        </w:rPr>
        <w:t>Sections 10.03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10.09</w:t>
      </w:r>
      <w:r>
        <w:rPr>
          <w:rFonts w:ascii="Arial" w:cs="Arial" w:eastAsia="Arial" w:hAnsi="Arial"/>
          <w:sz w:val="18"/>
          <w:szCs w:val="18"/>
          <w:color w:val="auto"/>
        </w:rPr>
        <w:t xml:space="preserve"> as if it were a Lender.</w:t>
      </w:r>
    </w:p>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Collateral</w:t>
      </w:r>
      <w:r>
        <w:rPr>
          <w:rFonts w:ascii="Arial" w:cs="Arial" w:eastAsia="Arial" w:hAnsi="Arial"/>
          <w:sz w:val="18"/>
          <w:szCs w:val="18"/>
          <w:color w:val="auto"/>
        </w:rPr>
        <w:t>” shall have the meaning assigned to such term in the Security Agreement.</w:t>
      </w:r>
    </w:p>
    <w:p>
      <w:pPr>
        <w:spacing w:after="0" w:line="200" w:lineRule="exact"/>
        <w:rPr>
          <w:sz w:val="20"/>
          <w:szCs w:val="20"/>
          <w:color w:val="auto"/>
        </w:rPr>
      </w:pPr>
    </w:p>
    <w:p>
      <w:pPr>
        <w:spacing w:after="0" w:line="295" w:lineRule="exact"/>
        <w:rPr>
          <w:sz w:val="20"/>
          <w:szCs w:val="20"/>
          <w:color w:val="auto"/>
        </w:rPr>
      </w:pPr>
    </w:p>
    <w:p>
      <w:pPr>
        <w:ind w:right="4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shall mean a Security Agreement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among the Loan Parties and Collateral Agent for the benefit of the Secured Parties.</w:t>
      </w:r>
    </w:p>
    <w:p>
      <w:pPr>
        <w:spacing w:after="0" w:line="200" w:lineRule="exact"/>
        <w:rPr>
          <w:sz w:val="20"/>
          <w:szCs w:val="20"/>
          <w:color w:val="auto"/>
        </w:rPr>
      </w:pPr>
    </w:p>
    <w:p>
      <w:pPr>
        <w:spacing w:after="0" w:line="232"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 Collateral</w:t>
      </w:r>
      <w:r>
        <w:rPr>
          <w:rFonts w:ascii="Arial" w:cs="Arial" w:eastAsia="Arial" w:hAnsi="Arial"/>
          <w:sz w:val="18"/>
          <w:szCs w:val="18"/>
          <w:color w:val="auto"/>
        </w:rPr>
        <w:t xml:space="preserve">” shall mean all property pledged or granted as collateral pursuant to the Security Agreement (a) on the Closing Date or (b) thereafter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right="20" w:firstLine="129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shall mean the Security Agreement, the Mortgages and each other security document or pledge agreement delivered in accordance with applicable local or foreign law to grant a valid, perfected security interest in any property as collateral for the Secured Obligations, and all UCC or other financing statements or instruments of perfection required by this Agreement, the Security Agreement, any Mortgage or any other such security document or pledge agreement to be filed with respect to the security interests in property and fixtures created pursuant to the Security Agreement or any Mortgage and any other document or instrument utilized to pledge or grant or purport to pledge or grant a security interest or lien on any property as collateral for the Secured Obligations.</w:t>
      </w:r>
    </w:p>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w:t>
      </w:r>
      <w:r>
        <w:rPr>
          <w:rFonts w:ascii="Arial" w:cs="Arial" w:eastAsia="Arial" w:hAnsi="Arial"/>
          <w:sz w:val="18"/>
          <w:szCs w:val="18"/>
          <w:color w:val="auto"/>
        </w:rPr>
        <w:t>” shall have the meaning assigned to such term in the first recital hereto.</w:t>
      </w:r>
    </w:p>
    <w:p>
      <w:pPr>
        <w:spacing w:after="0" w:line="200" w:lineRule="exact"/>
        <w:rPr>
          <w:sz w:val="20"/>
          <w:szCs w:val="20"/>
          <w:color w:val="auto"/>
        </w:rPr>
      </w:pPr>
    </w:p>
    <w:p>
      <w:pPr>
        <w:spacing w:after="0" w:line="295" w:lineRule="exact"/>
        <w:rPr>
          <w:sz w:val="20"/>
          <w:szCs w:val="20"/>
          <w:color w:val="auto"/>
        </w:rPr>
      </w:pPr>
    </w:p>
    <w:p>
      <w:pPr>
        <w:ind w:right="34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Senior Subordinated Note Agreement</w:t>
      </w:r>
      <w:r>
        <w:rPr>
          <w:rFonts w:ascii="Arial" w:cs="Arial" w:eastAsia="Arial" w:hAnsi="Arial"/>
          <w:sz w:val="16"/>
          <w:szCs w:val="16"/>
          <w:color w:val="auto"/>
        </w:rPr>
        <w:t>” shall mean the indenture pursuant to which the Senior Subordinated Notes are issued and the Senior Subordinated Notes as in effect on the date hereof and thereafter amended from time to time subject to the requirements of this Agreement.</w:t>
      </w:r>
    </w:p>
    <w:p>
      <w:pPr>
        <w:spacing w:after="0" w:line="38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Subordinated Note Documents</w:t>
      </w:r>
      <w:r>
        <w:rPr>
          <w:rFonts w:ascii="Arial" w:cs="Arial" w:eastAsia="Arial" w:hAnsi="Arial"/>
          <w:sz w:val="18"/>
          <w:szCs w:val="18"/>
          <w:color w:val="auto"/>
        </w:rPr>
        <w:t>” shall mean the Senior Subordinated Notes, the Senior Subordinated Note Agreement, the Senior Subordinated Note Guarantees and all other documents executed and delivered with respect to the Senior Subordinated Notes or the Senior Subordinated Note Agreement.</w:t>
      </w: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Senior Subordinated Note Guarantees</w:t>
      </w:r>
      <w:r>
        <w:rPr>
          <w:rFonts w:ascii="Arial" w:cs="Arial" w:eastAsia="Arial" w:hAnsi="Arial"/>
          <w:sz w:val="16"/>
          <w:szCs w:val="16"/>
          <w:color w:val="auto"/>
        </w:rPr>
        <w:t>” shall mean the guarantees of the Subsidiary Guarantors pursuant to the Senior Subordinated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Note Agreement.</w:t>
      </w:r>
    </w:p>
    <w:p>
      <w:pPr>
        <w:spacing w:after="0" w:line="200" w:lineRule="exact"/>
        <w:rPr>
          <w:sz w:val="20"/>
          <w:szCs w:val="20"/>
          <w:color w:val="auto"/>
        </w:rPr>
      </w:pPr>
    </w:p>
    <w:p>
      <w:pPr>
        <w:spacing w:after="0" w:line="277" w:lineRule="exact"/>
        <w:rPr>
          <w:sz w:val="20"/>
          <w:szCs w:val="20"/>
          <w:color w:val="auto"/>
        </w:rPr>
      </w:pPr>
    </w:p>
    <w:p>
      <w:pPr>
        <w:ind w:right="60" w:firstLine="1297"/>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Senior Subordinated Note Maturity Date</w:t>
      </w:r>
      <w:r>
        <w:rPr>
          <w:rFonts w:ascii="Arial" w:cs="Arial" w:eastAsia="Arial" w:hAnsi="Arial"/>
          <w:sz w:val="16"/>
          <w:szCs w:val="16"/>
          <w:color w:val="auto"/>
        </w:rPr>
        <w:t xml:space="preserve">” shall mean the final maturity date of the Senior Subordinated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if the Senior Subordinated Notes are refinanced in whole or in part in accordance with the terms hereof with the proceeds of Senior Subordinated Note Refinancing Indebtedness on or prior to the 180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maturity date and (ii) all Senior Subordinated Notes are repaid or redeemed and are no longer</w:t>
      </w:r>
    </w:p>
    <w:p>
      <w:pPr>
        <w:spacing w:after="0" w:line="3" w:lineRule="exact"/>
        <w:rPr>
          <w:sz w:val="20"/>
          <w:szCs w:val="20"/>
          <w:color w:val="auto"/>
        </w:rPr>
      </w:pPr>
    </w:p>
    <w:p>
      <w:pPr>
        <w:ind w:right="300"/>
        <w:spacing w:after="0" w:line="218" w:lineRule="auto"/>
        <w:rPr>
          <w:sz w:val="20"/>
          <w:szCs w:val="20"/>
          <w:color w:val="auto"/>
        </w:rPr>
      </w:pPr>
      <w:r>
        <w:rPr>
          <w:rFonts w:ascii="Arial" w:cs="Arial" w:eastAsia="Arial" w:hAnsi="Arial"/>
          <w:sz w:val="17"/>
          <w:szCs w:val="17"/>
          <w:color w:val="auto"/>
        </w:rPr>
        <w:t>outstanding on or prior to the 180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such maturity date, then the “</w:t>
      </w:r>
      <w:r>
        <w:rPr>
          <w:rFonts w:ascii="Arial" w:cs="Arial" w:eastAsia="Arial" w:hAnsi="Arial"/>
          <w:sz w:val="17"/>
          <w:szCs w:val="17"/>
          <w:b w:val="1"/>
          <w:bCs w:val="1"/>
          <w:color w:val="auto"/>
        </w:rPr>
        <w:t>Senior Subordinated Note Maturity Date</w:t>
      </w:r>
      <w:r>
        <w:rPr>
          <w:rFonts w:ascii="Arial" w:cs="Arial" w:eastAsia="Arial" w:hAnsi="Arial"/>
          <w:sz w:val="17"/>
          <w:szCs w:val="17"/>
          <w:color w:val="auto"/>
        </w:rPr>
        <w:t>” shall mean the earliest maturity date of, or scheduled date for the required repayment of principal of, such Senior Subordinated Note Refinancing Indebtedness.</w:t>
      </w:r>
    </w:p>
    <w:p>
      <w:pPr>
        <w:spacing w:after="0" w:line="200" w:lineRule="exact"/>
        <w:rPr>
          <w:sz w:val="20"/>
          <w:szCs w:val="20"/>
          <w:color w:val="auto"/>
        </w:rPr>
      </w:pPr>
    </w:p>
    <w:p>
      <w:pPr>
        <w:spacing w:after="0" w:line="269"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Subordinated Note Refinancing Indebtedness</w:t>
      </w:r>
      <w:r>
        <w:rPr>
          <w:rFonts w:ascii="Arial" w:cs="Arial" w:eastAsia="Arial" w:hAnsi="Arial"/>
          <w:sz w:val="18"/>
          <w:szCs w:val="18"/>
          <w:color w:val="auto"/>
        </w:rPr>
        <w:t xml:space="preserve">” shall mean Indebtedness incurred the net proceeds of which are used, in whole or in part, to refinance the Senior Subordinated Notes and which is incurred pursuant to </w:t>
      </w:r>
      <w:r>
        <w:rPr>
          <w:rFonts w:ascii="Arial" w:cs="Arial" w:eastAsia="Arial" w:hAnsi="Arial"/>
          <w:sz w:val="18"/>
          <w:szCs w:val="18"/>
          <w:u w:val="single" w:color="auto"/>
          <w:color w:val="auto"/>
        </w:rPr>
        <w:t>Section 6.01(b)(ii)</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right="24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Subordinated Notes</w:t>
      </w:r>
      <w:r>
        <w:rPr>
          <w:rFonts w:ascii="Arial" w:cs="Arial" w:eastAsia="Arial" w:hAnsi="Arial"/>
          <w:sz w:val="18"/>
          <w:szCs w:val="18"/>
          <w:color w:val="auto"/>
        </w:rPr>
        <w:t>” shall mean Borrower’s 7.75% Senior Subordinated Notes due 2012 issued pursuant to the Senior Subordinated Note Agreement and the registered notes issued by Borrower in exchange for, and as contemplated by, such notes with substantially identical terms as such notes.</w:t>
      </w:r>
    </w:p>
    <w:p>
      <w:pPr>
        <w:sectPr>
          <w:pgSz w:w="11900" w:h="16838" w:orient="portrait"/>
          <w:cols w:equalWidth="0" w:num="1">
            <w:col w:w="11420"/>
          </w:cols>
          <w:pgMar w:left="240" w:top="121" w:right="239" w:bottom="149" w:gutter="0" w:footer="0" w:header="0"/>
        </w:sectPr>
      </w:pPr>
    </w:p>
    <w:bookmarkStart w:id="77" w:name="page78"/>
    <w:bookmarkEnd w:id="77"/>
    <w:p>
      <w:pPr>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Selling Rate</w:t>
      </w:r>
      <w:r>
        <w:rPr>
          <w:rFonts w:ascii="Arial" w:cs="Arial" w:eastAsia="Arial" w:hAnsi="Arial"/>
          <w:sz w:val="18"/>
          <w:szCs w:val="18"/>
          <w:color w:val="auto"/>
        </w:rPr>
        <w:t>” shall mean, with respect to an Alternate Currency, the spot selling rate at which the Administrative Agent (or if the Administrative Agent does not quote a rate of exchange on such currency, by a known dealer in such currency designated by the Administrative Agent) offers to sell such Alternate Currency for Dollars in the London foreign exchange market at approximately 11:00 a.m. London time on such date for delivery two (2) Business Days later.</w:t>
      </w:r>
    </w:p>
    <w:p>
      <w:pPr>
        <w:spacing w:after="0" w:line="200" w:lineRule="exact"/>
        <w:rPr>
          <w:sz w:val="20"/>
          <w:szCs w:val="20"/>
          <w:color w:val="auto"/>
        </w:rPr>
      </w:pPr>
    </w:p>
    <w:p>
      <w:pPr>
        <w:spacing w:after="0" w:line="250" w:lineRule="exact"/>
        <w:rPr>
          <w:sz w:val="20"/>
          <w:szCs w:val="20"/>
          <w:color w:val="auto"/>
        </w:rPr>
      </w:pPr>
    </w:p>
    <w:p>
      <w:pPr>
        <w:ind w:right="120" w:firstLine="1297"/>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Standby Letter of Credit</w:t>
      </w:r>
      <w:r>
        <w:rPr>
          <w:rFonts w:ascii="Arial" w:cs="Arial" w:eastAsia="Arial" w:hAnsi="Arial"/>
          <w:sz w:val="16"/>
          <w:szCs w:val="16"/>
          <w:color w:val="auto"/>
        </w:rPr>
        <w:t xml:space="preserve">” shall mean any standby letter of credit or similar instrument issued for the purpose of supporting (a) workers’ compensation liabilities of Borrower or any of its Subsidiaries, (b) the obligations of third-party insurers of Borrower or any of its Subsidiaries arising by virtue of the laws of any jurisdiction requiring third-party insurers to obtain such letters of credit, (c) performance, payment, deposit or surety obligations of Borrower or any of its Subsidiaries if required by a Requirement of Law or in accordance with custom and practice in the industry or (d) Indebtedness of Borrower or any of its Subsidiaries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(other than Indebtedness incurred under </w:t>
      </w:r>
      <w:r>
        <w:rPr>
          <w:rFonts w:ascii="Arial" w:cs="Arial" w:eastAsia="Arial" w:hAnsi="Arial"/>
          <w:sz w:val="16"/>
          <w:szCs w:val="16"/>
          <w:u w:val="single" w:color="auto"/>
          <w:color w:val="auto"/>
        </w:rPr>
        <w:t>Section 6.01(m)</w:t>
      </w:r>
      <w:r>
        <w:rPr>
          <w:rFonts w:ascii="Arial" w:cs="Arial" w:eastAsia="Arial" w:hAnsi="Arial"/>
          <w:sz w:val="16"/>
          <w:szCs w:val="16"/>
          <w:color w:val="auto"/>
        </w:rPr>
        <w:t>).</w:t>
      </w:r>
    </w:p>
    <w:p>
      <w:pPr>
        <w:spacing w:after="0" w:line="200" w:lineRule="exact"/>
        <w:rPr>
          <w:sz w:val="20"/>
          <w:szCs w:val="20"/>
          <w:color w:val="auto"/>
        </w:rPr>
      </w:pPr>
    </w:p>
    <w:p>
      <w:pPr>
        <w:spacing w:after="0" w:line="224" w:lineRule="exact"/>
        <w:rPr>
          <w:sz w:val="20"/>
          <w:szCs w:val="20"/>
          <w:color w:val="auto"/>
        </w:rPr>
      </w:pPr>
    </w:p>
    <w:p>
      <w:pPr>
        <w:ind w:right="40" w:firstLine="129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Reserves</w:t>
      </w:r>
      <w:r>
        <w:rPr>
          <w:rFonts w:ascii="Arial" w:cs="Arial" w:eastAsia="Arial" w:hAnsi="Arial"/>
          <w:sz w:val="18"/>
          <w:szCs w:val="18"/>
          <w:color w:val="auto"/>
        </w:rPr>
        <w:t>” shall mean for any Interest Period for any Eurocurrency Borrowing or EURIBOR Borrowing, the average maximum rate at which reserves (including any marginal, supplemental or emergency reserves) are required to be maintained during such Interest Period under Regulation D by member banks of the United States Federal Reserve System in New York City with deposits exceeding one billion Dollars against “Eurocurrency liabilities” (as such term is used in Regulation D). Eurocurrency Borrowings and EURIBOR Borrowings shall be deemed to constitute Eurocurrency liabilities and to be subject to such reserve requirements without benefit of or credit for proration, exceptions or offsets which may be available from time to time to any Lender under Regulation D.</w:t>
      </w:r>
    </w:p>
    <w:p>
      <w:pPr>
        <w:spacing w:after="0" w:line="200" w:lineRule="exact"/>
        <w:rPr>
          <w:sz w:val="20"/>
          <w:szCs w:val="20"/>
          <w:color w:val="auto"/>
        </w:rPr>
      </w:pPr>
    </w:p>
    <w:p>
      <w:pPr>
        <w:spacing w:after="0" w:line="258" w:lineRule="exact"/>
        <w:rPr>
          <w:sz w:val="20"/>
          <w:szCs w:val="20"/>
          <w:color w:val="auto"/>
        </w:rPr>
      </w:pPr>
    </w:p>
    <w:p>
      <w:pPr>
        <w:ind w:right="10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shall mean Indebtedness of Borrower or any Subsidiary Guarantor that is by its terms subordinated in right of payment to the Obligations of Borrower and such Subsidiary Guarantor, as applicable (including, without limitation, Indebtedness under the Existing Senior Subordinated Notes Documents).</w:t>
      </w:r>
    </w:p>
    <w:p>
      <w:pPr>
        <w:spacing w:after="0" w:line="200" w:lineRule="exact"/>
        <w:rPr>
          <w:sz w:val="20"/>
          <w:szCs w:val="20"/>
          <w:color w:val="auto"/>
        </w:rPr>
      </w:pPr>
    </w:p>
    <w:p>
      <w:pPr>
        <w:spacing w:after="0" w:line="246" w:lineRule="exact"/>
        <w:rPr>
          <w:sz w:val="20"/>
          <w:szCs w:val="20"/>
          <w:color w:val="auto"/>
        </w:rPr>
      </w:pPr>
    </w:p>
    <w:p>
      <w:pPr>
        <w:jc w:val="both"/>
        <w:ind w:right="20"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shall mean, with respect to any person (the “parent”) at any date, (i) any person the accounts of which would be consolidated with those of the parent in the parent’s consolidated financial statements if such financial statements were prepared in accordance with GAAP as of such date,</w:t>
      </w:r>
    </w:p>
    <w:p>
      <w:pPr>
        <w:spacing w:after="0" w:line="1" w:lineRule="exact"/>
        <w:rPr>
          <w:sz w:val="20"/>
          <w:szCs w:val="20"/>
          <w:color w:val="auto"/>
        </w:rPr>
      </w:pPr>
    </w:p>
    <w:p>
      <w:pPr>
        <w:ind w:right="140" w:firstLine="8"/>
        <w:spacing w:after="0" w:line="270" w:lineRule="auto"/>
        <w:tabs>
          <w:tab w:leader="none" w:pos="26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any other corporation, limited liability company, association or other business entity of which securities or other ownership interests representing more than 50% of the voting power of all Equity Interests entitled (without regard to the occurrence of any contingency) to vote in the election of the Board of Directors thereof are, as of such date, owned, controlled or held by the parent and/or one or more subsidiaries of the parent, (iii) any partnership (a) the sole general partner or the managing general partner of which is the parent and/or one or more subsidiaries of the parent or (b) the only general partners of which are the parent and/or one or more subsidiaries of the parent and (iv) any other person that is otherwise Controlled by the parent and/or one or more subsidiaries of the parent. Unless the context requires otherwise, “</w:t>
      </w:r>
      <w:r>
        <w:rPr>
          <w:rFonts w:ascii="Arial" w:cs="Arial" w:eastAsia="Arial" w:hAnsi="Arial"/>
          <w:sz w:val="17"/>
          <w:szCs w:val="17"/>
          <w:b w:val="1"/>
          <w:bCs w:val="1"/>
          <w:color w:val="auto"/>
        </w:rPr>
        <w:t>Subsidiary</w:t>
      </w:r>
      <w:r>
        <w:rPr>
          <w:rFonts w:ascii="Arial" w:cs="Arial" w:eastAsia="Arial" w:hAnsi="Arial"/>
          <w:sz w:val="17"/>
          <w:szCs w:val="17"/>
          <w:color w:val="auto"/>
        </w:rPr>
        <w:t>” refers to a Subsidiary of Borrower.</w:t>
      </w:r>
    </w:p>
    <w:p>
      <w:pPr>
        <w:spacing w:after="0" w:line="200" w:lineRule="exact"/>
        <w:rPr>
          <w:sz w:val="20"/>
          <w:szCs w:val="20"/>
          <w:color w:val="auto"/>
        </w:rPr>
      </w:pPr>
    </w:p>
    <w:p>
      <w:pPr>
        <w:spacing w:after="0" w:line="245"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w:t>
      </w:r>
      <w:r>
        <w:rPr>
          <w:rFonts w:ascii="Arial" w:cs="Arial" w:eastAsia="Arial" w:hAnsi="Arial"/>
          <w:sz w:val="18"/>
          <w:szCs w:val="18"/>
          <w:color w:val="auto"/>
        </w:rPr>
        <w:t xml:space="preserve">” shall mean each Subsidiary listed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and each other Subsidiary that is or becomes a party to this Agreement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Sullivan Road Property</w:t>
      </w:r>
      <w:r>
        <w:rPr>
          <w:rFonts w:ascii="Arial" w:cs="Arial" w:eastAsia="Arial" w:hAnsi="Arial"/>
          <w:sz w:val="18"/>
          <w:szCs w:val="18"/>
          <w:color w:val="auto"/>
        </w:rPr>
        <w:t>” shall mean the real property located at 2818 North Sullivan Road, Spokane, WA 99216.</w:t>
      </w:r>
    </w:p>
    <w:p>
      <w:pPr>
        <w:spacing w:after="0" w:line="200" w:lineRule="exact"/>
        <w:rPr>
          <w:sz w:val="20"/>
          <w:szCs w:val="20"/>
          <w:color w:val="auto"/>
        </w:rPr>
      </w:pPr>
    </w:p>
    <w:p>
      <w:pPr>
        <w:spacing w:after="0" w:line="295" w:lineRule="exact"/>
        <w:rPr>
          <w:sz w:val="20"/>
          <w:szCs w:val="20"/>
          <w:color w:val="auto"/>
        </w:rPr>
      </w:pPr>
    </w:p>
    <w:p>
      <w:pPr>
        <w:ind w:right="60"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Survey</w:t>
      </w:r>
      <w:r>
        <w:rPr>
          <w:rFonts w:ascii="Arial" w:cs="Arial" w:eastAsia="Arial" w:hAnsi="Arial"/>
          <w:sz w:val="16"/>
          <w:szCs w:val="16"/>
          <w:color w:val="auto"/>
        </w:rPr>
        <w:t xml:space="preserve">” shall mean a survey of any Mortgaged Property (and all improvements thereon) which is (a) (i) prepared by a surveyor or engineer licensed to perform surveys in the jurisdiction where such Mortgaged Property is located, (ii) dated (or redated) not earlier than six months prior to the date of delivery thereof unless there shall have occurred within six months prior to such date of delivery any exterior construction on the site of such Mortgaged Property or any easement, right of way or other interest in the Mortgaged Property has been granted or become effective through operation of law or otherwise with respect to such Mortgaged Property which, in either case, can be depicted on a survey, in which events, as applicable, such survey shall be dated (or redated) after the completion of such construction or if such construction shall not have been completed as of such date of delivery, not earlier than 20 days prior to such date of delivery, or after the grant or effectiveness of any such easement, right of way or other interest in the Mortgaged Property (or in any case, such other date as shall be acceptable to the Administrative Agent in its sole discretion), (iii) certified by the surveyor (in a manner reasonably acceptable to the Administrative Agent) to the Administrative Agent, the Collateral Agent and the Title Company, (iv) complying in all respects with the minimum detail requirements of the American Land Title Association as such requirements are in effect on the date of preparation of such survey and (v) sufficient for the Title Company to remove all standard survey exceptions from the title insurance policy (or commitment) relating to such Mortgaged Property and issue the endorsements of the type required by </w:t>
      </w:r>
      <w:r>
        <w:rPr>
          <w:rFonts w:ascii="Arial" w:cs="Arial" w:eastAsia="Arial" w:hAnsi="Arial"/>
          <w:sz w:val="16"/>
          <w:szCs w:val="16"/>
          <w:u w:val="single" w:color="auto"/>
          <w:color w:val="auto"/>
        </w:rPr>
        <w:t>Section 4.01(o)(iii)</w:t>
      </w:r>
      <w:r>
        <w:rPr>
          <w:rFonts w:ascii="Arial" w:cs="Arial" w:eastAsia="Arial" w:hAnsi="Arial"/>
          <w:sz w:val="16"/>
          <w:szCs w:val="16"/>
          <w:color w:val="auto"/>
        </w:rPr>
        <w:t xml:space="preserve"> or (b) otherwise acceptable to the Collateral Agent.</w:t>
      </w:r>
    </w:p>
    <w:p>
      <w:pPr>
        <w:spacing w:after="0" w:line="200" w:lineRule="exact"/>
        <w:rPr>
          <w:sz w:val="20"/>
          <w:szCs w:val="20"/>
          <w:color w:val="auto"/>
        </w:rPr>
      </w:pPr>
    </w:p>
    <w:p>
      <w:pPr>
        <w:spacing w:after="0" w:line="239"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Commitment</w:t>
      </w:r>
      <w:r>
        <w:rPr>
          <w:rFonts w:ascii="Arial" w:cs="Arial" w:eastAsia="Arial" w:hAnsi="Arial"/>
          <w:sz w:val="18"/>
          <w:szCs w:val="18"/>
          <w:color w:val="auto"/>
        </w:rPr>
        <w:t xml:space="preserve">” shall mean the commitment of the Swingline Lender to make loans pursuant to Section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as the same may be reduced from time to time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2.17</w:t>
      </w:r>
      <w:r>
        <w:rPr>
          <w:rFonts w:ascii="Arial" w:cs="Arial" w:eastAsia="Arial" w:hAnsi="Arial"/>
          <w:sz w:val="18"/>
          <w:szCs w:val="18"/>
          <w:color w:val="auto"/>
        </w:rPr>
        <w:t>. The amount of the Swingline Commitment shall initially be $15.0 million, but shall in no event exceed the Revolving Commitment.</w:t>
      </w:r>
    </w:p>
    <w:p>
      <w:pPr>
        <w:spacing w:after="0" w:line="200" w:lineRule="exact"/>
        <w:rPr>
          <w:sz w:val="20"/>
          <w:szCs w:val="20"/>
          <w:color w:val="auto"/>
        </w:rPr>
      </w:pPr>
    </w:p>
    <w:p>
      <w:pPr>
        <w:spacing w:after="0" w:line="246" w:lineRule="exact"/>
        <w:rPr>
          <w:sz w:val="20"/>
          <w:szCs w:val="20"/>
          <w:color w:val="auto"/>
        </w:rPr>
      </w:pPr>
    </w:p>
    <w:p>
      <w:pPr>
        <w:ind w:right="580"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Exposure</w:t>
      </w:r>
      <w:r>
        <w:rPr>
          <w:rFonts w:ascii="Arial" w:cs="Arial" w:eastAsia="Arial" w:hAnsi="Arial"/>
          <w:sz w:val="16"/>
          <w:szCs w:val="16"/>
          <w:color w:val="auto"/>
        </w:rPr>
        <w:t>” shall mean at any time the aggregate principal amount at such time of all outstanding Swingline Loans. The Swingline Exposure of any Revolving Lender at any time shall equal its Pro Rata Percentage of the aggregate Swingline Exposure at such time.</w:t>
      </w:r>
    </w:p>
    <w:p>
      <w:pPr>
        <w:spacing w:after="0" w:line="3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Lender</w:t>
      </w:r>
      <w:r>
        <w:rPr>
          <w:rFonts w:ascii="Arial" w:cs="Arial" w:eastAsia="Arial" w:hAnsi="Arial"/>
          <w:sz w:val="18"/>
          <w:szCs w:val="18"/>
          <w:color w:val="auto"/>
        </w:rPr>
        <w:t>” shall have the meaning assigned to such term in the preamble hereto.</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w:t>
      </w:r>
      <w:r>
        <w:rPr>
          <w:rFonts w:ascii="Arial" w:cs="Arial" w:eastAsia="Arial" w:hAnsi="Arial"/>
          <w:sz w:val="18"/>
          <w:szCs w:val="18"/>
          <w:color w:val="auto"/>
        </w:rPr>
        <w:t xml:space="preserve">” shall mean any loan made by the Swingline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ectPr>
          <w:pgSz w:w="11900" w:h="16838" w:orient="portrait"/>
          <w:cols w:equalWidth="0" w:num="1">
            <w:col w:w="11400"/>
          </w:cols>
          <w:pgMar w:left="240" w:top="121" w:right="259" w:bottom="0" w:gutter="0" w:footer="0" w:header="0"/>
        </w:sectPr>
      </w:pP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Syndication Agent</w:t>
      </w:r>
      <w:r>
        <w:rPr>
          <w:rFonts w:ascii="Arial" w:cs="Arial" w:eastAsia="Arial" w:hAnsi="Arial"/>
          <w:sz w:val="16"/>
          <w:szCs w:val="16"/>
          <w:color w:val="auto"/>
        </w:rPr>
        <w:t>” shall have the meaning assigned to such term in the preamble hereto.</w:t>
      </w:r>
    </w:p>
    <w:p>
      <w:pPr>
        <w:sectPr>
          <w:pgSz w:w="11900" w:h="16838" w:orient="portrait"/>
          <w:cols w:equalWidth="0" w:num="1">
            <w:col w:w="11400"/>
          </w:cols>
          <w:pgMar w:left="240" w:top="121" w:right="259" w:bottom="0" w:gutter="0" w:footer="0" w:header="0"/>
          <w:type w:val="continuous"/>
        </w:sectPr>
      </w:pPr>
    </w:p>
    <w:bookmarkStart w:id="78" w:name="page79"/>
    <w:bookmarkEnd w:id="78"/>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TARGET</w:t>
      </w:r>
      <w:r>
        <w:rPr>
          <w:rFonts w:ascii="Arial" w:cs="Arial" w:eastAsia="Arial" w:hAnsi="Arial"/>
          <w:sz w:val="16"/>
          <w:szCs w:val="16"/>
          <w:color w:val="auto"/>
        </w:rPr>
        <w:t>” shall mean the Trans-European Automated Real-Time Gross Settlement Express Transfer payment system (or any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payment system).</w:t>
      </w: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Day</w:t>
      </w:r>
      <w:r>
        <w:rPr>
          <w:rFonts w:ascii="Arial" w:cs="Arial" w:eastAsia="Arial" w:hAnsi="Arial"/>
          <w:sz w:val="18"/>
          <w:szCs w:val="18"/>
          <w:color w:val="auto"/>
        </w:rPr>
        <w:t>” shall mean any day on which TARGET is open for the settlement of payments in Euro.</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Return</w:t>
      </w:r>
      <w:r>
        <w:rPr>
          <w:rFonts w:ascii="Arial" w:cs="Arial" w:eastAsia="Arial" w:hAnsi="Arial"/>
          <w:sz w:val="16"/>
          <w:szCs w:val="16"/>
          <w:color w:val="auto"/>
        </w:rPr>
        <w:t>” shall mean all returns, statements, filings, attachments and other documents or certifications required to be filed in respect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00" w:lineRule="exact"/>
        <w:rPr>
          <w:sz w:val="20"/>
          <w:szCs w:val="20"/>
          <w:color w:val="auto"/>
        </w:rPr>
      </w:pPr>
    </w:p>
    <w:p>
      <w:pPr>
        <w:spacing w:after="0" w:line="277"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shall mean all present or future taxes, levies, imposts, duties, deductions, withholdings, 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Borrowing</w:t>
      </w:r>
      <w:r>
        <w:rPr>
          <w:rFonts w:ascii="Arial" w:cs="Arial" w:eastAsia="Arial" w:hAnsi="Arial"/>
          <w:sz w:val="18"/>
          <w:szCs w:val="18"/>
          <w:color w:val="auto"/>
        </w:rPr>
        <w:t>” shall mean a Borrowing comprised of Term Loans.</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Commitments</w:t>
      </w:r>
      <w:r>
        <w:rPr>
          <w:rFonts w:ascii="Arial" w:cs="Arial" w:eastAsia="Arial" w:hAnsi="Arial"/>
          <w:sz w:val="17"/>
          <w:szCs w:val="17"/>
          <w:color w:val="auto"/>
        </w:rPr>
        <w:t>” shall mean the Dollar Term Commitment, the Euro Term Commitment and the GBP Term Commitment,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collectively.</w:t>
      </w: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Lender</w:t>
      </w:r>
      <w:r>
        <w:rPr>
          <w:rFonts w:ascii="Arial" w:cs="Arial" w:eastAsia="Arial" w:hAnsi="Arial"/>
          <w:sz w:val="18"/>
          <w:szCs w:val="18"/>
          <w:color w:val="auto"/>
        </w:rPr>
        <w:t>” shall mean a Lender with a Term Loan Commitment or an outstanding Term Loan.</w:t>
      </w:r>
    </w:p>
    <w:p>
      <w:pPr>
        <w:spacing w:after="0" w:line="200" w:lineRule="exact"/>
        <w:rPr>
          <w:sz w:val="20"/>
          <w:szCs w:val="20"/>
          <w:color w:val="auto"/>
        </w:rPr>
      </w:pPr>
    </w:p>
    <w:p>
      <w:pPr>
        <w:spacing w:after="0" w:line="295"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xml:space="preserve">” shall mean the date which is the earlier of (a) the date which is seven years after the Closing Date or, if such date is not a Business Day, the first Business Day thereafter and (b) the date which is 180 days prior to the Senior Subordinated Note Maturity Date or, if such date is not a Business Day, the first Business Day thereafter;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as of the date referred to in clause (b), the Total Leverage Ratio as of the end of the most recent Test Period ending on or prior to such date is less than 2.0 to 1.0, then clause (b) shall not be given effect and the Term Loan Maturity Date shall be the date referred to in clause (a).</w:t>
      </w:r>
    </w:p>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Repayment Date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2.09</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shall mean the Dollar Term Loans, the Euro Term Loans and the GBP Term Loans, collectively.</w:t>
      </w:r>
    </w:p>
    <w:p>
      <w:pPr>
        <w:spacing w:after="0" w:line="200" w:lineRule="exact"/>
        <w:rPr>
          <w:sz w:val="20"/>
          <w:szCs w:val="20"/>
          <w:color w:val="auto"/>
        </w:rPr>
      </w:pPr>
    </w:p>
    <w:p>
      <w:pPr>
        <w:spacing w:after="0" w:line="295" w:lineRule="exact"/>
        <w:rPr>
          <w:sz w:val="20"/>
          <w:szCs w:val="20"/>
          <w:color w:val="auto"/>
        </w:rPr>
      </w:pPr>
    </w:p>
    <w:p>
      <w:pPr>
        <w:ind w:right="78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Test Period</w:t>
      </w:r>
      <w:r>
        <w:rPr>
          <w:rFonts w:ascii="Arial" w:cs="Arial" w:eastAsia="Arial" w:hAnsi="Arial"/>
          <w:sz w:val="17"/>
          <w:szCs w:val="17"/>
          <w:color w:val="auto"/>
        </w:rPr>
        <w:t xml:space="preserve">” shall mean, at any time, the four consecutive fiscal quarters of Borrower then last ended (in each case taken as one accounting period) for which financial statements have been or are required to be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Company</w:t>
      </w:r>
      <w:r>
        <w:rPr>
          <w:rFonts w:ascii="Arial" w:cs="Arial" w:eastAsia="Arial" w:hAnsi="Arial"/>
          <w:sz w:val="18"/>
          <w:szCs w:val="18"/>
          <w:color w:val="auto"/>
        </w:rPr>
        <w:t>” shall mean any title insurance company as shall be retained by Borrower and reasonably acceptable to the Administrative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Policy</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4.01(o)(iii)</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42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Leverage Ratio</w:t>
      </w:r>
      <w:r>
        <w:rPr>
          <w:rFonts w:ascii="Arial" w:cs="Arial" w:eastAsia="Arial" w:hAnsi="Arial"/>
          <w:sz w:val="18"/>
          <w:szCs w:val="18"/>
          <w:color w:val="auto"/>
        </w:rPr>
        <w:t>” shall mean, at any date of determination, the ratio of Consolidated Indebtedness on such date to Consolidated EBITDA for the Test Period then most recently ended.</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shall mean the Acquisition Documents and the Loan Documents.</w:t>
      </w:r>
    </w:p>
    <w:p>
      <w:pPr>
        <w:spacing w:after="0" w:line="200" w:lineRule="exact"/>
        <w:rPr>
          <w:sz w:val="20"/>
          <w:szCs w:val="20"/>
          <w:color w:val="auto"/>
        </w:rPr>
      </w:pPr>
    </w:p>
    <w:p>
      <w:pPr>
        <w:spacing w:after="0" w:line="295" w:lineRule="exact"/>
        <w:rPr>
          <w:sz w:val="20"/>
          <w:szCs w:val="20"/>
          <w:color w:val="auto"/>
        </w:rPr>
      </w:pPr>
    </w:p>
    <w:p>
      <w:pPr>
        <w:ind w:right="40"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Transactions</w:t>
      </w:r>
      <w:r>
        <w:rPr>
          <w:rFonts w:ascii="Arial" w:cs="Arial" w:eastAsia="Arial" w:hAnsi="Arial"/>
          <w:sz w:val="16"/>
          <w:szCs w:val="16"/>
          <w:color w:val="auto"/>
        </w:rPr>
        <w:t>” shall mean, collectively, the transactions to occur on or prior to the Closing Date pursuant to the Transaction Documents, including (a) the consummation of the Acquisition; (b) the execution, delivery and performance of the Loan Documents and the initial borrowings hereunder;</w:t>
      </w:r>
    </w:p>
    <w:p>
      <w:pPr>
        <w:spacing w:after="0" w:line="1" w:lineRule="exact"/>
        <w:rPr>
          <w:sz w:val="20"/>
          <w:szCs w:val="20"/>
          <w:color w:val="auto"/>
        </w:rPr>
      </w:pPr>
    </w:p>
    <w:p>
      <w:pPr>
        <w:ind w:left="1300" w:right="460" w:hanging="1292"/>
        <w:spacing w:after="0" w:line="803" w:lineRule="auto"/>
        <w:tabs>
          <w:tab w:leader="none" w:pos="24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Refinancing; and (d) the payment of all fees and expenses to be paid on or prior to the Closing Date and owing in connection with the foregoing. “</w:t>
      </w:r>
      <w:r>
        <w:rPr>
          <w:rFonts w:ascii="Arial" w:cs="Arial" w:eastAsia="Arial" w:hAnsi="Arial"/>
          <w:sz w:val="18"/>
          <w:szCs w:val="18"/>
          <w:b w:val="1"/>
          <w:bCs w:val="1"/>
          <w:color w:val="auto"/>
        </w:rPr>
        <w:t>Transferred Guarantor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1"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Services Agreement</w:t>
      </w:r>
      <w:r>
        <w:rPr>
          <w:rFonts w:ascii="Arial" w:cs="Arial" w:eastAsia="Arial" w:hAnsi="Arial"/>
          <w:sz w:val="18"/>
          <w:szCs w:val="18"/>
          <w:color w:val="auto"/>
        </w:rPr>
        <w:t>” shall mean any agreement relating to treasury, depositary and cash management services or automated clearinghouse transfer of funds.</w:t>
      </w:r>
    </w:p>
    <w:p>
      <w:pPr>
        <w:sectPr>
          <w:pgSz w:w="11900" w:h="16838" w:orient="portrait"/>
          <w:cols w:equalWidth="0" w:num="1">
            <w:col w:w="11400"/>
          </w:cols>
          <w:pgMar w:left="240" w:top="607" w:right="259" w:bottom="432" w:gutter="0" w:footer="0" w:header="0"/>
        </w:sectPr>
      </w:pPr>
    </w:p>
    <w:bookmarkStart w:id="79" w:name="page80"/>
    <w:bookmarkEnd w:id="79"/>
    <w:p>
      <w:pPr>
        <w:ind w:right="10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Date</w:t>
      </w:r>
      <w:r>
        <w:rPr>
          <w:rFonts w:ascii="Arial" w:cs="Arial" w:eastAsia="Arial" w:hAnsi="Arial"/>
          <w:sz w:val="18"/>
          <w:szCs w:val="18"/>
          <w:color w:val="auto"/>
        </w:rPr>
        <w:t xml:space="preserve">” shall mean the date of delivery to the Administrative Agent of the financial statements and certificates required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for the first fiscal period ended at least three months after the Closing Date.</w:t>
      </w:r>
    </w:p>
    <w:p>
      <w:pPr>
        <w:spacing w:after="0" w:line="200" w:lineRule="exact"/>
        <w:rPr>
          <w:sz w:val="20"/>
          <w:szCs w:val="20"/>
          <w:color w:val="auto"/>
        </w:rPr>
      </w:pPr>
    </w:p>
    <w:p>
      <w:pPr>
        <w:spacing w:after="0" w:line="232" w:lineRule="exact"/>
        <w:rPr>
          <w:sz w:val="20"/>
          <w:szCs w:val="20"/>
          <w:color w:val="auto"/>
        </w:rPr>
      </w:pPr>
    </w:p>
    <w:p>
      <w:pPr>
        <w:ind w:right="14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Type,</w:t>
      </w:r>
      <w:r>
        <w:rPr>
          <w:rFonts w:ascii="Arial" w:cs="Arial" w:eastAsia="Arial" w:hAnsi="Arial"/>
          <w:sz w:val="17"/>
          <w:szCs w:val="17"/>
          <w:color w:val="auto"/>
        </w:rPr>
        <w:t>” when used in reference to any Loan or Borrowing, refers to whether the rate of interest on such Loan, or on the Loans comprising such Borrowing, is determined by reference to the Adjusted EURIBOR Rate, the Adjusted LIBOR Rate or the Alternate Base Rate.</w:t>
      </w:r>
    </w:p>
    <w:p>
      <w:pPr>
        <w:spacing w:after="0" w:line="200" w:lineRule="exact"/>
        <w:rPr>
          <w:sz w:val="20"/>
          <w:szCs w:val="20"/>
          <w:color w:val="auto"/>
        </w:rPr>
      </w:pP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UCC</w:t>
      </w:r>
      <w:r>
        <w:rPr>
          <w:rFonts w:ascii="Arial" w:cs="Arial" w:eastAsia="Arial" w:hAnsi="Arial"/>
          <w:sz w:val="16"/>
          <w:szCs w:val="16"/>
          <w:color w:val="auto"/>
        </w:rPr>
        <w:t>” shall mean the Uniform Commercial Code as in effect from time to time (except as otherwise specified) in any applicable state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jurisdiction.</w:t>
      </w: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00" w:lineRule="exact"/>
        <w:rPr>
          <w:sz w:val="20"/>
          <w:szCs w:val="20"/>
          <w:color w:val="auto"/>
        </w:rPr>
      </w:pPr>
    </w:p>
    <w:p>
      <w:pPr>
        <w:spacing w:after="0" w:line="295" w:lineRule="exact"/>
        <w:rPr>
          <w:sz w:val="20"/>
          <w:szCs w:val="20"/>
          <w:color w:val="auto"/>
        </w:rPr>
      </w:pPr>
    </w:p>
    <w:p>
      <w:pPr>
        <w:ind w:right="180"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Voting Stock</w:t>
      </w:r>
      <w:r>
        <w:rPr>
          <w:rFonts w:ascii="Arial" w:cs="Arial" w:eastAsia="Arial" w:hAnsi="Arial"/>
          <w:sz w:val="17"/>
          <w:szCs w:val="17"/>
          <w:color w:val="auto"/>
        </w:rPr>
        <w:t>” shall mean, with respect to any person, any class or classes of Equity Interests pursuant to which the holders thereof have the general voting power under ordinary circumstances to elect at least a majority of the Board of Directors of such person.</w:t>
      </w:r>
    </w:p>
    <w:p>
      <w:pPr>
        <w:spacing w:after="0" w:line="200" w:lineRule="exact"/>
        <w:rPr>
          <w:sz w:val="20"/>
          <w:szCs w:val="20"/>
          <w:color w:val="auto"/>
        </w:rPr>
      </w:pP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Wells Fargo</w:t>
      </w:r>
      <w:r>
        <w:rPr>
          <w:rFonts w:ascii="Arial" w:cs="Arial" w:eastAsia="Arial" w:hAnsi="Arial"/>
          <w:sz w:val="18"/>
          <w:szCs w:val="18"/>
          <w:color w:val="auto"/>
        </w:rPr>
        <w:t>” shall mean Wells Fargo Bank, National Association.</w:t>
      </w:r>
    </w:p>
    <w:p>
      <w:pPr>
        <w:spacing w:after="0" w:line="200" w:lineRule="exact"/>
        <w:rPr>
          <w:sz w:val="20"/>
          <w:szCs w:val="20"/>
          <w:color w:val="auto"/>
        </w:rPr>
      </w:pPr>
    </w:p>
    <w:p>
      <w:pPr>
        <w:spacing w:after="0" w:line="295" w:lineRule="exact"/>
        <w:rPr>
          <w:sz w:val="20"/>
          <w:szCs w:val="20"/>
          <w:color w:val="auto"/>
        </w:rPr>
      </w:pPr>
    </w:p>
    <w:p>
      <w:pPr>
        <w:ind w:right="240"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shall mean, as to any person, (a) any corporation 100% of whose capital stock (other than directors’ qualifying shares) is at the time owned by such person and/or one or more Wholly Owned Subsidiaries of such person and (b) any partnership, association, joint venture, limited liability company or other entity in which such person and/or one or more Wholly Owned Subsidiaries of such person have a 100% equity interest at such time.</w:t>
      </w:r>
    </w:p>
    <w:p>
      <w:pPr>
        <w:spacing w:after="0" w:line="200" w:lineRule="exact"/>
        <w:rPr>
          <w:sz w:val="20"/>
          <w:szCs w:val="20"/>
          <w:color w:val="auto"/>
        </w:rPr>
      </w:pPr>
    </w:p>
    <w:p>
      <w:pPr>
        <w:spacing w:after="0" w:line="250"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to a Multiemployer Plan as a result of a Company’s or any of its ERISA Affiliates’ complete or partial withdrawal from such Multiemployer Plan, as such terms are defined in Part I of Subtitle E of Title IV of ERISA.</w:t>
      </w:r>
    </w:p>
    <w:p>
      <w:pPr>
        <w:spacing w:after="0" w:line="216"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6"/>
          <w:szCs w:val="16"/>
          <w:b w:val="1"/>
          <w:bCs w:val="1"/>
          <w:u w:val="single" w:color="auto"/>
          <w:color w:val="auto"/>
        </w:rPr>
        <w:t>Terms Generally; Alternate Currency Translation</w:t>
      </w:r>
    </w:p>
    <w:p>
      <w:pPr>
        <w:spacing w:after="0" w:line="256" w:lineRule="exact"/>
        <w:rPr>
          <w:sz w:val="20"/>
          <w:szCs w:val="20"/>
          <w:color w:val="auto"/>
        </w:rPr>
      </w:pPr>
    </w:p>
    <w:p>
      <w:pPr>
        <w:ind w:firstLine="8"/>
        <w:spacing w:after="0" w:line="285" w:lineRule="auto"/>
        <w:tabs>
          <w:tab w:leader="none" w:pos="13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Loan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refer to such law or regulation as amended, modified or supplemented from time to time, (f) the words “asset” and “property” shall be construed to have the same meaning and effect and to refer to any and all tangible and intangible assets and properties, including cash, securities, accounts and contract rights and (g) “on,” when used with respect to the Mortgaged Property or any property adjacent to the Mortgaged Property, means “on, in, under, above or about.” For purposes of this Agreement and the other Loan Documents, (i) where the permissibility of a transaction or determinations of required actions or circumstances depend upon compliance with, or are determined by reference to, amounts stated in Dollars, any requisite currency translation shall be based on the Spot Selling Rate in effect on the Business Day immediately preceding the date of such transaction or determination and shall not be affected by subsequent fluctuations in exchange rates and (ii) as of any date of determination, for purposes of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application of any amounts required to be applied hereunder to the payment of Loans or other Obligations which are denominated in more than a single Approved Currency, such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application shall be determined by reference to the Dollar Equivalent of such Loans or other Obligations as of such date of determination.</w:t>
      </w:r>
    </w:p>
    <w:p>
      <w:pPr>
        <w:spacing w:after="0" w:line="22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6"/>
          <w:szCs w:val="16"/>
          <w:b w:val="1"/>
          <w:bCs w:val="1"/>
          <w:u w:val="single" w:color="auto"/>
          <w:color w:val="auto"/>
        </w:rPr>
        <w:t>Accounting Terms; GAAP</w:t>
      </w:r>
    </w:p>
    <w:p>
      <w:pPr>
        <w:spacing w:after="0" w:line="256" w:lineRule="exact"/>
        <w:rPr>
          <w:sz w:val="20"/>
          <w:szCs w:val="20"/>
          <w:color w:val="auto"/>
        </w:rPr>
      </w:pPr>
    </w:p>
    <w:p>
      <w:pPr>
        <w:jc w:val="both"/>
        <w:ind w:right="360" w:firstLine="8"/>
        <w:spacing w:after="0" w:line="264" w:lineRule="auto"/>
        <w:tabs>
          <w:tab w:leader="none" w:pos="1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Except as otherwise expressly provided herein, all financial statements to be delivered pursuant to this Agreement shall be prepared in accordance with GAAP as in effect from time to time and all terms of an accounting or financial nature shall be construed and interpreted in accordance with GAAP, as in effect on the date hereof unless otherwise agreed to by Borrower and the Required Lenders.</w:t>
      </w:r>
    </w:p>
    <w:p>
      <w:pPr>
        <w:spacing w:after="0" w:line="23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6"/>
          <w:szCs w:val="16"/>
          <w:b w:val="1"/>
          <w:bCs w:val="1"/>
          <w:u w:val="single" w:color="auto"/>
          <w:color w:val="auto"/>
        </w:rPr>
        <w:t>Resolution of Drafting Ambiguities</w:t>
      </w:r>
    </w:p>
    <w:p>
      <w:pPr>
        <w:spacing w:after="0" w:line="256" w:lineRule="exact"/>
        <w:rPr>
          <w:sz w:val="20"/>
          <w:szCs w:val="20"/>
          <w:color w:val="auto"/>
        </w:rPr>
      </w:pPr>
    </w:p>
    <w:p>
      <w:pPr>
        <w:ind w:right="180" w:firstLine="8"/>
        <w:spacing w:after="0" w:line="312" w:lineRule="auto"/>
        <w:tabs>
          <w:tab w:leader="none" w:pos="13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Each Loan Party acknowledges and agrees that it was represented by counsel in connection with the execution and delivery of the Loan Documents to which it is a party, that it and its counsel reviewed and participated in the preparation and negotiation hereof and thereof and that any rule of construction to the effect that ambiguities are to be resolved against the drafting party shall not be employed in the interpretation hereof or thereof.</w:t>
      </w: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ARTICLE II</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THE CREDITS</w:t>
      </w:r>
    </w:p>
    <w:p>
      <w:pPr>
        <w:spacing w:after="0" w:line="279"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6"/>
          <w:szCs w:val="16"/>
          <w:b w:val="1"/>
          <w:bCs w:val="1"/>
          <w:u w:val="single" w:color="auto"/>
          <w:color w:val="auto"/>
        </w:rPr>
        <w:t>Commitments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Subject to the terms and conditions and relying upon the representations and warranties herein set forth, each Lender agrees, severally and not jointly:</w:t>
      </w:r>
    </w:p>
    <w:p>
      <w:pPr>
        <w:sectPr>
          <w:pgSz w:w="11900" w:h="16838" w:orient="portrait"/>
          <w:cols w:equalWidth="0" w:num="1">
            <w:col w:w="11400"/>
          </w:cols>
          <w:pgMar w:left="240" w:top="121" w:right="259" w:bottom="0" w:gutter="0" w:footer="0" w:header="0"/>
        </w:sectPr>
      </w:pPr>
    </w:p>
    <w:bookmarkStart w:id="80" w:name="page81"/>
    <w:bookmarkEnd w:id="80"/>
    <w:p>
      <w:pPr>
        <w:ind w:right="220" w:firstLine="1953"/>
        <w:spacing w:after="0" w:line="286" w:lineRule="auto"/>
        <w:tabs>
          <w:tab w:leader="none" w:pos="257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 to make a Dollar Term Loan to Borrower on the Closing Date in the principal amount not to exceed its Dollar Term Commitment, (ii) to make a Euro Term Loan to Borrower on the Closing Date in the principal amount not to exceed its Euro Term Commitment and (iii) to make a GBP Term Loan to Borrower on the Closing Date in the principal amount not to exceed its GBP Term Commitment; and</w:t>
      </w: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jc w:val="both"/>
        <w:ind w:firstLine="1953"/>
        <w:spacing w:after="0" w:line="259" w:lineRule="auto"/>
        <w:tabs>
          <w:tab w:leader="none" w:pos="258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make (i) Dollar Revolving Loans, (ii) Euro Revolving Loans and (iii) GBP Revolving Loans, in each case, to Borrower, at any time and from time to time after the Closing Date until the earlier of the Revolving Maturity Date and the termination of the Revolving Commitment of such Lender in accordance with the terms hereof, in an aggregate principal amount at any time outstanding that will not result in such Lender’s Revolving Exposure exceeding such Lender’s Revolving Commitment.</w:t>
      </w:r>
    </w:p>
    <w:p>
      <w:pPr>
        <w:spacing w:after="0" w:line="200" w:lineRule="exact"/>
        <w:rPr>
          <w:sz w:val="20"/>
          <w:szCs w:val="20"/>
          <w:color w:val="auto"/>
        </w:rPr>
      </w:pPr>
    </w:p>
    <w:p>
      <w:pPr>
        <w:spacing w:after="0" w:line="25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Amounts paid or prepaid in respect of Term Loans may not be reborrowed. Within the limits set forth in clause (b) above and subject to the terms, conditions and limitations set forth herein, Borrower may borrow, pay or prepay and reborrow Revolving Loans.</w:t>
      </w:r>
    </w:p>
    <w:p>
      <w:pPr>
        <w:spacing w:after="0" w:line="200" w:lineRule="exact"/>
        <w:rPr>
          <w:sz w:val="20"/>
          <w:szCs w:val="20"/>
          <w:color w:val="auto"/>
        </w:rPr>
      </w:pPr>
    </w:p>
    <w:p>
      <w:pPr>
        <w:spacing w:after="0" w:line="26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2.02</w:t>
      </w:r>
      <w:r>
        <w:rPr>
          <w:sz w:val="20"/>
          <w:szCs w:val="20"/>
          <w:color w:val="auto"/>
        </w:rPr>
        <w:tab/>
      </w:r>
      <w:r>
        <w:rPr>
          <w:rFonts w:ascii="Arial" w:cs="Arial" w:eastAsia="Arial" w:hAnsi="Arial"/>
          <w:sz w:val="15"/>
          <w:szCs w:val="15"/>
          <w:b w:val="1"/>
          <w:bCs w:val="1"/>
          <w:u w:val="single" w:color="auto"/>
          <w:color w:val="auto"/>
        </w:rPr>
        <w:t>Loans</w:t>
      </w:r>
    </w:p>
    <w:p>
      <w:pPr>
        <w:spacing w:after="0" w:line="283" w:lineRule="exact"/>
        <w:rPr>
          <w:sz w:val="20"/>
          <w:szCs w:val="20"/>
          <w:color w:val="auto"/>
        </w:rPr>
      </w:pPr>
    </w:p>
    <w:p>
      <w:pPr>
        <w:ind w:right="20" w:firstLine="1953"/>
        <w:spacing w:after="0" w:line="269" w:lineRule="auto"/>
        <w:tabs>
          <w:tab w:leader="none" w:pos="257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Each Loan (other than Swingline Loans) shall be made as part of a Borrowing consisting of Loans made by the Lenders ratably in accordance with their applicable Commitments;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of any Lender to make its Loan shall not in itself relieve any other Lender of its obligation to lend hereunder (it being understood, however, that no Lender shall be responsible for the failure of any other Lender to make any Loan required to be made by such other Lender). Except for Swingline Loans and Loans made pursuant to </w:t>
      </w:r>
      <w:r>
        <w:rPr>
          <w:rFonts w:ascii="Arial" w:cs="Arial" w:eastAsia="Arial" w:hAnsi="Arial"/>
          <w:sz w:val="17"/>
          <w:szCs w:val="17"/>
          <w:u w:val="single" w:color="auto"/>
          <w:color w:val="auto"/>
        </w:rPr>
        <w:t>Section 2.18(e)(i)</w:t>
      </w:r>
      <w:r>
        <w:rPr>
          <w:rFonts w:ascii="Arial" w:cs="Arial" w:eastAsia="Arial" w:hAnsi="Arial"/>
          <w:sz w:val="17"/>
          <w:szCs w:val="17"/>
          <w:color w:val="auto"/>
        </w:rPr>
        <w:t>, (i) ABR Loans comprising any Borrowing shall be in an aggregate principal amount that is (x) an integral multiple of $1.0 million and not less than $1.0 million or (y) equal to the remaining available balance of the applicable Commitments, (ii) the Eurocurrency Loans comprising any Borrowing of Dollar Loans shall be in an aggregate principal amount that is (x) an integral multiple of $1.0 million and not less than $1.0 million or (y) equal to the remaining available balance of the applicable Commitments, (iii) the Eurocurrency Loans comprising any Borrowing of GBP Loans shall be in an aggregate principal amount that is (x) an integral multiple of £500,000 and not less than £500,000 or (y) equal to the remaining available balance of the applicable Commitments, and (iv) the EURIBOR Loans comprising any Borrowing shall be in an aggregate principal amount that is (x) an integral multiple of €1.0 million and not less than €1.0 million or (y) equal to the remaining available balance of the applicable Commitments.</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ind w:right="40" w:firstLine="1953"/>
        <w:spacing w:after="0" w:line="271" w:lineRule="auto"/>
        <w:tabs>
          <w:tab w:leader="none" w:pos="258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2.11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2.12</w:t>
      </w:r>
      <w:r>
        <w:rPr>
          <w:rFonts w:ascii="Arial" w:cs="Arial" w:eastAsia="Arial" w:hAnsi="Arial"/>
          <w:sz w:val="17"/>
          <w:szCs w:val="17"/>
          <w:color w:val="auto"/>
        </w:rPr>
        <w:t xml:space="preserve">, each Borrowing shall be comprised entirely of ABR Loans, Eurocurrency Loans that are Dollar Loans, Eurocurrency Loans that are GBP Loans or EURIBOR Loans as Borrower may request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Each Lender may at its option make any Eurocurrency Loan or EURIBOR Loan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the obligation of Borrower to repay such Loan in accordance with the terms of this Agreement. Borrowings of more than one Type may be outstanding at the same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shall not be entitled to request any Borrowing that, if made, would result in more than (i) ten Eurocurrency Borrowings of Dollar Loans, (ii) five Eurocurrency Borrowings of GBP Loans or (iii) ten EURIBOR Borrowings outstanding hereunder at any one time. For purposes of the foregoing, Borrowings having different Interest Periods, regardless of whether they commence on the same date, shall be considered separate Borrowings.</w:t>
      </w:r>
    </w:p>
    <w:p>
      <w:pPr>
        <w:spacing w:after="0" w:line="200" w:lineRule="exact"/>
        <w:rPr>
          <w:rFonts w:ascii="Arial" w:cs="Arial" w:eastAsia="Arial" w:hAnsi="Arial"/>
          <w:sz w:val="17"/>
          <w:szCs w:val="17"/>
          <w:color w:val="auto"/>
        </w:rPr>
      </w:pPr>
    </w:p>
    <w:p>
      <w:pPr>
        <w:spacing w:after="0" w:line="276" w:lineRule="exact"/>
        <w:rPr>
          <w:rFonts w:ascii="Arial" w:cs="Arial" w:eastAsia="Arial" w:hAnsi="Arial"/>
          <w:sz w:val="17"/>
          <w:szCs w:val="17"/>
          <w:color w:val="auto"/>
        </w:rPr>
      </w:pPr>
    </w:p>
    <w:p>
      <w:pPr>
        <w:ind w:right="180" w:firstLine="1953"/>
        <w:spacing w:after="0" w:line="297" w:lineRule="auto"/>
        <w:tabs>
          <w:tab w:leader="none" w:pos="257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Each Lender shall make each Loan to be made by it hereunder on the proposed date thereof by wire transfer of immediately available funds to such account in New York City (in the case of Dollar Loans) or London (in the case of Alternate Currency Loans) as the Administrative Agent may designate not later than 2:00 p.m., Local Time, and the Administrative Agent shall promptly credit the amounts so received to an account as directed by Borrower in the applicable Borrowing Request maintained with the Administrative Agent or, if a Borrowing shall not occur on such date because any condition precedent herein specified shall not have been met, return the amounts so received to the respective Lenders.</w:t>
      </w:r>
    </w:p>
    <w:p>
      <w:pPr>
        <w:spacing w:after="0" w:line="200" w:lineRule="exact"/>
        <w:rPr>
          <w:rFonts w:ascii="Arial" w:cs="Arial" w:eastAsia="Arial" w:hAnsi="Arial"/>
          <w:sz w:val="16"/>
          <w:szCs w:val="16"/>
          <w:color w:val="auto"/>
        </w:rPr>
      </w:pPr>
    </w:p>
    <w:p>
      <w:pPr>
        <w:spacing w:after="0" w:line="255" w:lineRule="exact"/>
        <w:rPr>
          <w:rFonts w:ascii="Arial" w:cs="Arial" w:eastAsia="Arial" w:hAnsi="Arial"/>
          <w:sz w:val="16"/>
          <w:szCs w:val="16"/>
          <w:color w:val="auto"/>
        </w:rPr>
      </w:pPr>
    </w:p>
    <w:p>
      <w:pPr>
        <w:ind w:firstLine="1953"/>
        <w:spacing w:after="0" w:line="269" w:lineRule="auto"/>
        <w:tabs>
          <w:tab w:leader="none" w:pos="258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received notice from a Lender prior to the time of any Borrowing that such Lender will not make available to the Administrative Agent such Lender’s portion of such Borrowing, the Administrative Agent may assume that such Lender has made such portion available to the Administrative Agent on the date of such Borrowing in accordance with paragraph (c) above, and the Administrative Agent may, in reliance upon such assumption, make available to Borrower on such date a corresponding amount. If the Administrative Agent shall have so made funds available, then, to the extent that such Lender shall not have made such portion available to the Administrative Agent, each of such Lender and Borrower severally agrees to repay to the Administrative Agent forthwith on demand such corresponding amount together with interest thereon, for each day from the date such amount is made available to Borrower until the date such amount is repaid to the Administrative Agent at (i) in the case of Borrower, the interest rate applicable at the time to the Loans comprising such Borrowing and (ii) in the case of such Lender, the Interbank Rate for such period. If such Lender shall repay to the Administrative Agent such corresponding amount, such amount shall constitute such Lender’s Loan as part of such Borrowing for purposes of this Agreement, and Borrower’s obligation to repay the Administrative Agent such corresponding amount pursuant to this </w:t>
      </w:r>
      <w:r>
        <w:rPr>
          <w:rFonts w:ascii="Arial" w:cs="Arial" w:eastAsia="Arial" w:hAnsi="Arial"/>
          <w:sz w:val="17"/>
          <w:szCs w:val="17"/>
          <w:u w:val="single" w:color="auto"/>
          <w:color w:val="auto"/>
        </w:rPr>
        <w:t>Section 2.02(d)</w:t>
      </w:r>
      <w:r>
        <w:rPr>
          <w:rFonts w:ascii="Arial" w:cs="Arial" w:eastAsia="Arial" w:hAnsi="Arial"/>
          <w:sz w:val="17"/>
          <w:szCs w:val="17"/>
          <w:color w:val="auto"/>
        </w:rPr>
        <w:t xml:space="preserve"> shall cease.</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ind w:right="20" w:firstLine="1953"/>
        <w:spacing w:after="0" w:line="264" w:lineRule="auto"/>
        <w:tabs>
          <w:tab w:leader="none" w:pos="257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Borrower shall not be entitled to request, or to elect to convert or continue, any Borrowing if the Interest Period requested with respect thereto would end after the Revolving Maturity Date (in the case of Revolving Loans) or the Term Loan Maturity Date (in the case of Term Loans), as applicable.</w:t>
      </w:r>
    </w:p>
    <w:p>
      <w:pPr>
        <w:spacing w:after="0" w:line="23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6"/>
          <w:szCs w:val="16"/>
          <w:b w:val="1"/>
          <w:bCs w:val="1"/>
          <w:u w:val="single" w:color="auto"/>
          <w:color w:val="auto"/>
        </w:rPr>
        <w:t>Borrowing Procedure</w:t>
      </w:r>
    </w:p>
    <w:p>
      <w:pPr>
        <w:spacing w:after="0" w:line="256" w:lineRule="exact"/>
        <w:rPr>
          <w:sz w:val="20"/>
          <w:szCs w:val="20"/>
          <w:color w:val="auto"/>
        </w:rPr>
      </w:pPr>
    </w:p>
    <w:p>
      <w:pPr>
        <w:ind w:right="100" w:firstLine="8"/>
        <w:spacing w:after="0" w:line="302" w:lineRule="auto"/>
        <w:tabs>
          <w:tab w:leader="none" w:pos="13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To request a Revolving Borrowing or Term Borrowing, Borrower shall deliver, by hand delivery or telecopier, a duly completed and executed Borrowing Request to the Administrative Agent (i) in the case of a Eurocurrency Borrowing or a EURIBOR Borrowing, not later than noon, Local Time, three Business Days before the date of the proposed Borrowing or (ii) in the case of an ABR Borrowing, not later than noon, New York City time, on the date of the proposed Borrowing. Each Borrowing Request shall be irrevocable and shall specify the following information in compliance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ectPr>
          <w:pgSz w:w="11900" w:h="16838" w:orient="portrait"/>
          <w:cols w:equalWidth="0" w:num="1">
            <w:col w:w="11420"/>
          </w:cols>
          <w:pgMar w:left="240" w:top="638" w:right="239" w:bottom="0" w:gutter="0" w:footer="0" w:header="0"/>
        </w:sectPr>
      </w:pPr>
    </w:p>
    <w:bookmarkStart w:id="81" w:name="page82"/>
    <w:bookmarkEnd w:id="81"/>
    <w:p>
      <w:pPr>
        <w:spacing w:after="0" w:line="96" w:lineRule="exact"/>
        <w:rPr>
          <w:sz w:val="20"/>
          <w:szCs w:val="20"/>
          <w:color w:val="auto"/>
        </w:rPr>
      </w:pPr>
    </w:p>
    <w:p>
      <w:pPr>
        <w:ind w:right="220" w:firstLine="1953"/>
        <w:spacing w:after="0" w:line="277" w:lineRule="auto"/>
        <w:tabs>
          <w:tab w:leader="none" w:pos="257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whether the requested Borrowing is to be a Borrowing of Dollar Revolving Loans, Dollar Term Loans, Euro Revolving Loans, Euro Term Loans, GBP Revolving Loans or GBP Term Loans;</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600" w:hanging="647"/>
        <w:spacing w:after="0"/>
        <w:tabs>
          <w:tab w:leader="none" w:pos="2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aggregate amount of such Borrowing;</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580" w:hanging="627"/>
        <w:spacing w:after="0"/>
        <w:tabs>
          <w:tab w:leader="none" w:pos="25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600" w:hanging="647"/>
        <w:spacing w:after="0"/>
        <w:tabs>
          <w:tab w:leader="none" w:pos="26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 the case of a Borrowing of Dollar Loans, whether such Borrowing is to be an ABR Borrowing or a Eurocurrency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Borrowing;</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right="260" w:firstLine="1953"/>
        <w:spacing w:after="0" w:line="277" w:lineRule="auto"/>
        <w:tabs>
          <w:tab w:leader="none" w:pos="257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case of a Eurocurrency Borrowing or a EURIBOR Borrowing, the initial Interest Period to be applicable thereto, which shall be a period contemplated by the definition of the term “Interest Period”;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780" w:firstLine="1953"/>
        <w:spacing w:after="0" w:line="277" w:lineRule="auto"/>
        <w:tabs>
          <w:tab w:leader="none" w:pos="255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location and number of Borrower’s account to which funds are to be disbursed, which shall comply with the requirements of </w:t>
      </w:r>
      <w:r>
        <w:rPr>
          <w:rFonts w:ascii="Arial" w:cs="Arial" w:eastAsia="Arial" w:hAnsi="Arial"/>
          <w:sz w:val="18"/>
          <w:szCs w:val="18"/>
          <w:u w:val="single" w:color="auto"/>
          <w:color w:val="auto"/>
        </w:rPr>
        <w:t>Section 2.02(c)</w:t>
      </w:r>
      <w:r>
        <w:rPr>
          <w:rFonts w:ascii="Arial" w:cs="Arial" w:eastAsia="Arial" w:hAnsi="Arial"/>
          <w:sz w:val="18"/>
          <w:szCs w:val="18"/>
          <w:color w:val="auto"/>
        </w:rPr>
        <w:t>; and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600" w:hanging="647"/>
        <w:spacing w:after="0"/>
        <w:tabs>
          <w:tab w:leader="none" w:pos="26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that the conditions set forth in </w:t>
      </w:r>
      <w:r>
        <w:rPr>
          <w:rFonts w:ascii="Arial" w:cs="Arial" w:eastAsia="Arial" w:hAnsi="Arial"/>
          <w:sz w:val="18"/>
          <w:szCs w:val="18"/>
          <w:u w:val="single" w:color="auto"/>
          <w:color w:val="auto"/>
        </w:rPr>
        <w:t>Sections 4.02(b)-(d)</w:t>
      </w:r>
      <w:r>
        <w:rPr>
          <w:rFonts w:ascii="Arial" w:cs="Arial" w:eastAsia="Arial" w:hAnsi="Arial"/>
          <w:sz w:val="18"/>
          <w:szCs w:val="18"/>
          <w:color w:val="auto"/>
        </w:rPr>
        <w:t xml:space="preserve"> have been satisfied as of the date of the notice.</w:t>
      </w:r>
    </w:p>
    <w:p>
      <w:pPr>
        <w:spacing w:after="0" w:line="200" w:lineRule="exact"/>
        <w:rPr>
          <w:sz w:val="20"/>
          <w:szCs w:val="20"/>
          <w:color w:val="auto"/>
        </w:rPr>
      </w:pPr>
    </w:p>
    <w:p>
      <w:pPr>
        <w:spacing w:after="0" w:line="29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If no election as to the Type of Borrowing is specified with respect to any requested Borrowing of Dollar Loans, then the requested Borrowing shall be an ABR Borrowing. If no Interest Period is specified with respect to any requested Eurocurrency Borrowing or EURIBOR Borrowing, then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238"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6"/>
          <w:szCs w:val="16"/>
          <w:b w:val="1"/>
          <w:bCs w:val="1"/>
          <w:u w:val="single" w:color="auto"/>
          <w:color w:val="auto"/>
        </w:rPr>
        <w:t>Evidence of Debt; Repayment of Loans</w:t>
      </w:r>
    </w:p>
    <w:p>
      <w:pPr>
        <w:spacing w:after="0" w:line="283" w:lineRule="exact"/>
        <w:rPr>
          <w:sz w:val="20"/>
          <w:szCs w:val="20"/>
          <w:color w:val="auto"/>
        </w:rPr>
      </w:pPr>
    </w:p>
    <w:p>
      <w:pPr>
        <w:ind w:right="100" w:firstLine="1953"/>
        <w:spacing w:after="0" w:line="254" w:lineRule="auto"/>
        <w:tabs>
          <w:tab w:leader="none" w:pos="257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Promise to Repay</w:t>
      </w:r>
      <w:r>
        <w:rPr>
          <w:rFonts w:ascii="Arial" w:cs="Arial" w:eastAsia="Arial" w:hAnsi="Arial"/>
          <w:sz w:val="18"/>
          <w:szCs w:val="18"/>
          <w:color w:val="auto"/>
        </w:rPr>
        <w:t xml:space="preserve">. Borrower hereby unconditionally promises to pay (i) to the Administrative Agent for the account of each Term Loan Lender, the principal amount of each Term Loan of such Term Loan Lender as provided in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(ii) to the Administrative Agent for the account of each Revolving Lender, the then unpaid principal amount of each Revolving Loan of such Revolving Lender on the Revolving Maturity Date and (iii) to the Swingline Lender, the then unpaid principal amount of each Swingline Loan on the earlier of the Revolving Maturity Date and the first date after such Swingline Loan is made that is the 15th or last day of a calendar month and is at least two Business Days after such Swingline Loan is made;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on each date that a Revolving Borrowing is made, Borrower shall repay all Swingline Loans that were outstanding on the date such Borrowing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was requested. All payments or repayments of Loans made pursuant to this </w:t>
      </w:r>
      <w:r>
        <w:rPr>
          <w:rFonts w:ascii="Arial" w:cs="Arial" w:eastAsia="Arial" w:hAnsi="Arial"/>
          <w:sz w:val="18"/>
          <w:szCs w:val="18"/>
          <w:u w:val="single" w:color="auto"/>
          <w:color w:val="auto"/>
        </w:rPr>
        <w:t>Section 2.04(a</w:t>
      </w:r>
      <w:r>
        <w:rPr>
          <w:rFonts w:ascii="Arial" w:cs="Arial" w:eastAsia="Arial" w:hAnsi="Arial"/>
          <w:sz w:val="18"/>
          <w:szCs w:val="18"/>
          <w:color w:val="auto"/>
        </w:rPr>
        <w:t>) shall be made in the Approved Currency in which such Loan is denominated.</w:t>
      </w: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firstLine="1953"/>
        <w:spacing w:after="0" w:line="270" w:lineRule="auto"/>
        <w:tabs>
          <w:tab w:leader="none" w:pos="2587"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Lender and Administrative Agent Records</w:t>
      </w:r>
      <w:r>
        <w:rPr>
          <w:rFonts w:ascii="Arial" w:cs="Arial" w:eastAsia="Arial" w:hAnsi="Arial"/>
          <w:sz w:val="17"/>
          <w:szCs w:val="17"/>
          <w:color w:val="auto"/>
        </w:rPr>
        <w:t xml:space="preserve">. Each Lender shall maintain in accordance with its usual practice an account or accounts evidencing the Indebtedness of Borrower to such Lender resulting from each Loan made by such Lender from time to time, including the amounts of principal and interest payable and paid to such Lender from time to time under this Agreement. The Administrative Agent shall maintain accounts in which it will record (i) the amount and Approved Currency of each Loan made hereunder, the Type and Class thereof and the Interest Period applicable thereto; (ii) the amount of any principal or interest due and payable or to become due and payable from Borrower to each Lender hereunder; and (iii) the amount of any sum received by the Administrative Agent hereunder for the account of the Lenders and each Lender’s share thereof. The entries made in the accounts maintained pursuant to this paragraph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existence and amounts of the obligations therein recorded;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of any Lender or the Administrative Agent to maintain such accounts or any error therein shall not in any manner affect the obligations of Borrower to repay the Loans in accordance with their terms.</w:t>
      </w:r>
    </w:p>
    <w:p>
      <w:pPr>
        <w:spacing w:after="0" w:line="200" w:lineRule="exact"/>
        <w:rPr>
          <w:rFonts w:ascii="Arial" w:cs="Arial" w:eastAsia="Arial" w:hAnsi="Arial"/>
          <w:sz w:val="17"/>
          <w:szCs w:val="17"/>
          <w:color w:val="auto"/>
        </w:rPr>
      </w:pPr>
    </w:p>
    <w:p>
      <w:pPr>
        <w:spacing w:after="0" w:line="278" w:lineRule="exact"/>
        <w:rPr>
          <w:rFonts w:ascii="Arial" w:cs="Arial" w:eastAsia="Arial" w:hAnsi="Arial"/>
          <w:sz w:val="17"/>
          <w:szCs w:val="17"/>
          <w:color w:val="auto"/>
        </w:rPr>
      </w:pPr>
    </w:p>
    <w:p>
      <w:pPr>
        <w:ind w:firstLine="1953"/>
        <w:spacing w:after="0" w:line="255" w:lineRule="auto"/>
        <w:tabs>
          <w:tab w:leader="none" w:pos="257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Promissory Notes</w:t>
      </w:r>
      <w:r>
        <w:rPr>
          <w:rFonts w:ascii="Arial" w:cs="Arial" w:eastAsia="Arial" w:hAnsi="Arial"/>
          <w:sz w:val="18"/>
          <w:szCs w:val="18"/>
          <w:color w:val="auto"/>
        </w:rPr>
        <w:t xml:space="preserve">. Any Lender by written notice to Borrower (with a copy to the Administrative Agent) may request that any Term Loans of any Class and any Revolving Loans made by it be evidenced by a promissory note. In such event, Borrower shall prepare, execute and deliver to such Lender a promissory note payable to the order of such Lender (or, if requested by such Lender, to such Lender and its registered assigns) in the form of </w:t>
      </w:r>
      <w:r>
        <w:rPr>
          <w:rFonts w:ascii="Arial" w:cs="Arial" w:eastAsia="Arial" w:hAnsi="Arial"/>
          <w:sz w:val="18"/>
          <w:szCs w:val="18"/>
          <w:u w:val="single" w:color="auto"/>
          <w:color w:val="auto"/>
        </w:rPr>
        <w:t>Exhibit K-1</w:t>
      </w:r>
      <w:r>
        <w:rPr>
          <w:rFonts w:ascii="Arial" w:cs="Arial" w:eastAsia="Arial" w:hAnsi="Arial"/>
          <w:sz w:val="18"/>
          <w:szCs w:val="18"/>
          <w:color w:val="auto"/>
        </w:rPr>
        <w:t xml:space="preserve">, </w:t>
      </w:r>
      <w:r>
        <w:rPr>
          <w:rFonts w:ascii="Arial" w:cs="Arial" w:eastAsia="Arial" w:hAnsi="Arial"/>
          <w:sz w:val="18"/>
          <w:szCs w:val="18"/>
          <w:u w:val="single" w:color="auto"/>
          <w:color w:val="auto"/>
        </w:rPr>
        <w:t>K-2</w:t>
      </w:r>
      <w:r>
        <w:rPr>
          <w:rFonts w:ascii="Arial" w:cs="Arial" w:eastAsia="Arial" w:hAnsi="Arial"/>
          <w:sz w:val="18"/>
          <w:szCs w:val="18"/>
          <w:color w:val="auto"/>
        </w:rPr>
        <w:t xml:space="preserve">, </w:t>
      </w:r>
      <w:r>
        <w:rPr>
          <w:rFonts w:ascii="Arial" w:cs="Arial" w:eastAsia="Arial" w:hAnsi="Arial"/>
          <w:sz w:val="18"/>
          <w:szCs w:val="18"/>
          <w:u w:val="single" w:color="auto"/>
          <w:color w:val="auto"/>
        </w:rPr>
        <w:t>K-3</w:t>
      </w:r>
      <w:r>
        <w:rPr>
          <w:rFonts w:ascii="Arial" w:cs="Arial" w:eastAsia="Arial" w:hAnsi="Arial"/>
          <w:sz w:val="18"/>
          <w:szCs w:val="18"/>
          <w:color w:val="auto"/>
        </w:rPr>
        <w:t xml:space="preserve">, </w:t>
      </w:r>
      <w:r>
        <w:rPr>
          <w:rFonts w:ascii="Arial" w:cs="Arial" w:eastAsia="Arial" w:hAnsi="Arial"/>
          <w:sz w:val="18"/>
          <w:szCs w:val="18"/>
          <w:u w:val="single" w:color="auto"/>
          <w:color w:val="auto"/>
        </w:rPr>
        <w:t>K-4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K-5</w:t>
      </w:r>
      <w:r>
        <w:rPr>
          <w:rFonts w:ascii="Arial" w:cs="Arial" w:eastAsia="Arial" w:hAnsi="Arial"/>
          <w:sz w:val="18"/>
          <w:szCs w:val="18"/>
          <w:color w:val="auto"/>
        </w:rPr>
        <w:t xml:space="preserve">, as the case may be. Thereafter, the Loans evidenced by such promissory note and interest thereon shall at all times (including after assignment pursuant to </w:t>
      </w:r>
      <w:r>
        <w:rPr>
          <w:rFonts w:ascii="Arial" w:cs="Arial" w:eastAsia="Arial" w:hAnsi="Arial"/>
          <w:sz w:val="18"/>
          <w:szCs w:val="18"/>
          <w:u w:val="single" w:color="auto"/>
          <w:color w:val="auto"/>
        </w:rPr>
        <w:t>Section 10.04</w:t>
      </w:r>
      <w:r>
        <w:rPr>
          <w:rFonts w:ascii="Arial" w:cs="Arial" w:eastAsia="Arial" w:hAnsi="Arial"/>
          <w:sz w:val="18"/>
          <w:szCs w:val="18"/>
          <w:color w:val="auto"/>
        </w:rPr>
        <w:t>, except to the extent any such note is cancelled and not replaced in connection with such assignment) be represented by one or more promissory notes in such form payable to the order of the payee named therein (or, if such promissory note is a registered note, to such payee and its registered assigns).</w:t>
      </w:r>
    </w:p>
    <w:p>
      <w:pPr>
        <w:spacing w:after="0" w:line="200" w:lineRule="exact"/>
        <w:rPr>
          <w:sz w:val="20"/>
          <w:szCs w:val="20"/>
          <w:color w:val="auto"/>
        </w:rPr>
      </w:pPr>
    </w:p>
    <w:p>
      <w:pPr>
        <w:spacing w:after="0" w:line="28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4"/>
          <w:szCs w:val="14"/>
          <w:b w:val="1"/>
          <w:bCs w:val="1"/>
          <w:u w:val="single" w:color="auto"/>
          <w:color w:val="auto"/>
        </w:rPr>
        <w:t>Fees</w:t>
      </w:r>
    </w:p>
    <w:p>
      <w:pPr>
        <w:spacing w:after="0" w:line="283" w:lineRule="exact"/>
        <w:rPr>
          <w:sz w:val="20"/>
          <w:szCs w:val="20"/>
          <w:color w:val="auto"/>
        </w:rPr>
      </w:pPr>
    </w:p>
    <w:p>
      <w:pPr>
        <w:ind w:right="20" w:firstLine="1953"/>
        <w:spacing w:after="0" w:line="293" w:lineRule="auto"/>
        <w:tabs>
          <w:tab w:leader="none" w:pos="2577"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Borrower agrees to pay to the Administrative Agent for the account of each Lender a commitment fee (a “</w:t>
      </w:r>
      <w:r>
        <w:rPr>
          <w:rFonts w:ascii="Arial" w:cs="Arial" w:eastAsia="Arial" w:hAnsi="Arial"/>
          <w:sz w:val="16"/>
          <w:szCs w:val="16"/>
          <w:b w:val="1"/>
          <w:bCs w:val="1"/>
          <w:color w:val="auto"/>
        </w:rPr>
        <w:t>Commitment Fee</w:t>
      </w:r>
      <w:r>
        <w:rPr>
          <w:rFonts w:ascii="Arial" w:cs="Arial" w:eastAsia="Arial" w:hAnsi="Arial"/>
          <w:sz w:val="16"/>
          <w:szCs w:val="16"/>
          <w:color w:val="auto"/>
        </w:rPr>
        <w:t>”) denominated in Dollars equal to the Applicable Fee per annum on the average daily unused amount of each Commitment of such Lender during the period from and including the date hereof to but excluding the date on which such Commitment terminates. Accrued Commitment Fees shall be payable in arrears (A) on the last Business Day of March, June, September and December of each year, commencing on the first such date to occur after the date hereof, and (B) on the date on which such Commitment terminates. Commitment Fees shall be computed on the basis of a year of 360 days and shall be payable for the actual number of days elapsed (including the first day but excluding the last day). For purposes of computing Commitment Fees with</w:t>
      </w:r>
    </w:p>
    <w:p>
      <w:pPr>
        <w:sectPr>
          <w:pgSz w:w="11900" w:h="16934" w:orient="portrait"/>
          <w:cols w:equalWidth="0" w:num="1">
            <w:col w:w="11400"/>
          </w:cols>
          <w:pgMar w:left="240" w:top="395" w:right="259" w:bottom="0" w:gutter="0" w:footer="0" w:header="0"/>
        </w:sectPr>
      </w:pPr>
    </w:p>
    <w:bookmarkStart w:id="82" w:name="page83"/>
    <w:bookmarkEnd w:id="82"/>
    <w:p>
      <w:pPr>
        <w:spacing w:after="0" w:line="1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respect to Revolving Commitments, a Revolving Commitment of a Lender shall be deemed to be used to the extent of the outstanding Revolving Loans and LC Exposure of such Lender (and the Swingline Exposure of such Lender shall be disregarded for such purpose).</w:t>
      </w:r>
    </w:p>
    <w:p>
      <w:pPr>
        <w:spacing w:after="0" w:line="200" w:lineRule="exact"/>
        <w:rPr>
          <w:sz w:val="20"/>
          <w:szCs w:val="20"/>
          <w:color w:val="auto"/>
        </w:rPr>
      </w:pPr>
    </w:p>
    <w:p>
      <w:pPr>
        <w:spacing w:after="0" w:line="268" w:lineRule="exact"/>
        <w:rPr>
          <w:sz w:val="20"/>
          <w:szCs w:val="20"/>
          <w:color w:val="auto"/>
        </w:rPr>
      </w:pPr>
    </w:p>
    <w:p>
      <w:pPr>
        <w:ind w:right="140" w:firstLine="1953"/>
        <w:spacing w:after="0" w:line="342" w:lineRule="auto"/>
        <w:tabs>
          <w:tab w:leader="none" w:pos="2587"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Administrative Agent Fees</w:t>
      </w:r>
      <w:r>
        <w:rPr>
          <w:rFonts w:ascii="Arial" w:cs="Arial" w:eastAsia="Arial" w:hAnsi="Arial"/>
          <w:sz w:val="16"/>
          <w:szCs w:val="16"/>
          <w:color w:val="auto"/>
        </w:rPr>
        <w:t>. Borrower agrees to pay to the Administrative Agent, for its own account, the administrative fees payable in the amounts and at the times separately agreed upon between Borrower and the Administrative Agent (the “</w:t>
      </w:r>
      <w:r>
        <w:rPr>
          <w:rFonts w:ascii="Arial" w:cs="Arial" w:eastAsia="Arial" w:hAnsi="Arial"/>
          <w:sz w:val="16"/>
          <w:szCs w:val="16"/>
          <w:b w:val="1"/>
          <w:bCs w:val="1"/>
          <w:color w:val="auto"/>
        </w:rPr>
        <w:t>Administrative Agent Fees</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firstLine="1953"/>
        <w:spacing w:after="0" w:line="284" w:lineRule="auto"/>
        <w:tabs>
          <w:tab w:leader="none" w:pos="2577" w:val="left"/>
        </w:tabs>
        <w:numPr>
          <w:ilvl w:val="1"/>
          <w:numId w:val="133"/>
        </w:numPr>
        <w:rPr>
          <w:rFonts w:ascii="Arial" w:cs="Arial" w:eastAsia="Arial" w:hAnsi="Arial"/>
          <w:sz w:val="16"/>
          <w:szCs w:val="16"/>
          <w:color w:val="auto"/>
        </w:rPr>
      </w:pPr>
      <w:r>
        <w:rPr>
          <w:rFonts w:ascii="Arial" w:cs="Arial" w:eastAsia="Arial" w:hAnsi="Arial"/>
          <w:sz w:val="16"/>
          <w:szCs w:val="16"/>
          <w:u w:val="single" w:color="auto"/>
          <w:color w:val="auto"/>
        </w:rPr>
        <w:t>LC and Fronting Fees</w:t>
      </w:r>
      <w:r>
        <w:rPr>
          <w:rFonts w:ascii="Arial" w:cs="Arial" w:eastAsia="Arial" w:hAnsi="Arial"/>
          <w:sz w:val="16"/>
          <w:szCs w:val="16"/>
          <w:color w:val="auto"/>
        </w:rPr>
        <w:t>. Borrower agrees to pay (i) to the Administrative Agent for the account of each Revolving Lender a participation fee (“</w:t>
      </w:r>
      <w:r>
        <w:rPr>
          <w:rFonts w:ascii="Arial" w:cs="Arial" w:eastAsia="Arial" w:hAnsi="Arial"/>
          <w:sz w:val="16"/>
          <w:szCs w:val="16"/>
          <w:b w:val="1"/>
          <w:bCs w:val="1"/>
          <w:color w:val="auto"/>
        </w:rPr>
        <w:t>LC Participation Fee</w:t>
      </w:r>
      <w:r>
        <w:rPr>
          <w:rFonts w:ascii="Arial" w:cs="Arial" w:eastAsia="Arial" w:hAnsi="Arial"/>
          <w:sz w:val="16"/>
          <w:szCs w:val="16"/>
          <w:color w:val="auto"/>
        </w:rPr>
        <w:t xml:space="preserve">”) with respect to (x) its participations in Dollar denominated Letters of Credit, which shall accrue at a rate equal to the Applicable Margin from time to time used to determine the interest rate on Dollar Revolving Loans that are Eurocurrency Revolving Loans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on the average daily amount of such Lender’s Dollar LC Exposure (excluding any portion thereof attributable to Reimbursement Obligations) during the period from and including the Closing Date to but excluding the later of the date on which such Lender’s Revolving Commitment terminates and the date on which such Lender ceases to have any Dollar LC Exposure, (y) its participations in Euro denominated Letters of Credit, which shall accrue at a rate equal to the Applicable Margin from time to time used to determine the interest rate on Euro Revolving Loans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on the average daily amount of such Lender’s Euro LC Exposure (excluding any portion thereof attributable to Reimbursement Obligations) during the period from and including the Closing Date to but excluding the later of the date on which such Lender’s Revolving Commitment terminates and the date on which such Lender ceases to have any Euro LC Exposure and (z) its participations in GBP denominated Letters of Credit, which shall accrue at a rate equal to the Applicable Margin from time to time used to determine the interest rate on GBP Revolving Loans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on the average daily amount of such Lender’s GBP LC Exposure (excluding any portion thereof attributable to Reimbursement Obligations) during the period from and including the Closing Date to but excluding the later of the date on which such Lender’s Revolving Commitment terminates and the date on which such Lender ceases to have any GBP LC Exposure, and (ii) to each Issuing Bank a fronting fee (“</w:t>
      </w:r>
      <w:r>
        <w:rPr>
          <w:rFonts w:ascii="Arial" w:cs="Arial" w:eastAsia="Arial" w:hAnsi="Arial"/>
          <w:sz w:val="16"/>
          <w:szCs w:val="16"/>
          <w:b w:val="1"/>
          <w:bCs w:val="1"/>
          <w:color w:val="auto"/>
        </w:rPr>
        <w:t>Fronting Fee</w:t>
      </w:r>
      <w:r>
        <w:rPr>
          <w:rFonts w:ascii="Arial" w:cs="Arial" w:eastAsia="Arial" w:hAnsi="Arial"/>
          <w:sz w:val="16"/>
          <w:szCs w:val="16"/>
          <w:color w:val="auto"/>
        </w:rPr>
        <w:t>”), which, (x) in the case of Standby Letters of Credit, shall accrue at the rate of 0.125% per annum on the average daily amount of each of the Dollar LC Exposure, the Euro LC Exposure and the GBP LC Exposure, in each case, in respect of Standby Letters of Credit issued by such Issuing Bank (and in each case excluding any portion thereof attributable to Reimbursement Obligations) during the period from and including the Closing Date to but excluding the later of the date of termination of the Revolving Commitments and the date on which there ceases to be any LC Exposure and (y) in the case of each Commercial Letter of Credit issued by such Issuing Bank, shall be equal to an amount agreed upon between such Issuing Bank and Borrower, in each case, as well as such Issuing Bank’s customary fees with respect to the issuance, amendment, renewal or extension of any such Letters of Credit or processing of drawings thereunder. Accrued Fronting Fees in respect of Standby Letters of Credit and accrued LC Participation Fees shall be payable in arrears (i) on the last Business Day of March, June, September and December of each year, commencing on the first such date to occur after the Closing Date, and (ii) on the date on which the Revolving Commitments terminate. Any such fees accruing after the date on which the Revolving Commitments terminate shall be payable on demand. Fronting Fees in respect of Commercial Letters of Credit shall be payable upon the issuance of such Commercial Letters of Credit. Any other fees payable to the Issuing Bank pursuant to this paragraph shall be payable within 10 days after demand therefor. All Fronting Fees in respect of Standby Letters of Credit and all LC Participation Fees shall be computed on the basis of a year of 360 days and shall be payable for the actual number of days elapsed (including the first day but excluding the last day).</w:t>
      </w: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ind w:right="20" w:firstLine="1305"/>
        <w:spacing w:after="0" w:line="264" w:lineRule="auto"/>
        <w:tabs>
          <w:tab w:leader="none" w:pos="199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Fees shall be paid on the dates due, in immediately available funds in the applicable Approved Currency, to the Administrative Agent for distribution, if and as appropriate, among the Lenders, except that Borrower shall pay the Fronting Fees directly to the Issuing Bank. Once paid, none of the Fees shall be refundable under any circumstances.</w:t>
      </w:r>
    </w:p>
    <w:p>
      <w:pPr>
        <w:spacing w:after="0" w:line="200" w:lineRule="exact"/>
        <w:rPr>
          <w:sz w:val="20"/>
          <w:szCs w:val="20"/>
          <w:color w:val="auto"/>
        </w:rPr>
      </w:pPr>
    </w:p>
    <w:p>
      <w:pPr>
        <w:spacing w:after="0" w:line="27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2.06</w:t>
      </w:r>
      <w:r>
        <w:rPr>
          <w:sz w:val="20"/>
          <w:szCs w:val="20"/>
          <w:color w:val="auto"/>
        </w:rPr>
        <w:tab/>
      </w:r>
      <w:r>
        <w:rPr>
          <w:rFonts w:ascii="Arial" w:cs="Arial" w:eastAsia="Arial" w:hAnsi="Arial"/>
          <w:sz w:val="16"/>
          <w:szCs w:val="16"/>
          <w:b w:val="1"/>
          <w:bCs w:val="1"/>
          <w:u w:val="single" w:color="auto"/>
          <w:color w:val="auto"/>
        </w:rPr>
        <w:t>Interest on Loans</w:t>
      </w:r>
    </w:p>
    <w:p>
      <w:pPr>
        <w:spacing w:after="0" w:line="283" w:lineRule="exact"/>
        <w:rPr>
          <w:sz w:val="20"/>
          <w:szCs w:val="20"/>
          <w:color w:val="auto"/>
        </w:rPr>
      </w:pPr>
    </w:p>
    <w:p>
      <w:pPr>
        <w:ind w:right="300" w:firstLine="1953"/>
        <w:spacing w:after="0" w:line="308" w:lineRule="auto"/>
        <w:tabs>
          <w:tab w:leader="none" w:pos="2577"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ABR Loans</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2.06(d)</w:t>
      </w:r>
      <w:r>
        <w:rPr>
          <w:rFonts w:ascii="Arial" w:cs="Arial" w:eastAsia="Arial" w:hAnsi="Arial"/>
          <w:sz w:val="17"/>
          <w:szCs w:val="17"/>
          <w:color w:val="auto"/>
        </w:rPr>
        <w:t>, the Loans comprising each ABR Borrowing, including each Swingline Loan, shall bear interest at a rate per annum equal to the Alternate Base Rate plus the Applicable Margin in effect from time to time.</w:t>
      </w: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jc w:val="both"/>
        <w:ind w:right="220" w:firstLine="1953"/>
        <w:spacing w:after="0" w:line="264" w:lineRule="auto"/>
        <w:tabs>
          <w:tab w:leader="none" w:pos="2587"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Eurocurrency Loans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2.06(d)</w:t>
      </w:r>
      <w:r>
        <w:rPr>
          <w:rFonts w:ascii="Arial" w:cs="Arial" w:eastAsia="Arial" w:hAnsi="Arial"/>
          <w:sz w:val="18"/>
          <w:szCs w:val="18"/>
          <w:color w:val="auto"/>
        </w:rPr>
        <w:t>, the Loans comprising each Eurocurrency Borrowing shall bear interest at a rate per annum equal to the Adjusted LIBOR Rate for the Interest Period in effect for such Borrowing plus the Applicable Margin in effect from time to time.</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220" w:firstLine="1953"/>
        <w:spacing w:after="0" w:line="264" w:lineRule="auto"/>
        <w:tabs>
          <w:tab w:leader="none" w:pos="2577"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EURIBOR Loans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2.06(d)</w:t>
      </w:r>
      <w:r>
        <w:rPr>
          <w:rFonts w:ascii="Arial" w:cs="Arial" w:eastAsia="Arial" w:hAnsi="Arial"/>
          <w:sz w:val="18"/>
          <w:szCs w:val="18"/>
          <w:color w:val="auto"/>
        </w:rPr>
        <w:t>, the Loans comprising each EURIBOR Borrowing shall bear interest at a rate per annum equal to the Adjusted EURIBOR Rate for the Interest Period in effect for such Borrowing plus the Applicable Margin in effect from time to time.</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60" w:firstLine="1953"/>
        <w:spacing w:after="0" w:line="279" w:lineRule="auto"/>
        <w:tabs>
          <w:tab w:leader="none" w:pos="2587"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Notwithstanding the foregoing, during an Event of Default, all Obligations shall, to the extent permitted by applicable law, bear interest, after as well as before judgment, at a per annum rate equal to (i) in the case of principal of or interest on any Loan, 2%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rate otherwise applicable to such Loan as provided in the preceding paragraphs of this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or (ii) in the case of any other amount, 2%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rate applicable to ABR Revolving Loans as provided in </w:t>
      </w:r>
      <w:r>
        <w:rPr>
          <w:rFonts w:ascii="Arial" w:cs="Arial" w:eastAsia="Arial" w:hAnsi="Arial"/>
          <w:sz w:val="17"/>
          <w:szCs w:val="17"/>
          <w:u w:val="single" w:color="auto"/>
          <w:color w:val="auto"/>
        </w:rPr>
        <w:t>Section 2.06(a)</w:t>
      </w:r>
      <w:r>
        <w:rPr>
          <w:rFonts w:ascii="Arial" w:cs="Arial" w:eastAsia="Arial" w:hAnsi="Arial"/>
          <w:sz w:val="17"/>
          <w:szCs w:val="17"/>
          <w:color w:val="auto"/>
        </w:rPr>
        <w:t xml:space="preserve"> (in either case, the “</w:t>
      </w:r>
      <w:r>
        <w:rPr>
          <w:rFonts w:ascii="Arial" w:cs="Arial" w:eastAsia="Arial" w:hAnsi="Arial"/>
          <w:sz w:val="17"/>
          <w:szCs w:val="17"/>
          <w:b w:val="1"/>
          <w:bCs w:val="1"/>
          <w:color w:val="auto"/>
        </w:rPr>
        <w:t>Default Rate</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right="40" w:firstLine="1953"/>
        <w:spacing w:after="0" w:line="255" w:lineRule="auto"/>
        <w:tabs>
          <w:tab w:leader="none" w:pos="2577"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Interest Payment Dates</w:t>
      </w:r>
      <w:r>
        <w:rPr>
          <w:rFonts w:ascii="Arial" w:cs="Arial" w:eastAsia="Arial" w:hAnsi="Arial"/>
          <w:sz w:val="18"/>
          <w:szCs w:val="18"/>
          <w:color w:val="auto"/>
        </w:rPr>
        <w:t xml:space="preserve">. Accrued interest on each Loan shall be payable in arrears on each Interest Payment Date for such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Section 2.06(d)</w:t>
      </w:r>
      <w:r>
        <w:rPr>
          <w:rFonts w:ascii="Arial" w:cs="Arial" w:eastAsia="Arial" w:hAnsi="Arial"/>
          <w:sz w:val="18"/>
          <w:szCs w:val="18"/>
          <w:color w:val="auto"/>
        </w:rPr>
        <w:t xml:space="preserve"> shall be payable on demand, (ii) in the event of any repayment or prepayment of any Loan (other than a prepayment of an ABR Revolving Loan or a Swingline Loan without a permanent reduction in Revolving Commitments),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right="120" w:firstLine="1953"/>
        <w:spacing w:after="0" w:line="342" w:lineRule="auto"/>
        <w:tabs>
          <w:tab w:leader="none" w:pos="2557"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Interest Calculation</w:t>
      </w:r>
      <w:r>
        <w:rPr>
          <w:rFonts w:ascii="Arial" w:cs="Arial" w:eastAsia="Arial" w:hAnsi="Arial"/>
          <w:sz w:val="16"/>
          <w:szCs w:val="16"/>
          <w:color w:val="auto"/>
        </w:rPr>
        <w:t>. All interest hereunder shall be computed on the basis of a year of 360 days, except that interest computed by reference to the Alternate Base Rate and interest with respect to GBP Revolving Loans and GBP Term Loans shall be computed on the basis of</w:t>
      </w:r>
    </w:p>
    <w:p>
      <w:pPr>
        <w:sectPr>
          <w:pgSz w:w="11900" w:h="16948" w:orient="portrait"/>
          <w:cols w:equalWidth="0" w:num="1">
            <w:col w:w="11420"/>
          </w:cols>
          <w:pgMar w:left="240" w:top="125" w:right="239" w:bottom="0" w:gutter="0" w:footer="0" w:header="0"/>
        </w:sectPr>
      </w:pPr>
    </w:p>
    <w:bookmarkStart w:id="83" w:name="page84"/>
    <w:bookmarkEnd w:id="83"/>
    <w:p>
      <w:pPr>
        <w:jc w:val="both"/>
        <w:ind w:right="140"/>
        <w:spacing w:after="0" w:line="264" w:lineRule="auto"/>
        <w:rPr>
          <w:sz w:val="20"/>
          <w:szCs w:val="20"/>
          <w:color w:val="auto"/>
        </w:rPr>
      </w:pPr>
      <w:r>
        <w:rPr>
          <w:rFonts w:ascii="Arial" w:cs="Arial" w:eastAsia="Arial" w:hAnsi="Arial"/>
          <w:sz w:val="18"/>
          <w:szCs w:val="18"/>
          <w:color w:val="auto"/>
        </w:rPr>
        <w:t>a year of 365 days (or 366 days in a leap year), and in each case shall be payable for the actual number of days elapsed (including the first day but excluding the last day). The applicable Alternate Base Rate, Adjusted LIBOR Rate or EURIBOR Rate shall be determined by the Administrative Agent in accordance with the provisions of this Agreement and such determination shall be conclusive absent manifest error.</w:t>
      </w:r>
    </w:p>
    <w:p>
      <w:pPr>
        <w:spacing w:after="0" w:line="200" w:lineRule="exact"/>
        <w:rPr>
          <w:sz w:val="20"/>
          <w:szCs w:val="20"/>
          <w:color w:val="auto"/>
        </w:rPr>
      </w:pPr>
    </w:p>
    <w:p>
      <w:pPr>
        <w:spacing w:after="0" w:line="278" w:lineRule="exact"/>
        <w:rPr>
          <w:sz w:val="20"/>
          <w:szCs w:val="20"/>
          <w:color w:val="auto"/>
        </w:rPr>
      </w:pPr>
    </w:p>
    <w:p>
      <w:pPr>
        <w:ind w:right="100" w:firstLine="1953"/>
        <w:spacing w:after="0" w:line="277" w:lineRule="auto"/>
        <w:tabs>
          <w:tab w:leader="none" w:pos="2587"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Currency for Payment of Interest</w:t>
      </w:r>
      <w:r>
        <w:rPr>
          <w:rFonts w:ascii="Arial" w:cs="Arial" w:eastAsia="Arial" w:hAnsi="Arial"/>
          <w:sz w:val="18"/>
          <w:szCs w:val="18"/>
          <w:color w:val="auto"/>
        </w:rPr>
        <w:t xml:space="preserve">. All interest paid or payable pursuant to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be paid in the Approved Currency in which the Loan giving rise to such interest is denominated.</w:t>
      </w:r>
    </w:p>
    <w:p>
      <w:pPr>
        <w:spacing w:after="0" w:line="200" w:lineRule="exact"/>
        <w:rPr>
          <w:sz w:val="20"/>
          <w:szCs w:val="20"/>
          <w:color w:val="auto"/>
        </w:rPr>
      </w:pPr>
    </w:p>
    <w:p>
      <w:pPr>
        <w:spacing w:after="0" w:line="26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2.07</w:t>
      </w:r>
      <w:r>
        <w:rPr>
          <w:sz w:val="20"/>
          <w:szCs w:val="20"/>
          <w:color w:val="auto"/>
        </w:rPr>
        <w:tab/>
      </w:r>
      <w:r>
        <w:rPr>
          <w:rFonts w:ascii="Arial" w:cs="Arial" w:eastAsia="Arial" w:hAnsi="Arial"/>
          <w:sz w:val="16"/>
          <w:szCs w:val="16"/>
          <w:b w:val="1"/>
          <w:bCs w:val="1"/>
          <w:u w:val="single" w:color="auto"/>
          <w:color w:val="auto"/>
        </w:rPr>
        <w:t>Termination and Reduction of Commitments</w:t>
      </w:r>
      <w:r>
        <w:rPr>
          <w:rFonts w:ascii="Arial" w:cs="Arial" w:eastAsia="Arial" w:hAnsi="Arial"/>
          <w:sz w:val="16"/>
          <w:szCs w:val="16"/>
          <w:b w:val="1"/>
          <w:bCs w:val="1"/>
          <w:color w:val="auto"/>
        </w:rPr>
        <w:t>.</w:t>
      </w:r>
    </w:p>
    <w:p>
      <w:pPr>
        <w:sectPr>
          <w:pgSz w:w="11900" w:h="16838" w:orient="portrait"/>
          <w:cols w:equalWidth="0" w:num="1">
            <w:col w:w="11420"/>
          </w:cols>
          <w:pgMar w:left="240" w:top="125" w:right="239" w:bottom="396"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time, on the Closing Date.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Revolving Maturity Date.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27" w:right="160" w:hanging="27"/>
        <w:spacing w:after="0" w:line="308" w:lineRule="auto"/>
        <w:tabs>
          <w:tab w:leader="none" w:pos="627"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Termination of Commitments</w:t>
      </w:r>
      <w:r>
        <w:rPr>
          <w:rFonts w:ascii="Arial" w:cs="Arial" w:eastAsia="Arial" w:hAnsi="Arial"/>
          <w:sz w:val="17"/>
          <w:szCs w:val="17"/>
          <w:color w:val="auto"/>
        </w:rPr>
        <w:t>. The Term Loan Commitments shall automatically terminate at 5:00 p.m., New York City The Revolving Commitments, the Swingline Commitment and the LC Commitment shall automatically terminate on the</w:t>
      </w:r>
    </w:p>
    <w:p>
      <w:pPr>
        <w:spacing w:after="0" w:line="340" w:lineRule="exact"/>
        <w:rPr>
          <w:sz w:val="20"/>
          <w:szCs w:val="20"/>
          <w:color w:val="auto"/>
        </w:rPr>
      </w:pPr>
    </w:p>
    <w:p>
      <w:pPr>
        <w:sectPr>
          <w:pgSz w:w="11900" w:h="16838" w:orient="portrait"/>
          <w:cols w:equalWidth="0" w:num="2">
            <w:col w:w="1900" w:space="53"/>
            <w:col w:w="9467"/>
          </w:cols>
          <w:pgMar w:left="240" w:top="125" w:right="239" w:bottom="396" w:gutter="0" w:footer="0" w:header="0"/>
          <w:type w:val="continuous"/>
        </w:sectPr>
      </w:pPr>
    </w:p>
    <w:p>
      <w:pPr>
        <w:spacing w:after="0" w:line="319" w:lineRule="exact"/>
        <w:rPr>
          <w:sz w:val="20"/>
          <w:szCs w:val="20"/>
          <w:color w:val="auto"/>
        </w:rPr>
      </w:pPr>
    </w:p>
    <w:p>
      <w:pPr>
        <w:ind w:right="180" w:firstLine="1953"/>
        <w:spacing w:after="0" w:line="257" w:lineRule="auto"/>
        <w:tabs>
          <w:tab w:leader="none" w:pos="2587"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Optional Terminations and Reductions</w:t>
      </w:r>
      <w:r>
        <w:rPr>
          <w:rFonts w:ascii="Arial" w:cs="Arial" w:eastAsia="Arial" w:hAnsi="Arial"/>
          <w:sz w:val="18"/>
          <w:szCs w:val="18"/>
          <w:color w:val="auto"/>
        </w:rPr>
        <w:t xml:space="preserve">. At its option, Borrower may at any time terminate, or from time to time permanently reduce, the Revolving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each reduction of the Revolving Commitments shall be in an amount that is an integral multiple of $5.0 million and not less than $10.0 million and (ii) the Revolving Commitments shall not be terminated or reduced if, after giving effect to any concurrent prepayment of the Revolving Loans in accordance with </w:t>
      </w:r>
      <w:r>
        <w:rPr>
          <w:rFonts w:ascii="Arial" w:cs="Arial" w:eastAsia="Arial" w:hAnsi="Arial"/>
          <w:sz w:val="18"/>
          <w:szCs w:val="18"/>
          <w:u w:val="single" w:color="auto"/>
          <w:color w:val="auto"/>
        </w:rPr>
        <w:t>Section 2.10</w:t>
      </w:r>
      <w:r>
        <w:rPr>
          <w:rFonts w:ascii="Arial" w:cs="Arial" w:eastAsia="Arial" w:hAnsi="Arial"/>
          <w:sz w:val="18"/>
          <w:szCs w:val="18"/>
          <w:color w:val="auto"/>
        </w:rPr>
        <w:t>, the aggregate amount of Revolving Exposures would exceed the aggregate amount of Revolving Commitments.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right="100" w:firstLine="1953"/>
        <w:spacing w:after="0" w:line="254" w:lineRule="auto"/>
        <w:tabs>
          <w:tab w:leader="none" w:pos="2577"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Borrower Notice</w:t>
      </w:r>
      <w:r>
        <w:rPr>
          <w:rFonts w:ascii="Arial" w:cs="Arial" w:eastAsia="Arial" w:hAnsi="Arial"/>
          <w:sz w:val="18"/>
          <w:szCs w:val="18"/>
          <w:color w:val="auto"/>
        </w:rPr>
        <w:t xml:space="preserve">. Borrower shall notify the Administrative Agent in writing of any election to terminate or reduce the Commitments under </w:t>
      </w:r>
      <w:r>
        <w:rPr>
          <w:rFonts w:ascii="Arial" w:cs="Arial" w:eastAsia="Arial" w:hAnsi="Arial"/>
          <w:sz w:val="18"/>
          <w:szCs w:val="18"/>
          <w:u w:val="single" w:color="auto"/>
          <w:color w:val="auto"/>
        </w:rPr>
        <w:t>Section 2.07(b)</w:t>
      </w:r>
      <w:r>
        <w:rPr>
          <w:rFonts w:ascii="Arial" w:cs="Arial" w:eastAsia="Arial" w:hAnsi="Arial"/>
          <w:sz w:val="18"/>
          <w:szCs w:val="18"/>
          <w:color w:val="auto"/>
        </w:rPr>
        <w:t xml:space="preserve">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Borrower pursuant to this Section shall be irrevocable;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notice of termination of the Commitments delivered by Borrower may state that such notice is conditioned upon the effectiveness of other credit facilities, in which case such notice may be revoked by Borrower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spacing w:after="0" w:line="200" w:lineRule="exact"/>
        <w:rPr>
          <w:sz w:val="20"/>
          <w:szCs w:val="20"/>
          <w:color w:val="auto"/>
        </w:rPr>
      </w:pPr>
    </w:p>
    <w:p>
      <w:pPr>
        <w:spacing w:after="0" w:line="28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6"/>
          <w:szCs w:val="16"/>
          <w:b w:val="1"/>
          <w:bCs w:val="1"/>
          <w:u w:val="single" w:color="auto"/>
          <w:color w:val="auto"/>
        </w:rPr>
        <w:t>Interest Elections</w:t>
      </w:r>
    </w:p>
    <w:p>
      <w:pPr>
        <w:spacing w:after="0" w:line="283" w:lineRule="exact"/>
        <w:rPr>
          <w:sz w:val="20"/>
          <w:szCs w:val="20"/>
          <w:color w:val="auto"/>
        </w:rPr>
      </w:pPr>
    </w:p>
    <w:p>
      <w:pPr>
        <w:ind w:right="80" w:firstLine="1953"/>
        <w:spacing w:after="0" w:line="283" w:lineRule="auto"/>
        <w:tabs>
          <w:tab w:leader="none" w:pos="2577"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Each Borrowing of Dollar Loans initially shall be of the Type specified in the applicable Borrowing Request and, in the case of a Eurocurrency Borrowing, shall have an initial Interest Period as specified in such Borrowing Request (which shall be a period permitted by the definition of the term “Interest Period”). Thereafter, Borrower may elect to convert such Borrowing to a different Type or to continue such Borrowing and, in the case of a Eurocurrency Borrowing, may elect Interest Periods therefor, all as provided in this Section. Each Borrowing of Euro Loans shall be a EURIBOR Borrowing and shall have an initial Interest Period as specified in such Borrowing Request (which shall be a period permitted by the definition of the term “Interest Period”); thereafter, Borrower may elect Interest Periods therefor, all as provided in this Section. Each Borrowing of GBP Loans shall be a Eurocurrency Borrowing and shall have an initial Interest Period as specified in such Borrowing Request (which shall be a period permitted by the definition of the term “Interest Period”); thereafter, Borrower may elect Interest Periods therefor, all as provided in this Section. Borrowings consisting of Alternate Currency Loans may not be converted to a different Type.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Notwithstanding anything to the contrary, Borrower shall not be entitled to request any conversion or continuation that, if made, would result in more than (i) ten Eurocurrency Borrowings of Dollar Loans, (ii) five Eurocurrency Borrowings of GBP Loans or</w:t>
      </w:r>
    </w:p>
    <w:p>
      <w:pPr>
        <w:spacing w:after="0" w:line="3" w:lineRule="exact"/>
        <w:rPr>
          <w:rFonts w:ascii="Arial" w:cs="Arial" w:eastAsia="Arial" w:hAnsi="Arial"/>
          <w:sz w:val="16"/>
          <w:szCs w:val="16"/>
          <w:color w:val="auto"/>
        </w:rPr>
      </w:pPr>
    </w:p>
    <w:p>
      <w:pPr>
        <w:ind w:right="20" w:firstLine="8"/>
        <w:spacing w:after="0" w:line="261" w:lineRule="auto"/>
        <w:tabs>
          <w:tab w:leader="none" w:pos="31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ten EURIBOR Borrowings outstanding hereunder at any one time. This Section shall not apply to Swingline Borrowings, which may not be converted or continued.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firstLine="1953"/>
        <w:spacing w:after="0" w:line="257" w:lineRule="auto"/>
        <w:tabs>
          <w:tab w:leader="none" w:pos="2587"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Interest Election Notice</w:t>
      </w:r>
      <w:r>
        <w:rPr>
          <w:rFonts w:ascii="Arial" w:cs="Arial" w:eastAsia="Arial" w:hAnsi="Arial"/>
          <w:sz w:val="18"/>
          <w:szCs w:val="18"/>
          <w:color w:val="auto"/>
        </w:rPr>
        <w:t xml:space="preserve">. To make an election pursuant to this Section, Borrower shall deliver, by hand delivery, telecopier or electronic mail, a duly completed and executed Interest Election Request to the Administrative Agent not later than the time that a Borrowing Request would be required under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if Borrower were requesting a Revolving Borrowing or Term Borrowing of the Type resulting from such election to be made on the effective date of such election. Each Interest Election Request shall be irrevocable. Each Interest Election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660" w:right="80" w:firstLine="2913"/>
        <w:spacing w:after="0" w:line="312" w:lineRule="auto"/>
        <w:tabs>
          <w:tab w:leader="none" w:pos="4179" w:val="left"/>
        </w:tabs>
        <w:numPr>
          <w:ilvl w:val="2"/>
          <w:numId w:val="140"/>
        </w:numPr>
        <w:rPr>
          <w:rFonts w:ascii="Arial" w:cs="Arial" w:eastAsia="Arial" w:hAnsi="Arial"/>
          <w:sz w:val="16"/>
          <w:szCs w:val="16"/>
          <w:color w:val="auto"/>
        </w:rPr>
      </w:pPr>
      <w:r>
        <w:rPr>
          <w:rFonts w:ascii="Arial" w:cs="Arial" w:eastAsia="Arial" w:hAnsi="Arial"/>
          <w:sz w:val="16"/>
          <w:szCs w:val="16"/>
          <w:color w:val="auto"/>
        </w:rPr>
        <w:t>the Borrowing to which such Interest Election Request applies and, if different options are being elected with respect to different portions thereof, or if outstanding Borrowings are being combined, allocation to each resulting Borrowing (in which case the information to be specified pursuant to clauses (iii) and (iv) below shall be specified for each resulting Borrowing);</w:t>
      </w: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ind w:left="4220" w:hanging="647"/>
        <w:spacing w:after="0"/>
        <w:tabs>
          <w:tab w:leader="none" w:pos="4220" w:val="left"/>
        </w:tabs>
        <w:numPr>
          <w:ilvl w:val="2"/>
          <w:numId w:val="140"/>
        </w:numPr>
        <w:rPr>
          <w:rFonts w:ascii="Arial" w:cs="Arial" w:eastAsia="Arial" w:hAnsi="Arial"/>
          <w:sz w:val="16"/>
          <w:szCs w:val="16"/>
          <w:color w:val="auto"/>
        </w:rPr>
      </w:pPr>
      <w:r>
        <w:rPr>
          <w:rFonts w:ascii="Arial" w:cs="Arial" w:eastAsia="Arial" w:hAnsi="Arial"/>
          <w:sz w:val="16"/>
          <w:szCs w:val="16"/>
          <w:color w:val="auto"/>
        </w:rPr>
        <w:t>the effective date of the election made pursuant to such Interest Election Request, which shall be a</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Business Day;</w:t>
      </w: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4280" w:hanging="707"/>
        <w:spacing w:after="0"/>
        <w:tabs>
          <w:tab w:leader="none" w:pos="4280" w:val="left"/>
        </w:tabs>
        <w:numPr>
          <w:ilvl w:val="2"/>
          <w:numId w:val="140"/>
        </w:numPr>
        <w:rPr>
          <w:rFonts w:ascii="Arial" w:cs="Arial" w:eastAsia="Arial" w:hAnsi="Arial"/>
          <w:sz w:val="16"/>
          <w:szCs w:val="16"/>
          <w:color w:val="auto"/>
        </w:rPr>
      </w:pPr>
      <w:r>
        <w:rPr>
          <w:rFonts w:ascii="Arial" w:cs="Arial" w:eastAsia="Arial" w:hAnsi="Arial"/>
          <w:sz w:val="16"/>
          <w:szCs w:val="16"/>
          <w:color w:val="auto"/>
        </w:rPr>
        <w:t>in the case of a Borrowing consisting of Dollar Loans, whether the resulting Borrowing is to be an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ABR Borrowing or a Eurocurrency Borrowing;</w:t>
      </w:r>
    </w:p>
    <w:p>
      <w:pPr>
        <w:sectPr>
          <w:pgSz w:w="11900" w:h="16838" w:orient="portrait"/>
          <w:cols w:equalWidth="0" w:num="1">
            <w:col w:w="11420"/>
          </w:cols>
          <w:pgMar w:left="240" w:top="125" w:right="239" w:bottom="396" w:gutter="0" w:footer="0" w:header="0"/>
          <w:type w:val="continuous"/>
        </w:sectPr>
      </w:pPr>
    </w:p>
    <w:bookmarkStart w:id="84" w:name="page85"/>
    <w:bookmarkEnd w:id="84"/>
    <w:p>
      <w:pPr>
        <w:spacing w:after="0" w:line="52" w:lineRule="exact"/>
        <w:rPr>
          <w:sz w:val="20"/>
          <w:szCs w:val="20"/>
          <w:color w:val="auto"/>
        </w:rPr>
      </w:pPr>
    </w:p>
    <w:p>
      <w:pPr>
        <w:ind w:left="660" w:right="160" w:firstLine="2913"/>
        <w:spacing w:after="0" w:line="264" w:lineRule="auto"/>
        <w:tabs>
          <w:tab w:leader="none" w:pos="426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the relevant Borrowing is a Eurocurrency Borrowing or a EURIBOR Borrowing, the Interest Period to be applicable thereto after giving effect to such election, which shall be a period permitted by the definition of the term “Interest Period”; and</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4220" w:hanging="647"/>
        <w:spacing w:after="0"/>
        <w:tabs>
          <w:tab w:leader="none" w:pos="42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 the case of a Borrowing consisting of Alternate Currency Loans, the Alternate Currency of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Borrowing.</w:t>
      </w:r>
    </w:p>
    <w:p>
      <w:pPr>
        <w:spacing w:after="0" w:line="200" w:lineRule="exact"/>
        <w:rPr>
          <w:sz w:val="20"/>
          <w:szCs w:val="20"/>
          <w:color w:val="auto"/>
        </w:rPr>
      </w:pPr>
    </w:p>
    <w:p>
      <w:pPr>
        <w:spacing w:after="0" w:line="281" w:lineRule="exact"/>
        <w:rPr>
          <w:sz w:val="20"/>
          <w:szCs w:val="20"/>
          <w:color w:val="auto"/>
        </w:rPr>
      </w:pPr>
    </w:p>
    <w:p>
      <w:pPr>
        <w:ind w:right="240" w:firstLine="1297"/>
        <w:spacing w:after="0" w:line="342" w:lineRule="auto"/>
        <w:rPr>
          <w:sz w:val="20"/>
          <w:szCs w:val="20"/>
          <w:color w:val="auto"/>
        </w:rPr>
      </w:pPr>
      <w:r>
        <w:rPr>
          <w:rFonts w:ascii="Arial" w:cs="Arial" w:eastAsia="Arial" w:hAnsi="Arial"/>
          <w:sz w:val="16"/>
          <w:szCs w:val="16"/>
          <w:color w:val="auto"/>
        </w:rPr>
        <w:t>If any such Interest Election Request requests a Eurocurrency Borrowing or a continuation of a Eurocurrency Borrowing or a EURIBOR Borrowing but does not specify an Interest Period, then Borrower shall be deemed to have selected an Interest Period of one month’s duration.</w:t>
      </w:r>
    </w:p>
    <w:p>
      <w:pPr>
        <w:spacing w:after="0" w:line="394"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200" w:lineRule="exact"/>
        <w:rPr>
          <w:sz w:val="20"/>
          <w:szCs w:val="20"/>
          <w:color w:val="auto"/>
        </w:rPr>
      </w:pPr>
    </w:p>
    <w:p>
      <w:pPr>
        <w:spacing w:after="0" w:line="268" w:lineRule="exact"/>
        <w:rPr>
          <w:sz w:val="20"/>
          <w:szCs w:val="20"/>
          <w:color w:val="auto"/>
        </w:rPr>
      </w:pPr>
    </w:p>
    <w:p>
      <w:pPr>
        <w:ind w:right="60" w:firstLine="1953"/>
        <w:spacing w:after="0" w:line="253" w:lineRule="auto"/>
        <w:tabs>
          <w:tab w:leader="none" w:pos="2577"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Automatic Conversion to ABR Borrowing; Automatic Continuation</w:t>
      </w:r>
      <w:r>
        <w:rPr>
          <w:rFonts w:ascii="Arial" w:cs="Arial" w:eastAsia="Arial" w:hAnsi="Arial"/>
          <w:sz w:val="18"/>
          <w:szCs w:val="18"/>
          <w:color w:val="auto"/>
        </w:rPr>
        <w:t>. If an Interest Election Request with respect to a Eurocurrency Borrowing of Dollar Loans is not timely delivered prior to the end of the Interest Period applicable thereto, then, unless such Borrowing is repaid as provided herein, at the end of such Interest Period such Borrowing shall be converted to an ABR Borrowing. If an Interest Election Request with respect to a Eurocurrency Borrowing of GBP Loans or a EURIBOR Borrowing is not timely delivered prior to the end of the Interest Period applicable thereto, then, unless such Borrowing is repaid as provided herein, Borrower shall be deemed to have delivered an Interest Election Request requesting an Interest Period of one month’s duration. Notwithstanding any contrary provision hereof, if an Event of Default has occurred and is continuing, the Administrative Agent or the Required Lenders may require, by notice to Borrower, that (i) no outstanding Borrowing of Dollar Loans may be converted to or continued as a Eurocurrency Borrowing and (ii) unless repaid, each Eurocurrency Borrowing of Dollar Loans shall be converted to an ABR Borrowing at the end of the Interest Period applicable thereto.</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200" w:firstLine="1953"/>
        <w:spacing w:after="0" w:line="264" w:lineRule="auto"/>
        <w:tabs>
          <w:tab w:leader="none" w:pos="2587"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No Discharge, etc.</w:t>
      </w:r>
      <w:r>
        <w:rPr>
          <w:rFonts w:ascii="Arial" w:cs="Arial" w:eastAsia="Arial" w:hAnsi="Arial"/>
          <w:sz w:val="18"/>
          <w:szCs w:val="18"/>
          <w:color w:val="auto"/>
        </w:rPr>
        <w:t xml:space="preserve"> For greater certainty, and notwithstanding any of the foregoing, no conversion hereunder shall be or be deemed to be a discharge, rescission, extinguishment, novation, issue, repayment, advance, disposition or substitution of any Loan and any Loan so converted shall continue to be the same obligation and not a new obligation.</w:t>
      </w:r>
    </w:p>
    <w:p>
      <w:pPr>
        <w:spacing w:after="0" w:line="200" w:lineRule="exact"/>
        <w:rPr>
          <w:sz w:val="20"/>
          <w:szCs w:val="20"/>
          <w:color w:val="auto"/>
        </w:rPr>
      </w:pPr>
    </w:p>
    <w:p>
      <w:pPr>
        <w:spacing w:after="0" w:line="27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6"/>
          <w:szCs w:val="16"/>
          <w:b w:val="1"/>
          <w:bCs w:val="1"/>
          <w:u w:val="single" w:color="auto"/>
          <w:color w:val="auto"/>
        </w:rPr>
        <w:t>Amortization of Term Borrowings</w:t>
      </w:r>
    </w:p>
    <w:p>
      <w:pPr>
        <w:spacing w:after="0" w:line="256" w:lineRule="exact"/>
        <w:rPr>
          <w:sz w:val="20"/>
          <w:szCs w:val="20"/>
          <w:color w:val="auto"/>
        </w:rPr>
      </w:pPr>
    </w:p>
    <w:p>
      <w:pPr>
        <w:ind w:firstLine="8"/>
        <w:spacing w:after="0" w:line="255" w:lineRule="auto"/>
        <w:tabs>
          <w:tab w:leader="none" w:pos="1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Borrower shall pay to the Administrative Agent, for the account of the Lenders, on the dates set forth on </w:t>
      </w:r>
      <w:r>
        <w:rPr>
          <w:rFonts w:ascii="Arial" w:cs="Arial" w:eastAsia="Arial" w:hAnsi="Arial"/>
          <w:sz w:val="18"/>
          <w:szCs w:val="18"/>
          <w:u w:val="single" w:color="auto"/>
          <w:color w:val="auto"/>
        </w:rPr>
        <w:t>Annex II</w:t>
      </w:r>
      <w:r>
        <w:rPr>
          <w:rFonts w:ascii="Arial" w:cs="Arial" w:eastAsia="Arial" w:hAnsi="Arial"/>
          <w:sz w:val="18"/>
          <w:szCs w:val="18"/>
          <w:color w:val="auto"/>
        </w:rPr>
        <w:t>, or if any such date is not a Business Day, on the immediately preceding Business Day (each such date, a “</w:t>
      </w:r>
      <w:r>
        <w:rPr>
          <w:rFonts w:ascii="Arial" w:cs="Arial" w:eastAsia="Arial" w:hAnsi="Arial"/>
          <w:sz w:val="18"/>
          <w:szCs w:val="18"/>
          <w:b w:val="1"/>
          <w:bCs w:val="1"/>
          <w:color w:val="auto"/>
        </w:rPr>
        <w:t>Term Loan Repayment Date</w:t>
      </w:r>
      <w:r>
        <w:rPr>
          <w:rFonts w:ascii="Arial" w:cs="Arial" w:eastAsia="Arial" w:hAnsi="Arial"/>
          <w:sz w:val="18"/>
          <w:szCs w:val="18"/>
          <w:color w:val="auto"/>
        </w:rPr>
        <w:t xml:space="preserve">”), a principal amount of the Dollar Term Loans, the Euro Term Loans and the GBP Term Loans equal to the amount set forth on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for such date (as adjusted from time to time pursuant to </w:t>
      </w:r>
      <w:r>
        <w:rPr>
          <w:rFonts w:ascii="Arial" w:cs="Arial" w:eastAsia="Arial" w:hAnsi="Arial"/>
          <w:sz w:val="18"/>
          <w:szCs w:val="18"/>
          <w:u w:val="single" w:color="auto"/>
          <w:color w:val="auto"/>
        </w:rPr>
        <w:t>Section 2.10(g)</w:t>
      </w:r>
      <w:r>
        <w:rPr>
          <w:rFonts w:ascii="Arial" w:cs="Arial" w:eastAsia="Arial" w:hAnsi="Arial"/>
          <w:sz w:val="18"/>
          <w:szCs w:val="18"/>
          <w:color w:val="auto"/>
        </w:rPr>
        <w:t>), together in each case with accrued and unpaid interest on the principal amount to be paid to but excluding the date of such payment. To the extent not previously paid, all Term Loans shall be due and payable on the Term Loan Maturity Date, together with accrued and unpaid interest on the principal amount to be paid to but excluding the date of such payment.</w:t>
      </w:r>
    </w:p>
    <w:p>
      <w:pPr>
        <w:spacing w:after="0" w:line="200" w:lineRule="exact"/>
        <w:rPr>
          <w:sz w:val="20"/>
          <w:szCs w:val="20"/>
          <w:color w:val="auto"/>
        </w:rPr>
      </w:pPr>
    </w:p>
    <w:p>
      <w:pPr>
        <w:spacing w:after="0" w:line="286"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u w:val="single" w:color="auto"/>
          <w:color w:val="auto"/>
        </w:rPr>
        <w:t>Optional and Mandatory Prepayments of Loans</w:t>
      </w:r>
    </w:p>
    <w:p>
      <w:pPr>
        <w:spacing w:after="0" w:line="283" w:lineRule="exact"/>
        <w:rPr>
          <w:sz w:val="20"/>
          <w:szCs w:val="20"/>
          <w:color w:val="auto"/>
        </w:rPr>
      </w:pPr>
    </w:p>
    <w:p>
      <w:pPr>
        <w:ind w:right="140" w:firstLine="1953"/>
        <w:spacing w:after="0" w:line="276" w:lineRule="auto"/>
        <w:tabs>
          <w:tab w:leader="none" w:pos="2577"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Borrower shall have the right at any time and from time to time to prepay any Borrowing, in whole or in part, subject to the requirements of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partial prepayment of (i) any Borrowing of Dollar Loans shall be in an amount that is an integral multiple of $5.0 million and not less than $10.0 million, (ii) any Borrowing of Euro Loans shall be in an amount that is an integral multiple of €5.0 million and not less than €10.0 million and (iii) any Borrowing of GBP Loans shall be in an amount that is an integral multiple of £2.5 million and not less than £5.0 million or, in each case, if less, the outstanding principal amount of such Borrowing.</w:t>
      </w: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2600" w:hanging="647"/>
        <w:spacing w:after="0"/>
        <w:tabs>
          <w:tab w:leader="none" w:pos="26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Revolving Loan Prepayments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660" w:right="100" w:firstLine="2913"/>
        <w:spacing w:after="0" w:line="286" w:lineRule="auto"/>
        <w:tabs>
          <w:tab w:leader="none" w:pos="4179"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In the event of the termination of all the Revolving Commitments, Borrower shall, on the date of such termination, repay or prepay all its outstanding Revolving Borrowings and all outstanding Swingline Loans and replace all outstanding Letters of Credit or cash collateralize all outstanding Letters of Credit in accordance with the procedures set forth in Section </w:t>
      </w:r>
      <w:r>
        <w:rPr>
          <w:rFonts w:ascii="Arial" w:cs="Arial" w:eastAsia="Arial" w:hAnsi="Arial"/>
          <w:sz w:val="17"/>
          <w:szCs w:val="17"/>
          <w:u w:val="single" w:color="auto"/>
          <w:color w:val="auto"/>
        </w:rPr>
        <w:t>2.18(i)</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left="660" w:right="120" w:firstLine="2913"/>
        <w:spacing w:after="0" w:line="273" w:lineRule="auto"/>
        <w:tabs>
          <w:tab w:leader="none" w:pos="4229"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In the event of any partial reduction of the Revolving Commitments, then (x) at or prior to the effective date of such reduction, the Administrative Agent shall notify Borrower and the Revolving Lenders of the sum of the Revolving Exposures after giving effect thereto and (y) if the sum of the Revolving Exposures would exceed the aggregate amount of Revolving Commitments after giving effect to such reduction, then Borrower shall, on the date of such reduction, </w:t>
      </w:r>
      <w:r>
        <w:rPr>
          <w:rFonts w:ascii="Arial" w:cs="Arial" w:eastAsia="Arial" w:hAnsi="Arial"/>
          <w:sz w:val="17"/>
          <w:szCs w:val="17"/>
          <w:i w:val="1"/>
          <w:iCs w:val="1"/>
          <w:color w:val="auto"/>
        </w:rPr>
        <w:t>first</w:t>
      </w:r>
      <w:r>
        <w:rPr>
          <w:rFonts w:ascii="Arial" w:cs="Arial" w:eastAsia="Arial" w:hAnsi="Arial"/>
          <w:sz w:val="17"/>
          <w:szCs w:val="17"/>
          <w:color w:val="auto"/>
        </w:rPr>
        <w:t xml:space="preserve">, repay or prepay Swingline Loans, </w:t>
      </w:r>
      <w:r>
        <w:rPr>
          <w:rFonts w:ascii="Arial" w:cs="Arial" w:eastAsia="Arial" w:hAnsi="Arial"/>
          <w:sz w:val="17"/>
          <w:szCs w:val="17"/>
          <w:i w:val="1"/>
          <w:iCs w:val="1"/>
          <w:color w:val="auto"/>
        </w:rPr>
        <w:t>second</w:t>
      </w:r>
      <w:r>
        <w:rPr>
          <w:rFonts w:ascii="Arial" w:cs="Arial" w:eastAsia="Arial" w:hAnsi="Arial"/>
          <w:sz w:val="17"/>
          <w:szCs w:val="17"/>
          <w:color w:val="auto"/>
        </w:rPr>
        <w:t xml:space="preserve">, repay or prepay Revolving Borrowings and </w:t>
      </w:r>
      <w:r>
        <w:rPr>
          <w:rFonts w:ascii="Arial" w:cs="Arial" w:eastAsia="Arial" w:hAnsi="Arial"/>
          <w:sz w:val="17"/>
          <w:szCs w:val="17"/>
          <w:i w:val="1"/>
          <w:iCs w:val="1"/>
          <w:color w:val="auto"/>
        </w:rPr>
        <w:t>third</w:t>
      </w:r>
      <w:r>
        <w:rPr>
          <w:rFonts w:ascii="Arial" w:cs="Arial" w:eastAsia="Arial" w:hAnsi="Arial"/>
          <w:sz w:val="17"/>
          <w:szCs w:val="17"/>
          <w:color w:val="auto"/>
        </w:rPr>
        <w:t xml:space="preserve">, replace outstanding Letters of Credit or cash collateralize outstanding Letters of Credit in accordance with the procedures set forth in </w:t>
      </w:r>
      <w:r>
        <w:rPr>
          <w:rFonts w:ascii="Arial" w:cs="Arial" w:eastAsia="Arial" w:hAnsi="Arial"/>
          <w:sz w:val="17"/>
          <w:szCs w:val="17"/>
          <w:u w:val="single" w:color="auto"/>
          <w:color w:val="auto"/>
        </w:rPr>
        <w:t>Section 2.18(i)</w:t>
      </w:r>
      <w:r>
        <w:rPr>
          <w:rFonts w:ascii="Arial" w:cs="Arial" w:eastAsia="Arial" w:hAnsi="Arial"/>
          <w:sz w:val="17"/>
          <w:szCs w:val="17"/>
          <w:color w:val="auto"/>
        </w:rPr>
        <w:t>, in an aggregate amount sufficient to eliminate such excess.</w:t>
      </w:r>
    </w:p>
    <w:p>
      <w:pPr>
        <w:spacing w:after="0" w:line="200" w:lineRule="exact"/>
        <w:rPr>
          <w:rFonts w:ascii="Arial" w:cs="Arial" w:eastAsia="Arial" w:hAnsi="Arial"/>
          <w:sz w:val="17"/>
          <w:szCs w:val="17"/>
          <w:color w:val="auto"/>
        </w:rPr>
      </w:pPr>
    </w:p>
    <w:p>
      <w:pPr>
        <w:spacing w:after="0" w:line="275" w:lineRule="exact"/>
        <w:rPr>
          <w:rFonts w:ascii="Arial" w:cs="Arial" w:eastAsia="Arial" w:hAnsi="Arial"/>
          <w:sz w:val="17"/>
          <w:szCs w:val="17"/>
          <w:color w:val="auto"/>
        </w:rPr>
      </w:pPr>
    </w:p>
    <w:p>
      <w:pPr>
        <w:ind w:left="660" w:right="180" w:firstLine="2913"/>
        <w:spacing w:after="0" w:line="302" w:lineRule="auto"/>
        <w:tabs>
          <w:tab w:leader="none" w:pos="4279" w:val="left"/>
        </w:tabs>
        <w:numPr>
          <w:ilvl w:val="1"/>
          <w:numId w:val="144"/>
        </w:numPr>
        <w:rPr>
          <w:rFonts w:ascii="Arial" w:cs="Arial" w:eastAsia="Arial" w:hAnsi="Arial"/>
          <w:sz w:val="16"/>
          <w:szCs w:val="16"/>
          <w:color w:val="auto"/>
        </w:rPr>
      </w:pPr>
      <w:r>
        <w:rPr>
          <w:rFonts w:ascii="Arial" w:cs="Arial" w:eastAsia="Arial" w:hAnsi="Arial"/>
          <w:sz w:val="16"/>
          <w:szCs w:val="16"/>
          <w:color w:val="auto"/>
        </w:rPr>
        <w:t xml:space="preserve">In the event that the sum of all Lenders’ Revolving Exposures exceeds the Revolving Commitments then in effect (including on any date on which Dollar Equivalents are determined pursuant to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Borrower shall, within one Business Day of demand, first, repay or prepay Revolving Borrowings, and second, replace outstanding Letters of Credit or cash collateralize outstanding Letters of Credit in accordance with the procedures set forth in </w:t>
      </w:r>
      <w:r>
        <w:rPr>
          <w:rFonts w:ascii="Arial" w:cs="Arial" w:eastAsia="Arial" w:hAnsi="Arial"/>
          <w:sz w:val="16"/>
          <w:szCs w:val="16"/>
          <w:u w:val="single" w:color="auto"/>
          <w:color w:val="auto"/>
        </w:rPr>
        <w:t>Section 2.18(i)</w:t>
      </w:r>
      <w:r>
        <w:rPr>
          <w:rFonts w:ascii="Arial" w:cs="Arial" w:eastAsia="Arial" w:hAnsi="Arial"/>
          <w:sz w:val="16"/>
          <w:szCs w:val="16"/>
          <w:color w:val="auto"/>
        </w:rPr>
        <w:t>, in an aggregate amount sufficient to eliminate such</w:t>
      </w:r>
    </w:p>
    <w:p>
      <w:pPr>
        <w:sectPr>
          <w:pgSz w:w="11900" w:h="16891" w:orient="portrait"/>
          <w:cols w:equalWidth="0" w:num="1">
            <w:col w:w="11400"/>
          </w:cols>
          <w:pgMar w:left="240" w:top="152" w:right="259" w:bottom="0" w:gutter="0" w:footer="0" w:header="0"/>
        </w:sectPr>
      </w:pPr>
    </w:p>
    <w:bookmarkStart w:id="85" w:name="page86"/>
    <w:bookmarkEnd w:id="85"/>
    <w:p>
      <w:pPr>
        <w:spacing w:after="0" w:line="259" w:lineRule="auto"/>
        <w:rPr>
          <w:sz w:val="20"/>
          <w:szCs w:val="20"/>
          <w:color w:val="auto"/>
        </w:rPr>
      </w:pPr>
      <w:r>
        <w:rPr>
          <w:rFonts w:ascii="Arial" w:cs="Arial" w:eastAsia="Arial" w:hAnsi="Arial"/>
          <w:sz w:val="18"/>
          <w:szCs w:val="18"/>
          <w:color w:val="auto"/>
        </w:rPr>
        <w:t xml:space="preserve">excess;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excess results solely by reason of a change in exchange rates, unless a Default or an Event of Default has occurred and is continuing, Borrower shall not be required to make such repayment or prepayment or replacement or cash collateralization unless the amount of such excess causes the sum of all Lenders’ Revolving Exposures to exceed the Revolving Commitments then in effect by more than 105%.</w:t>
      </w:r>
    </w:p>
    <w:p>
      <w:pPr>
        <w:spacing w:after="0" w:line="200" w:lineRule="exact"/>
        <w:rPr>
          <w:sz w:val="20"/>
          <w:szCs w:val="20"/>
          <w:color w:val="auto"/>
        </w:rPr>
      </w:pPr>
    </w:p>
    <w:p>
      <w:pPr>
        <w:spacing w:after="0" w:line="284" w:lineRule="exact"/>
        <w:rPr>
          <w:sz w:val="20"/>
          <w:szCs w:val="20"/>
          <w:color w:val="auto"/>
        </w:rPr>
      </w:pPr>
    </w:p>
    <w:p>
      <w:pPr>
        <w:ind w:right="40" w:firstLine="2913"/>
        <w:spacing w:after="0" w:line="255" w:lineRule="auto"/>
        <w:tabs>
          <w:tab w:leader="none" w:pos="360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In the event that the aggregate LC Exposure exceeds the LC Commitment then in effect (including on any date on which Dollar Equivalents are determined pursuant to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Borrower shall, within one Business Day of demand, replace outstanding Letters of Credit or cash collateralize outstanding Letters of Credit in accordance with the procedures set forth in </w:t>
      </w:r>
      <w:r>
        <w:rPr>
          <w:rFonts w:ascii="Arial" w:cs="Arial" w:eastAsia="Arial" w:hAnsi="Arial"/>
          <w:sz w:val="18"/>
          <w:szCs w:val="18"/>
          <w:u w:val="single" w:color="auto"/>
          <w:color w:val="auto"/>
        </w:rPr>
        <w:t>Section 2.18(i)</w:t>
      </w:r>
      <w:r>
        <w:rPr>
          <w:rFonts w:ascii="Arial" w:cs="Arial" w:eastAsia="Arial" w:hAnsi="Arial"/>
          <w:sz w:val="18"/>
          <w:szCs w:val="18"/>
          <w:color w:val="auto"/>
        </w:rPr>
        <w:t xml:space="preserve">, in an aggregate amount sufficient to eliminate such excess;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excess results solely by reason of a change in exchange rates, unless a Default or an Event of Default has occurred and is continuing, Borrower shall not be required to make such replacement or cash collateralization unless the amount of such excess causes the aggregate LC Exposure to exceed the LC Commitment then in effect by more than 105%.</w:t>
      </w: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660" w:right="100" w:firstLine="1953"/>
        <w:spacing w:after="0" w:line="264" w:lineRule="auto"/>
        <w:tabs>
          <w:tab w:leader="none" w:pos="1917"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Asset Sales</w:t>
      </w:r>
      <w:r>
        <w:rPr>
          <w:rFonts w:ascii="Arial" w:cs="Arial" w:eastAsia="Arial" w:hAnsi="Arial"/>
          <w:sz w:val="18"/>
          <w:szCs w:val="18"/>
          <w:color w:val="auto"/>
        </w:rPr>
        <w:t xml:space="preserve">. Not later than five Business Days following the receipt of any Net Cash Proceeds of any Asset Sale by Borrower or any of its Subsidiaries, Borrower shall make prepayments in accordance with </w:t>
      </w:r>
      <w:r>
        <w:rPr>
          <w:rFonts w:ascii="Arial" w:cs="Arial" w:eastAsia="Arial" w:hAnsi="Arial"/>
          <w:sz w:val="18"/>
          <w:szCs w:val="18"/>
          <w:u w:val="single" w:color="auto"/>
          <w:color w:val="auto"/>
        </w:rPr>
        <w:t>Sections 2.10(g)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in an aggregate amount equal to 100% of such Net Cash Proceeds;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60" w:firstLine="2913"/>
        <w:spacing w:after="0" w:line="279" w:lineRule="auto"/>
        <w:tabs>
          <w:tab w:leader="none" w:pos="3519"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no such prepayment shall be required under this </w:t>
      </w:r>
      <w:r>
        <w:rPr>
          <w:rFonts w:ascii="Arial" w:cs="Arial" w:eastAsia="Arial" w:hAnsi="Arial"/>
          <w:sz w:val="17"/>
          <w:szCs w:val="17"/>
          <w:u w:val="single" w:color="auto"/>
          <w:color w:val="auto"/>
        </w:rPr>
        <w:t>Section 2.10(c)</w:t>
      </w:r>
      <w:r>
        <w:rPr>
          <w:rFonts w:ascii="Arial" w:cs="Arial" w:eastAsia="Arial" w:hAnsi="Arial"/>
          <w:sz w:val="17"/>
          <w:szCs w:val="17"/>
          <w:color w:val="auto"/>
        </w:rPr>
        <w:t xml:space="preserve"> with respect to (A) any Asset Sale permitted by </w:t>
      </w:r>
      <w:r>
        <w:rPr>
          <w:rFonts w:ascii="Arial" w:cs="Arial" w:eastAsia="Arial" w:hAnsi="Arial"/>
          <w:sz w:val="17"/>
          <w:szCs w:val="17"/>
          <w:u w:val="single" w:color="auto"/>
          <w:color w:val="auto"/>
        </w:rPr>
        <w:t>Section 6.06(a)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 (B) the disposition of property which constitutes a Casualty Event, or (C) Asset Sales for fair market value resulting in no more than $5.0 million in Net Cash Proceeds per Asset Sale (or series of related Asset Sales) and less than $10.0 million in Net Cash Proceeds in the aggregate in any fiscal year for all such Asset Sales described in this clause (C);</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firstLine="2913"/>
        <w:spacing w:after="0" w:line="270" w:lineRule="auto"/>
        <w:tabs>
          <w:tab w:leader="none" w:pos="3569"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so long as no Default shall then exist or would arise therefrom and the aggregate of such Net Cash Proceeds of Asset Sales shall not exceed $50.0 million in any fiscal year of Borrower, such proceeds otherwise required to be applied to make prepayments under this </w:t>
      </w:r>
      <w:r>
        <w:rPr>
          <w:rFonts w:ascii="Arial" w:cs="Arial" w:eastAsia="Arial" w:hAnsi="Arial"/>
          <w:sz w:val="17"/>
          <w:szCs w:val="17"/>
          <w:u w:val="single" w:color="auto"/>
          <w:color w:val="auto"/>
        </w:rPr>
        <w:t>Section 2.10(c)</w:t>
      </w:r>
      <w:r>
        <w:rPr>
          <w:rFonts w:ascii="Arial" w:cs="Arial" w:eastAsia="Arial" w:hAnsi="Arial"/>
          <w:sz w:val="17"/>
          <w:szCs w:val="17"/>
          <w:color w:val="auto"/>
        </w:rPr>
        <w:t xml:space="preserve"> shall not be required to be so applied on such date to the extent that Borrower shall have delivered an Officer’s Certificate to the Administrative Agent on or prior to such date stating that such Net Cash Proceeds are expected to be reinvested in fixed or capital assets within 365 days following the date of such Asset Sale (which Officer’s Certificate shall set forth the estimates of the proceeds to be so expended);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all or any portion of such Net Cash Proceeds is not so reinvested within such 365-day period, such unused portion shall be applied on the last day of such period as a mandatory prepayment as provided in this </w:t>
      </w:r>
      <w:r>
        <w:rPr>
          <w:rFonts w:ascii="Arial" w:cs="Arial" w:eastAsia="Arial" w:hAnsi="Arial"/>
          <w:sz w:val="17"/>
          <w:szCs w:val="17"/>
          <w:u w:val="single" w:color="auto"/>
          <w:color w:val="auto"/>
        </w:rPr>
        <w:t>Section 2.10(c)</w:t>
      </w:r>
      <w:r>
        <w:rPr>
          <w:rFonts w:ascii="Arial" w:cs="Arial" w:eastAsia="Arial" w:hAnsi="Arial"/>
          <w:sz w:val="17"/>
          <w:szCs w:val="17"/>
          <w:color w:val="auto"/>
        </w:rPr>
        <w:t xml:space="preserv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the property subject to such Asset Sale constituted Collateral, then all property purchased with the Net Cash Proceeds thereof pursuant to this subsection shall be made subject to the Lien of the applicable Security Documents in favor of the Collateral Agent, for its benefit and for the benefit of the other Secured Parties in accordance with </w:t>
      </w:r>
      <w:r>
        <w:rPr>
          <w:rFonts w:ascii="Arial" w:cs="Arial" w:eastAsia="Arial" w:hAnsi="Arial"/>
          <w:sz w:val="17"/>
          <w:szCs w:val="17"/>
          <w:u w:val="single" w:color="auto"/>
          <w:color w:val="auto"/>
        </w:rPr>
        <w:t>Sections 5.10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5.11</w:t>
      </w:r>
      <w:r>
        <w:rPr>
          <w:rFonts w:ascii="Arial" w:cs="Arial" w:eastAsia="Arial" w:hAnsi="Arial"/>
          <w:sz w:val="17"/>
          <w:szCs w:val="17"/>
          <w:color w:val="auto"/>
        </w:rPr>
        <w:t>; and</w:t>
      </w:r>
    </w:p>
    <w:p>
      <w:pPr>
        <w:spacing w:after="0" w:line="200" w:lineRule="exact"/>
        <w:rPr>
          <w:rFonts w:ascii="Arial" w:cs="Arial" w:eastAsia="Arial" w:hAnsi="Arial"/>
          <w:sz w:val="17"/>
          <w:szCs w:val="17"/>
          <w:color w:val="auto"/>
        </w:rPr>
      </w:pPr>
    </w:p>
    <w:p>
      <w:pPr>
        <w:spacing w:after="0" w:line="274" w:lineRule="exact"/>
        <w:rPr>
          <w:rFonts w:ascii="Arial" w:cs="Arial" w:eastAsia="Arial" w:hAnsi="Arial"/>
          <w:sz w:val="17"/>
          <w:szCs w:val="17"/>
          <w:color w:val="auto"/>
        </w:rPr>
      </w:pPr>
    </w:p>
    <w:p>
      <w:pPr>
        <w:ind w:right="600" w:firstLine="2913"/>
        <w:spacing w:after="0" w:line="277" w:lineRule="auto"/>
        <w:tabs>
          <w:tab w:leader="none" w:pos="361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foregoing clauses (i) and (ii) shall not apply to the Net Cash Proceeds of the sale of the Sullivan Road Property (and any improvements thereon).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660" w:right="400" w:firstLine="1953"/>
        <w:spacing w:after="0" w:line="264" w:lineRule="auto"/>
        <w:tabs>
          <w:tab w:leader="none" w:pos="1927"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Debt Issuance or Preferred Stock Issuance</w:t>
      </w:r>
      <w:r>
        <w:rPr>
          <w:rFonts w:ascii="Arial" w:cs="Arial" w:eastAsia="Arial" w:hAnsi="Arial"/>
          <w:sz w:val="18"/>
          <w:szCs w:val="18"/>
          <w:color w:val="auto"/>
        </w:rPr>
        <w:t xml:space="preserve">. Not later than five Business Days following the receipt of any Net Cash Proceeds of any Debt Issuance or Preferred Stock Issuance by Borrower or any of its Subsidiaries, Borrower shall make prepayments in accordance with </w:t>
      </w:r>
      <w:r>
        <w:rPr>
          <w:rFonts w:ascii="Arial" w:cs="Arial" w:eastAsia="Arial" w:hAnsi="Arial"/>
          <w:sz w:val="18"/>
          <w:szCs w:val="18"/>
          <w:u w:val="single" w:color="auto"/>
          <w:color w:val="auto"/>
        </w:rPr>
        <w:t>Sections 2.10(g)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in an aggregate amount equal to 100% of such Net Cash Proceeds.</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660" w:firstLine="1953"/>
        <w:spacing w:after="0" w:line="264" w:lineRule="auto"/>
        <w:tabs>
          <w:tab w:leader="none" w:pos="1917"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Casualty Events</w:t>
      </w:r>
      <w:r>
        <w:rPr>
          <w:rFonts w:ascii="Arial" w:cs="Arial" w:eastAsia="Arial" w:hAnsi="Arial"/>
          <w:sz w:val="18"/>
          <w:szCs w:val="18"/>
          <w:color w:val="auto"/>
        </w:rPr>
        <w:t xml:space="preserve">. Not later than five Business Days following the receipt of any Net Cash Proceeds from a Casualty Event by Borrower or any of its Subsidiaries, Borrower shall make prepayments in accordance with </w:t>
      </w:r>
      <w:r>
        <w:rPr>
          <w:rFonts w:ascii="Arial" w:cs="Arial" w:eastAsia="Arial" w:hAnsi="Arial"/>
          <w:sz w:val="18"/>
          <w:szCs w:val="18"/>
          <w:u w:val="single" w:color="auto"/>
          <w:color w:val="auto"/>
        </w:rPr>
        <w:t>Sections 2.10(g)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in an aggregate amount equal to 100% of such Net Cash Proceeds; provided that:</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firstLine="2913"/>
        <w:spacing w:after="0" w:line="253" w:lineRule="auto"/>
        <w:tabs>
          <w:tab w:leader="none" w:pos="351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so long as no Default shall then exist or arise therefrom, such proceeds shall not be required to be so applied on such date to the extent that Borrower shall have delivered an Officer’s Certificate to the Administrative Agent on or prior to such date stating that such proceeds are expected to be used to repair, replace or restore any property in respect of which such Net Cash Proceeds were paid or to reinvest in other fixed or capital assets, no later than 365 days following the date of receipt of such proceeds or, so long as Borrower is diligently pursuing efforts to repair, replace or restore such property, no later than such later date as may be reasonably necessary to permit the repair, replacement or restoration such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property subject to such Casualty Event constituted Collateral under the Security Documents, then all property purchased with the Net Cash Proceeds thereof pursuant to this subsection shall be made subject to the Lien of the applicable Security Documents in favor of the Collateral Agent, for its benefit and for the benefit of the other Secured Parties in accordance with </w:t>
      </w:r>
      <w:r>
        <w:rPr>
          <w:rFonts w:ascii="Arial" w:cs="Arial" w:eastAsia="Arial" w:hAnsi="Arial"/>
          <w:sz w:val="18"/>
          <w:szCs w:val="18"/>
          <w:u w:val="single" w:color="auto"/>
          <w:color w:val="auto"/>
        </w:rPr>
        <w:t>Sections 5.10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5.11</w:t>
      </w:r>
      <w:r>
        <w:rPr>
          <w:rFonts w:ascii="Arial" w:cs="Arial" w:eastAsia="Arial" w:hAnsi="Arial"/>
          <w:sz w:val="18"/>
          <w:szCs w:val="18"/>
          <w:color w:val="auto"/>
        </w:rPr>
        <w:t>; and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180" w:firstLine="2913"/>
        <w:spacing w:after="0" w:line="259" w:lineRule="auto"/>
        <w:tabs>
          <w:tab w:leader="none" w:pos="356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if any portion of such Net Cash Proceeds shall not be so applied within such 365-day period, or within such later period as may be permitted pursuant to clause (i) above, or if Borrower has abandoned efforts to repair, replace or restore the property in respect of which such Net Cash Proceeds were paid, such unused portion shall be applied on the last day of such period as a mandatory prepayment as provided in this </w:t>
      </w:r>
      <w:r>
        <w:rPr>
          <w:rFonts w:ascii="Arial" w:cs="Arial" w:eastAsia="Arial" w:hAnsi="Arial"/>
          <w:sz w:val="18"/>
          <w:szCs w:val="18"/>
          <w:u w:val="single" w:color="auto"/>
          <w:color w:val="auto"/>
        </w:rPr>
        <w:t>Section 2.10(e)</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right="40" w:firstLine="1953"/>
        <w:spacing w:after="0" w:line="312" w:lineRule="auto"/>
        <w:tabs>
          <w:tab w:leader="none" w:pos="1897"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Excess Cash Flow</w:t>
      </w:r>
      <w:r>
        <w:rPr>
          <w:rFonts w:ascii="Arial" w:cs="Arial" w:eastAsia="Arial" w:hAnsi="Arial"/>
          <w:sz w:val="16"/>
          <w:szCs w:val="16"/>
          <w:color w:val="auto"/>
        </w:rPr>
        <w:t xml:space="preserve">. No later than 90 days after the end of each Excess Cash Flow Period, Borrower shall make prepayments in accordance with </w:t>
      </w:r>
      <w:r>
        <w:rPr>
          <w:rFonts w:ascii="Arial" w:cs="Arial" w:eastAsia="Arial" w:hAnsi="Arial"/>
          <w:sz w:val="16"/>
          <w:szCs w:val="16"/>
          <w:u w:val="single" w:color="auto"/>
          <w:color w:val="auto"/>
        </w:rPr>
        <w:t>Sections 2.10(g)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w:t>
      </w:r>
      <w:r>
        <w:rPr>
          <w:rFonts w:ascii="Arial" w:cs="Arial" w:eastAsia="Arial" w:hAnsi="Arial"/>
          <w:sz w:val="16"/>
          <w:szCs w:val="16"/>
          <w:color w:val="auto"/>
        </w:rPr>
        <w:t xml:space="preserve"> in an aggregate amount (which amount shall not be less than zero) equal to (A) 50% of Excess Cash Flow for the Excess Cash Flow Period then ended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any voluntary prepayments of Term Loans and any permanent voluntary reductions to the</w:t>
      </w:r>
    </w:p>
    <w:p>
      <w:pPr>
        <w:sectPr>
          <w:pgSz w:w="11900" w:h="16838" w:orient="portrait"/>
          <w:cols w:equalWidth="0" w:num="1">
            <w:col w:w="10740"/>
          </w:cols>
          <w:pgMar w:left="900" w:top="125" w:right="259" w:bottom="0" w:gutter="0" w:footer="0" w:header="0"/>
        </w:sectPr>
      </w:pPr>
    </w:p>
    <w:bookmarkStart w:id="86" w:name="page87"/>
    <w:bookmarkEnd w:id="86"/>
    <w:p>
      <w:pPr>
        <w:spacing w:after="0" w:line="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Revolving Commitments to the extent that an equal amount of the Revolving Loans simultaneously is repaid during such Excess Cash Flow Period (other than any such voluntary payments or repayments financed with the proceeds of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percentage (the “</w:t>
      </w:r>
      <w:r>
        <w:rPr>
          <w:rFonts w:ascii="Arial" w:cs="Arial" w:eastAsia="Arial" w:hAnsi="Arial"/>
          <w:sz w:val="17"/>
          <w:szCs w:val="17"/>
          <w:b w:val="1"/>
          <w:bCs w:val="1"/>
          <w:color w:val="auto"/>
        </w:rPr>
        <w:t>ECF Percentage</w:t>
      </w:r>
      <w:r>
        <w:rPr>
          <w:rFonts w:ascii="Arial" w:cs="Arial" w:eastAsia="Arial" w:hAnsi="Arial"/>
          <w:sz w:val="17"/>
          <w:szCs w:val="17"/>
          <w:color w:val="auto"/>
        </w:rPr>
        <w:t>”) shall be 25% if the Total Leverage Ratio as of the last day of such Excess Cash Flow Period was less than 3.0 to 1.0.</w:t>
      </w:r>
    </w:p>
    <w:p>
      <w:pPr>
        <w:spacing w:after="0" w:line="200" w:lineRule="exact"/>
        <w:rPr>
          <w:sz w:val="20"/>
          <w:szCs w:val="20"/>
          <w:color w:val="auto"/>
        </w:rPr>
      </w:pPr>
    </w:p>
    <w:p>
      <w:pPr>
        <w:spacing w:after="0" w:line="263" w:lineRule="exact"/>
        <w:rPr>
          <w:sz w:val="20"/>
          <w:szCs w:val="20"/>
          <w:color w:val="auto"/>
        </w:rPr>
      </w:pPr>
    </w:p>
    <w:p>
      <w:pPr>
        <w:ind w:firstLine="1953"/>
        <w:spacing w:after="0" w:line="283" w:lineRule="auto"/>
        <w:tabs>
          <w:tab w:leader="none" w:pos="2587"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Application of Prepayments</w:t>
      </w:r>
      <w:r>
        <w:rPr>
          <w:rFonts w:ascii="Arial" w:cs="Arial" w:eastAsia="Arial" w:hAnsi="Arial"/>
          <w:sz w:val="16"/>
          <w:szCs w:val="16"/>
          <w:color w:val="auto"/>
        </w:rPr>
        <w:t xml:space="preserve">. Prior to any optional or mandatory prepayment hereunder, Borrower shall select the Borrowing or Borrowings to be prepaid and shall specify such selection in the notice of such prepayment pursuant to </w:t>
      </w:r>
      <w:r>
        <w:rPr>
          <w:rFonts w:ascii="Arial" w:cs="Arial" w:eastAsia="Arial" w:hAnsi="Arial"/>
          <w:sz w:val="16"/>
          <w:szCs w:val="16"/>
          <w:u w:val="single" w:color="auto"/>
          <w:color w:val="auto"/>
        </w:rPr>
        <w:t>Section 2.10(h)</w:t>
      </w:r>
      <w:r>
        <w:rPr>
          <w:rFonts w:ascii="Arial" w:cs="Arial" w:eastAsia="Arial" w:hAnsi="Arial"/>
          <w:sz w:val="16"/>
          <w:szCs w:val="16"/>
          <w:color w:val="auto"/>
        </w:rPr>
        <w:t xml:space="preserve">, subject to the provisions of this </w:t>
      </w:r>
      <w:r>
        <w:rPr>
          <w:rFonts w:ascii="Arial" w:cs="Arial" w:eastAsia="Arial" w:hAnsi="Arial"/>
          <w:sz w:val="16"/>
          <w:szCs w:val="16"/>
          <w:u w:val="single" w:color="auto"/>
          <w:color w:val="auto"/>
        </w:rPr>
        <w:t>Section 2.10(g)</w:t>
      </w:r>
      <w:r>
        <w:rPr>
          <w:rFonts w:ascii="Arial" w:cs="Arial" w:eastAsia="Arial" w:hAnsi="Arial"/>
          <w:sz w:val="16"/>
          <w:szCs w:val="16"/>
          <w:color w:val="auto"/>
        </w:rPr>
        <w:t xml:space="preserve">. In the event of any mandatory prepayment of Term Borrowings made at a time when Term Borrowings of more than one Class remain outstanding, the aggregate amount of such prepayment shall be allocated first among the Dollar Term Loans, Euro Term Loans and GBP Term Loans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 aggregate principal amount of outstanding Borrowings of each such Class. Any prepayments of Term Loans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2.10(a)</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shall be applied to reduce scheduled prepayments required under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among the prepayments remaining to be made on each Term Loan Repayment Date. After application of mandatory prepayments of Term Loans described above in this </w:t>
      </w:r>
      <w:r>
        <w:rPr>
          <w:rFonts w:ascii="Arial" w:cs="Arial" w:eastAsia="Arial" w:hAnsi="Arial"/>
          <w:sz w:val="16"/>
          <w:szCs w:val="16"/>
          <w:u w:val="single" w:color="auto"/>
          <w:color w:val="auto"/>
        </w:rPr>
        <w:t>Section 2.10(g)</w:t>
      </w:r>
      <w:r>
        <w:rPr>
          <w:rFonts w:ascii="Arial" w:cs="Arial" w:eastAsia="Arial" w:hAnsi="Arial"/>
          <w:sz w:val="16"/>
          <w:szCs w:val="16"/>
          <w:color w:val="auto"/>
        </w:rPr>
        <w:t xml:space="preserve"> and to the extent there are mandatory prepayment amounts remaining after such application, (i) in the case of any such mandatory prepayments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2.10(c)</w:t>
      </w:r>
      <w:r>
        <w:rPr>
          <w:rFonts w:ascii="Arial" w:cs="Arial" w:eastAsia="Arial" w:hAnsi="Arial"/>
          <w:sz w:val="16"/>
          <w:szCs w:val="16"/>
          <w:color w:val="auto"/>
        </w:rPr>
        <w:t xml:space="preserve">, the Revolving Commitments shall be permanently reduced ratably among the Revolving Lenders in accordance with their applicable Revolving Commitments in an aggregate amount equal to such excess, and Borrower shall comply with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and (ii) in the case of any other such mandatory prepayments, Borrower shall apply such prepayments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repay or prepay Swingline Loans, </w:t>
      </w:r>
      <w:r>
        <w:rPr>
          <w:rFonts w:ascii="Arial" w:cs="Arial" w:eastAsia="Arial" w:hAnsi="Arial"/>
          <w:sz w:val="16"/>
          <w:szCs w:val="16"/>
          <w:i w:val="1"/>
          <w:iCs w:val="1"/>
          <w:color w:val="auto"/>
        </w:rPr>
        <w:t>second</w:t>
      </w:r>
      <w:r>
        <w:rPr>
          <w:rFonts w:ascii="Arial" w:cs="Arial" w:eastAsia="Arial" w:hAnsi="Arial"/>
          <w:sz w:val="16"/>
          <w:szCs w:val="16"/>
          <w:color w:val="auto"/>
        </w:rPr>
        <w:t xml:space="preserve">, repay or prepay Revolving Borrowings and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replace outstanding Letters of Credit or cash collateralize outstanding Letters of Credit in accordance with the procedures set forth in </w:t>
      </w:r>
      <w:r>
        <w:rPr>
          <w:rFonts w:ascii="Arial" w:cs="Arial" w:eastAsia="Arial" w:hAnsi="Arial"/>
          <w:sz w:val="16"/>
          <w:szCs w:val="16"/>
          <w:u w:val="single" w:color="auto"/>
          <w:color w:val="auto"/>
        </w:rPr>
        <w:t>Section</w:t>
      </w:r>
    </w:p>
    <w:p>
      <w:pPr>
        <w:spacing w:after="0" w:line="3" w:lineRule="exact"/>
        <w:rPr>
          <w:rFonts w:ascii="Arial" w:cs="Arial" w:eastAsia="Arial" w:hAnsi="Arial"/>
          <w:sz w:val="16"/>
          <w:szCs w:val="16"/>
          <w:color w:val="auto"/>
        </w:rPr>
      </w:pPr>
    </w:p>
    <w:p>
      <w:pPr>
        <w:jc w:val="both"/>
        <w:ind w:right="340"/>
        <w:spacing w:after="0" w:line="277" w:lineRule="auto"/>
        <w:rPr>
          <w:rFonts w:ascii="Arial" w:cs="Arial" w:eastAsia="Arial" w:hAnsi="Arial"/>
          <w:sz w:val="16"/>
          <w:szCs w:val="16"/>
          <w:color w:val="auto"/>
        </w:rPr>
      </w:pPr>
      <w:r>
        <w:rPr>
          <w:rFonts w:ascii="Arial" w:cs="Arial" w:eastAsia="Arial" w:hAnsi="Arial"/>
          <w:sz w:val="17"/>
          <w:szCs w:val="17"/>
          <w:u w:val="single" w:color="auto"/>
          <w:color w:val="auto"/>
        </w:rPr>
        <w:t>2.18(i)</w:t>
      </w:r>
      <w:r>
        <w:rPr>
          <w:rFonts w:ascii="Arial" w:cs="Arial" w:eastAsia="Arial" w:hAnsi="Arial"/>
          <w:sz w:val="17"/>
          <w:szCs w:val="17"/>
          <w:color w:val="auto"/>
        </w:rPr>
        <w:t xml:space="preserve">. Amounts to be applied pursuant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to the prepayment of Dollar Loans shall be applied, as applicable, first to reduce outstanding Dollar Loans that are ABR Term Loans and ABR Revolving Loans, respectively. Any amounts remaining after each such application shall be applied to prepay Dollar Loans that are Eurocurrency Term Loans or Eurocurrency Revolving Loans, as applicable.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w:t>
      </w:r>
    </w:p>
    <w:p>
      <w:pPr>
        <w:spacing w:after="0" w:line="200" w:lineRule="exact"/>
        <w:rPr>
          <w:sz w:val="20"/>
          <w:szCs w:val="20"/>
          <w:color w:val="auto"/>
        </w:rPr>
      </w:pPr>
    </w:p>
    <w:p>
      <w:pPr>
        <w:spacing w:after="0" w:line="322" w:lineRule="exact"/>
        <w:rPr>
          <w:sz w:val="20"/>
          <w:szCs w:val="20"/>
          <w:color w:val="auto"/>
        </w:rPr>
      </w:pPr>
    </w:p>
    <w:p>
      <w:pPr>
        <w:ind w:left="660" w:right="20" w:firstLine="2913"/>
        <w:spacing w:after="0" w:line="270" w:lineRule="auto"/>
        <w:tabs>
          <w:tab w:leader="none" w:pos="4179" w:val="left"/>
        </w:tabs>
        <w:numPr>
          <w:ilvl w:val="1"/>
          <w:numId w:val="148"/>
        </w:numPr>
        <w:rPr>
          <w:rFonts w:ascii="Arial" w:cs="Arial" w:eastAsia="Arial" w:hAnsi="Arial"/>
          <w:sz w:val="17"/>
          <w:szCs w:val="17"/>
          <w:color w:val="auto"/>
        </w:rPr>
      </w:pPr>
      <w:r>
        <w:rPr>
          <w:rFonts w:ascii="Arial" w:cs="Arial" w:eastAsia="Arial" w:hAnsi="Arial"/>
          <w:sz w:val="17"/>
          <w:szCs w:val="17"/>
          <w:color w:val="auto"/>
        </w:rPr>
        <w:t xml:space="preserve">if the amount of any prepayments of Dollar Loans required under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be in excess of the amount of such Dollar Loans that are ABR Loans at the time outstanding (an “</w:t>
      </w:r>
      <w:r>
        <w:rPr>
          <w:rFonts w:ascii="Arial" w:cs="Arial" w:eastAsia="Arial" w:hAnsi="Arial"/>
          <w:sz w:val="17"/>
          <w:szCs w:val="17"/>
          <w:b w:val="1"/>
          <w:bCs w:val="1"/>
          <w:color w:val="auto"/>
        </w:rPr>
        <w:t>Excess Amount</w:t>
      </w:r>
      <w:r>
        <w:rPr>
          <w:rFonts w:ascii="Arial" w:cs="Arial" w:eastAsia="Arial" w:hAnsi="Arial"/>
          <w:sz w:val="17"/>
          <w:szCs w:val="17"/>
          <w:color w:val="auto"/>
        </w:rPr>
        <w:t xml:space="preserve">”), only the portion of the amount of such prepayment as is equal to the amount of such outstanding ABR Loans shall be immediately prepaid and, at the election of Borrower, the Excess Amount shall be either (A) deposited in an escrow account on terms satisfactory to the Collateral Agent and applied to the prepayment of such Dollar Loans that are Eurocurrency Loans on the last day of the then next-expiring Interest Period for such Eurocurrency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interest in respect of such Excess Amount shall continue to accrue thereon at the rate provided hereunder for the Loans which such Excess Amount is intended to repay until such Excess Amount shall have been used in full to repay such Loans and (y) at any time while a Default has occurred and is continuing, the Administrative Agent may, and upon written direction from the Required Lenders shall, apply any or all proceeds then on deposit to the payment of such Loans in an amount equal to such Excess Amount or (B) prepaid immediately, together with any amounts owing to the Lenders under </w:t>
      </w:r>
      <w:r>
        <w:rPr>
          <w:rFonts w:ascii="Arial" w:cs="Arial" w:eastAsia="Arial" w:hAnsi="Arial"/>
          <w:sz w:val="17"/>
          <w:szCs w:val="17"/>
          <w:u w:val="single" w:color="auto"/>
          <w:color w:val="auto"/>
        </w:rPr>
        <w:t>Section 2.13</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74" w:lineRule="exact"/>
        <w:rPr>
          <w:rFonts w:ascii="Arial" w:cs="Arial" w:eastAsia="Arial" w:hAnsi="Arial"/>
          <w:sz w:val="17"/>
          <w:szCs w:val="17"/>
          <w:color w:val="auto"/>
        </w:rPr>
      </w:pPr>
    </w:p>
    <w:p>
      <w:pPr>
        <w:ind w:left="660" w:right="120" w:firstLine="2913"/>
        <w:spacing w:after="0" w:line="253" w:lineRule="auto"/>
        <w:tabs>
          <w:tab w:leader="none" w:pos="422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if any prepayment of Euro Loans required under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would (without giving effect to this sentence) be required to be made prior to the last day of the then current Interest Period therefor, at the election of Borrower, such prepayment amount shall be either (A) deposited in an escrow account on terms satisfactory to the Collateral Agent and applied to the prepayment of such Euro Loans on the last day of the then next-expiring Interest Period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interest in respect of such prepayment amount shall continue to accrue thereon at the rate provided hereunder for the Euro Loans which such prepayment amount is intended to repay until such prepayment amount shall have been used in full to repay such Loans and (y) at any time while a Default has occurred and is continuing, the Administrative Agent may, and upon written direction from the Required Lenders shall, apply any or all proceeds then on deposit to the payment of such Loans in an amount equal to such prepayment amount or (B) prepaid immediately, together with any amounts owing to the Lenders under </w:t>
      </w:r>
      <w:r>
        <w:rPr>
          <w:rFonts w:ascii="Arial" w:cs="Arial" w:eastAsia="Arial" w:hAnsi="Arial"/>
          <w:sz w:val="18"/>
          <w:szCs w:val="18"/>
          <w:u w:val="single" w:color="auto"/>
          <w:color w:val="auto"/>
        </w:rPr>
        <w:t>Section 2.13</w:t>
      </w:r>
      <w:r>
        <w:rPr>
          <w:rFonts w:ascii="Arial" w:cs="Arial" w:eastAsia="Arial" w:hAnsi="Arial"/>
          <w:sz w:val="18"/>
          <w:szCs w:val="18"/>
          <w:color w:val="auto"/>
        </w:rPr>
        <w:t>; and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660" w:right="100" w:firstLine="2913"/>
        <w:spacing w:after="0" w:line="253" w:lineRule="auto"/>
        <w:tabs>
          <w:tab w:leader="none" w:pos="427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if any prepayment of GBP Loans required under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would (without giving effect to this sentence) be required to be made prior to the last day of the then current Interest Period therefor, at the election of Borrower, such prepayment amount shall be either (A) deposited in an escrow account on terms satisfactory to the Collateral Agent and applied to the prepayment of such GBP Loans on the last day of the then next-expiring Interest Period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interest in respect of such prepayment amount shall continue to accrue thereon at the rate provided hereunder for the GBP Loans which such prepayment amount is intended to repay until such prepayment amount shall have been used in full to repay such Loans and (y) at any time while a Default has occurred and is continuing, the Administrative Agent may, and upon written direction from the Required Lenders shall, apply any or all proceeds then on deposit to the payment of such Loans in an amount equal to such prepayment amount or (B) prepaid immediately, together with any amounts owing to the Lenders under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firstLine="1953"/>
        <w:spacing w:after="0" w:line="283" w:lineRule="auto"/>
        <w:tabs>
          <w:tab w:leader="none" w:pos="2587"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Notice of Prepayment</w:t>
      </w:r>
      <w:r>
        <w:rPr>
          <w:rFonts w:ascii="Arial" w:cs="Arial" w:eastAsia="Arial" w:hAnsi="Arial"/>
          <w:sz w:val="16"/>
          <w:szCs w:val="16"/>
          <w:color w:val="auto"/>
        </w:rPr>
        <w:t xml:space="preserve">. Borrower shall notify the Administrative Agent (and, in the case of prepayment of a Swingline Loan, the Swingline Lender) by written notice of any prepayment hereunder (i) in the case of prepayment of a Eurocurrency Borrowing or a EURIBOR Borrowing, not later than 11:00 a.m., Local Time, three Business Days before the date of prepayment and (ii) in the case of prepayment of an ABR Borrowing, not later than 11:00 a.m., New York City time, on the date of prepayment. Each such notice shall be irrevocable;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notice of prepayment is given in connection with a conditional notice of termination of the Commitments as contemplated by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then such notice of prepayment may be revoked if such termination is revoked in accordance with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Each such notice shall specify the prepayment date, the principal amount of each Borrowing or portion thereof to be prepaid and, in the case of a mandatory prepayment, a reasonably detailed calculation of the amount of such prepayment. Promptly following receipt of any such notice (other than a notice relating solely to Swingline Loans), the Administrative Agent shall advise the Lenders of the contents thereof. Each partial prepayment of any Borrowing shall be in an amount that would be permitted in the case of a Credit Extension of the same Type as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except as necessary to apply fully the required amount of a mandatory prepayment. Each prepayment of a Borrowing shall be applied ratably to the Loans included in the prepaid Borrowing and otherwise in accordance with this </w:t>
      </w:r>
      <w:r>
        <w:rPr>
          <w:rFonts w:ascii="Arial" w:cs="Arial" w:eastAsia="Arial" w:hAnsi="Arial"/>
          <w:sz w:val="16"/>
          <w:szCs w:val="16"/>
          <w:u w:val="single" w:color="auto"/>
          <w:color w:val="auto"/>
        </w:rPr>
        <w:t>Section</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2.10</w:t>
      </w:r>
      <w:r>
        <w:rPr>
          <w:rFonts w:ascii="Arial" w:cs="Arial" w:eastAsia="Arial" w:hAnsi="Arial"/>
          <w:sz w:val="18"/>
          <w:szCs w:val="18"/>
          <w:color w:val="auto"/>
        </w:rPr>
        <w:t xml:space="preserve">. Prepayments shall be accompanied by accrued interest to the extent required by </w:t>
      </w:r>
      <w:r>
        <w:rPr>
          <w:rFonts w:ascii="Arial" w:cs="Arial" w:eastAsia="Arial" w:hAnsi="Arial"/>
          <w:sz w:val="18"/>
          <w:szCs w:val="18"/>
          <w:u w:val="single" w:color="auto"/>
          <w:color w:val="auto"/>
        </w:rPr>
        <w:t>Section 2.06</w:t>
      </w:r>
      <w:r>
        <w:rPr>
          <w:rFonts w:ascii="Arial" w:cs="Arial" w:eastAsia="Arial" w:hAnsi="Arial"/>
          <w:sz w:val="18"/>
          <w:szCs w:val="18"/>
          <w:color w:val="auto"/>
        </w:rPr>
        <w:t>.</w:t>
      </w:r>
    </w:p>
    <w:p>
      <w:pPr>
        <w:sectPr>
          <w:pgSz w:w="11900" w:h="16843"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4"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u w:val="single" w:color="auto"/>
          <w:color w:val="auto"/>
        </w:rPr>
        <w:t>Alternate Rate of Interest</w:t>
      </w:r>
    </w:p>
    <w:p>
      <w:pPr>
        <w:sectPr>
          <w:pgSz w:w="11900" w:h="16843" w:orient="portrait"/>
          <w:cols w:equalWidth="0" w:num="1">
            <w:col w:w="11400"/>
          </w:cols>
          <w:pgMar w:left="240" w:top="125" w:right="259" w:bottom="0" w:gutter="0" w:footer="0" w:header="0"/>
          <w:type w:val="continuous"/>
        </w:sectPr>
      </w:pPr>
    </w:p>
    <w:bookmarkStart w:id="87" w:name="page88"/>
    <w:bookmarkEnd w:id="87"/>
    <w:p>
      <w:pPr>
        <w:ind w:left="140" w:hanging="132"/>
        <w:spacing w:after="0"/>
        <w:tabs>
          <w:tab w:leader="none" w:pos="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 Eurocurrency Borrowing:</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220" w:firstLine="1953"/>
        <w:spacing w:after="0" w:line="259" w:lineRule="auto"/>
        <w:tabs>
          <w:tab w:leader="none" w:pos="257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final and conclusive absent manifest error) that adequate and reasonable means do not exist for ascertaining the Adjusted LIBOR Rate or the Adjusted EURIBOR Rate for any Borrowing for such Interest Period or that any applicable Alternate Currency is not available to the Lenders in sufficient amounts to fund any Borrowing consisting of applicable Alternate Currency Loans; or</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right="280" w:firstLine="1953"/>
        <w:spacing w:after="0" w:line="264" w:lineRule="auto"/>
        <w:tabs>
          <w:tab w:leader="none" w:pos="258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Administrative Agent is advised in writing by the Required Lenders that the Adjusted LIBOR Rate or the Adjusted EURIBOR Rate for any Borrowing for such Interest Period will not adequately and fairly reflect the cost to such Lenders of making or maintaining their Loans included in such Borrowing for such Interest Period;</w:t>
      </w:r>
    </w:p>
    <w:p>
      <w:pPr>
        <w:spacing w:after="0" w:line="200" w:lineRule="exact"/>
        <w:rPr>
          <w:sz w:val="20"/>
          <w:szCs w:val="20"/>
          <w:color w:val="auto"/>
        </w:rPr>
      </w:pPr>
    </w:p>
    <w:p>
      <w:pPr>
        <w:spacing w:after="0" w:line="2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then the Administrative Agent shall give written notice thereof to Borrower and the Lenders as promptly as practicable thereafter and, until the Administrative Agent notifies Borrower and the Lenders that the circumstances giving rise to such notice no longer exist, (i) (A) with respect to any such notice relating to the Adjusted LIBOR Rate applicable to Dollar Loans, any Interest Election Request that requests the conversion of any Borrowing of Dollar Loans to a Eurocurrency Borrowing, or the continuation of any such Borrowing as, a Eurocurrency Borrowing shall be ineffective, (B) with respect to any such notice relating to the Adjusted LIBOR Rate applicable to GBP Loans, any Interest Election Request that requests the continuation of any Borrowing of GBP Loans as a Eurocurrency Borrowing shall be ineffective and (C) with respect to any such notice relating to the Adjusted EURIBOR Rate, any Interest Election Request that requests the continuation of any Borrowing of Euro Loans shall be ineffective, (ii) (A) with respect to any such notice relating to the Adjusted LIBOR Rate applicable to Dollar Loans, if any Borrowing Request for Dollar Loans requests a Eurocurrency Borrowing, such Borrowing shall be made as an ABR Borrowing, (B) with respect to any such notice relating to the Adjusted LIBOR Rate applicable to GBP Loans, any Borrowing Requests for GBP Loans shall not be effective and (C) with respect to any such notice relating to the Adjusted EURIBOR Rate, any Borrowing Requests for Euro Loans shall not be effective, and (iii) any affected GBP Loans and any affected Euro Loans of any Lender shall bear interest at an interest rate per annum (rounded upward, if necessary, to the nearest 1/100th of 1%) equal to the sum of (x) the rate notified by such Lender to the Administrative Agent as soon as practicable and in any event before interest is due to be paid in respect of that Interest Period, to be that which expresses an interest rate per annum (rounded upward, if necessary, to the nearest 1/100th of 1%) equal to the cost to that Lender of funding such Loans from whatever source it may reasonably select, plus (y) the Applicable Margin with respect to Term Loans that are Eurocurrency Loans or EURIBOR Loans, plus (z) the Mandatory Cost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 notice is given, and the Administrative Agent or Borrower so requires, the Administrative Agent and Borrower shall enter into negotiations (for a period of not more than thirty days) with a view to agreeing a substitute basis for determining the rate of interest on such affected Loans, and any such substitute basis agreed pursuant to this proviso shall, with the prior consent of all affected Lenders and Borrower, be binding on all parties hereto).</w:t>
      </w:r>
    </w:p>
    <w:p>
      <w:pPr>
        <w:spacing w:after="0" w:line="22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6"/>
          <w:szCs w:val="16"/>
          <w:b w:val="1"/>
          <w:bCs w:val="1"/>
          <w:u w:val="single" w:color="auto"/>
          <w:color w:val="auto"/>
        </w:rPr>
        <w:t>Yield Protection; Change in Legality</w:t>
      </w:r>
    </w:p>
    <w:p>
      <w:pPr>
        <w:spacing w:after="0" w:line="283" w:lineRule="exact"/>
        <w:rPr>
          <w:sz w:val="20"/>
          <w:szCs w:val="20"/>
          <w:color w:val="auto"/>
        </w:rPr>
      </w:pPr>
    </w:p>
    <w:p>
      <w:pPr>
        <w:ind w:left="2580" w:hanging="627"/>
        <w:spacing w:after="0"/>
        <w:tabs>
          <w:tab w:leader="none" w:pos="258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660" w:right="80" w:firstLine="2913"/>
        <w:spacing w:after="0" w:line="286" w:lineRule="auto"/>
        <w:tabs>
          <w:tab w:leader="none" w:pos="4179" w:val="left"/>
        </w:tabs>
        <w:numPr>
          <w:ilvl w:val="1"/>
          <w:numId w:val="151"/>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Adjusted LIBOR Rate or the Adjusted EURIBOR Rate, as applicable) or the Issuing Bank;</w:t>
      </w: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left="660" w:right="20" w:firstLine="2913"/>
        <w:spacing w:after="0" w:line="279" w:lineRule="auto"/>
        <w:tabs>
          <w:tab w:leader="none" w:pos="4229"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subject any Lender or the Issuing Bank to any tax of any kind whatsoever with respect to this Agreement, any Letter of Credit, any participation in a Letter of Credit or any Eurocurrency Loan or EURIBOR Loan made by it, or change the basis of taxation of payments to such Lender or the Issuing Bank in respect thereof (except for Indemnified Taxes or Other Taxes covered by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and the imposition of, or any change in the rate of, any Excluded Tax payable by such Lender or the Issuing Bank); or</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660" w:right="360" w:firstLine="2913"/>
        <w:spacing w:after="0" w:line="342" w:lineRule="auto"/>
        <w:tabs>
          <w:tab w:leader="none" w:pos="4279" w:val="left"/>
        </w:tabs>
        <w:numPr>
          <w:ilvl w:val="1"/>
          <w:numId w:val="151"/>
        </w:numPr>
        <w:rPr>
          <w:rFonts w:ascii="Arial" w:cs="Arial" w:eastAsia="Arial" w:hAnsi="Arial"/>
          <w:sz w:val="16"/>
          <w:szCs w:val="16"/>
          <w:color w:val="auto"/>
        </w:rPr>
      </w:pPr>
      <w:r>
        <w:rPr>
          <w:rFonts w:ascii="Arial" w:cs="Arial" w:eastAsia="Arial" w:hAnsi="Arial"/>
          <w:sz w:val="16"/>
          <w:szCs w:val="16"/>
          <w:color w:val="auto"/>
        </w:rPr>
        <w:t>impose on any Lender or the Issuing Bank or the applicable interbank market or any other condition, cost or expense affecting this Agreement or Eurocurrency Loans made by such Lender or any Letter of Credit or participation therein;</w:t>
      </w:r>
    </w:p>
    <w:p>
      <w:pPr>
        <w:spacing w:after="0" w:line="3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the result of any of the foregoing shall be to increase the cost to such Lender of making or maintaining any Eurocurrency Loan or any EURIBOR Loan (or of maintaining its obligation to make any such Loan), or to increase the cost to such Lender, the Issuing Bank or such Lender’s or the Issuing Bank’s holding company, if any, of participating in, issuing or maintaining any Letter of Credit (or of maintaining its obligation to participate in or to issue any Letter of Credit), or to reduce the amount of any sum received or receivable by such Lender or the Issuing Bank hereunder (whether of principal, interest or any other amount), then, upon request of such Lender or the Issuing Bank, Borrower will pay to such Lender or the Issuing Bank, as the case may be, such additional amount or amounts as will compensate such Lender or the Issuing Bank, as the case may be, for such additional costs incurred or reduction suffered.</w:t>
      </w:r>
    </w:p>
    <w:p>
      <w:pPr>
        <w:spacing w:after="0" w:line="200" w:lineRule="exact"/>
        <w:rPr>
          <w:sz w:val="20"/>
          <w:szCs w:val="20"/>
          <w:color w:val="auto"/>
        </w:rPr>
      </w:pPr>
    </w:p>
    <w:p>
      <w:pPr>
        <w:spacing w:after="0" w:line="286" w:lineRule="exact"/>
        <w:rPr>
          <w:sz w:val="20"/>
          <w:szCs w:val="20"/>
          <w:color w:val="auto"/>
        </w:rPr>
      </w:pPr>
    </w:p>
    <w:p>
      <w:pPr>
        <w:ind w:firstLine="1953"/>
        <w:spacing w:after="0" w:line="289" w:lineRule="auto"/>
        <w:tabs>
          <w:tab w:leader="none" w:pos="2587"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the Issuing Bank determines (in good faith, but in its sole absolute discretion) that any Change in Law affecting such Lender or the Issuing Bank or any lending office of such Lender or such Lender’s or the Issuing Bank’s holding company, if any, regarding capital requirements has or would have the effect of reducing the rate of return on such Lender’s or the Issuing Bank’s capital or on the capital of such Lender’s or the Issuing Bank’s holding company, if any, as a consequence of this Agreement, the Commitments of such Lender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then from time to time Borrower will pay to such Lender or the Issuing Bank, as the case may be, such additional amount or amounts as will compensate such Lender or the Issuing Bank or such Lender’s or the Issuing Bank’s holding company for any such reduction suffered.</w:t>
      </w:r>
    </w:p>
    <w:p>
      <w:pPr>
        <w:sectPr>
          <w:pgSz w:w="11900" w:h="16838" w:orient="portrait"/>
          <w:cols w:equalWidth="0" w:num="1">
            <w:col w:w="11420"/>
          </w:cols>
          <w:pgMar w:left="240" w:top="368" w:right="239" w:bottom="0" w:gutter="0" w:footer="0" w:header="0"/>
        </w:sectPr>
      </w:pPr>
    </w:p>
    <w:bookmarkStart w:id="88" w:name="page89"/>
    <w:bookmarkEnd w:id="88"/>
    <w:p>
      <w:pPr>
        <w:spacing w:after="0" w:line="29" w:lineRule="exact"/>
        <w:rPr>
          <w:sz w:val="20"/>
          <w:szCs w:val="20"/>
          <w:color w:val="auto"/>
        </w:rPr>
      </w:pPr>
    </w:p>
    <w:p>
      <w:pPr>
        <w:ind w:left="-8" w:right="100" w:firstLine="1953"/>
        <w:spacing w:after="0" w:line="259" w:lineRule="auto"/>
        <w:tabs>
          <w:tab w:leader="none" w:pos="2569"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or the Issuing Bank setting forth the amount or amounts necessary to compensate such Lender or the Issuing Bank or its holding company, as the case may be, as specified in paragraph (a) or (b) of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delivered to Borrower shall be conclusive absent manifest error. Borrower shall pay such Lender or the Issuing Bank, as the case may be, the amount shown as due on any such certificate within 10 days after receipt thereof.</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 w:right="60" w:firstLine="1953"/>
        <w:spacing w:after="0" w:line="293" w:lineRule="auto"/>
        <w:tabs>
          <w:tab w:leader="none" w:pos="2579"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the Issuing Bank to demand compensation pursuant to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not constitute a waiver of such Lender’s or the Issuing Bank’s right to demand such compensation;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shall not be required to compensate a Lender or the Issuing Bank pursuant to this Section for any increased costs incurred or reductions suffered more than nine months prior to the date that such Lender or the Issuing Bank, as the case may be, notifies Borrower of the Change in Law giving rise to such increased costs or reductions and of such Lender’s or the Issuing Bank’s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8" w:right="100" w:firstLine="1953"/>
        <w:spacing w:after="0" w:line="312" w:lineRule="auto"/>
        <w:tabs>
          <w:tab w:leader="none" w:pos="2569"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Change in Legality Generally</w:t>
      </w:r>
      <w:r>
        <w:rPr>
          <w:rFonts w:ascii="Arial" w:cs="Arial" w:eastAsia="Arial" w:hAnsi="Arial"/>
          <w:sz w:val="16"/>
          <w:szCs w:val="16"/>
          <w:color w:val="auto"/>
        </w:rPr>
        <w:t>. Notwithstanding any other provision of this Agreement, if any Change in Law shall make it unlawful for any Lender to make or maintain any Eurocurrency Loan or any EURIBOR Loan, or to give effect to its obligations as contemplated hereby with respect to any Eurocurrency Loan or any EURIBOR Loan, then, upon written notice by such Lender to Borrower and the Administrative Agent:</w:t>
      </w: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ind w:left="4172" w:hanging="607"/>
        <w:spacing w:after="0"/>
        <w:tabs>
          <w:tab w:leader="none" w:pos="417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Commitments of such Lender (if any) shall immediately terminate;</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652" w:right="80" w:firstLine="2913"/>
        <w:spacing w:after="0" w:line="271" w:lineRule="auto"/>
        <w:tabs>
          <w:tab w:leader="none" w:pos="4221" w:val="left"/>
        </w:tabs>
        <w:numPr>
          <w:ilvl w:val="1"/>
          <w:numId w:val="153"/>
        </w:numPr>
        <w:rPr>
          <w:rFonts w:ascii="Arial" w:cs="Arial" w:eastAsia="Arial" w:hAnsi="Arial"/>
          <w:sz w:val="17"/>
          <w:szCs w:val="17"/>
          <w:color w:val="auto"/>
        </w:rPr>
      </w:pPr>
      <w:r>
        <w:rPr>
          <w:rFonts w:ascii="Arial" w:cs="Arial" w:eastAsia="Arial" w:hAnsi="Arial"/>
          <w:sz w:val="17"/>
          <w:szCs w:val="17"/>
          <w:color w:val="auto"/>
        </w:rPr>
        <w:t>in the case of Dollar Loans, (x) such Lender may declare that Eurocurrency Loans will not thereafter (for the duration of such unlawfulness) be continued for additional Interest Periods and ABR Loans will not thereafter (for such duration) be converted into Eurocurrency Loans, whereupon any request to convert an ABR Borrowing to a Eurocurrency Borrowing or to continue a Eurocurrency Borrowing for an additional Interest Period shall, as to such Lender only, be deemed a request to continue an ABR Loan as such, or to convert a Eurocurrency Loan into an ABR Loan, as the case may be, unless such declaration shall be subsequently withdrawn and (y) all such outstanding Eurocurrency Loans made by such Lender shall be automatically converted to ABR Loans on the last day of the then current Interest Period therefor or, if earlier, on the date specified by such Lender in such notice (which date shall be no earlier than the last day of any applicable grace period permitted by applicable law); and</w:t>
      </w:r>
    </w:p>
    <w:p>
      <w:pPr>
        <w:spacing w:after="0" w:line="200" w:lineRule="exact"/>
        <w:rPr>
          <w:rFonts w:ascii="Arial" w:cs="Arial" w:eastAsia="Arial" w:hAnsi="Arial"/>
          <w:sz w:val="17"/>
          <w:szCs w:val="17"/>
          <w:color w:val="auto"/>
        </w:rPr>
      </w:pPr>
    </w:p>
    <w:p>
      <w:pPr>
        <w:spacing w:after="0" w:line="276" w:lineRule="exact"/>
        <w:rPr>
          <w:rFonts w:ascii="Arial" w:cs="Arial" w:eastAsia="Arial" w:hAnsi="Arial"/>
          <w:sz w:val="17"/>
          <w:szCs w:val="17"/>
          <w:color w:val="auto"/>
        </w:rPr>
      </w:pPr>
    </w:p>
    <w:p>
      <w:pPr>
        <w:jc w:val="both"/>
        <w:ind w:left="652" w:right="100" w:firstLine="2913"/>
        <w:spacing w:after="0" w:line="259" w:lineRule="auto"/>
        <w:tabs>
          <w:tab w:leader="none" w:pos="427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 the case of Eurocurrency Loans that are GBP Loans or EURIBOR Loans, Borrower shall repay all such outstanding Eurocurrency Loans or EURIBOR Loans, as the case may be, of such Lender on the last day of the then current Interest Period therefor or, if earlier, on the date specified by such Lender in such notice (which date shall be no earlier than the last day of any applicable grace period permitted by applicable law).</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 w:right="60" w:firstLine="1953"/>
        <w:spacing w:after="0" w:line="264" w:lineRule="auto"/>
        <w:tabs>
          <w:tab w:leader="none" w:pos="2549"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Change in Legality in Relation to Issuing Bank</w:t>
      </w:r>
      <w:r>
        <w:rPr>
          <w:rFonts w:ascii="Arial" w:cs="Arial" w:eastAsia="Arial" w:hAnsi="Arial"/>
          <w:sz w:val="18"/>
          <w:szCs w:val="18"/>
          <w:color w:val="auto"/>
        </w:rPr>
        <w:t>. Notwithstanding any other provision of this Agreement, if any Change in Law shall make it unlawful for any Issuing Bank to issue or allow to remain outstanding any Letter of Credit, then, by written notice to Borrower and the Administrative Agent:</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4172" w:hanging="607"/>
        <w:spacing w:after="0"/>
        <w:tabs>
          <w:tab w:leader="none" w:pos="417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such Issuing Bank shall no longer be obligated to issue any Letters of Credit; and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652" w:right="760" w:firstLine="2913"/>
        <w:spacing w:after="0" w:line="277" w:lineRule="auto"/>
        <w:tabs>
          <w:tab w:leader="none" w:pos="422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Borrower shall use its commercially reasonable best efforts to procure the release of each outstanding Letter of Credit issued by such Issuing Bank.</w:t>
      </w:r>
    </w:p>
    <w:p>
      <w:pPr>
        <w:spacing w:after="0" w:line="220"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5"/>
          <w:szCs w:val="15"/>
          <w:b w:val="1"/>
          <w:bCs w:val="1"/>
          <w:u w:val="single" w:color="auto"/>
          <w:color w:val="auto"/>
        </w:rPr>
        <w:t>Breakage Payments</w:t>
      </w:r>
    </w:p>
    <w:p>
      <w:pPr>
        <w:spacing w:after="0" w:line="256" w:lineRule="exact"/>
        <w:rPr>
          <w:sz w:val="20"/>
          <w:szCs w:val="20"/>
          <w:color w:val="auto"/>
        </w:rPr>
      </w:pPr>
    </w:p>
    <w:p>
      <w:pPr>
        <w:ind w:left="-8" w:firstLine="8"/>
        <w:spacing w:after="0" w:line="268" w:lineRule="auto"/>
        <w:tabs>
          <w:tab w:leader="none" w:pos="12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In the event of (a) the payment or prepayment, whether optional or mandatory, of any principal of any Eurocurrency Loan or EURIBOR Loan earlier than the last day of an Interest Period applicable thereto (including as a result of an Event of Default), (b) the conversion of any Eurocurrency Loan or EURIBOR Loan earlier than the last day of the Interest Period applicable thereto, (c) the failure to borrow, convert, continue or prepay any Revolving Loan or Term Loan on the date specified in any notice delivered pursuant hereto or (d) the assignment of any Eurocurrency Loan or EURIBOR Loan earlier than the last day of the Interest Period applicable thereto as a result of a request by Borrower pursuant to </w:t>
      </w:r>
      <w:r>
        <w:rPr>
          <w:rFonts w:ascii="Arial" w:cs="Arial" w:eastAsia="Arial" w:hAnsi="Arial"/>
          <w:sz w:val="17"/>
          <w:szCs w:val="17"/>
          <w:u w:val="single" w:color="auto"/>
          <w:color w:val="auto"/>
        </w:rPr>
        <w:t>Section 2.16(b)</w:t>
      </w:r>
      <w:r>
        <w:rPr>
          <w:rFonts w:ascii="Arial" w:cs="Arial" w:eastAsia="Arial" w:hAnsi="Arial"/>
          <w:sz w:val="17"/>
          <w:szCs w:val="17"/>
          <w:color w:val="auto"/>
        </w:rPr>
        <w:t xml:space="preserve">, then, in any such event, Borrower shall compensate each Lender for the loss, cost and expense attributable to such event. In the case of a Eurocurrency Loan or EURIBOR Loan, such loss, cost or expense to any Lender shall be deemed to include an amount determined by such Lender to be the excess, if any, of (i) the amount of interest which would have accrued on the principal amount of such Loan had such event not occurred, at the Adjusted LIBOR Rate or the Adjusted EURIBOR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w:t>
      </w:r>
      <w:r>
        <w:rPr>
          <w:rFonts w:ascii="Arial" w:cs="Arial" w:eastAsia="Arial" w:hAnsi="Arial"/>
          <w:sz w:val="17"/>
          <w:szCs w:val="17"/>
          <w:i w:val="1"/>
          <w:iCs w:val="1"/>
          <w:color w:val="auto"/>
        </w:rPr>
        <w:t>over</w:t>
      </w:r>
      <w:r>
        <w:rPr>
          <w:rFonts w:ascii="Arial" w:cs="Arial" w:eastAsia="Arial" w:hAnsi="Arial"/>
          <w:sz w:val="17"/>
          <w:szCs w:val="17"/>
          <w:color w:val="auto"/>
        </w:rPr>
        <w:t xml:space="preserve"> (ii) the amount of interest which would accrue on such principal amount for such period at the interest rate which such Lender would bid were it to bid, at the commencement of such period, for Dollar deposits of a comparable amount and period from other banks in the applicable interbank market. A certificate of any Lender setting forth in reasonable detail any amount or amounts that such Lender is entitled to receive pursuant to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shall be delivered to Borrower (with a copy to the Administrative Agent) and shall be conclusive and binding absent manifest error. Borrower shall pay such Lender the amount shown as due on any such certificate within five days after receipt thereof.</w:t>
      </w:r>
    </w:p>
    <w:p>
      <w:pPr>
        <w:spacing w:after="0" w:line="233"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6"/>
          <w:szCs w:val="16"/>
          <w:b w:val="1"/>
          <w:bCs w:val="1"/>
          <w:u w:val="single" w:color="auto"/>
          <w:color w:val="auto"/>
        </w:rPr>
        <w:t>Payments Generally; Pro Rata Treatment; Sharing of Setoffs</w:t>
      </w:r>
    </w:p>
    <w:p>
      <w:pPr>
        <w:spacing w:after="0" w:line="283" w:lineRule="exact"/>
        <w:rPr>
          <w:sz w:val="20"/>
          <w:szCs w:val="20"/>
          <w:color w:val="auto"/>
        </w:rPr>
      </w:pPr>
    </w:p>
    <w:p>
      <w:pPr>
        <w:ind w:left="-8" w:right="20" w:firstLine="1953"/>
        <w:spacing w:after="0" w:line="342" w:lineRule="auto"/>
        <w:tabs>
          <w:tab w:leader="none" w:pos="2569"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Payments Generally</w:t>
      </w:r>
      <w:r>
        <w:rPr>
          <w:rFonts w:ascii="Arial" w:cs="Arial" w:eastAsia="Arial" w:hAnsi="Arial"/>
          <w:sz w:val="16"/>
          <w:szCs w:val="16"/>
          <w:color w:val="auto"/>
        </w:rPr>
        <w:t xml:space="preserve">. Borrower shall make each payment required to be made by it hereunder or under any other Loan Document (whether of principal, interest, fees or Reimbursement Obligations, or of amounts payable under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10.03</w:t>
      </w:r>
      <w:r>
        <w:rPr>
          <w:rFonts w:ascii="Arial" w:cs="Arial" w:eastAsia="Arial" w:hAnsi="Arial"/>
          <w:sz w:val="16"/>
          <w:szCs w:val="16"/>
          <w:color w:val="auto"/>
        </w:rPr>
        <w:t>, or otherwise) on</w:t>
      </w:r>
    </w:p>
    <w:p>
      <w:pPr>
        <w:sectPr>
          <w:pgSz w:w="11900" w:h="16867" w:orient="portrait"/>
          <w:cols w:equalWidth="0" w:num="1">
            <w:col w:w="11412"/>
          </w:cols>
          <w:pgMar w:left="248" w:top="395" w:right="239" w:bottom="0" w:gutter="0" w:footer="0" w:header="0"/>
        </w:sectPr>
      </w:pPr>
    </w:p>
    <w:bookmarkStart w:id="89" w:name="page90"/>
    <w:bookmarkEnd w:id="89"/>
    <w:p>
      <w:pPr>
        <w:spacing w:after="0" w:line="288" w:lineRule="auto"/>
        <w:rPr>
          <w:sz w:val="20"/>
          <w:szCs w:val="20"/>
          <w:color w:val="auto"/>
        </w:rPr>
      </w:pPr>
      <w:r>
        <w:rPr>
          <w:rFonts w:ascii="Arial" w:cs="Arial" w:eastAsia="Arial" w:hAnsi="Arial"/>
          <w:sz w:val="16"/>
          <w:szCs w:val="16"/>
          <w:color w:val="auto"/>
        </w:rPr>
        <w:t xml:space="preserve">or before the time expressly required hereunder or under such other Loan Document for such payment (or, if no such time is expressly required, prior to 2:00 p.m., Local Time), on the date when due, in immediately available funds, without setoff, deduction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Wells Fargo Bank, 1700 Lincoln, Denver, CO 80203, except payments to be made directly to the Issuing Bank or Swingline Lender as expressly provided herein and except that payments pursuant to </w:t>
      </w:r>
      <w:r>
        <w:rPr>
          <w:rFonts w:ascii="Arial" w:cs="Arial" w:eastAsia="Arial" w:hAnsi="Arial"/>
          <w:sz w:val="16"/>
          <w:szCs w:val="16"/>
          <w:u w:val="single" w:color="auto"/>
          <w:color w:val="auto"/>
        </w:rPr>
        <w:t>Sections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10.03</w:t>
      </w:r>
      <w:r>
        <w:rPr>
          <w:rFonts w:ascii="Arial" w:cs="Arial" w:eastAsia="Arial" w:hAnsi="Arial"/>
          <w:sz w:val="16"/>
          <w:szCs w:val="16"/>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unless specified otherwise, the date for payment shall be extended to the next succeeding Business Day, and, in the case of any payment accruing interest, interest thereon shall be payable for the period of such extension. All payments under each Loan Document shall be made in Dollars, except as expressly specified otherwise.</w:t>
      </w:r>
    </w:p>
    <w:p>
      <w:pPr>
        <w:spacing w:after="0" w:line="200" w:lineRule="exact"/>
        <w:rPr>
          <w:sz w:val="20"/>
          <w:szCs w:val="20"/>
          <w:color w:val="auto"/>
        </w:rPr>
      </w:pPr>
    </w:p>
    <w:p>
      <w:pPr>
        <w:spacing w:after="0" w:line="266" w:lineRule="exact"/>
        <w:rPr>
          <w:sz w:val="20"/>
          <w:szCs w:val="20"/>
          <w:color w:val="auto"/>
        </w:rPr>
      </w:pPr>
    </w:p>
    <w:p>
      <w:pPr>
        <w:ind w:left="2600" w:hanging="647"/>
        <w:spacing w:after="0"/>
        <w:tabs>
          <w:tab w:leader="none" w:pos="2600"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Pro Rata Treatment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180" w:hanging="607"/>
        <w:spacing w:after="0"/>
        <w:tabs>
          <w:tab w:leader="none" w:pos="4180" w:val="left"/>
        </w:tabs>
        <w:numPr>
          <w:ilvl w:val="2"/>
          <w:numId w:val="156"/>
        </w:numPr>
        <w:rPr>
          <w:rFonts w:ascii="Arial" w:cs="Arial" w:eastAsia="Arial" w:hAnsi="Arial"/>
          <w:sz w:val="17"/>
          <w:szCs w:val="17"/>
          <w:color w:val="auto"/>
        </w:rPr>
      </w:pPr>
      <w:r>
        <w:rPr>
          <w:rFonts w:ascii="Arial" w:cs="Arial" w:eastAsia="Arial" w:hAnsi="Arial"/>
          <w:sz w:val="17"/>
          <w:szCs w:val="17"/>
          <w:color w:val="auto"/>
        </w:rPr>
        <w:t>Each payment by Borrower of interest in respect of the Loans shall be applied to the amounts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 xml:space="preserve">such obligations owing to the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according to the respective amounts then due and owing to the Lenders.</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660" w:firstLine="2913"/>
        <w:spacing w:after="0" w:line="259" w:lineRule="auto"/>
        <w:tabs>
          <w:tab w:leader="none" w:pos="4229" w:val="left"/>
        </w:tabs>
        <w:numPr>
          <w:ilvl w:val="2"/>
          <w:numId w:val="156"/>
        </w:numPr>
        <w:rPr>
          <w:rFonts w:ascii="Arial" w:cs="Arial" w:eastAsia="Arial" w:hAnsi="Arial"/>
          <w:sz w:val="18"/>
          <w:szCs w:val="18"/>
          <w:color w:val="auto"/>
        </w:rPr>
      </w:pPr>
      <w:r>
        <w:rPr>
          <w:rFonts w:ascii="Arial" w:cs="Arial" w:eastAsia="Arial" w:hAnsi="Arial"/>
          <w:sz w:val="18"/>
          <w:szCs w:val="18"/>
          <w:color w:val="auto"/>
        </w:rPr>
        <w:t xml:space="preserve">Each payment on account of principal of the Term Loans shall be allocated among the Term Loan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principal amount of the Term Loans held by the Term Loan Lenders. Each payment by Borrower on account of principal of the Revolving Borrowings shall be made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according to the respective outstanding principal amounts of the Revolving Loans then held by the Revolving Lenders.</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right="40" w:firstLine="1953"/>
        <w:spacing w:after="0" w:line="257" w:lineRule="auto"/>
        <w:tabs>
          <w:tab w:leader="none" w:pos="2577"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xml:space="preserve">. If at any time insufficient funds are received by and available to the Administrative Agent to pay fully all amounts of principal, Reimbursement Obligations, interest and fees then due hereunder, such funds shall be applied (i)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8"/>
          <w:szCs w:val="18"/>
          <w:i w:val="1"/>
          <w:iCs w:val="1"/>
          <w:color w:val="auto"/>
        </w:rPr>
        <w:t>second</w:t>
      </w:r>
      <w:r>
        <w:rPr>
          <w:rFonts w:ascii="Arial" w:cs="Arial" w:eastAsia="Arial" w:hAnsi="Arial"/>
          <w:sz w:val="18"/>
          <w:szCs w:val="18"/>
          <w:color w:val="auto"/>
        </w:rPr>
        <w:t>, toward payment of principal and Reimbursement Obligations then due hereunder, ratably among the parties entitled thereto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of principal and Reimbursement Obligations then due to such parties.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firstLine="1953"/>
        <w:spacing w:after="0" w:line="285" w:lineRule="auto"/>
        <w:tabs>
          <w:tab w:leader="none" w:pos="2587"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Sharing of Set-Off</w:t>
      </w:r>
      <w:r>
        <w:rPr>
          <w:rFonts w:ascii="Arial" w:cs="Arial" w:eastAsia="Arial" w:hAnsi="Arial"/>
          <w:sz w:val="16"/>
          <w:szCs w:val="16"/>
          <w:color w:val="auto"/>
        </w:rPr>
        <w:t xml:space="preserve">. Except to the extent that this Agreement expressly provides for or permits payments to be allocated or made to a particular Lender and except as may be otherwise expressly provided herein, if any Lender (and/or the Issuing Bank, which shall be deemed a “Lender” for purposes of this </w:t>
      </w:r>
      <w:r>
        <w:rPr>
          <w:rFonts w:ascii="Arial" w:cs="Arial" w:eastAsia="Arial" w:hAnsi="Arial"/>
          <w:sz w:val="16"/>
          <w:szCs w:val="16"/>
          <w:u w:val="single" w:color="auto"/>
          <w:color w:val="auto"/>
        </w:rPr>
        <w:t>Section 2.14(d))</w:t>
      </w:r>
      <w:r>
        <w:rPr>
          <w:rFonts w:ascii="Arial" w:cs="Arial" w:eastAsia="Arial" w:hAnsi="Arial"/>
          <w:sz w:val="16"/>
          <w:szCs w:val="16"/>
          <w:color w:val="auto"/>
        </w:rPr>
        <w:t xml:space="preserve"> shall, by exercising any right of setoff or counterclaim or otherwise, obtain payment in respect of any principal of or interest on any of its Loans or other Obligations resulting in such Lender’s receiving payment of a proportion of the aggregate amount of its Loans and accrued interest thereon or other Obligations greater than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thereof as provided herein, then the Lender receiving such greater proportion shall</w:t>
      </w:r>
    </w:p>
    <w:p>
      <w:pPr>
        <w:spacing w:after="0" w:line="2" w:lineRule="exact"/>
        <w:rPr>
          <w:rFonts w:ascii="Arial" w:cs="Arial" w:eastAsia="Arial" w:hAnsi="Arial"/>
          <w:sz w:val="16"/>
          <w:szCs w:val="16"/>
          <w:color w:val="auto"/>
        </w:rPr>
      </w:pPr>
    </w:p>
    <w:p>
      <w:pPr>
        <w:ind w:right="60" w:firstLine="8"/>
        <w:spacing w:after="0" w:line="254" w:lineRule="auto"/>
        <w:tabs>
          <w:tab w:leader="none" w:pos="24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notify the Administrative Agent of such fact, and (b) purchase (for cash at face value and in the Approved Currency with respect to which such Loans and such other obligations are denominated)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4180" w:hanging="607"/>
        <w:spacing w:after="0"/>
        <w:tabs>
          <w:tab w:leader="none" w:pos="4180" w:val="left"/>
        </w:tabs>
        <w:numPr>
          <w:ilvl w:val="2"/>
          <w:numId w:val="157"/>
        </w:numPr>
        <w:rPr>
          <w:rFonts w:ascii="Arial" w:cs="Arial" w:eastAsia="Arial" w:hAnsi="Arial"/>
          <w:sz w:val="16"/>
          <w:szCs w:val="16"/>
          <w:color w:val="auto"/>
        </w:rPr>
      </w:pPr>
      <w:r>
        <w:rPr>
          <w:rFonts w:ascii="Arial" w:cs="Arial" w:eastAsia="Arial" w:hAnsi="Arial"/>
          <w:sz w:val="16"/>
          <w:szCs w:val="16"/>
          <w:color w:val="auto"/>
        </w:rPr>
        <w:t>if any such participations are purchased and all or any portion of the payment giving rise thereto is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recovered, such participations shall be rescinded and the purchase price restored to the extent of such recovery, without interest; and</w:t>
      </w: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660" w:right="160" w:firstLine="2913"/>
        <w:spacing w:after="0" w:line="259" w:lineRule="auto"/>
        <w:tabs>
          <w:tab w:leader="none" w:pos="4229" w:val="left"/>
        </w:tabs>
        <w:numPr>
          <w:ilvl w:val="2"/>
          <w:numId w:val="157"/>
        </w:numPr>
        <w:rPr>
          <w:rFonts w:ascii="Arial" w:cs="Arial" w:eastAsia="Arial" w:hAnsi="Arial"/>
          <w:sz w:val="18"/>
          <w:szCs w:val="18"/>
          <w:color w:val="auto"/>
        </w:rPr>
      </w:pPr>
      <w:r>
        <w:rPr>
          <w:rFonts w:ascii="Arial" w:cs="Arial" w:eastAsia="Arial" w:hAnsi="Arial"/>
          <w:sz w:val="18"/>
          <w:szCs w:val="18"/>
          <w:color w:val="auto"/>
        </w:rPr>
        <w:t>the provisions of this paragraph shall not be construed to apply to (x) any payment made by Borrower pursuant to and in accordance with the express terms of this Agreement or (y) any payment obtained by a Lender as consideration for the assignment of or sale of a participation in any of its Loans or participations in LC Disbursements to any assignee or participant, other than to Borrower or any Subsidiary thereof (as to which the provisions of this paragraph shall apply).</w:t>
      </w:r>
    </w:p>
    <w:p>
      <w:pPr>
        <w:spacing w:after="0" w:line="200" w:lineRule="exact"/>
        <w:rPr>
          <w:sz w:val="20"/>
          <w:szCs w:val="20"/>
          <w:color w:val="auto"/>
        </w:rPr>
      </w:pPr>
    </w:p>
    <w:p>
      <w:pPr>
        <w:spacing w:after="0" w:line="2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Each Loan Party consents to the foregoing and agrees, to the extent it may effectively do so under applicable Requirements of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 If under applicable bankruptcy, insolvency or any similar law any Secured Party receives a secured claim in lieu of a setoff or counterclaim to which this </w:t>
      </w:r>
      <w:r>
        <w:rPr>
          <w:rFonts w:ascii="Arial" w:cs="Arial" w:eastAsia="Arial" w:hAnsi="Arial"/>
          <w:sz w:val="17"/>
          <w:szCs w:val="17"/>
          <w:u w:val="single" w:color="auto"/>
          <w:color w:val="auto"/>
        </w:rPr>
        <w:t>Section 2.14(d)</w:t>
      </w:r>
      <w:r>
        <w:rPr>
          <w:rFonts w:ascii="Arial" w:cs="Arial" w:eastAsia="Arial" w:hAnsi="Arial"/>
          <w:sz w:val="17"/>
          <w:szCs w:val="17"/>
          <w:color w:val="auto"/>
        </w:rPr>
        <w:t xml:space="preserve"> applies, such Secured Party shall to the extent practicable, exercise its rights in respect of such secured claim in a manner consistent with the rights to which the Secured Party is entitled under this </w:t>
      </w:r>
      <w:r>
        <w:rPr>
          <w:rFonts w:ascii="Arial" w:cs="Arial" w:eastAsia="Arial" w:hAnsi="Arial"/>
          <w:sz w:val="17"/>
          <w:szCs w:val="17"/>
          <w:u w:val="single" w:color="auto"/>
          <w:color w:val="auto"/>
        </w:rPr>
        <w:t>Section 2.14(d)</w:t>
      </w:r>
      <w:r>
        <w:rPr>
          <w:rFonts w:ascii="Arial" w:cs="Arial" w:eastAsia="Arial" w:hAnsi="Arial"/>
          <w:sz w:val="17"/>
          <w:szCs w:val="17"/>
          <w:color w:val="auto"/>
        </w:rPr>
        <w:t xml:space="preserve"> to share in the benefits of the recovery of such secured claim.</w:t>
      </w:r>
    </w:p>
    <w:p>
      <w:pPr>
        <w:spacing w:after="0" w:line="200" w:lineRule="exact"/>
        <w:rPr>
          <w:sz w:val="20"/>
          <w:szCs w:val="20"/>
          <w:color w:val="auto"/>
        </w:rPr>
      </w:pPr>
    </w:p>
    <w:p>
      <w:pPr>
        <w:spacing w:after="0" w:line="276" w:lineRule="exact"/>
        <w:rPr>
          <w:sz w:val="20"/>
          <w:szCs w:val="20"/>
          <w:color w:val="auto"/>
        </w:rPr>
      </w:pPr>
    </w:p>
    <w:p>
      <w:pPr>
        <w:ind w:right="40" w:firstLine="1953"/>
        <w:spacing w:after="0" w:line="272" w:lineRule="auto"/>
        <w:tabs>
          <w:tab w:leader="none" w:pos="2577"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Borrower Default</w:t>
      </w:r>
      <w:r>
        <w:rPr>
          <w:rFonts w:ascii="Arial" w:cs="Arial" w:eastAsia="Arial" w:hAnsi="Arial"/>
          <w:sz w:val="17"/>
          <w:szCs w:val="17"/>
          <w:color w:val="auto"/>
        </w:rPr>
        <w:t>. Unless the Administrative Agent shall have received notice from Borrower prior to the date on which any payment is due to the Administrative Agent for the account of the Lenders or the Issuing Bank hereunder that Borrower will not make such payment, the Administrative Agent may assume that Borrower has made such payment on such date in accordance herewith and may, in reliance upon such assumption, distribute to the Lenders or the Issuing Bank, as the case may be, the amount due. In such event, if Borrower has not in fact made such payment, then each of the Lenders and each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Interbank Rate for such period.</w:t>
      </w:r>
    </w:p>
    <w:p>
      <w:pPr>
        <w:spacing w:after="0" w:line="200" w:lineRule="exact"/>
        <w:rPr>
          <w:rFonts w:ascii="Arial" w:cs="Arial" w:eastAsia="Arial" w:hAnsi="Arial"/>
          <w:sz w:val="17"/>
          <w:szCs w:val="17"/>
          <w:color w:val="auto"/>
        </w:rPr>
      </w:pPr>
    </w:p>
    <w:p>
      <w:pPr>
        <w:spacing w:after="0" w:line="275" w:lineRule="exact"/>
        <w:rPr>
          <w:rFonts w:ascii="Arial" w:cs="Arial" w:eastAsia="Arial" w:hAnsi="Arial"/>
          <w:sz w:val="17"/>
          <w:szCs w:val="17"/>
          <w:color w:val="auto"/>
        </w:rPr>
      </w:pPr>
    </w:p>
    <w:p>
      <w:pPr>
        <w:ind w:left="2560" w:hanging="607"/>
        <w:spacing w:after="0"/>
        <w:tabs>
          <w:tab w:leader="none" w:pos="2560"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Lender Default</w:t>
      </w:r>
      <w:r>
        <w:rPr>
          <w:rFonts w:ascii="Arial" w:cs="Arial" w:eastAsia="Arial" w:hAnsi="Arial"/>
          <w:sz w:val="17"/>
          <w:szCs w:val="17"/>
          <w:color w:val="auto"/>
        </w:rPr>
        <w:t xml:space="preserve">. If any Lender shall fail to make any payment required to be made by it pursuant to </w:t>
      </w:r>
      <w:r>
        <w:rPr>
          <w:rFonts w:ascii="Arial" w:cs="Arial" w:eastAsia="Arial" w:hAnsi="Arial"/>
          <w:sz w:val="17"/>
          <w:szCs w:val="17"/>
          <w:u w:val="single" w:color="auto"/>
          <w:color w:val="auto"/>
        </w:rPr>
        <w:t>Section 2.02(c)</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2.14(e)</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2.17(d)</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2.18(d)</w:t>
      </w:r>
      <w:r>
        <w:rPr>
          <w:rFonts w:ascii="Arial" w:cs="Arial" w:eastAsia="Arial" w:hAnsi="Arial"/>
          <w:sz w:val="16"/>
          <w:szCs w:val="16"/>
          <w:color w:val="auto"/>
        </w:rPr>
        <w:t xml:space="preserve">, </w:t>
      </w:r>
      <w:r>
        <w:rPr>
          <w:rFonts w:ascii="Arial" w:cs="Arial" w:eastAsia="Arial" w:hAnsi="Arial"/>
          <w:sz w:val="16"/>
          <w:szCs w:val="16"/>
          <w:u w:val="single" w:color="auto"/>
          <w:color w:val="auto"/>
        </w:rPr>
        <w:t>2.18(e)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10.03(c)</w:t>
      </w:r>
      <w:r>
        <w:rPr>
          <w:rFonts w:ascii="Arial" w:cs="Arial" w:eastAsia="Arial" w:hAnsi="Arial"/>
          <w:sz w:val="16"/>
          <w:szCs w:val="16"/>
          <w:color w:val="auto"/>
        </w:rPr>
        <w:t>, then the Administrative Agent may, in its discretion (notwithstanding any contrary provision hereof), apply any</w:t>
      </w:r>
    </w:p>
    <w:p>
      <w:pPr>
        <w:sectPr>
          <w:pgSz w:w="11900" w:h="16838" w:orient="portrait"/>
          <w:cols w:equalWidth="0" w:num="1">
            <w:col w:w="11420"/>
          </w:cols>
          <w:pgMar w:left="240" w:top="125" w:right="239" w:bottom="0" w:gutter="0" w:footer="0" w:header="0"/>
        </w:sectPr>
      </w:pPr>
    </w:p>
    <w:bookmarkStart w:id="90" w:name="page91"/>
    <w:bookmarkEnd w:id="90"/>
    <w:p>
      <w:pPr>
        <w:spacing w:after="0" w:line="277" w:lineRule="auto"/>
        <w:rPr>
          <w:sz w:val="20"/>
          <w:szCs w:val="20"/>
          <w:color w:val="auto"/>
        </w:rPr>
      </w:pPr>
      <w:r>
        <w:rPr>
          <w:rFonts w:ascii="Arial" w:cs="Arial" w:eastAsia="Arial" w:hAnsi="Arial"/>
          <w:sz w:val="18"/>
          <w:szCs w:val="18"/>
          <w:color w:val="auto"/>
        </w:rPr>
        <w:t>amounts thereafter received by the Administrative Agent for the account of such Lender to satisfy such Lender’s obligations under such Sections until all such unsatisfied obligations are fully paid.</w:t>
      </w:r>
    </w:p>
    <w:p>
      <w:pPr>
        <w:spacing w:after="0" w:line="22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4"/>
          <w:szCs w:val="14"/>
          <w:b w:val="1"/>
          <w:bCs w:val="1"/>
          <w:u w:val="single" w:color="auto"/>
          <w:color w:val="auto"/>
        </w:rPr>
        <w:t>Taxes</w:t>
      </w:r>
    </w:p>
    <w:p>
      <w:pPr>
        <w:spacing w:after="0" w:line="283" w:lineRule="exact"/>
        <w:rPr>
          <w:sz w:val="20"/>
          <w:szCs w:val="20"/>
          <w:color w:val="auto"/>
        </w:rPr>
      </w:pPr>
    </w:p>
    <w:p>
      <w:pPr>
        <w:ind w:right="20" w:firstLine="1953"/>
        <w:spacing w:after="0" w:line="291" w:lineRule="auto"/>
        <w:tabs>
          <w:tab w:leader="none" w:pos="2577"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xml:space="preserve">. Any and all payments by or on account of any obligation of the Loan Parties hereunder or under any other Loan Document shall be made free and clear of and without reduction or withholding for any Indemnified Taxes or Other Taxes;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Loan Parties shall be required by applicable Requirements of Law to deduct any Indemnified Taxes (including any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the applicable Loan Party shall make such deductions and (iii) the applicable Loan Party shall timely pay the full amount deducted to the relevant Governmental Authority in accordance with applicable Requirements of Law.</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right="80" w:firstLine="1953"/>
        <w:spacing w:after="0" w:line="277" w:lineRule="auto"/>
        <w:tabs>
          <w:tab w:leader="none" w:pos="2587"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Borrower</w:t>
      </w:r>
      <w:r>
        <w:rPr>
          <w:rFonts w:ascii="Arial" w:cs="Arial" w:eastAsia="Arial" w:hAnsi="Arial"/>
          <w:sz w:val="18"/>
          <w:szCs w:val="18"/>
          <w:color w:val="auto"/>
        </w:rPr>
        <w:t>. Without limiting the provisions of paragraph (a) above, Borrower shall timely pay any Other Taxes to the relevant Governmental Authority in accordance with applicable Requirements of Law.</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40" w:firstLine="1953"/>
        <w:spacing w:after="0" w:line="255" w:lineRule="auto"/>
        <w:tabs>
          <w:tab w:leader="none" w:pos="2577"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Indemnification by Borrower</w:t>
      </w:r>
      <w:r>
        <w:rPr>
          <w:rFonts w:ascii="Arial" w:cs="Arial" w:eastAsia="Arial" w:hAnsi="Arial"/>
          <w:sz w:val="18"/>
          <w:szCs w:val="18"/>
          <w:color w:val="auto"/>
        </w:rPr>
        <w:t>. Borrower shall indemnify the Administrative Agent, each Lender and the Issuing Bank, within 10 days after demand therefor, for the full amount of any Indemnified Taxes or Other Taxes (including Indemnified Taxes or Other Taxes imposed or asserted on or attributable to amounts payable under this Section) paid by the Administrative Agent, such Lender or the Issuing Bank, as the case may be,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Borrower by a Lender or the Issuing Bank (with a copy to the Administrative Agent), or by the Administrative Agent on its own behalf or on behalf of a Lender or the Issuing Bank, shall be conclusive absent manifest error.</w:t>
      </w: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160" w:firstLine="1953"/>
        <w:spacing w:after="0" w:line="259" w:lineRule="auto"/>
        <w:tabs>
          <w:tab w:leader="none" w:pos="2587"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Indemnified Taxes or Other Taxes by Borrower to a Governmental Authority,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right="120" w:firstLine="1953"/>
        <w:spacing w:after="0" w:line="259" w:lineRule="auto"/>
        <w:tabs>
          <w:tab w:leader="none" w:pos="2577"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 Any Foreign Lender shall, to the extent it may lawfully do so, deliver to Borrower and the Administrative Agent (in such number of copies as shall be requested by the recipient) on or prior to the date on which such Foreign Lender becomes a Lender under this Agreement (and from time to time thereafter upon the request of Borrower or the Administrative Agent, but only if such Foreign Lender is legally entitled to do so), whichever of the following is applicable:</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right="120" w:firstLine="2913"/>
        <w:spacing w:after="0" w:line="277" w:lineRule="auto"/>
        <w:tabs>
          <w:tab w:leader="none" w:pos="417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W-8BEN claiming eligibility for benefits of an income tax treaty to which the United States of America is a party,</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4220" w:hanging="647"/>
        <w:spacing w:after="0"/>
        <w:tabs>
          <w:tab w:leader="none" w:pos="42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W-8ECI,</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660" w:right="60" w:firstLine="2913"/>
        <w:spacing w:after="0" w:line="276" w:lineRule="auto"/>
        <w:tabs>
          <w:tab w:leader="none" w:pos="4279" w:val="left"/>
        </w:tabs>
        <w:numPr>
          <w:ilvl w:val="1"/>
          <w:numId w:val="159"/>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the exemption for portfolio interest under Section 881(c) of the Code, (x) a certificate, in substantially the form of Exhibit Q, or any other form approved by the Administrative Agent, to the effect that such Foreign Lender is not (A) a “bank” within the meaning of Section 881(c)(3)(A) of the Code, (B) a “10 percent shareholder” of Borrower within the meaning of Section 881(c)(3)(B) of the Code, or (C) a “controlled foreign corporation” described in Section 881(c)(3)(C) of the Code and (y) duly completed copies of Internal Revenue Service Form W-8BEN, or</w:t>
      </w: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660" w:right="100" w:firstLine="2913"/>
        <w:spacing w:after="0" w:line="286" w:lineRule="auto"/>
        <w:tabs>
          <w:tab w:leader="none" w:pos="4269"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any other form prescribed by applicable Requirements of Law as a basis for claiming exemption from or a reduction in United States Federal withholding tax duly completed together with such supplementary documentation as may be prescribed by applicable Requirements of Law to permit Borrower to determine the withholding or deduction required to be made.</w:t>
      </w: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right="60" w:firstLine="1953"/>
        <w:spacing w:after="0" w:line="268" w:lineRule="auto"/>
        <w:tabs>
          <w:tab w:leader="none" w:pos="2557"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If the Administrative Agent, a Lender or the Issuing Bank determines, in its sole discretion, that it has received a refund of any Indemnified Taxes or Other Taxes as to which it has been indemnified by Borrower or with respect to which Borrower has paid additional amounts pursuant to this Section, it shall pay to Borrower an amount equal to such refund (but only to the extent of indemnity payments made, or additional amounts paid, by Borrower under this Section with respect to the Indemnified Taxes or Other Taxes giving rise to such refund), net of all out-of-pocket expenses of the Administrative Agent, such Lender or the Issuing Bank, as the case may be, and without interest (other than any interest paid by the relevant Governmental Authority with respect to such refund);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upon the request of the Administrative Agent, such Lender or the Issuing Bank, agrees to repay the amount paid over to Borrower (plus any penalties, interest or other charges imposed by the relevant Governmental Authority) to the Administrative Agent, such Lender or the Issuing Bank in the event the Administrative Agent, such Lender or the Issuing Bank is required to repay such refund to such Governmental Authority. This paragraph shall not be construed to require the Administrative Agent, any Lender or the Issuing Bank to make available its tax returns (or any other information relating to its taxes that it deems confidential) to Borrower or any other person. Notwithstanding anything to the contrary, in no event will any Lender be required to pay any amount to Borrower the payment of which would place such Lender in a less favorable net after-tax position than such Lender would have been in if the additional amounts giving rise to such refund of any Indemnified Taxes or Other Taxes had never been paid.</w:t>
      </w:r>
    </w:p>
    <w:p>
      <w:pPr>
        <w:sectPr>
          <w:pgSz w:w="11900" w:h="16838" w:orient="portrait"/>
          <w:cols w:equalWidth="0" w:num="1">
            <w:col w:w="11420"/>
          </w:cols>
          <w:pgMar w:left="240" w:top="125" w:right="239" w:bottom="0" w:gutter="0" w:footer="0" w:header="0"/>
        </w:sectPr>
      </w:pPr>
    </w:p>
    <w:bookmarkStart w:id="91" w:name="page92"/>
    <w:bookmarkEnd w:id="91"/>
    <w:p>
      <w:pPr>
        <w:spacing w:after="0" w:line="29"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2.16</w:t>
      </w:r>
      <w:r>
        <w:rPr>
          <w:sz w:val="20"/>
          <w:szCs w:val="20"/>
          <w:color w:val="auto"/>
        </w:rPr>
        <w:tab/>
      </w:r>
      <w:r>
        <w:rPr>
          <w:rFonts w:ascii="Arial" w:cs="Arial" w:eastAsia="Arial" w:hAnsi="Arial"/>
          <w:sz w:val="16"/>
          <w:szCs w:val="16"/>
          <w:b w:val="1"/>
          <w:bCs w:val="1"/>
          <w:u w:val="single" w:color="auto"/>
          <w:color w:val="auto"/>
        </w:rPr>
        <w:t>Mitigation Obligations; Replacement of Lenders</w:t>
      </w:r>
    </w:p>
    <w:p>
      <w:pPr>
        <w:spacing w:after="0" w:line="283" w:lineRule="exact"/>
        <w:rPr>
          <w:sz w:val="20"/>
          <w:szCs w:val="20"/>
          <w:color w:val="auto"/>
        </w:rPr>
      </w:pPr>
    </w:p>
    <w:p>
      <w:pPr>
        <w:ind w:firstLine="1953"/>
        <w:spacing w:after="0" w:line="254" w:lineRule="auto"/>
        <w:tabs>
          <w:tab w:leader="none" w:pos="2577"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requires Borrower to pay any additional amount to any Lender or any Governmental Authority for the account of any Lender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2.15</w:t>
      </w:r>
      <w:r>
        <w:rPr>
          <w:rFonts w:ascii="Arial" w:cs="Arial" w:eastAsia="Arial" w:hAnsi="Arial"/>
          <w:sz w:val="18"/>
          <w:szCs w:val="18"/>
          <w:color w:val="auto"/>
        </w:rPr>
        <w:t>, as the case may be, in the future and (ii) would not subject such Lender to any unreimbursed cost or expense and would not otherwise be disadvantageous to such Lender. Borrower hereby agrees to pay all reasonable costs and expenses incurred by any Lender in connection with any such designation or assignment. A certificate setting forth such costs and expenses submitted by such Lender to Borrower shall be conclusive absent manifest error.</w:t>
      </w: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right="40" w:firstLine="1953"/>
        <w:spacing w:after="0" w:line="271" w:lineRule="auto"/>
        <w:tabs>
          <w:tab w:leader="none" w:pos="2587"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Replacement of Lenders</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or if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or if any Lender defaults in its obligation to fund Loans hereunder, or if Borrower exercises its replacement rights under </w:t>
      </w:r>
      <w:r>
        <w:rPr>
          <w:rFonts w:ascii="Arial" w:cs="Arial" w:eastAsia="Arial" w:hAnsi="Arial"/>
          <w:sz w:val="17"/>
          <w:szCs w:val="17"/>
          <w:u w:val="single" w:color="auto"/>
          <w:color w:val="auto"/>
        </w:rPr>
        <w:t>Section 10.02(d)</w:t>
      </w:r>
      <w:r>
        <w:rPr>
          <w:rFonts w:ascii="Arial" w:cs="Arial" w:eastAsia="Arial" w:hAnsi="Arial"/>
          <w:sz w:val="17"/>
          <w:szCs w:val="17"/>
          <w:color w:val="auto"/>
        </w:rPr>
        <w:t xml:space="preserve">, then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all of its interests, rights and obligations under this Agreement and the other Loan Documents (or, in the case of the exercise of replacement rights under </w:t>
      </w:r>
      <w:r>
        <w:rPr>
          <w:rFonts w:ascii="Arial" w:cs="Arial" w:eastAsia="Arial" w:hAnsi="Arial"/>
          <w:sz w:val="17"/>
          <w:szCs w:val="17"/>
          <w:u w:val="single" w:color="auto"/>
          <w:color w:val="auto"/>
        </w:rPr>
        <w:t>Section 10.02(d)</w:t>
      </w:r>
      <w:r>
        <w:rPr>
          <w:rFonts w:ascii="Arial" w:cs="Arial" w:eastAsia="Arial" w:hAnsi="Arial"/>
          <w:sz w:val="17"/>
          <w:szCs w:val="17"/>
          <w:color w:val="auto"/>
        </w:rPr>
        <w:t xml:space="preserve"> as they relate to provisions affecting a particular Class, all of its interests, rights and obligations under this Agreement and the other Loan Documents in respect of such Class) to an Eligible Assignee that shall assume such obligations (which assignee may be another Lender, if a Lender accepts such assignment);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200" w:lineRule="exact"/>
        <w:rPr>
          <w:rFonts w:ascii="Arial" w:cs="Arial" w:eastAsia="Arial" w:hAnsi="Arial"/>
          <w:sz w:val="17"/>
          <w:szCs w:val="17"/>
          <w:color w:val="auto"/>
        </w:rPr>
      </w:pPr>
    </w:p>
    <w:p>
      <w:pPr>
        <w:spacing w:after="0" w:line="276" w:lineRule="exact"/>
        <w:rPr>
          <w:rFonts w:ascii="Arial" w:cs="Arial" w:eastAsia="Arial" w:hAnsi="Arial"/>
          <w:sz w:val="17"/>
          <w:szCs w:val="17"/>
          <w:color w:val="auto"/>
        </w:rPr>
      </w:pPr>
    </w:p>
    <w:p>
      <w:pPr>
        <w:ind w:left="4180" w:hanging="607"/>
        <w:spacing w:after="0"/>
        <w:tabs>
          <w:tab w:leader="none" w:pos="418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Borrower shall have paid to the Administrative Agent the processing and recordation fee specified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660" w:right="80" w:firstLine="2913"/>
        <w:spacing w:after="0" w:line="272" w:lineRule="auto"/>
        <w:tabs>
          <w:tab w:leader="none" w:pos="4229" w:val="left"/>
        </w:tabs>
        <w:numPr>
          <w:ilvl w:val="1"/>
          <w:numId w:val="160"/>
        </w:numPr>
        <w:rPr>
          <w:rFonts w:ascii="Arial" w:cs="Arial" w:eastAsia="Arial" w:hAnsi="Arial"/>
          <w:sz w:val="17"/>
          <w:szCs w:val="17"/>
          <w:color w:val="auto"/>
        </w:rPr>
      </w:pPr>
      <w:r>
        <w:rPr>
          <w:rFonts w:ascii="Arial" w:cs="Arial" w:eastAsia="Arial" w:hAnsi="Arial"/>
          <w:sz w:val="17"/>
          <w:szCs w:val="17"/>
          <w:color w:val="auto"/>
        </w:rPr>
        <w:t xml:space="preserve">such Lender shall have received payment of an amount equal to the outstanding principal of its Loans and participations in LC Disbursements and Swingline Loans, accrued interest thereon, accrued fees and all other amounts payable to it hereunder and under the other Loan Documents (including any amounts under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in the case of the exercise of replacement rights under </w:t>
      </w:r>
      <w:r>
        <w:rPr>
          <w:rFonts w:ascii="Arial" w:cs="Arial" w:eastAsia="Arial" w:hAnsi="Arial"/>
          <w:sz w:val="17"/>
          <w:szCs w:val="17"/>
          <w:u w:val="single" w:color="auto"/>
          <w:color w:val="auto"/>
        </w:rPr>
        <w:t>Section 10.02(d)</w:t>
      </w:r>
      <w:r>
        <w:rPr>
          <w:rFonts w:ascii="Arial" w:cs="Arial" w:eastAsia="Arial" w:hAnsi="Arial"/>
          <w:sz w:val="17"/>
          <w:szCs w:val="17"/>
          <w:color w:val="auto"/>
        </w:rPr>
        <w:t xml:space="preserve"> as they relate to provisions affecting a particular Class, an amount equal to the outstanding principal of its Loans and participations in LC Disbursements and Swingline Loans, accrued interested thereon, accrued fees and all other amounts payable to it hereunder and under the other Loan Documents, to the extent applicable, in respect of such Class), from the assignee (to the extent of such outstanding principal and accrued interest and fees) or Borrower (in the case of all other amounts;</w:t>
      </w:r>
    </w:p>
    <w:p>
      <w:pPr>
        <w:spacing w:after="0" w:line="200" w:lineRule="exact"/>
        <w:rPr>
          <w:rFonts w:ascii="Arial" w:cs="Arial" w:eastAsia="Arial" w:hAnsi="Arial"/>
          <w:sz w:val="17"/>
          <w:szCs w:val="17"/>
          <w:color w:val="auto"/>
        </w:rPr>
      </w:pPr>
    </w:p>
    <w:p>
      <w:pPr>
        <w:spacing w:after="0" w:line="275" w:lineRule="exact"/>
        <w:rPr>
          <w:rFonts w:ascii="Arial" w:cs="Arial" w:eastAsia="Arial" w:hAnsi="Arial"/>
          <w:sz w:val="17"/>
          <w:szCs w:val="17"/>
          <w:color w:val="auto"/>
        </w:rPr>
      </w:pPr>
    </w:p>
    <w:p>
      <w:pPr>
        <w:jc w:val="both"/>
        <w:ind w:left="660" w:right="100" w:firstLine="2913"/>
        <w:spacing w:after="0" w:line="342" w:lineRule="auto"/>
        <w:tabs>
          <w:tab w:leader="none" w:pos="4279" w:val="left"/>
        </w:tabs>
        <w:numPr>
          <w:ilvl w:val="1"/>
          <w:numId w:val="160"/>
        </w:numPr>
        <w:rPr>
          <w:rFonts w:ascii="Arial" w:cs="Arial" w:eastAsia="Arial" w:hAnsi="Arial"/>
          <w:sz w:val="16"/>
          <w:szCs w:val="16"/>
          <w:color w:val="auto"/>
        </w:rPr>
      </w:pPr>
      <w:r>
        <w:rPr>
          <w:rFonts w:ascii="Arial" w:cs="Arial" w:eastAsia="Arial" w:hAnsi="Arial"/>
          <w:sz w:val="16"/>
          <w:szCs w:val="16"/>
          <w:color w:val="auto"/>
        </w:rPr>
        <w:t xml:space="preserve">in the case of any such assignment resulting from a claim for compensation under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such assignment will result in a reduction in such compensation or payments thereafter; and</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4260" w:hanging="687"/>
        <w:spacing w:after="0"/>
        <w:tabs>
          <w:tab w:leader="none" w:pos="42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Requirements of Law.</w:t>
      </w:r>
    </w:p>
    <w:p>
      <w:pPr>
        <w:spacing w:after="0" w:line="200" w:lineRule="exact"/>
        <w:rPr>
          <w:sz w:val="20"/>
          <w:szCs w:val="20"/>
          <w:color w:val="auto"/>
        </w:rPr>
      </w:pPr>
    </w:p>
    <w:p>
      <w:pPr>
        <w:spacing w:after="0" w:line="29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Borrower to require such assignment and delegation cease to apply.</w:t>
      </w:r>
    </w:p>
    <w:p>
      <w:pPr>
        <w:spacing w:after="0" w:line="22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2.17</w:t>
      </w:r>
      <w:r>
        <w:rPr>
          <w:sz w:val="20"/>
          <w:szCs w:val="20"/>
          <w:color w:val="auto"/>
        </w:rPr>
        <w:tab/>
      </w:r>
      <w:r>
        <w:rPr>
          <w:rFonts w:ascii="Arial" w:cs="Arial" w:eastAsia="Arial" w:hAnsi="Arial"/>
          <w:sz w:val="15"/>
          <w:szCs w:val="15"/>
          <w:b w:val="1"/>
          <w:bCs w:val="1"/>
          <w:u w:val="single" w:color="auto"/>
          <w:color w:val="auto"/>
        </w:rPr>
        <w:t>Swingline Loans</w:t>
      </w:r>
    </w:p>
    <w:p>
      <w:pPr>
        <w:spacing w:after="0" w:line="283" w:lineRule="exact"/>
        <w:rPr>
          <w:sz w:val="20"/>
          <w:szCs w:val="20"/>
          <w:color w:val="auto"/>
        </w:rPr>
      </w:pPr>
    </w:p>
    <w:p>
      <w:pPr>
        <w:ind w:right="40" w:firstLine="1953"/>
        <w:spacing w:after="0" w:line="255" w:lineRule="auto"/>
        <w:tabs>
          <w:tab w:leader="none" w:pos="2577"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Swingline Commitment</w:t>
      </w:r>
      <w:r>
        <w:rPr>
          <w:rFonts w:ascii="Arial" w:cs="Arial" w:eastAsia="Arial" w:hAnsi="Arial"/>
          <w:sz w:val="18"/>
          <w:szCs w:val="18"/>
          <w:color w:val="auto"/>
        </w:rPr>
        <w:t xml:space="preserve">. Subject to the terms and conditions set forth herein, the Swingline Lender agrees to make Swingline Loans in Dollars to Borrower from time to time during the Revolving Availability Period, in an aggregate principal amount at any time outstanding that will not result in (i) the aggregate principal amount of outstanding Swingline Loans exceeding $15.0 million or (ii) the sum of the total Revolving Exposures exceeding the total Revolving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Swingline Lender shall not be required to make a Swingline Loan to refinance an outstanding Swingline Loan. Within the foregoing limits and subject to the terms and conditions set forth herein, Borrower may borrow, repay and reborrow Swingline Loans.</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right="60" w:firstLine="1953"/>
        <w:spacing w:after="0" w:line="271" w:lineRule="auto"/>
        <w:tabs>
          <w:tab w:leader="none" w:pos="2587"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Swingline Loans</w:t>
      </w:r>
      <w:r>
        <w:rPr>
          <w:rFonts w:ascii="Arial" w:cs="Arial" w:eastAsia="Arial" w:hAnsi="Arial"/>
          <w:sz w:val="17"/>
          <w:szCs w:val="17"/>
          <w:color w:val="auto"/>
        </w:rPr>
        <w:t>. To request a Swingline Loan, Borrower shall deliver, by hand delivery or telecopier, a duly completed and executed Borrowing Request to the Administrative Agent and the Swingline Lender, not later than 2:00 p.m., New York City time, on the day of a proposed Swingline Loan. Each such notice shall be irrevocable and shall specify the requested date (which shall be a Business Day) and the amount of the requested Swingline Loan. Each Swingline Loan shall be an ABR Loan. The Swingline Lender shall make each Swingline Loan available to Borrower to an account as directed by Borrower in the applicable Borrowing Request maintained with the Administrative Agent by 3:00 p.m., New York City time, on the requested date of such Swingline Loan. Borrower shall not request a Swingline Loan if at the time of or immediately after giving effect to the Extension of Credit contemplated by such request a Default has occurred and is continuing or would result therefrom. Swingline Loans shall be made in minimum amounts of $1.0 million and integral multiples of $500,000 above such amount.</w:t>
      </w:r>
    </w:p>
    <w:p>
      <w:pPr>
        <w:spacing w:after="0" w:line="200" w:lineRule="exact"/>
        <w:rPr>
          <w:rFonts w:ascii="Arial" w:cs="Arial" w:eastAsia="Arial" w:hAnsi="Arial"/>
          <w:sz w:val="17"/>
          <w:szCs w:val="17"/>
          <w:color w:val="auto"/>
        </w:rPr>
      </w:pPr>
    </w:p>
    <w:p>
      <w:pPr>
        <w:spacing w:after="0" w:line="276" w:lineRule="exact"/>
        <w:rPr>
          <w:rFonts w:ascii="Arial" w:cs="Arial" w:eastAsia="Arial" w:hAnsi="Arial"/>
          <w:sz w:val="17"/>
          <w:szCs w:val="17"/>
          <w:color w:val="auto"/>
        </w:rPr>
      </w:pPr>
    </w:p>
    <w:p>
      <w:pPr>
        <w:ind w:right="60" w:firstLine="1953"/>
        <w:spacing w:after="0" w:line="264" w:lineRule="auto"/>
        <w:tabs>
          <w:tab w:leader="none" w:pos="2577"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Borrower shall have the right at any time and from time to time to repay any Swingline Loan, in whole or in part, upon giving written notice to the Swingline Lender and the Administrative Agent before 12:00 (noon), New York City time, on the proposed date of repayment.</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120" w:firstLine="1953"/>
        <w:spacing w:after="0" w:line="342" w:lineRule="auto"/>
        <w:tabs>
          <w:tab w:leader="none" w:pos="2587"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The Swingline Lender may at any time in its discretion by written notice given to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notice requirement shall not apply if the Swingline Lender and the Administrative Agent are the same entity) not later than 11:00 a.m.,</w:t>
      </w:r>
    </w:p>
    <w:p>
      <w:pPr>
        <w:sectPr>
          <w:pgSz w:w="11900" w:h="16867" w:orient="portrait"/>
          <w:cols w:equalWidth="0" w:num="1">
            <w:col w:w="11420"/>
          </w:cols>
          <w:pgMar w:left="240" w:top="148" w:right="239" w:bottom="0" w:gutter="0" w:footer="0" w:header="0"/>
        </w:sectPr>
      </w:pPr>
    </w:p>
    <w:bookmarkStart w:id="92" w:name="page93"/>
    <w:bookmarkEnd w:id="92"/>
    <w:p>
      <w:pPr>
        <w:spacing w:after="0" w:line="283" w:lineRule="auto"/>
        <w:rPr>
          <w:sz w:val="20"/>
          <w:szCs w:val="20"/>
          <w:color w:val="auto"/>
        </w:rPr>
      </w:pPr>
      <w:r>
        <w:rPr>
          <w:rFonts w:ascii="Arial" w:cs="Arial" w:eastAsia="Arial" w:hAnsi="Arial"/>
          <w:sz w:val="16"/>
          <w:szCs w:val="16"/>
          <w:color w:val="auto"/>
        </w:rPr>
        <w:t xml:space="preserve">New York City time, on the next succeeding Business Day following such notice require the Revolving Lenders to acquire participations on such Business Day in all or a portion of the Swingline Loans then outstanding. Such notice shall specify the aggregate amount of Swingline Loans in which Revolving Lenders will participate. Promptly upon receipt of such notice, the Administrative Agent will give notice thereof to each Revolving Lender, specifying in such notice such Lender’s Pro Rata Percentage of such Swingline Loan or Loans. Each Revolving Lender hereby absolutely and unconditionally agrees, upon receipt of notice as provided above, to pay to the Administrative Agent, for the account of the Swingline Lender, such Lender’s Pro Rata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(so long as such payment shall not cause such Lender’s Revolving Exposure to exceed such Lender’s Revolving Commitment). Each Revolving Lender shall comply with its obligation under this paragraph by wire transfer of immediately available funds, in the same manner as provided in </w:t>
      </w:r>
      <w:r>
        <w:rPr>
          <w:rFonts w:ascii="Arial" w:cs="Arial" w:eastAsia="Arial" w:hAnsi="Arial"/>
          <w:sz w:val="16"/>
          <w:szCs w:val="16"/>
          <w:u w:val="single" w:color="auto"/>
          <w:color w:val="auto"/>
        </w:rPr>
        <w:t>Section</w:t>
      </w:r>
    </w:p>
    <w:p>
      <w:pPr>
        <w:spacing w:after="0" w:line="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u w:val="single" w:color="auto"/>
          <w:color w:val="auto"/>
        </w:rPr>
        <w:t>2.02(c)</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the payment obligations of the Revolving Lenders), and the Administrative Agent shall promptly pay to the Swingline Lender the amounts so received by it from the Revolving Lenders. The Administrative Agent shall notify Borrower of any participations in any Swingline Loan acquired by the Revolving Lenders pursuant to this paragraph, and thereafter payments in respect of such Swingline Loan shall be made to the Administrative Agent and not to the Swingline Lender. Any amounts received by the Swingline Lender from Borrower (or other party on behalf of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as their interests may appear. The purchase of participations in a Swingline Loan pursuant to this paragraph shall not relieve Borrower of any default in the payment thereof.</w:t>
      </w:r>
    </w:p>
    <w:p>
      <w:pPr>
        <w:spacing w:after="0" w:line="22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2.18</w:t>
      </w:r>
      <w:r>
        <w:rPr>
          <w:sz w:val="20"/>
          <w:szCs w:val="20"/>
          <w:color w:val="auto"/>
        </w:rPr>
        <w:tab/>
      </w:r>
      <w:r>
        <w:rPr>
          <w:rFonts w:ascii="Arial" w:cs="Arial" w:eastAsia="Arial" w:hAnsi="Arial"/>
          <w:sz w:val="16"/>
          <w:szCs w:val="16"/>
          <w:b w:val="1"/>
          <w:bCs w:val="1"/>
          <w:u w:val="single" w:color="auto"/>
          <w:color w:val="auto"/>
        </w:rPr>
        <w:t>Letters of Credit</w:t>
      </w:r>
    </w:p>
    <w:p>
      <w:pPr>
        <w:spacing w:after="0" w:line="283" w:lineRule="exact"/>
        <w:rPr>
          <w:sz w:val="20"/>
          <w:szCs w:val="20"/>
          <w:color w:val="auto"/>
        </w:rPr>
      </w:pPr>
    </w:p>
    <w:p>
      <w:pPr>
        <w:ind w:firstLine="1953"/>
        <w:spacing w:after="0" w:line="253" w:lineRule="auto"/>
        <w:tabs>
          <w:tab w:leader="none" w:pos="2577"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Subject to the terms and conditions set forth herein, Borrower may request the Issuing Bank, and the Issuing Bank agrees, to issue Letters of Credit denominated in any Approved Currency for its own account or the account of a Subsidiary in a form reasonably acceptable to the Administrative Agent and the Issuing Bank, at any time and from time to time during the Revolving Availability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shall be a co-applicant, and be jointly and severally liable, with respect to each Letter of Credit issued for the account of a Subsidiary). The Issuing Bank shall have no obligation to issue, and Borrower shall not request the issuance of, any Letter of Credit at any time if after giving effect to such issuance, the LC Exposure would exceed the LC Commitment or the total Revolving Exposure would exceed the total Revolving Commitments. In the event of any inconsistency between the terms and conditions of this Agreement and the terms and conditions of any form of letter of credit application or other agreement submitted by Borrower to, or entered into by Borrower with, the Issuing Bank relating to any Letter of Credit, the terms and conditions of this Agreement shall control.</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right="20" w:firstLine="1953"/>
        <w:spacing w:after="0" w:line="257" w:lineRule="auto"/>
        <w:tabs>
          <w:tab w:leader="none" w:pos="2587"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Request for Issuance, Amendment, Renewal, Extension; Certain Conditions and Notices</w:t>
      </w:r>
      <w:r>
        <w:rPr>
          <w:rFonts w:ascii="Arial" w:cs="Arial" w:eastAsia="Arial" w:hAnsi="Arial"/>
          <w:sz w:val="18"/>
          <w:szCs w:val="18"/>
          <w:color w:val="auto"/>
        </w:rPr>
        <w:t>. To request the issuance of a Letter of Credit or the amendment, renewal or extension of an outstanding Letter of Credit, Borrower shall deliver, by hand or telecopier (or transmit by electronic communication, if arrangements for doing so have been approved by the Issuing Bank), an LC Request to the Issuing Bank and the Administrative Agent not later than noon, Local Time, on the third Business Day preceding the requested date of issuance, amendment, renewal or extension (or such later date and time as is acceptable to the Issuing Bank).</w:t>
      </w:r>
    </w:p>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request for an initial issuance of a Letter of Credit shall specify in form and detail satisfactory to the Issuing Bank:</w:t>
      </w:r>
    </w:p>
    <w:p>
      <w:pPr>
        <w:spacing w:after="0" w:line="200" w:lineRule="exact"/>
        <w:rPr>
          <w:sz w:val="20"/>
          <w:szCs w:val="20"/>
          <w:color w:val="auto"/>
        </w:rPr>
      </w:pPr>
    </w:p>
    <w:p>
      <w:pPr>
        <w:spacing w:after="0" w:line="322" w:lineRule="exact"/>
        <w:rPr>
          <w:sz w:val="20"/>
          <w:szCs w:val="20"/>
          <w:color w:val="auto"/>
        </w:rPr>
      </w:pPr>
    </w:p>
    <w:p>
      <w:pPr>
        <w:ind w:left="4180" w:hanging="607"/>
        <w:spacing w:after="0"/>
        <w:tabs>
          <w:tab w:leader="none" w:pos="41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proposed issuance date of the requested Letter of Credit (which shall be a Business Day);</w:t>
      </w:r>
    </w:p>
    <w:p>
      <w:pPr>
        <w:spacing w:after="0" w:line="200" w:lineRule="exact"/>
        <w:rPr>
          <w:rFonts w:ascii="Arial" w:cs="Arial" w:eastAsia="Arial" w:hAnsi="Arial"/>
          <w:sz w:val="17"/>
          <w:szCs w:val="17"/>
          <w:color w:val="auto"/>
        </w:rPr>
      </w:pPr>
    </w:p>
    <w:p>
      <w:pPr>
        <w:spacing w:after="0" w:line="333" w:lineRule="exact"/>
        <w:rPr>
          <w:rFonts w:ascii="Arial" w:cs="Arial" w:eastAsia="Arial" w:hAnsi="Arial"/>
          <w:sz w:val="17"/>
          <w:szCs w:val="17"/>
          <w:color w:val="auto"/>
        </w:rPr>
      </w:pPr>
    </w:p>
    <w:p>
      <w:pPr>
        <w:ind w:left="4220" w:hanging="647"/>
        <w:spacing w:after="0"/>
        <w:tabs>
          <w:tab w:leader="none" w:pos="42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amount and the currency thereof (which shall be any Approved Currency);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280" w:hanging="707"/>
        <w:spacing w:after="0"/>
        <w:tabs>
          <w:tab w:leader="none" w:pos="42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expiry date thereof (which shall not be later than the close of business on the Letter of Credit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w:t>
      </w:r>
    </w:p>
    <w:p>
      <w:pPr>
        <w:spacing w:after="0" w:line="200" w:lineRule="exact"/>
        <w:rPr>
          <w:sz w:val="20"/>
          <w:szCs w:val="20"/>
          <w:color w:val="auto"/>
        </w:rPr>
      </w:pPr>
    </w:p>
    <w:p>
      <w:pPr>
        <w:spacing w:after="0" w:line="308" w:lineRule="exact"/>
        <w:rPr>
          <w:sz w:val="20"/>
          <w:szCs w:val="20"/>
          <w:color w:val="auto"/>
        </w:rPr>
      </w:pPr>
    </w:p>
    <w:p>
      <w:pPr>
        <w:ind w:left="4260" w:hanging="687"/>
        <w:spacing w:after="0"/>
        <w:tabs>
          <w:tab w:leader="none" w:pos="42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name and address of the beneficiary thereof;</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660" w:right="180" w:firstLine="2913"/>
        <w:spacing w:after="0" w:line="264" w:lineRule="auto"/>
        <w:tabs>
          <w:tab w:leader="none" w:pos="421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whether the Letter of Credit is to be issued for its own account or for the account of one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shall be a co-applicant, and therefore jointly and severally liable, with respect to each Letter of Credit issued for the account of a Subsidiary);</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4260" w:hanging="687"/>
        <w:spacing w:after="0"/>
        <w:tabs>
          <w:tab w:leader="none" w:pos="42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documents to be presented by such beneficiary in connection with any drawing thereunder;</w:t>
      </w: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4320" w:hanging="747"/>
        <w:spacing w:after="0"/>
        <w:tabs>
          <w:tab w:leader="none" w:pos="43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full text of any certificate to be presented by such beneficiary in connection with any drawing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thereunder; and</w:t>
      </w: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4360" w:hanging="787"/>
        <w:spacing w:after="0"/>
        <w:tabs>
          <w:tab w:leader="none" w:pos="43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such other matters as the Issuing Bank may require.</w:t>
      </w: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request for an amendment, renewal or extension of any outstanding Letter of Credit shall specify in form and detail satisfactory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Issuing Bank:</w:t>
      </w:r>
    </w:p>
    <w:p>
      <w:pPr>
        <w:sectPr>
          <w:pgSz w:w="11900" w:h="16838" w:orient="portrait"/>
          <w:cols w:equalWidth="0" w:num="1">
            <w:col w:w="11360"/>
          </w:cols>
          <w:pgMar w:left="240" w:top="125" w:right="299" w:bottom="0" w:gutter="0" w:footer="0" w:header="0"/>
        </w:sectPr>
      </w:pPr>
    </w:p>
    <w:bookmarkStart w:id="93" w:name="page94"/>
    <w:bookmarkEnd w:id="93"/>
    <w:p>
      <w:pPr>
        <w:ind w:left="4180" w:hanging="607"/>
        <w:spacing w:after="0"/>
        <w:tabs>
          <w:tab w:leader="none" w:pos="41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Letter of Credit to be amended, renewed or extended;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220" w:hanging="647"/>
        <w:spacing w:after="0"/>
        <w:tabs>
          <w:tab w:leader="none" w:pos="42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proposed date of amendment, renewal or extension thereof (which shall be a Business Day);</w:t>
      </w: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4280" w:hanging="707"/>
        <w:spacing w:after="0"/>
        <w:tabs>
          <w:tab w:leader="none" w:pos="42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nature of the proposed amendment, renewal or extension; and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260" w:hanging="687"/>
        <w:spacing w:after="0"/>
        <w:tabs>
          <w:tab w:leader="none" w:pos="4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such other matters as the Issuing Bank may require.</w:t>
      </w:r>
    </w:p>
    <w:p>
      <w:pPr>
        <w:spacing w:after="0" w:line="200" w:lineRule="exact"/>
        <w:rPr>
          <w:sz w:val="20"/>
          <w:szCs w:val="20"/>
          <w:color w:val="auto"/>
        </w:rPr>
      </w:pPr>
    </w:p>
    <w:p>
      <w:pPr>
        <w:spacing w:after="0" w:line="29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If requested by the Issuing Bank, Borrower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Borrower shall be deemed to represent and warrant that), after giving effect to such issuance, amendment, renewal or extension, (i) the LC Exposure shall not exceed the LC Commitment, (ii) the total Revolving Exposures shall not exceed the total Revolving Commitments and (iii) the conditions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in respect of such issuance, amendment, renewal or extension shall have been satisfied.</w:t>
      </w:r>
    </w:p>
    <w:p>
      <w:pPr>
        <w:spacing w:after="0" w:line="200" w:lineRule="exact"/>
        <w:rPr>
          <w:sz w:val="20"/>
          <w:szCs w:val="20"/>
          <w:color w:val="auto"/>
        </w:rPr>
      </w:pPr>
    </w:p>
    <w:p>
      <w:pPr>
        <w:spacing w:after="0" w:line="243"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Upon the issuance of any Letter of Credit or amendment, renewal, extension or modification to a Letter of Credit, the Issuing Bank shall promptly notify the Administrative Agent, who shall promptly notify each Revolving Lender, thereof, which notice shall be accompanied by a copy of such Letter of Credit or amendment, renewal, extension or modification to a Letter of Credit and the amount of such Lender’s respective participation in such Letter of Credit pursuant to </w:t>
      </w:r>
      <w:r>
        <w:rPr>
          <w:rFonts w:ascii="Arial" w:cs="Arial" w:eastAsia="Arial" w:hAnsi="Arial"/>
          <w:sz w:val="18"/>
          <w:szCs w:val="18"/>
          <w:u w:val="single" w:color="auto"/>
          <w:color w:val="auto"/>
        </w:rPr>
        <w:t>Section 2.18(d)</w:t>
      </w:r>
      <w:r>
        <w:rPr>
          <w:rFonts w:ascii="Arial" w:cs="Arial" w:eastAsia="Arial" w:hAnsi="Arial"/>
          <w:sz w:val="18"/>
          <w:szCs w:val="18"/>
          <w:color w:val="auto"/>
        </w:rPr>
        <w:t>. On the first Business Day of each calendar month, the Issuing Bank shall provide to the Administrative Agent a report listing all outstanding Letters of Credit and the amounts and beneficiaries thereof and the Administrative Agent shall promptly provide such report to each Revolving Lender.</w:t>
      </w:r>
    </w:p>
    <w:p>
      <w:pPr>
        <w:spacing w:after="0" w:line="200" w:lineRule="exact"/>
        <w:rPr>
          <w:sz w:val="20"/>
          <w:szCs w:val="20"/>
          <w:color w:val="auto"/>
        </w:rPr>
      </w:pPr>
    </w:p>
    <w:p>
      <w:pPr>
        <w:spacing w:after="0" w:line="290" w:lineRule="exact"/>
        <w:rPr>
          <w:sz w:val="20"/>
          <w:szCs w:val="20"/>
          <w:color w:val="auto"/>
        </w:rPr>
      </w:pPr>
    </w:p>
    <w:p>
      <w:pPr>
        <w:ind w:right="100" w:firstLine="1953"/>
        <w:spacing w:after="0" w:line="288" w:lineRule="auto"/>
        <w:tabs>
          <w:tab w:leader="none" w:pos="2577"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Each Letter of Credit shall expire at or prior to the close of business on the earlier of (i) in the case of a Standby Letter of Credit, (x) the date which is one year after the date of the issuance of such Standby Letter of Credit (or, in the case of any renewal or extension thereof, one year after such renewal or extension) and (y) the Letter of Credit Expiration Date and (ii) in the case of a Commercial Letter of Credit,</w:t>
      </w:r>
    </w:p>
    <w:p>
      <w:pPr>
        <w:ind w:right="120" w:firstLine="8"/>
        <w:spacing w:after="0" w:line="261" w:lineRule="auto"/>
        <w:tabs>
          <w:tab w:leader="none" w:pos="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date that is 180 days after the date of issuance of such Commercial Letter of Credit (or, in the case of any renewal or extension thereof, 180 days after such renewal or extension) and (y) the Letter of Credit Expiration Date.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firstLine="1953"/>
        <w:spacing w:after="0" w:line="269" w:lineRule="auto"/>
        <w:tabs>
          <w:tab w:leader="none" w:pos="2587"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xml:space="preserve">. By the issuance of a Letter of Credit (or an amendment to a Letter of Credit increasing the amount thereof) and without any further action on the part of the Issuing Bank or the Lenders, the Issuing Bank hereby irrevocably grants to each Revolving Lender, and each Revolving Lender hereby acquires from the Issuing Bank, a participation in such Letter of Credit equal to such Revolving Lender’s Pro Rata Percentage of the aggregate amount available to be drawn under such Letter of Credit. In consideration and in furtherance of the foregoing, each Revolving Lender hereby absolutely and unconditionally agrees to pay to the Administrative Agent, for the account of the Issuing Bank, such Revolving Lender’s Pro Rata Percentage of each LC Disbursement made by the Issuing Bank and not reimbursed by Borrower on the date due as provided in </w:t>
      </w:r>
      <w:r>
        <w:rPr>
          <w:rFonts w:ascii="Arial" w:cs="Arial" w:eastAsia="Arial" w:hAnsi="Arial"/>
          <w:sz w:val="17"/>
          <w:szCs w:val="17"/>
          <w:u w:val="single" w:color="auto"/>
          <w:color w:val="auto"/>
        </w:rPr>
        <w:t>Section 2.18(e)</w:t>
      </w:r>
      <w:r>
        <w:rPr>
          <w:rFonts w:ascii="Arial" w:cs="Arial" w:eastAsia="Arial" w:hAnsi="Arial"/>
          <w:sz w:val="17"/>
          <w:szCs w:val="17"/>
          <w:color w:val="auto"/>
        </w:rPr>
        <w:t>, or of any reimbursement payment required to be refunded to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or expiration, termination or cash collateralization of any Letter of Credit and that each such payment shall be made without any offset, abatement, withholding or reduction whatsoever.</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ind w:left="2580" w:hanging="627"/>
        <w:spacing w:after="0"/>
        <w:tabs>
          <w:tab w:leader="none" w:pos="2580"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660" w:right="20" w:firstLine="2913"/>
        <w:spacing w:after="0" w:line="285" w:lineRule="auto"/>
        <w:tabs>
          <w:tab w:leader="none" w:pos="4179" w:val="left"/>
        </w:tabs>
        <w:numPr>
          <w:ilvl w:val="2"/>
          <w:numId w:val="167"/>
        </w:numPr>
        <w:rPr>
          <w:rFonts w:ascii="Arial" w:cs="Arial" w:eastAsia="Arial" w:hAnsi="Arial"/>
          <w:sz w:val="16"/>
          <w:szCs w:val="16"/>
          <w:color w:val="auto"/>
        </w:rPr>
      </w:pPr>
      <w:r>
        <w:rPr>
          <w:rFonts w:ascii="Arial" w:cs="Arial" w:eastAsia="Arial" w:hAnsi="Arial"/>
          <w:sz w:val="16"/>
          <w:szCs w:val="16"/>
          <w:color w:val="auto"/>
        </w:rPr>
        <w:t xml:space="preserve">If the Issuing Bank shall make any LC Disbursement in respect of a Letter of Credit, Borrower shall reimburse such LC Disbursement by paying to the Issuing Bank an amount equal to such LC Disbursement not later than 3:00 p.m., Local Time, on the date that such LC Disbursement is made if Borrower shall have received notice of such LC Disbursement prior to 11:00 a.m., Local Time, on such date, or, if such notice has not been received by Borrower prior to such time on such date, then not later than 3:00 p.m., Local Time, on the Business Day immediately following the day that Borrower receives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(1) Borrower may, subject to the conditions to borrowing set forth herein, request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(which request shall be made not later than the time such payment would otherwise be due pursuant to the foregoing provisions of this clause (i)) that such payment be financed with (x) in the case of Letters of Credit denominated in Dollars, ABR Revolving Loans or Swingline Loans in an equivalent amount and, to the extent so financed, Borrower’s obligation to make such payment shall be discharged and replaced by the resulting ABR Revolving Loans or Swingline Loans, (y) in the case of Letters of Credit denominated in Euros, Euro Revolving Loans in an equivalent amount and, to the extent so financed, Borrower’s obligation to make such payment shall be discharged and replaced by the resulting Euro Revolving Loans or (z) in the case of Letters of Credit denominated in GBP, GBP Revolving Loans in an equivalent amount and, to the extent so financed, Borrower’s obligation to make such payment shall be discharged and replaced by the resulting GBP Revolving Loans; (2) Borrower shall pay interest on the amount of any such LC Disbursement for each day from and including the date of such LC Disbursement to but excluding the date such amount is discharged and replaced by ABR Revolving Loans, Swingline Loans, Euro Revolving Loans or GBP Loans, as the case may be, to the Administrative Agent for the account of the Issuing Bank at the rate per annum applicable to such ABR Revolving Loans, Swingline Loans, Euro Revolving Loans or GBP Loans as may replace such LC Disbursement (for the avoidance of doubt, it being expressly understood and agreed that the notice periods and other conditions specified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w:t>
      </w:r>
      <w:r>
        <w:rPr>
          <w:rFonts w:ascii="Arial" w:cs="Arial" w:eastAsia="Arial" w:hAnsi="Arial"/>
          <w:sz w:val="16"/>
          <w:szCs w:val="16"/>
          <w:color w:val="auto"/>
        </w:rPr>
        <w:t xml:space="preserve">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shall be applicable with respect to any such Borrowings); and (3) any such payments made with the proceeds of ABR Revolving Loans, Swingline Loans, Euro Revolving Loans or GBP Loans borrowed pursuant to a borrowing request made in accordance with clause (1) above shall be deemed to have been made when due.</w:t>
      </w:r>
    </w:p>
    <w:p>
      <w:pPr>
        <w:sectPr>
          <w:pgSz w:w="11900" w:h="16838" w:orient="portrait"/>
          <w:cols w:equalWidth="0" w:num="1">
            <w:col w:w="11420"/>
          </w:cols>
          <w:pgMar w:left="240" w:top="638" w:right="239" w:bottom="0" w:gutter="0" w:footer="0" w:header="0"/>
        </w:sectPr>
      </w:pPr>
    </w:p>
    <w:bookmarkStart w:id="94" w:name="page95"/>
    <w:bookmarkEnd w:id="94"/>
    <w:p>
      <w:pPr>
        <w:spacing w:after="0" w:line="65" w:lineRule="exact"/>
        <w:rPr>
          <w:sz w:val="20"/>
          <w:szCs w:val="20"/>
          <w:color w:val="auto"/>
        </w:rPr>
      </w:pPr>
    </w:p>
    <w:p>
      <w:pPr>
        <w:ind w:firstLine="2913"/>
        <w:spacing w:after="0" w:line="287" w:lineRule="auto"/>
        <w:tabs>
          <w:tab w:leader="none" w:pos="3569"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If Borrower fails to make such payment when due, the Issuing Bank shall notify the Administrative Agent and the Administrative Agent shall notify each Revolving Lender of the applicable LC Disbursement, the payment then due from Borrower in respect thereof and such Revolving Lender’s Pro Rata Percentage thereof. Each Revolving Lender shall pay by wire transfer of immediately available funds to the Administrative Agent not later than 2:00 p.m., Local Time, on such date (or, if such Revolving Lender shall have received such notice later than 12:00 noon, Local Time, on any day, not later than 11:00 a.m., Local Time, on the immediately following Business Day), an amount equal to such Revolving Lender’s Pro Rata Percentage of the unreimbursed LC Disbursement in the same manner as provided in </w:t>
      </w:r>
      <w:r>
        <w:rPr>
          <w:rFonts w:ascii="Arial" w:cs="Arial" w:eastAsia="Arial" w:hAnsi="Arial"/>
          <w:sz w:val="16"/>
          <w:szCs w:val="16"/>
          <w:u w:val="single" w:color="auto"/>
          <w:color w:val="auto"/>
        </w:rPr>
        <w:t>Section 2.02(c)</w:t>
      </w:r>
      <w:r>
        <w:rPr>
          <w:rFonts w:ascii="Arial" w:cs="Arial" w:eastAsia="Arial" w:hAnsi="Arial"/>
          <w:sz w:val="16"/>
          <w:szCs w:val="16"/>
          <w:color w:val="auto"/>
        </w:rPr>
        <w:t xml:space="preserve"> with respect to Revolving Loans made by such Revolving Lender, and the Administrative Agent will promptly pay to the Issuing Bank the amounts so received by it from the Revolving Lenders. The Administrative Agent will promptly pay to the Issuing Bank any amounts received by it from Borrower pursuant to the above paragraph prior to the time that any Revolving Lender makes any payment pursuant to the preceding sentence and any such amounts received by the Administrative Agent from Borrower thereafter will be promptly remitted by the Administrative Agent to the Revolving Lenders that shall have made such payments and to the Issuing Bank, as appropriate.</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3620" w:hanging="707"/>
        <w:spacing w:after="0"/>
        <w:tabs>
          <w:tab w:leader="none" w:pos="36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If any Revolving Lender shall not have made its Pro Rata Percentage of such LC Disbursement</w:t>
      </w:r>
    </w:p>
    <w:p>
      <w:pPr>
        <w:spacing w:after="0" w:line="46" w:lineRule="exact"/>
        <w:rPr>
          <w:rFonts w:ascii="Arial" w:cs="Arial" w:eastAsia="Arial" w:hAnsi="Arial"/>
          <w:sz w:val="16"/>
          <w:szCs w:val="16"/>
          <w:color w:val="auto"/>
        </w:rPr>
      </w:pP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available to the Administrative Agent as provided above, each of such Revolving Lender and Borrower severally agrees to pay interest on such amount, for each day from and including the date such amount is required to be paid in accordance with the foregoing to but excluding the date such amount is paid, to the Administrative Agent for the account of the Issuing Bank at (i) in the case of Borrower, the rate per annum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2.18(h)</w:t>
      </w:r>
      <w:r>
        <w:rPr>
          <w:rFonts w:ascii="Arial" w:cs="Arial" w:eastAsia="Arial" w:hAnsi="Arial"/>
          <w:sz w:val="18"/>
          <w:szCs w:val="18"/>
          <w:color w:val="auto"/>
        </w:rPr>
        <w:t xml:space="preserve"> and (ii) in the case of such Lender, at the Interbank Rate.</w:t>
      </w: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right="260" w:firstLine="2913"/>
        <w:spacing w:after="0" w:line="277" w:lineRule="auto"/>
        <w:tabs>
          <w:tab w:leader="none" w:pos="360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All payments made pursuant to this </w:t>
      </w:r>
      <w:r>
        <w:rPr>
          <w:rFonts w:ascii="Arial" w:cs="Arial" w:eastAsia="Arial" w:hAnsi="Arial"/>
          <w:sz w:val="18"/>
          <w:szCs w:val="18"/>
          <w:u w:val="single" w:color="auto"/>
          <w:color w:val="auto"/>
        </w:rPr>
        <w:t>Section 2.18(e)</w:t>
      </w:r>
      <w:r>
        <w:rPr>
          <w:rFonts w:ascii="Arial" w:cs="Arial" w:eastAsia="Arial" w:hAnsi="Arial"/>
          <w:sz w:val="18"/>
          <w:szCs w:val="18"/>
          <w:color w:val="auto"/>
        </w:rPr>
        <w:t xml:space="preserve"> shall be in the Approved Currency in which the LC Disbursement giving rise to such payment is denominated.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660" w:right="20" w:firstLine="1953"/>
        <w:spacing w:after="0" w:line="284" w:lineRule="auto"/>
        <w:tabs>
          <w:tab w:leader="none" w:pos="1897"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Reimbursement Obligation of Borrower as provided in </w:t>
      </w:r>
      <w:r>
        <w:rPr>
          <w:rFonts w:ascii="Arial" w:cs="Arial" w:eastAsia="Arial" w:hAnsi="Arial"/>
          <w:sz w:val="16"/>
          <w:szCs w:val="16"/>
          <w:u w:val="single" w:color="auto"/>
          <w:color w:val="auto"/>
        </w:rPr>
        <w:t>Section 2.18(e)</w:t>
      </w:r>
      <w:r>
        <w:rPr>
          <w:rFonts w:ascii="Arial" w:cs="Arial" w:eastAsia="Arial" w:hAnsi="Arial"/>
          <w:sz w:val="16"/>
          <w:szCs w:val="16"/>
          <w:color w:val="auto"/>
        </w:rPr>
        <w:t xml:space="preserve"> shall be absolute, unconditional and irrevocable, and shall be paid and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being proved to be forged, fraudulent, invalid or insufficient in any respect or any statement therein being untrue or inaccurate in any respect; (iii) payment by the Issuing Bank under a Letter of Credit against presentation of a draft or other document that fails to comply with the terms of such Letter of Credit; (iv) any other event or circumstance whatsoever, whether or not similar to any of the foregoing, that might, but for the provisions of this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constitute a legal or equitable discharge of, or provide a right of setoff against, the obligations of Borrower hereunder; (v) the fact that a Default shall have occurred and be continuing; or (vi) any material adverse change in the business, property, results of operations, prospects or condition, financial or otherwise, of Borrower and its Subsidiaries. None of the Agents, the Lenders, the Issuing Bank 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foregoing shall not be construed to excuse the Issuing Bank from liability to Borrower to the extent of any direct damages (as opposed to</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consequential damages, claims in respect of which are hereby waived by Borrower to the extent permitted by applicable Requirements of Law) suffered by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660" w:firstLine="1953"/>
        <w:spacing w:after="0" w:line="276" w:lineRule="auto"/>
        <w:tabs>
          <w:tab w:leader="none" w:pos="1927"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The Issuing Bank shall, promptly following its receipt thereof, examine all documents purporting to represent a demand for payment under a Letter of Credit. The Issuing Bank shall promptly give written notice to the Administrative Agent and Borrower of such demand for payment and whether the Issuing Bank has made or will make an LC Disbursement thereunder;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failure to give or delay in giving such notice shall not relieve Borrower of its Reimbursement Obligation to the Issuing Bank and the Revolving Lenders with respect to any such LC Disbursement (other than with respect to the timing of such Reimbursement Obligation set forth in </w:t>
      </w:r>
      <w:r>
        <w:rPr>
          <w:rFonts w:ascii="Arial" w:cs="Arial" w:eastAsia="Arial" w:hAnsi="Arial"/>
          <w:sz w:val="17"/>
          <w:szCs w:val="17"/>
          <w:u w:val="single" w:color="auto"/>
          <w:color w:val="auto"/>
        </w:rPr>
        <w:t>Section 2.18(e)</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660" w:right="160" w:firstLine="1953"/>
        <w:spacing w:after="0" w:line="255" w:lineRule="auto"/>
        <w:tabs>
          <w:tab w:leader="none" w:pos="1927"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xml:space="preserve">. If the Issuing Bank shall make any LC Disbursement, then, unless Borrower shall reimburse such LC Disbursement in full on the date such LC Disbursement is made, the unpaid amount thereof shall bear interest payable on demand, for each day from and including the date such LC Disbursement is made to but excluding the date that Borrower reimburses such LC Disbursement, at the rate per annum determined pursuant to </w:t>
      </w:r>
      <w:r>
        <w:rPr>
          <w:rFonts w:ascii="Arial" w:cs="Arial" w:eastAsia="Arial" w:hAnsi="Arial"/>
          <w:sz w:val="18"/>
          <w:szCs w:val="18"/>
          <w:u w:val="single" w:color="auto"/>
          <w:color w:val="auto"/>
        </w:rPr>
        <w:t>Section 2.06(d)</w:t>
      </w:r>
      <w:r>
        <w:rPr>
          <w:rFonts w:ascii="Arial" w:cs="Arial" w:eastAsia="Arial" w:hAnsi="Arial"/>
          <w:sz w:val="18"/>
          <w:szCs w:val="18"/>
          <w:color w:val="auto"/>
        </w:rPr>
        <w:t xml:space="preserve">. Interest accrued pursuant to this paragraph shall be for the account of the Issuing Bank, except that interest accrued on and after the date of payment by any Revolving Lender pursuant to </w:t>
      </w:r>
      <w:r>
        <w:rPr>
          <w:rFonts w:ascii="Arial" w:cs="Arial" w:eastAsia="Arial" w:hAnsi="Arial"/>
          <w:sz w:val="18"/>
          <w:szCs w:val="18"/>
          <w:u w:val="single" w:color="auto"/>
          <w:color w:val="auto"/>
        </w:rPr>
        <w:t>Section 2.18(e)</w:t>
      </w:r>
      <w:r>
        <w:rPr>
          <w:rFonts w:ascii="Arial" w:cs="Arial" w:eastAsia="Arial" w:hAnsi="Arial"/>
          <w:sz w:val="18"/>
          <w:szCs w:val="18"/>
          <w:color w:val="auto"/>
        </w:rPr>
        <w:t xml:space="preserve"> to reimburse the Issuing Bank shall be for the account of such Lender to the extent of such payment.</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660" w:right="20" w:firstLine="1953"/>
        <w:spacing w:after="0" w:line="288" w:lineRule="auto"/>
        <w:tabs>
          <w:tab w:leader="none" w:pos="1887"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If any Event of Default shall occur and be continuing, on the Business Day that Borrower receives notice from the Administrative Agent or the Required Lenders (or, if the maturity of the Loans has been accelerated, Revolving Lenders with LC Exposure representing greater than 50% of the total LC Exposure) demanding the deposit of cash collateral pursuant to this paragraph, Borrower shall deposit on terms and in accounts satisfactory to the Collateral Agent, in the name of the Collateral Agent and for the benefit of the Revolving Lenders, an amount in cash equal to the LC Exposure as of such date plus any accrued and unpaid interest thereon;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Borrower described in </w:t>
      </w:r>
      <w:r>
        <w:rPr>
          <w:rFonts w:ascii="Arial" w:cs="Arial" w:eastAsia="Arial" w:hAnsi="Arial"/>
          <w:sz w:val="16"/>
          <w:szCs w:val="16"/>
          <w:u w:val="single" w:color="auto"/>
          <w:color w:val="auto"/>
        </w:rPr>
        <w:t>Section 8.01(g)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(h)</w:t>
      </w:r>
      <w:r>
        <w:rPr>
          <w:rFonts w:ascii="Arial" w:cs="Arial" w:eastAsia="Arial" w:hAnsi="Arial"/>
          <w:sz w:val="16"/>
          <w:szCs w:val="16"/>
          <w:color w:val="auto"/>
        </w:rPr>
        <w:t>. Funds so deposited shall be applied by the Collateral Agent to reimburse the Issuing Bank for LC Disbursements for which it has not been reimbursed and, to the extent not so applied, shall be held for the satisfaction of outstanding Reimbursement Obligations or, if the maturity of the Loans has been accelerated (but subject to the consent of Revolving Lenders with LC Exposure representing greater than 50% of the total LC Exposure), be applied to satisfy other Obligations of Borrower under this Agreement. If Borrower is required to</w:t>
      </w:r>
    </w:p>
    <w:p>
      <w:pPr>
        <w:sectPr>
          <w:pgSz w:w="11900" w:h="16903" w:orient="portrait"/>
          <w:cols w:equalWidth="0" w:num="1">
            <w:col w:w="10760"/>
          </w:cols>
          <w:pgMar w:left="900" w:top="395" w:right="239" w:bottom="0" w:gutter="0" w:footer="0" w:header="0"/>
        </w:sectPr>
      </w:pPr>
    </w:p>
    <w:bookmarkStart w:id="95" w:name="page96"/>
    <w:bookmarkEnd w:id="95"/>
    <w:p>
      <w:pPr>
        <w:ind w:right="40"/>
        <w:spacing w:after="0" w:line="264" w:lineRule="auto"/>
        <w:rPr>
          <w:sz w:val="20"/>
          <w:szCs w:val="20"/>
          <w:color w:val="auto"/>
        </w:rPr>
      </w:pPr>
      <w:r>
        <w:rPr>
          <w:rFonts w:ascii="Arial" w:cs="Arial" w:eastAsia="Arial" w:hAnsi="Arial"/>
          <w:sz w:val="18"/>
          <w:szCs w:val="18"/>
          <w:color w:val="auto"/>
        </w:rPr>
        <w:t>provide an amount of cash collateral hereunder as a result of the occurrence of an Event of Default, such amount plus any accrued interest or realized profits with respect to such amounts (to the extent not applied as aforesaid) shall be returned to Borrower within three Business Days after all Events of Default have been cured or waived.</w:t>
      </w:r>
    </w:p>
    <w:p>
      <w:pPr>
        <w:spacing w:after="0" w:line="200" w:lineRule="exact"/>
        <w:rPr>
          <w:sz w:val="20"/>
          <w:szCs w:val="20"/>
          <w:color w:val="auto"/>
        </w:rPr>
      </w:pPr>
    </w:p>
    <w:p>
      <w:pPr>
        <w:spacing w:after="0" w:line="278" w:lineRule="exact"/>
        <w:rPr>
          <w:sz w:val="20"/>
          <w:szCs w:val="20"/>
          <w:color w:val="auto"/>
        </w:rPr>
      </w:pPr>
    </w:p>
    <w:p>
      <w:pPr>
        <w:ind w:right="120" w:firstLine="1953"/>
        <w:spacing w:after="0" w:line="255" w:lineRule="auto"/>
        <w:tabs>
          <w:tab w:leader="none" w:pos="2547"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Additional Issuing Banks</w:t>
      </w:r>
      <w:r>
        <w:rPr>
          <w:rFonts w:ascii="Arial" w:cs="Arial" w:eastAsia="Arial" w:hAnsi="Arial"/>
          <w:sz w:val="18"/>
          <w:szCs w:val="18"/>
          <w:color w:val="auto"/>
        </w:rPr>
        <w:t>. Borrower may, at any time and from time to time, designate one or more additional Revolving Lenders to act as an issuing bank under the terms of this Agreement, with the consent of the Administrative Agent (which consent shall not be unreasonably withheld), the Issuing Bank and such Revolving Lender(s). Any Lender designated as an issuing bank pursuant to this paragraph (j) shall be deemed (in addition to being a Revolving Lender) to be the Issuing Bank with respect to Letters of Credit issued or to be issued by such Revolving Lender, and all references herein and in the other Loan Documents to the term “Issuing Bank” shall, with respect to such Letters of Credit, be deemed to refer to such Revolving Lender in its capacity as Issuing Bank, as the context shall require.</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right="20" w:firstLine="1953"/>
        <w:spacing w:after="0" w:line="269" w:lineRule="auto"/>
        <w:tabs>
          <w:tab w:leader="none" w:pos="2587"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Resignation or Removal of the Issuing Bank</w:t>
      </w:r>
      <w:r>
        <w:rPr>
          <w:rFonts w:ascii="Arial" w:cs="Arial" w:eastAsia="Arial" w:hAnsi="Arial"/>
          <w:sz w:val="17"/>
          <w:szCs w:val="17"/>
          <w:color w:val="auto"/>
        </w:rPr>
        <w:t xml:space="preserve">. The Issuing Bank may resign as Issuing Bank hereunder at any time upon at least 30 days’ prior notice to the Lenders, the Administrative Agent and Borrower. The Issuing Bank may be replaced at any time by written agreement among Borrower, each Agent, the replaced Issuing Bank and the successor Issuing Bank. The Administrative Agent shall notify the Lenders of any such replacement of the Issuing Bank or any such additional Issuing Bank. At the time any such resignation or replacement shall become effective, Borrower shall pay all unpaid fees accrued for the account of the replaced Issuing Bank pursuant to </w:t>
      </w:r>
      <w:r>
        <w:rPr>
          <w:rFonts w:ascii="Arial" w:cs="Arial" w:eastAsia="Arial" w:hAnsi="Arial"/>
          <w:sz w:val="17"/>
          <w:szCs w:val="17"/>
          <w:u w:val="single" w:color="auto"/>
          <w:color w:val="auto"/>
        </w:rPr>
        <w:t>Section 2.05(c)</w:t>
      </w:r>
      <w:r>
        <w:rPr>
          <w:rFonts w:ascii="Arial" w:cs="Arial" w:eastAsia="Arial" w:hAnsi="Arial"/>
          <w:sz w:val="17"/>
          <w:szCs w:val="17"/>
          <w:color w:val="auto"/>
        </w:rPr>
        <w:t>. From and after the effective date of any such resignation or replacement or addition, as applicable, (i) the successor or additional Issuing Bank shall have all the rights and obligations of the Issuing Bank under this Agreement with respect to Letters of Credit to be issued by it thereafter and (ii) references herein to the term “Issuing Bank” shall be deemed to refer to such successor or such addition or to any previous Issuing Bank, or to such successor or such addition and all previous Issuing Banks, as the context shall require. After the resignation or replacement of an Issuing Bank hereunder, the replaced Issuing Bank shall remain a party hereto and shall continue to have all the rights and obligations of an Issuing Bank under this Agreement with respect to Letters of Credit issued by it prior to such resignation or replacement, but shall not be required to issue additional Letters of Credit. If at any time there is more than one Issuing Bank hereunder, Borrower may, in its discretion, select which Issuing Bank is to issue any particular Letter of Credit.</w:t>
      </w:r>
    </w:p>
    <w:p>
      <w:pPr>
        <w:spacing w:after="0" w:line="200" w:lineRule="exact"/>
        <w:rPr>
          <w:rFonts w:ascii="Arial" w:cs="Arial" w:eastAsia="Arial" w:hAnsi="Arial"/>
          <w:sz w:val="17"/>
          <w:szCs w:val="17"/>
          <w:color w:val="auto"/>
        </w:rPr>
      </w:pPr>
    </w:p>
    <w:p>
      <w:pPr>
        <w:spacing w:after="0" w:line="277" w:lineRule="exact"/>
        <w:rPr>
          <w:rFonts w:ascii="Arial" w:cs="Arial" w:eastAsia="Arial" w:hAnsi="Arial"/>
          <w:sz w:val="17"/>
          <w:szCs w:val="17"/>
          <w:color w:val="auto"/>
        </w:rPr>
      </w:pPr>
    </w:p>
    <w:p>
      <w:pPr>
        <w:ind w:left="2560" w:hanging="607"/>
        <w:spacing w:after="0"/>
        <w:tabs>
          <w:tab w:leader="none" w:pos="256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Issuing Bank shall be under no obligation to issue any Letter of Credit if</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660" w:firstLine="2913"/>
        <w:spacing w:after="0" w:line="272" w:lineRule="auto"/>
        <w:tabs>
          <w:tab w:leader="none" w:pos="4179" w:val="left"/>
        </w:tabs>
        <w:numPr>
          <w:ilvl w:val="1"/>
          <w:numId w:val="170"/>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the Issuing Bank from issuing such Letter of Credit, or any Requirement of Law applicable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Closing Date, or shall impose upon the Issuing Bank any unreimbursed loss, cost or expense which was not applicable on the Closing Date and which the Issuing Bank in good faith deems material to it; or</w:t>
      </w:r>
    </w:p>
    <w:p>
      <w:pPr>
        <w:spacing w:after="0" w:line="200" w:lineRule="exact"/>
        <w:rPr>
          <w:rFonts w:ascii="Arial" w:cs="Arial" w:eastAsia="Arial" w:hAnsi="Arial"/>
          <w:sz w:val="17"/>
          <w:szCs w:val="17"/>
          <w:color w:val="auto"/>
        </w:rPr>
      </w:pPr>
    </w:p>
    <w:p>
      <w:pPr>
        <w:spacing w:after="0" w:line="275" w:lineRule="exact"/>
        <w:rPr>
          <w:rFonts w:ascii="Arial" w:cs="Arial" w:eastAsia="Arial" w:hAnsi="Arial"/>
          <w:sz w:val="17"/>
          <w:szCs w:val="17"/>
          <w:color w:val="auto"/>
        </w:rPr>
      </w:pPr>
    </w:p>
    <w:p>
      <w:pPr>
        <w:ind w:left="4220" w:hanging="647"/>
        <w:spacing w:after="0"/>
        <w:tabs>
          <w:tab w:leader="none" w:pos="422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 issuance of such Letter of Credit would violate one or more policies of the Issuing Bank.</w:t>
      </w:r>
    </w:p>
    <w:p>
      <w:pPr>
        <w:spacing w:after="0" w:line="200" w:lineRule="exact"/>
        <w:rPr>
          <w:sz w:val="20"/>
          <w:szCs w:val="20"/>
          <w:color w:val="auto"/>
        </w:rPr>
      </w:pPr>
    </w:p>
    <w:p>
      <w:pPr>
        <w:spacing w:after="0" w:line="30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Issuing Bank shall be under no obligation to amend any Letter of Credit if (A) the Issuing Bank would have no obligation at such time to issue such Letter of Credit in its amended form under the terms hereof, or (B) the beneficiary of such Letter of Credit does not accept the proposed amendment to such Letter of Credit.</w:t>
      </w:r>
    </w:p>
    <w:p>
      <w:pPr>
        <w:spacing w:after="0" w:line="200" w:lineRule="exact"/>
        <w:rPr>
          <w:sz w:val="20"/>
          <w:szCs w:val="20"/>
          <w:color w:val="auto"/>
        </w:rPr>
      </w:pPr>
    </w:p>
    <w:p>
      <w:pPr>
        <w:spacing w:after="0" w:line="278" w:lineRule="exact"/>
        <w:rPr>
          <w:sz w:val="20"/>
          <w:szCs w:val="20"/>
          <w:color w:val="auto"/>
        </w:rPr>
      </w:pPr>
    </w:p>
    <w:p>
      <w:pPr>
        <w:ind w:right="380" w:firstLine="1953"/>
        <w:spacing w:after="0" w:line="257" w:lineRule="auto"/>
        <w:tabs>
          <w:tab w:leader="none" w:pos="2637"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Each Existing Letter of Credit shall for all purposes hereunder and under the other Loan Documents, be deemed to be, and shall, until the termination or expiration of such Existing Letter Credit, remain outstanding as, a Letter of Credit issued under this Agreement on the Closing Date by the applicable Issuing Bank for the account of Borrower or the Subsidiary of Borrower specified in such Existing Letter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shall be deemed to be a co-applicant, and shall be jointly and severally liable, with respect to each such Existing Letter of Credit issued for the account of a Subsidiary).</w:t>
      </w:r>
    </w:p>
    <w:p>
      <w:pPr>
        <w:spacing w:after="0" w:line="200" w:lineRule="exact"/>
        <w:rPr>
          <w:sz w:val="20"/>
          <w:szCs w:val="20"/>
          <w:color w:val="auto"/>
        </w:rPr>
      </w:pPr>
    </w:p>
    <w:p>
      <w:pPr>
        <w:spacing w:after="0" w:line="25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ARTICLE III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00" w:lineRule="exact"/>
        <w:rPr>
          <w:sz w:val="20"/>
          <w:szCs w:val="20"/>
          <w:color w:val="auto"/>
        </w:rPr>
      </w:pPr>
    </w:p>
    <w:p>
      <w:pPr>
        <w:spacing w:after="0" w:line="299" w:lineRule="exact"/>
        <w:rPr>
          <w:sz w:val="20"/>
          <w:szCs w:val="20"/>
          <w:color w:val="auto"/>
        </w:rPr>
      </w:pPr>
    </w:p>
    <w:p>
      <w:pPr>
        <w:ind w:right="80" w:firstLine="1297"/>
        <w:spacing w:after="0" w:line="308" w:lineRule="auto"/>
        <w:rPr>
          <w:sz w:val="20"/>
          <w:szCs w:val="20"/>
          <w:color w:val="auto"/>
        </w:rPr>
      </w:pPr>
      <w:r>
        <w:rPr>
          <w:rFonts w:ascii="Arial" w:cs="Arial" w:eastAsia="Arial" w:hAnsi="Arial"/>
          <w:sz w:val="17"/>
          <w:szCs w:val="17"/>
          <w:color w:val="auto"/>
        </w:rPr>
        <w:t>Each Loan Party represents and warrants to the Administrative Agent, the Collateral Agent, the Issuing Bank and each of the Lenders (with references to the Companies being references thereto after giving effect to the Transactions unless otherwise expressly stated) that:</w:t>
      </w:r>
    </w:p>
    <w:p>
      <w:pPr>
        <w:spacing w:after="0" w:line="19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u w:val="single" w:color="auto"/>
          <w:color w:val="auto"/>
        </w:rPr>
        <w:t>Organization; Powers</w:t>
      </w:r>
    </w:p>
    <w:p>
      <w:pPr>
        <w:spacing w:after="0" w:line="256" w:lineRule="exact"/>
        <w:rPr>
          <w:sz w:val="20"/>
          <w:szCs w:val="20"/>
          <w:color w:val="auto"/>
        </w:rPr>
      </w:pPr>
    </w:p>
    <w:p>
      <w:pPr>
        <w:ind w:right="40" w:firstLine="8"/>
        <w:spacing w:after="0" w:line="255" w:lineRule="auto"/>
        <w:tabs>
          <w:tab w:leader="none" w:pos="13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Company (a) is duly organized and validly existing under the laws of the jurisdiction of its organization, (b) has all requisite power and authority to carry on its business as now conducted and to own and lease its property and (c) is qualified and in good standing (to the extent such concept is applicable in the applicable jurisdiction) to do business in every jurisdiction where such qualification is required, except in such jurisdictions where the failure to so qualify or be in good standing, individually or in the aggregate, could not reasonably be expected to result in a Material Adverse Effect. There is no existing default under any Organizational Document of any Company (other than Immaterial Subsidiaries) or any event which, with the giving of notice or passage of time or both, would constitute a default by any party thereunder.</w:t>
      </w:r>
    </w:p>
    <w:p>
      <w:pPr>
        <w:spacing w:after="0" w:line="24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u w:val="single" w:color="auto"/>
          <w:color w:val="auto"/>
        </w:rPr>
        <w:t>Authorization; Enforceability</w:t>
      </w:r>
    </w:p>
    <w:p>
      <w:pPr>
        <w:sectPr>
          <w:pgSz w:w="11900" w:h="16838" w:orient="portrait"/>
          <w:cols w:equalWidth="0" w:num="1">
            <w:col w:w="11420"/>
          </w:cols>
          <w:pgMar w:left="240" w:top="125" w:right="239" w:bottom="0" w:gutter="0" w:footer="0" w:header="0"/>
        </w:sectPr>
      </w:pPr>
    </w:p>
    <w:bookmarkStart w:id="96" w:name="page97"/>
    <w:bookmarkEnd w:id="96"/>
    <w:p>
      <w:pPr>
        <w:spacing w:after="0" w:line="25" w:lineRule="exact"/>
        <w:rPr>
          <w:sz w:val="20"/>
          <w:szCs w:val="20"/>
          <w:color w:val="auto"/>
        </w:rPr>
      </w:pPr>
    </w:p>
    <w:p>
      <w:pPr>
        <w:ind w:left="-8" w:right="80" w:firstLine="8"/>
        <w:spacing w:after="0" w:line="297" w:lineRule="auto"/>
        <w:tabs>
          <w:tab w:leader="none" w:pos="12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Transactions to be entered into by each Loan Party are within such Loan Party’s powers and have been duly authorized by all necessary action on the part of such Loan Party. This Agreement has been duly executed and delivered by each Loan Party and constitutes, and each other Loan Document to which any Loan Party is to be a party, when executed and delivered by such Loan Party, will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8"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3.03</w:t>
      </w:r>
      <w:r>
        <w:rPr>
          <w:sz w:val="20"/>
          <w:szCs w:val="20"/>
          <w:color w:val="auto"/>
        </w:rPr>
        <w:tab/>
      </w:r>
      <w:r>
        <w:rPr>
          <w:rFonts w:ascii="Arial" w:cs="Arial" w:eastAsia="Arial" w:hAnsi="Arial"/>
          <w:sz w:val="16"/>
          <w:szCs w:val="16"/>
          <w:b w:val="1"/>
          <w:bCs w:val="1"/>
          <w:u w:val="single" w:color="auto"/>
          <w:color w:val="auto"/>
        </w:rPr>
        <w:t>No Conflicts</w:t>
      </w:r>
    </w:p>
    <w:p>
      <w:pPr>
        <w:spacing w:after="0" w:line="256" w:lineRule="exact"/>
        <w:rPr>
          <w:sz w:val="20"/>
          <w:szCs w:val="20"/>
          <w:color w:val="auto"/>
        </w:rPr>
      </w:pPr>
    </w:p>
    <w:p>
      <w:pPr>
        <w:ind w:left="-8" w:right="80" w:firstLine="8"/>
        <w:spacing w:after="0" w:line="271" w:lineRule="auto"/>
        <w:tabs>
          <w:tab w:leader="none" w:pos="12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3.03</w:t>
      </w:r>
      <w:r>
        <w:rPr>
          <w:rFonts w:ascii="Arial" w:cs="Arial" w:eastAsia="Arial" w:hAnsi="Arial"/>
          <w:sz w:val="17"/>
          <w:szCs w:val="17"/>
          <w:color w:val="auto"/>
        </w:rPr>
        <w:t>, the Transactions (a) do not require any consent or approval of, registration or filing with, or any other action by, any Governmental Authority, except (i) such as have been obtained or made and are in full force and effect, (ii) filings necessary to perfect Liens created by the Loan Documents and (iii) consents, approvals, registrations, filings, permits or actions the failure to obtain or perform which could not reasonably be expected to result in a Material Adverse Effect, (b) will not violate the Organizational Documents of any Company, (c) will not violate any Requirement of Law, (d) will not violate or result in a default or require any consent or approval under any indenture, agreement or other instrument binding upon any Company or its property, or give rise to a right thereunder to require any payment to be made by any Company, except for violations, defaults or the creation of such rights that could not reasonably be expected to result in a Material Adverse Effect, and (e) will not result in the creation or imposition of any Lien on any property of any Company, except Liens created by the Loan Documents and Permitted Liens.</w:t>
      </w:r>
    </w:p>
    <w:p>
      <w:pPr>
        <w:spacing w:after="0" w:line="229"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3.04</w:t>
      </w:r>
      <w:r>
        <w:rPr>
          <w:sz w:val="20"/>
          <w:szCs w:val="20"/>
          <w:color w:val="auto"/>
        </w:rPr>
        <w:tab/>
      </w:r>
      <w:r>
        <w:rPr>
          <w:rFonts w:ascii="Arial" w:cs="Arial" w:eastAsia="Arial" w:hAnsi="Arial"/>
          <w:sz w:val="16"/>
          <w:szCs w:val="16"/>
          <w:b w:val="1"/>
          <w:bCs w:val="1"/>
          <w:u w:val="single" w:color="auto"/>
          <w:color w:val="auto"/>
        </w:rPr>
        <w:t>Financial Statements; Projections</w:t>
      </w:r>
    </w:p>
    <w:p>
      <w:pPr>
        <w:spacing w:after="0" w:line="283" w:lineRule="exact"/>
        <w:rPr>
          <w:sz w:val="20"/>
          <w:szCs w:val="20"/>
          <w:color w:val="auto"/>
        </w:rPr>
      </w:pPr>
    </w:p>
    <w:p>
      <w:pPr>
        <w:ind w:left="-8" w:right="60" w:firstLine="1953"/>
        <w:spacing w:after="0" w:line="290" w:lineRule="auto"/>
        <w:tabs>
          <w:tab w:leader="none" w:pos="2569"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Historical Financial Statements</w:t>
      </w:r>
      <w:r>
        <w:rPr>
          <w:rFonts w:ascii="Arial" w:cs="Arial" w:eastAsia="Arial" w:hAnsi="Arial"/>
          <w:sz w:val="16"/>
          <w:szCs w:val="16"/>
          <w:color w:val="auto"/>
        </w:rPr>
        <w:t xml:space="preserve">. Borrower has heretofore delivered to the Administrative Agent (i) the consolidated balance sheets and related statements of income, stockholders’ equity and cash flows of Borrower as of and for the fiscal years ended 2004, 2005 and 2006, audited by and accompanied by the unqualified opinion of Deloitte &amp; Touche LLP, independent public accountants, and (ii) the consolidated balance sheets and related statements of income, stockholders’ equity and cash flows of the Acquired Business as of and for the fiscal years ended 2004, 2005 and 2006, audited by and accompanied by the unqualified opinion of Ernst &amp; Young LLP, independent public accountants. Such financial statements and all financial statements delivered pursuant to </w:t>
      </w:r>
      <w:r>
        <w:rPr>
          <w:rFonts w:ascii="Arial" w:cs="Arial" w:eastAsia="Arial" w:hAnsi="Arial"/>
          <w:sz w:val="16"/>
          <w:szCs w:val="16"/>
          <w:u w:val="single" w:color="auto"/>
          <w:color w:val="auto"/>
        </w:rPr>
        <w:t>Sections 5.01(a)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have been prepared in accordance with GAAP (or, in the case of the financial statements referred to in clause (a)(ii) above, on a modified GAAP basis, without footnotes to the extent such footnotes have not been prepared) and present fairly and accurately the financial condition and results of operations and cash flows of Borrower as of the dates and for the periods to which they relate.</w:t>
      </w:r>
    </w:p>
    <w:p>
      <w:pPr>
        <w:spacing w:after="0" w:line="200" w:lineRule="exact"/>
        <w:rPr>
          <w:rFonts w:ascii="Arial" w:cs="Arial" w:eastAsia="Arial" w:hAnsi="Arial"/>
          <w:sz w:val="16"/>
          <w:szCs w:val="16"/>
          <w:color w:val="auto"/>
        </w:rPr>
      </w:pPr>
    </w:p>
    <w:p>
      <w:pPr>
        <w:spacing w:after="0" w:line="263" w:lineRule="exact"/>
        <w:rPr>
          <w:rFonts w:ascii="Arial" w:cs="Arial" w:eastAsia="Arial" w:hAnsi="Arial"/>
          <w:sz w:val="16"/>
          <w:szCs w:val="16"/>
          <w:color w:val="auto"/>
        </w:rPr>
      </w:pPr>
    </w:p>
    <w:p>
      <w:pPr>
        <w:ind w:left="-8" w:right="20" w:firstLine="1953"/>
        <w:spacing w:after="0" w:line="276" w:lineRule="auto"/>
        <w:tabs>
          <w:tab w:leader="none" w:pos="2579" w:val="left"/>
        </w:tabs>
        <w:numPr>
          <w:ilvl w:val="1"/>
          <w:numId w:val="175"/>
        </w:numPr>
        <w:rPr>
          <w:rFonts w:ascii="Arial" w:cs="Arial" w:eastAsia="Arial" w:hAnsi="Arial"/>
          <w:sz w:val="17"/>
          <w:szCs w:val="17"/>
          <w:color w:val="auto"/>
        </w:rPr>
      </w:pPr>
      <w:r>
        <w:rPr>
          <w:rFonts w:ascii="Arial" w:cs="Arial" w:eastAsia="Arial" w:hAnsi="Arial"/>
          <w:sz w:val="17"/>
          <w:szCs w:val="17"/>
          <w:u w:val="single" w:color="auto"/>
          <w:color w:val="auto"/>
        </w:rPr>
        <w:t>No Liabilities</w:t>
      </w:r>
      <w:r>
        <w:rPr>
          <w:rFonts w:ascii="Arial" w:cs="Arial" w:eastAsia="Arial" w:hAnsi="Arial"/>
          <w:sz w:val="17"/>
          <w:szCs w:val="17"/>
          <w:color w:val="auto"/>
        </w:rPr>
        <w:t xml:space="preserve">. Except as set forth in the financial statements referred to in </w:t>
      </w:r>
      <w:r>
        <w:rPr>
          <w:rFonts w:ascii="Arial" w:cs="Arial" w:eastAsia="Arial" w:hAnsi="Arial"/>
          <w:sz w:val="17"/>
          <w:szCs w:val="17"/>
          <w:u w:val="single" w:color="auto"/>
          <w:color w:val="auto"/>
        </w:rPr>
        <w:t>Section 3.04(a)</w:t>
      </w:r>
      <w:r>
        <w:rPr>
          <w:rFonts w:ascii="Arial" w:cs="Arial" w:eastAsia="Arial" w:hAnsi="Arial"/>
          <w:sz w:val="17"/>
          <w:szCs w:val="17"/>
          <w:color w:val="auto"/>
        </w:rPr>
        <w:t>, there are no liabilities of any Company of any kind, whether accrued, contingent, absolute, determined, determinable or otherwise, which could reasonably be expected to result in a Material Adverse Effect, and there is no existing condition, situation or set of circumstances which could reasonably be expected to result in such a liability, other than liabilities under the Loan Documents. Since December 31, 2006, there has been no event, change, circumstance or occurrence that, individually or in the aggregate, has had or could reasonably be expected to result in a Material Adverse Effect.</w:t>
      </w: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8" w:firstLine="1953"/>
        <w:spacing w:after="0" w:line="290" w:lineRule="auto"/>
        <w:tabs>
          <w:tab w:leader="none" w:pos="2569"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Pro Forma Financial Statements</w:t>
      </w:r>
      <w:r>
        <w:rPr>
          <w:rFonts w:ascii="Arial" w:cs="Arial" w:eastAsia="Arial" w:hAnsi="Arial"/>
          <w:sz w:val="16"/>
          <w:szCs w:val="16"/>
          <w:color w:val="auto"/>
        </w:rPr>
        <w:t xml:space="preserve">. Borrower has heretofore delivered to the Administrative Agent Borrower’s unaudited </w:t>
      </w:r>
      <w:r>
        <w:rPr>
          <w:rFonts w:ascii="Arial" w:cs="Arial" w:eastAsia="Arial" w:hAnsi="Arial"/>
          <w:sz w:val="16"/>
          <w:szCs w:val="16"/>
          <w:i w:val="1"/>
          <w:iCs w:val="1"/>
          <w:color w:val="auto"/>
        </w:rPr>
        <w:t xml:space="preserve">pro forma </w:t>
      </w:r>
      <w:r>
        <w:rPr>
          <w:rFonts w:ascii="Arial" w:cs="Arial" w:eastAsia="Arial" w:hAnsi="Arial"/>
          <w:sz w:val="16"/>
          <w:szCs w:val="16"/>
          <w:color w:val="auto"/>
        </w:rPr>
        <w:t>consolidated balance sheet and statement of income and</w:t>
      </w:r>
      <w:r>
        <w:rPr>
          <w:rFonts w:ascii="Arial" w:cs="Arial" w:eastAsia="Arial" w:hAnsi="Arial"/>
          <w:sz w:val="16"/>
          <w:szCs w:val="16"/>
          <w:i w:val="1"/>
          <w:iCs w:val="1"/>
          <w:color w:val="auto"/>
        </w:rPr>
        <w:t xml:space="preserve"> pro forma </w:t>
      </w:r>
      <w:r>
        <w:rPr>
          <w:rFonts w:ascii="Arial" w:cs="Arial" w:eastAsia="Arial" w:hAnsi="Arial"/>
          <w:sz w:val="16"/>
          <w:szCs w:val="16"/>
          <w:color w:val="auto"/>
        </w:rPr>
        <w:t>EBITDA for the fiscal year ended December 31, 2006, after giving effect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Transactions as if they had occurred on such date in the case of the balance sheet and as of the beginning of such fiscal year in the case of the statements of income and cash flows. Such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statements (i) have been prepared in good faith by the Loan Parties, based on the assumptions stated therein (which assumptions are believed by the Loan Parties on the date hereof and on the Closing Date to be reasonable) and are based on the best information available to the Loan Parties as of the date of delivery thereof, (ii) have been prepared to give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the Transactions as if they had occurred on such date or as of the beginning of such fiscal year, as the case may be, and (iii) present fairly in all material respects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consolidated financial position and results of operations of Borrower as of such date and for such fiscal year, assuming that the Transactions had occurred at such date.</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8" w:right="260" w:firstLine="1305"/>
        <w:spacing w:after="0" w:line="277" w:lineRule="auto"/>
        <w:tabs>
          <w:tab w:leader="none" w:pos="1993"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Forecasts</w:t>
      </w:r>
      <w:r>
        <w:rPr>
          <w:rFonts w:ascii="Arial" w:cs="Arial" w:eastAsia="Arial" w:hAnsi="Arial"/>
          <w:sz w:val="18"/>
          <w:szCs w:val="18"/>
          <w:color w:val="auto"/>
        </w:rPr>
        <w:t>. The forecasts of financial performance of Borrower and its subsidiaries furnished to the Administrative Agent have been prepared in good faith by Borrower and based on assumptions believed by Borrower to reasonable.</w:t>
      </w:r>
    </w:p>
    <w:p>
      <w:pPr>
        <w:spacing w:after="0" w:line="220"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3.05</w:t>
      </w:r>
      <w:r>
        <w:rPr>
          <w:sz w:val="20"/>
          <w:szCs w:val="20"/>
          <w:color w:val="auto"/>
        </w:rPr>
        <w:tab/>
      </w:r>
      <w:r>
        <w:rPr>
          <w:rFonts w:ascii="Arial" w:cs="Arial" w:eastAsia="Arial" w:hAnsi="Arial"/>
          <w:sz w:val="16"/>
          <w:szCs w:val="16"/>
          <w:b w:val="1"/>
          <w:bCs w:val="1"/>
          <w:u w:val="single" w:color="auto"/>
          <w:color w:val="auto"/>
        </w:rPr>
        <w:t>Properties</w:t>
      </w:r>
    </w:p>
    <w:p>
      <w:pPr>
        <w:spacing w:after="0" w:line="283" w:lineRule="exact"/>
        <w:rPr>
          <w:sz w:val="20"/>
          <w:szCs w:val="20"/>
          <w:color w:val="auto"/>
        </w:rPr>
      </w:pPr>
    </w:p>
    <w:p>
      <w:pPr>
        <w:ind w:left="-8" w:right="20" w:firstLine="1953"/>
        <w:spacing w:after="0" w:line="255" w:lineRule="auto"/>
        <w:tabs>
          <w:tab w:leader="none" w:pos="2569"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Company has good title to, or valid leasehold interests in, all its property material to its business, free and clear of all Liens except for, in the case of Collateral, Permitted Collateral Liens and, in the case of all other material property, Permitted Liens and minor irregularities or deficiencies in title that, individually or in the aggregate, do not interfere with its ability to conduct its business as currently conducted or to utilize such property for its intended purpose. The property of the Companies, taken as a whole, (i) is in good operating order, condition and repair (ordinary wear and tear excepted) in all material respects and (ii) constitutes all the property which is required for the business and operations of the Companies as presently conducted.</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8" w:right="20" w:firstLine="1953"/>
        <w:spacing w:after="0" w:line="272" w:lineRule="auto"/>
        <w:tabs>
          <w:tab w:leader="none" w:pos="2579"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Real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Schedules 8(a)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8(b)</w:t>
      </w:r>
      <w:r>
        <w:rPr>
          <w:rFonts w:ascii="Arial" w:cs="Arial" w:eastAsia="Arial" w:hAnsi="Arial"/>
          <w:sz w:val="17"/>
          <w:szCs w:val="17"/>
          <w:color w:val="auto"/>
        </w:rPr>
        <w:t xml:space="preserve"> to the Perfection Certificate dated the Closing Date contain a true and complete list of each interest in Real Property (i) owned by any Loan Party as of the date hereof and describe the type of interest therein held by such Loan Party and whether such owned Real Property is leased and if leased whether the underlying Lease contains any option to purchase all or any portion of such Real Property or any interest therein or contains any right of first refusal relating to any sale of such Real Property or any portion thereof or interest therein and (ii) leased, subleased or otherwise occupied or utilized by any Loan Party, as lessee, sublessee, franchisee or licensee, as of the date hereof and describes the type of interest therein held by such Loan Party and, in each of the cases described in clauses (i) and (ii) of this </w:t>
      </w:r>
      <w:r>
        <w:rPr>
          <w:rFonts w:ascii="Arial" w:cs="Arial" w:eastAsia="Arial" w:hAnsi="Arial"/>
          <w:sz w:val="17"/>
          <w:szCs w:val="17"/>
          <w:u w:val="single" w:color="auto"/>
          <w:color w:val="auto"/>
        </w:rPr>
        <w:t>Section 3.05(b)</w:t>
      </w:r>
      <w:r>
        <w:rPr>
          <w:rFonts w:ascii="Arial" w:cs="Arial" w:eastAsia="Arial" w:hAnsi="Arial"/>
          <w:sz w:val="17"/>
          <w:szCs w:val="17"/>
          <w:color w:val="auto"/>
        </w:rPr>
        <w:t>, whether any Lease requires the consent of the landlord or tenant thereunder, or other party thereto, to the Transactions.</w:t>
      </w:r>
    </w:p>
    <w:p>
      <w:pPr>
        <w:spacing w:after="0" w:line="200" w:lineRule="exact"/>
        <w:rPr>
          <w:rFonts w:ascii="Arial" w:cs="Arial" w:eastAsia="Arial" w:hAnsi="Arial"/>
          <w:sz w:val="17"/>
          <w:szCs w:val="17"/>
          <w:color w:val="auto"/>
        </w:rPr>
      </w:pPr>
    </w:p>
    <w:p>
      <w:pPr>
        <w:spacing w:after="0" w:line="275" w:lineRule="exact"/>
        <w:rPr>
          <w:rFonts w:ascii="Arial" w:cs="Arial" w:eastAsia="Arial" w:hAnsi="Arial"/>
          <w:sz w:val="17"/>
          <w:szCs w:val="17"/>
          <w:color w:val="auto"/>
        </w:rPr>
      </w:pPr>
    </w:p>
    <w:p>
      <w:pPr>
        <w:ind w:left="-8" w:right="20" w:firstLine="1953"/>
        <w:spacing w:after="0" w:line="302" w:lineRule="auto"/>
        <w:tabs>
          <w:tab w:leader="none" w:pos="2569"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No Casualty Event</w:t>
      </w:r>
      <w:r>
        <w:rPr>
          <w:rFonts w:ascii="Arial" w:cs="Arial" w:eastAsia="Arial" w:hAnsi="Arial"/>
          <w:sz w:val="16"/>
          <w:szCs w:val="16"/>
          <w:color w:val="auto"/>
        </w:rPr>
        <w:t xml:space="preserve">. As of the date hereof, no Company has received any notice of, nor has any knowledge of, the occurrence or pendency or contemplation of any Casualty Event affecting all or any portion of its property. No Mortgage encumbers improved Real Property that is located in an area that has been identified by the Secretary of Housing and Urban Development as an area having special flood hazards within the meaning of the National Flood Insurance Act of 1968 unless flood insurance available under such Act has been obtained in accordance with </w:t>
      </w:r>
      <w:r>
        <w:rPr>
          <w:rFonts w:ascii="Arial" w:cs="Arial" w:eastAsia="Arial" w:hAnsi="Arial"/>
          <w:sz w:val="16"/>
          <w:szCs w:val="16"/>
          <w:u w:val="single" w:color="auto"/>
          <w:color w:val="auto"/>
        </w:rPr>
        <w:t>Section 5.04</w:t>
      </w:r>
      <w:r>
        <w:rPr>
          <w:rFonts w:ascii="Arial" w:cs="Arial" w:eastAsia="Arial" w:hAnsi="Arial"/>
          <w:sz w:val="16"/>
          <w:szCs w:val="16"/>
          <w:color w:val="auto"/>
        </w:rPr>
        <w:t>.</w:t>
      </w:r>
    </w:p>
    <w:p>
      <w:pPr>
        <w:sectPr>
          <w:pgSz w:w="11900" w:h="16864" w:orient="portrait"/>
          <w:cols w:equalWidth="0" w:num="1">
            <w:col w:w="11372"/>
          </w:cols>
          <w:pgMar w:left="248" w:top="368" w:right="279" w:bottom="0" w:gutter="0" w:footer="0" w:header="0"/>
        </w:sectPr>
      </w:pPr>
    </w:p>
    <w:bookmarkStart w:id="97" w:name="page98"/>
    <w:bookmarkEnd w:id="97"/>
    <w:p>
      <w:pPr>
        <w:ind w:left="-8" w:firstLine="1953"/>
        <w:spacing w:after="0" w:line="297" w:lineRule="auto"/>
        <w:tabs>
          <w:tab w:leader="none" w:pos="2579"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Collateral</w:t>
      </w:r>
      <w:r>
        <w:rPr>
          <w:rFonts w:ascii="Arial" w:cs="Arial" w:eastAsia="Arial" w:hAnsi="Arial"/>
          <w:sz w:val="16"/>
          <w:szCs w:val="16"/>
          <w:color w:val="auto"/>
        </w:rPr>
        <w:t>. Each Company owns or has rights to use all of the Collateral and all rights with respect to any of the foregoing used in, necessary for or material to each Company’s business as currently conducted. The use by each Company of such Collateral and all such rights with respect to the foregoing do not infringe on the rights of any person other than such infringement which could not, individually or in the aggregate, reasonably be expected to result in a Material Adverse Effect. No claim has been made and remains outstanding that any Company’s use of any Collateral does or may violate the rights of any third party that could, individually or in the aggregate, reasonably be expected to result in a Material Adverse Effect.</w:t>
      </w:r>
    </w:p>
    <w:p>
      <w:pPr>
        <w:spacing w:after="0" w:line="208"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6"/>
          <w:szCs w:val="16"/>
          <w:b w:val="1"/>
          <w:bCs w:val="1"/>
          <w:u w:val="single" w:color="auto"/>
          <w:color w:val="auto"/>
        </w:rPr>
        <w:t>Intellectual Property</w:t>
      </w:r>
    </w:p>
    <w:p>
      <w:pPr>
        <w:spacing w:after="0" w:line="283" w:lineRule="exact"/>
        <w:rPr>
          <w:sz w:val="20"/>
          <w:szCs w:val="20"/>
          <w:color w:val="auto"/>
        </w:rPr>
      </w:pPr>
    </w:p>
    <w:p>
      <w:pPr>
        <w:ind w:left="-8" w:right="40" w:firstLine="1953"/>
        <w:spacing w:after="0" w:line="271" w:lineRule="auto"/>
        <w:tabs>
          <w:tab w:leader="none" w:pos="2569"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Ownership/No Claims</w:t>
      </w:r>
      <w:r>
        <w:rPr>
          <w:rFonts w:ascii="Arial" w:cs="Arial" w:eastAsia="Arial" w:hAnsi="Arial"/>
          <w:sz w:val="17"/>
          <w:szCs w:val="17"/>
          <w:color w:val="auto"/>
        </w:rPr>
        <w:t>. Each Loan Party owns, or is licensed to use, all patents, patent applications, trademarks, trade names, service marks, copyrights, technology, trade secrets, proprietary information, domain names, know-how and processes necessary for the conduct of its business as currently conducted (the “</w:t>
      </w:r>
      <w:r>
        <w:rPr>
          <w:rFonts w:ascii="Arial" w:cs="Arial" w:eastAsia="Arial" w:hAnsi="Arial"/>
          <w:sz w:val="17"/>
          <w:szCs w:val="17"/>
          <w:b w:val="1"/>
          <w:bCs w:val="1"/>
          <w:color w:val="auto"/>
        </w:rPr>
        <w:t>Intellectual Property</w:t>
      </w:r>
      <w:r>
        <w:rPr>
          <w:rFonts w:ascii="Arial" w:cs="Arial" w:eastAsia="Arial" w:hAnsi="Arial"/>
          <w:sz w:val="17"/>
          <w:szCs w:val="17"/>
          <w:color w:val="auto"/>
        </w:rPr>
        <w:t>”), except for those the failure to own or license which, individually or in the aggregate, could not reasonably be expected to result in a Material Adverse Effect. No claim has been asserted and is pending by any person challenging or questioning the use of any such Intellectual Property or the validity or effectiveness of any such Intellectual Property, nor does any Loan Party know of any valid basis for any such claim, except for such claims that, individually or in the aggregate, could not reasonably be expected to have a Material Adverse Effect. The use of such Intellectual Property by each Loan Party does not infringe the rights of any person, except for such claims and infringements that, individually or in the aggregate, could not reasonably be expected to result in a Material Adverse Effect.</w:t>
      </w:r>
    </w:p>
    <w:p>
      <w:pPr>
        <w:spacing w:after="0" w:line="200" w:lineRule="exact"/>
        <w:rPr>
          <w:rFonts w:ascii="Arial" w:cs="Arial" w:eastAsia="Arial" w:hAnsi="Arial"/>
          <w:sz w:val="17"/>
          <w:szCs w:val="17"/>
          <w:color w:val="auto"/>
        </w:rPr>
      </w:pPr>
    </w:p>
    <w:p>
      <w:pPr>
        <w:spacing w:after="0" w:line="276" w:lineRule="exact"/>
        <w:rPr>
          <w:rFonts w:ascii="Arial" w:cs="Arial" w:eastAsia="Arial" w:hAnsi="Arial"/>
          <w:sz w:val="17"/>
          <w:szCs w:val="17"/>
          <w:color w:val="auto"/>
        </w:rPr>
      </w:pPr>
    </w:p>
    <w:p>
      <w:pPr>
        <w:ind w:left="-8" w:right="120" w:firstLine="1953"/>
        <w:spacing w:after="0" w:line="273" w:lineRule="auto"/>
        <w:tabs>
          <w:tab w:leader="none" w:pos="2579"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Registrations</w:t>
      </w:r>
      <w:r>
        <w:rPr>
          <w:rFonts w:ascii="Arial" w:cs="Arial" w:eastAsia="Arial" w:hAnsi="Arial"/>
          <w:sz w:val="17"/>
          <w:szCs w:val="17"/>
          <w:color w:val="auto"/>
        </w:rPr>
        <w:t xml:space="preserve">. Except pursuant to licenses and other user agreements entered into by each Loan Party in the ordinary course of business that are listed in </w:t>
      </w:r>
      <w:r>
        <w:rPr>
          <w:rFonts w:ascii="Arial" w:cs="Arial" w:eastAsia="Arial" w:hAnsi="Arial"/>
          <w:sz w:val="17"/>
          <w:szCs w:val="17"/>
          <w:u w:val="single" w:color="auto"/>
          <w:color w:val="auto"/>
        </w:rPr>
        <w:t>Schedule 13(a)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13(b)</w:t>
      </w:r>
      <w:r>
        <w:rPr>
          <w:rFonts w:ascii="Arial" w:cs="Arial" w:eastAsia="Arial" w:hAnsi="Arial"/>
          <w:sz w:val="17"/>
          <w:szCs w:val="17"/>
          <w:color w:val="auto"/>
        </w:rPr>
        <w:t xml:space="preserve"> to the Perfection Certificate, on and as of the date hereof (i) each Loan Party owns and possesses the right to use, and has done nothing to authorize or enable any other person to use, any material Copyright, Patent or Trademark (as such terms are defined in the Security Agreement) listed in </w:t>
      </w:r>
      <w:r>
        <w:rPr>
          <w:rFonts w:ascii="Arial" w:cs="Arial" w:eastAsia="Arial" w:hAnsi="Arial"/>
          <w:sz w:val="17"/>
          <w:szCs w:val="17"/>
          <w:u w:val="single" w:color="auto"/>
          <w:color w:val="auto"/>
        </w:rPr>
        <w:t>Schedule 13(a)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13(b)</w:t>
      </w:r>
      <w:r>
        <w:rPr>
          <w:rFonts w:ascii="Arial" w:cs="Arial" w:eastAsia="Arial" w:hAnsi="Arial"/>
          <w:sz w:val="17"/>
          <w:szCs w:val="17"/>
          <w:color w:val="auto"/>
        </w:rPr>
        <w:t xml:space="preserve"> to the Perfection Certificate and (ii) all registrations listed in </w:t>
      </w:r>
      <w:r>
        <w:rPr>
          <w:rFonts w:ascii="Arial" w:cs="Arial" w:eastAsia="Arial" w:hAnsi="Arial"/>
          <w:sz w:val="17"/>
          <w:szCs w:val="17"/>
          <w:u w:val="single" w:color="auto"/>
          <w:color w:val="auto"/>
        </w:rPr>
        <w:t>Schedule 13(a)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13(b)</w:t>
      </w:r>
      <w:r>
        <w:rPr>
          <w:rFonts w:ascii="Arial" w:cs="Arial" w:eastAsia="Arial" w:hAnsi="Arial"/>
          <w:sz w:val="17"/>
          <w:szCs w:val="17"/>
          <w:color w:val="auto"/>
        </w:rPr>
        <w:t xml:space="preserve"> to the Perfection Certificate are valid and in full force and effect (except such registrations that, in the reasonable business judgment of Borrower are no longer necessary or desirable for the conduct of the business of any of the Companies).</w:t>
      </w:r>
    </w:p>
    <w:p>
      <w:pPr>
        <w:spacing w:after="0" w:line="200" w:lineRule="exact"/>
        <w:rPr>
          <w:rFonts w:ascii="Arial" w:cs="Arial" w:eastAsia="Arial" w:hAnsi="Arial"/>
          <w:sz w:val="17"/>
          <w:szCs w:val="17"/>
          <w:color w:val="auto"/>
        </w:rPr>
      </w:pPr>
    </w:p>
    <w:p>
      <w:pPr>
        <w:spacing w:after="0" w:line="275" w:lineRule="exact"/>
        <w:rPr>
          <w:rFonts w:ascii="Arial" w:cs="Arial" w:eastAsia="Arial" w:hAnsi="Arial"/>
          <w:sz w:val="17"/>
          <w:szCs w:val="17"/>
          <w:color w:val="auto"/>
        </w:rPr>
      </w:pPr>
    </w:p>
    <w:p>
      <w:pPr>
        <w:ind w:left="-8" w:right="520" w:firstLine="1953"/>
        <w:spacing w:after="0" w:line="264" w:lineRule="auto"/>
        <w:tabs>
          <w:tab w:leader="none" w:pos="2569"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No Violations or Proceedings</w:t>
      </w:r>
      <w:r>
        <w:rPr>
          <w:rFonts w:ascii="Arial" w:cs="Arial" w:eastAsia="Arial" w:hAnsi="Arial"/>
          <w:sz w:val="18"/>
          <w:szCs w:val="18"/>
          <w:color w:val="auto"/>
        </w:rPr>
        <w:t xml:space="preserve">. To each Loan Party’s knowledge, on and as of the date hereof, there is no material violation by others of any right of such Loan Party with respect to any copyright, patent or trademark listed in </w:t>
      </w:r>
      <w:r>
        <w:rPr>
          <w:rFonts w:ascii="Arial" w:cs="Arial" w:eastAsia="Arial" w:hAnsi="Arial"/>
          <w:sz w:val="18"/>
          <w:szCs w:val="18"/>
          <w:u w:val="single" w:color="auto"/>
          <w:color w:val="auto"/>
        </w:rPr>
        <w:t>Schedule 13(a)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13(b)</w:t>
      </w:r>
      <w:r>
        <w:rPr>
          <w:rFonts w:ascii="Arial" w:cs="Arial" w:eastAsia="Arial" w:hAnsi="Arial"/>
          <w:sz w:val="18"/>
          <w:szCs w:val="18"/>
          <w:color w:val="auto"/>
        </w:rPr>
        <w:t xml:space="preserve"> to the Perfection Certificate, pledged by it under the name of such Loan Party except as may be set forth on </w:t>
      </w:r>
      <w:r>
        <w:rPr>
          <w:rFonts w:ascii="Arial" w:cs="Arial" w:eastAsia="Arial" w:hAnsi="Arial"/>
          <w:sz w:val="18"/>
          <w:szCs w:val="18"/>
          <w:u w:val="single" w:color="auto"/>
          <w:color w:val="auto"/>
        </w:rPr>
        <w:t>Schedule 3.06(c)</w:t>
      </w:r>
      <w:r>
        <w:rPr>
          <w:rFonts w:ascii="Arial" w:cs="Arial" w:eastAsia="Arial" w:hAnsi="Arial"/>
          <w:sz w:val="18"/>
          <w:szCs w:val="18"/>
          <w:color w:val="auto"/>
        </w:rPr>
        <w:t>.</w:t>
      </w:r>
    </w:p>
    <w:p>
      <w:pPr>
        <w:spacing w:after="0" w:line="231"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3.07</w:t>
      </w:r>
      <w:r>
        <w:rPr>
          <w:sz w:val="20"/>
          <w:szCs w:val="20"/>
          <w:color w:val="auto"/>
        </w:rPr>
        <w:tab/>
      </w:r>
      <w:r>
        <w:rPr>
          <w:rFonts w:ascii="Arial" w:cs="Arial" w:eastAsia="Arial" w:hAnsi="Arial"/>
          <w:sz w:val="16"/>
          <w:szCs w:val="16"/>
          <w:b w:val="1"/>
          <w:bCs w:val="1"/>
          <w:u w:val="single" w:color="auto"/>
          <w:color w:val="auto"/>
        </w:rPr>
        <w:t>Equity Interests and Subsidiaries</w:t>
      </w:r>
    </w:p>
    <w:p>
      <w:pPr>
        <w:spacing w:after="0" w:line="283" w:lineRule="exact"/>
        <w:rPr>
          <w:sz w:val="20"/>
          <w:szCs w:val="20"/>
          <w:color w:val="auto"/>
        </w:rPr>
      </w:pPr>
    </w:p>
    <w:p>
      <w:pPr>
        <w:ind w:left="-8" w:firstLine="1953"/>
        <w:spacing w:after="0" w:line="268" w:lineRule="auto"/>
        <w:tabs>
          <w:tab w:leader="none" w:pos="2569"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Equity Interests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Schedules 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to the Perfection Certificate dated the Closing Date set forth a list of (i) all the Subsidiaries of Borrower and their jurisdictions of organization as of the Closing Date and (ii) the number of each class of its Equity Interests authorized, and the number outstanding, on the Closing Date and the number of shares covered by all outstanding options, warrants, rights of conversion or purchase and similar rights at the Closing Date. All Equity Interests of each Loan Party are duly and validly issued and are fully paid and non-assessable, and, other than the Equity Interests of Borrower, are owned by Borrower, directly or indirectly through Wholly Owned Subsidiaries. Except as set forth on </w:t>
      </w:r>
      <w:r>
        <w:rPr>
          <w:rFonts w:ascii="Arial" w:cs="Arial" w:eastAsia="Arial" w:hAnsi="Arial"/>
          <w:sz w:val="17"/>
          <w:szCs w:val="17"/>
          <w:u w:val="single" w:color="auto"/>
          <w:color w:val="auto"/>
        </w:rPr>
        <w:t>Schedule 3.07(a)</w:t>
      </w:r>
      <w:r>
        <w:rPr>
          <w:rFonts w:ascii="Arial" w:cs="Arial" w:eastAsia="Arial" w:hAnsi="Arial"/>
          <w:sz w:val="17"/>
          <w:szCs w:val="17"/>
          <w:color w:val="auto"/>
        </w:rPr>
        <w:t xml:space="preserve"> (or, with respect to any changes in such information following the Closing Date, as disclosed to the Administrative Agent by Borrower in writing from time to time after the Closing Date), all Equity Interests of each Company (other than Loan Parties) are duly and validly issued and are fully paid and non-assessable and are owned by Borrower, directly or indirectly through Wholly Owned Subsidiaries. Each Loan Party is the record and beneficial owner of, and has good and marketable title to, the Equity Interests pledged by it under the Security Agreement (and any other security document or pledge agreement delivered in accordance with applicable local or foreign law), free of any and all Liens, rights or claims of other persons, except the security interest created by the Security Agreement (and any other security document or pledge agreement delivered in accordance with applicable local or foreign law) and, in the case of Equity Interests of Outsourcing Project Subsidiaries which have Outsourcing Project Indebtedness, Liens securing the Outsourcing Project Indebtedness of such Outsourcing Subsidiary, and except as not prohibited hereunder, there are no outstanding warrants, options or other rights to purchase, or shareholder, voting trust or similar agreements outstanding with respect to, or property that is convertible into, or that requires the issuance or sale of, any such Equity Interests.</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ind w:left="-8" w:firstLine="1953"/>
        <w:spacing w:after="0" w:line="255" w:lineRule="auto"/>
        <w:tabs>
          <w:tab w:leader="none" w:pos="2579"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No Consent of Third Parties Required</w:t>
      </w:r>
      <w:r>
        <w:rPr>
          <w:rFonts w:ascii="Arial" w:cs="Arial" w:eastAsia="Arial" w:hAnsi="Arial"/>
          <w:sz w:val="18"/>
          <w:szCs w:val="18"/>
          <w:color w:val="auto"/>
        </w:rPr>
        <w:t>. No consent of any person including any other general or limited partner, any other member of a limited liability company, any other shareholder or any other trust beneficiary is necessary or reasonably desirable (from the perspective of a secured party) in connection with the creation, perfection or first priority status of the security interest of the Collateral Agent in any Equity Interests pledged to the Collateral Agent for the benefit of the Secured Parties under the Security Agreement (and any other security document or pledge agreement delivered in accordance with applicable local or foreign law) or the exercise by the Collateral Agent of the voting or other rights provided for in the Security Agreement (and any other security document or pledge agreement delivered in accordance with applicable local or foreign law) or the exercise of remedies in respect thereof.</w:t>
      </w: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8" w:right="300" w:firstLine="1953"/>
        <w:spacing w:after="0" w:line="342" w:lineRule="auto"/>
        <w:tabs>
          <w:tab w:leader="none" w:pos="2569"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Organizational Chart</w:t>
      </w:r>
      <w:r>
        <w:rPr>
          <w:rFonts w:ascii="Arial" w:cs="Arial" w:eastAsia="Arial" w:hAnsi="Arial"/>
          <w:sz w:val="16"/>
          <w:szCs w:val="16"/>
          <w:color w:val="auto"/>
        </w:rPr>
        <w:t xml:space="preserve">. An accurate organizational chart, showing the ownership structure of Borrower and each Subsidiary on the Closing Date, and after giving effect to the Transactions, is set forth on </w:t>
      </w:r>
      <w:r>
        <w:rPr>
          <w:rFonts w:ascii="Arial" w:cs="Arial" w:eastAsia="Arial" w:hAnsi="Arial"/>
          <w:sz w:val="16"/>
          <w:szCs w:val="16"/>
          <w:u w:val="single" w:color="auto"/>
          <w:color w:val="auto"/>
        </w:rPr>
        <w:t>Schedule 10</w:t>
      </w:r>
      <w:r>
        <w:rPr>
          <w:rFonts w:ascii="Arial" w:cs="Arial" w:eastAsia="Arial" w:hAnsi="Arial"/>
          <w:sz w:val="16"/>
          <w:szCs w:val="16"/>
          <w:color w:val="auto"/>
        </w:rPr>
        <w:t xml:space="preserve"> to the Perfection Certificate dated the Closing Date.</w:t>
      </w:r>
    </w:p>
    <w:p>
      <w:pPr>
        <w:spacing w:after="0" w:line="174"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3.08</w:t>
      </w:r>
      <w:r>
        <w:rPr>
          <w:sz w:val="20"/>
          <w:szCs w:val="20"/>
          <w:color w:val="auto"/>
        </w:rPr>
        <w:tab/>
      </w:r>
      <w:r>
        <w:rPr>
          <w:rFonts w:ascii="Arial" w:cs="Arial" w:eastAsia="Arial" w:hAnsi="Arial"/>
          <w:sz w:val="16"/>
          <w:szCs w:val="16"/>
          <w:b w:val="1"/>
          <w:bCs w:val="1"/>
          <w:u w:val="single" w:color="auto"/>
          <w:color w:val="auto"/>
        </w:rPr>
        <w:t>Litigation; Compliance with Laws</w:t>
      </w:r>
    </w:p>
    <w:p>
      <w:pPr>
        <w:spacing w:after="0" w:line="256" w:lineRule="exact"/>
        <w:rPr>
          <w:sz w:val="20"/>
          <w:szCs w:val="20"/>
          <w:color w:val="auto"/>
        </w:rPr>
      </w:pPr>
    </w:p>
    <w:p>
      <w:pPr>
        <w:ind w:left="-8" w:right="100" w:firstLine="8"/>
        <w:spacing w:after="0" w:line="254" w:lineRule="auto"/>
        <w:tabs>
          <w:tab w:leader="none" w:pos="12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There are no actions, suits or proceedings at law or in equity by or before any Governmental Authority now pending or, to the knowledge of any Company, threatened against or affecting any Company or any business, property or rights of any Company (i) that involve any Loan Document or any of the Transactions or (ii) as to which there is a reasonable possibility of an adverse determination and that, if adversely determined, could reasonably be expected, individually or in the aggregate, to result in a Material Adverse Effect. Except for matters covered by </w:t>
      </w:r>
      <w:r>
        <w:rPr>
          <w:rFonts w:ascii="Arial" w:cs="Arial" w:eastAsia="Arial" w:hAnsi="Arial"/>
          <w:sz w:val="18"/>
          <w:szCs w:val="18"/>
          <w:u w:val="single" w:color="auto"/>
          <w:color w:val="auto"/>
        </w:rPr>
        <w:t>Section 3.18</w:t>
      </w:r>
      <w:r>
        <w:rPr>
          <w:rFonts w:ascii="Arial" w:cs="Arial" w:eastAsia="Arial" w:hAnsi="Arial"/>
          <w:sz w:val="18"/>
          <w:szCs w:val="18"/>
          <w:color w:val="auto"/>
        </w:rPr>
        <w:t>, no Company or any of its property is in violation of, nor will the continued operation of its property as currently conducted violate, any Requirements of Law (including any zoning or building ordinance, code or approval or any building permits) or any restrictions of record or agreements affecting any Company’s Real Property or is in default with respect to any Requirement of Law, where such violation or default, individually or in the aggregate, could reasonably be expected to result in a Material Adverse Effect.</w:t>
      </w:r>
    </w:p>
    <w:p>
      <w:pPr>
        <w:sectPr>
          <w:pgSz w:w="11900" w:h="16838" w:orient="portrait"/>
          <w:cols w:equalWidth="0" w:num="1">
            <w:col w:w="11412"/>
          </w:cols>
          <w:pgMar w:left="248" w:top="638" w:right="239" w:bottom="0" w:gutter="0" w:footer="0" w:header="0"/>
        </w:sectPr>
      </w:pPr>
    </w:p>
    <w:bookmarkStart w:id="98" w:name="page99"/>
    <w:bookmarkEnd w:id="98"/>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3.09</w:t>
      </w:r>
      <w:r>
        <w:rPr>
          <w:sz w:val="20"/>
          <w:szCs w:val="20"/>
          <w:color w:val="auto"/>
        </w:rPr>
        <w:tab/>
      </w:r>
      <w:r>
        <w:rPr>
          <w:rFonts w:ascii="Arial" w:cs="Arial" w:eastAsia="Arial" w:hAnsi="Arial"/>
          <w:sz w:val="15"/>
          <w:szCs w:val="15"/>
          <w:b w:val="1"/>
          <w:bCs w:val="1"/>
          <w:u w:val="single" w:color="auto"/>
          <w:color w:val="auto"/>
        </w:rPr>
        <w:t>Agreements</w:t>
      </w:r>
    </w:p>
    <w:p>
      <w:pPr>
        <w:spacing w:after="0" w:line="256" w:lineRule="exact"/>
        <w:rPr>
          <w:sz w:val="20"/>
          <w:szCs w:val="20"/>
          <w:color w:val="auto"/>
        </w:rPr>
      </w:pPr>
    </w:p>
    <w:p>
      <w:pPr>
        <w:ind w:left="-8" w:right="40" w:firstLine="8"/>
        <w:spacing w:after="0" w:line="257" w:lineRule="auto"/>
        <w:tabs>
          <w:tab w:leader="none" w:pos="12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 Company is a party to any agreement or instrument or subject to any corporate or other constitutional restriction that has resulted or could reasonably be expected to result in a Material Adverse Effect. No Company is in default in any manner under any provision of any indenture or other agreement or instrument evidencing Indebtedness, or any other agreement or instrument to which it is a party or by which it or any of its property is or may be bound, where such default could reasonably be expected to result in a Material Adverse Effect, and no condition exists which, with the giving of notice or the lapse of time or both, would constitute such a default.</w:t>
      </w:r>
    </w:p>
    <w:p>
      <w:pPr>
        <w:spacing w:after="0" w:line="238"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3.10</w:t>
      </w:r>
      <w:r>
        <w:rPr>
          <w:sz w:val="20"/>
          <w:szCs w:val="20"/>
          <w:color w:val="auto"/>
        </w:rPr>
        <w:tab/>
      </w:r>
      <w:r>
        <w:rPr>
          <w:rFonts w:ascii="Arial" w:cs="Arial" w:eastAsia="Arial" w:hAnsi="Arial"/>
          <w:sz w:val="16"/>
          <w:szCs w:val="16"/>
          <w:b w:val="1"/>
          <w:bCs w:val="1"/>
          <w:u w:val="single" w:color="auto"/>
          <w:color w:val="auto"/>
        </w:rPr>
        <w:t>Federal Reserve Regulations</w:t>
      </w:r>
    </w:p>
    <w:p>
      <w:pPr>
        <w:spacing w:after="0" w:line="256" w:lineRule="exact"/>
        <w:rPr>
          <w:sz w:val="20"/>
          <w:szCs w:val="20"/>
          <w:color w:val="auto"/>
        </w:rPr>
      </w:pPr>
    </w:p>
    <w:p>
      <w:pPr>
        <w:ind w:left="-8" w:right="140" w:firstLine="8"/>
        <w:spacing w:after="0" w:line="279" w:lineRule="auto"/>
        <w:tabs>
          <w:tab w:leader="none" w:pos="12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No Company is engaged principally, or as one of its important activities, in the business of extending credit for the purpose of buying or carrying Margin Stock. No part of the proceeds of any Loan or any Letter of Credit will be used, whether directly or indirectly, and whether immediately, incidentally or ultimately, for any purpose that entails a violation of, or that is inconsistent with, the provisions of the regulations of the Board, including Regulation T, U or X. The pledge of the Securities Collateral pursuant to the Security Agreement does not violate such regulations.</w:t>
      </w:r>
    </w:p>
    <w:p>
      <w:pPr>
        <w:spacing w:after="0" w:line="221" w:lineRule="exact"/>
        <w:rPr>
          <w:sz w:val="20"/>
          <w:szCs w:val="20"/>
          <w:color w:val="auto"/>
        </w:rPr>
      </w:pPr>
    </w:p>
    <w:p>
      <w:pPr>
        <w:ind w:left="1292"/>
        <w:spacing w:after="0"/>
        <w:tabs>
          <w:tab w:leader="none" w:pos="2612" w:val="left"/>
        </w:tabs>
        <w:rPr>
          <w:sz w:val="20"/>
          <w:szCs w:val="20"/>
          <w:color w:val="auto"/>
        </w:rPr>
      </w:pPr>
      <w:r>
        <w:rPr>
          <w:rFonts w:ascii="Arial" w:cs="Arial" w:eastAsia="Arial" w:hAnsi="Arial"/>
          <w:sz w:val="18"/>
          <w:szCs w:val="18"/>
          <w:b w:val="1"/>
          <w:bCs w:val="1"/>
          <w:color w:val="auto"/>
        </w:rPr>
        <w:t>Section 3.11</w:t>
      </w:r>
      <w:r>
        <w:rPr>
          <w:sz w:val="20"/>
          <w:szCs w:val="20"/>
          <w:color w:val="auto"/>
        </w:rPr>
        <w:tab/>
      </w:r>
      <w:r>
        <w:rPr>
          <w:rFonts w:ascii="Arial" w:cs="Arial" w:eastAsia="Arial" w:hAnsi="Arial"/>
          <w:sz w:val="16"/>
          <w:szCs w:val="16"/>
          <w:b w:val="1"/>
          <w:bCs w:val="1"/>
          <w:u w:val="single" w:color="auto"/>
          <w:color w:val="auto"/>
        </w:rPr>
        <w:t>Investment Company Act</w:t>
      </w:r>
    </w:p>
    <w:p>
      <w:pPr>
        <w:spacing w:after="0" w:line="256" w:lineRule="exact"/>
        <w:rPr>
          <w:sz w:val="20"/>
          <w:szCs w:val="20"/>
          <w:color w:val="auto"/>
        </w:rPr>
      </w:pPr>
    </w:p>
    <w:p>
      <w:pPr>
        <w:ind w:left="-8" w:right="620" w:firstLine="8"/>
        <w:spacing w:after="0" w:line="277" w:lineRule="auto"/>
        <w:tabs>
          <w:tab w:leader="none" w:pos="12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 Company is an “investment company” or a company “controlled” by an “investment company,” as defined in, or subject to regulation under, the Investment Company Act of 1940, as amended.</w:t>
      </w:r>
    </w:p>
    <w:p>
      <w:pPr>
        <w:spacing w:after="0" w:line="220"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3.12</w:t>
      </w:r>
      <w:r>
        <w:rPr>
          <w:sz w:val="20"/>
          <w:szCs w:val="20"/>
          <w:color w:val="auto"/>
        </w:rPr>
        <w:tab/>
      </w:r>
      <w:r>
        <w:rPr>
          <w:rFonts w:ascii="Arial" w:cs="Arial" w:eastAsia="Arial" w:hAnsi="Arial"/>
          <w:sz w:val="15"/>
          <w:szCs w:val="15"/>
          <w:b w:val="1"/>
          <w:bCs w:val="1"/>
          <w:u w:val="single" w:color="auto"/>
          <w:color w:val="auto"/>
        </w:rPr>
        <w:t>Use of Proceeds</w:t>
      </w:r>
    </w:p>
    <w:p>
      <w:pPr>
        <w:spacing w:after="0" w:line="256" w:lineRule="exact"/>
        <w:rPr>
          <w:sz w:val="20"/>
          <w:szCs w:val="20"/>
          <w:color w:val="auto"/>
        </w:rPr>
      </w:pPr>
    </w:p>
    <w:p>
      <w:pPr>
        <w:ind w:left="-8" w:right="140" w:firstLine="8"/>
        <w:spacing w:after="0" w:line="259" w:lineRule="auto"/>
        <w:tabs>
          <w:tab w:leader="none" w:pos="12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Borrower will use the proceeds of (a) the Term Loans to finance the Transactions and (b) the Revolving Loans and Swingline Loans after the Closing Date for general corporate purposes (including to effect Permitted Acquisitions), except no such proceeds will be used for any optional or voluntary payment, prepayment, repurchase or redemption, or the defeasance or segregation of funds with respect to Outsourcing Project Indebtedness. No Revolving Loans or Swingline Loans shall be made on the Closing Date.</w:t>
      </w:r>
    </w:p>
    <w:p>
      <w:pPr>
        <w:spacing w:after="0" w:line="237"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3.13</w:t>
      </w:r>
      <w:r>
        <w:rPr>
          <w:sz w:val="20"/>
          <w:szCs w:val="20"/>
          <w:color w:val="auto"/>
        </w:rPr>
        <w:tab/>
      </w:r>
      <w:r>
        <w:rPr>
          <w:rFonts w:ascii="Arial" w:cs="Arial" w:eastAsia="Arial" w:hAnsi="Arial"/>
          <w:sz w:val="14"/>
          <w:szCs w:val="14"/>
          <w:b w:val="1"/>
          <w:bCs w:val="1"/>
          <w:u w:val="single" w:color="auto"/>
          <w:color w:val="auto"/>
        </w:rPr>
        <w:t>Taxes</w:t>
      </w:r>
    </w:p>
    <w:p>
      <w:pPr>
        <w:spacing w:after="0" w:line="256" w:lineRule="exact"/>
        <w:rPr>
          <w:sz w:val="20"/>
          <w:szCs w:val="20"/>
          <w:color w:val="auto"/>
        </w:rPr>
      </w:pPr>
    </w:p>
    <w:p>
      <w:pPr>
        <w:ind w:left="-8" w:right="20" w:firstLine="8"/>
        <w:spacing w:after="0" w:line="288" w:lineRule="auto"/>
        <w:tabs>
          <w:tab w:leader="none" w:pos="12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Each Company has (a) timely filed or caused to be timely filed all federal Tax Returns and all material state, local and foreign Tax Returns or materials required to have been filed by it and all such Tax Returns are true and correct in all material respects and (b) duly and timely paid, collected or remitted or caused to be duly and timely paid, collected or remitted all Taxes (whether or not shown on any Tax Return) due and payable, collectible or remittable by it and all assessments received by it, except Taxes (i) that are being contested in good faith by appropriate proceedings and for which such Company has set aside on its books adequate reserves in accordance with GAAP and (ii) which could not, individually or in the aggregate, have a Material Adverse Effect. Each Company has made adequate provision in accordance with GAAP for all Taxes not yet due and payable. Each Company is unaware of any proposed or pending tax assessments, deficiencies or audits that could be reasonably expected to, individually or in the aggregate, result in a Material Adverse Effect. No Company has ever been a party to any understanding or arrangement constituting a “tax shelter” within the meaning of Section 6111(c), Section 6111(d) or Section 6662(d)(2)(C)(iii) of the Code, or has ever “participated” in a “reportable transaction” within the meaning of Treasury Regulation Section 1.6011-4, except as could not be reasonably expected to, individually or in the aggregate, result in a Material Adverse Effect.</w:t>
      </w:r>
    </w:p>
    <w:p>
      <w:pPr>
        <w:spacing w:after="0" w:line="219"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3.14</w:t>
      </w:r>
      <w:r>
        <w:rPr>
          <w:sz w:val="20"/>
          <w:szCs w:val="20"/>
          <w:color w:val="auto"/>
        </w:rPr>
        <w:tab/>
      </w:r>
      <w:r>
        <w:rPr>
          <w:rFonts w:ascii="Arial" w:cs="Arial" w:eastAsia="Arial" w:hAnsi="Arial"/>
          <w:sz w:val="16"/>
          <w:szCs w:val="16"/>
          <w:b w:val="1"/>
          <w:bCs w:val="1"/>
          <w:u w:val="single" w:color="auto"/>
          <w:color w:val="auto"/>
        </w:rPr>
        <w:t>No Material Misstatements</w:t>
      </w:r>
    </w:p>
    <w:p>
      <w:pPr>
        <w:spacing w:after="0" w:line="256" w:lineRule="exact"/>
        <w:rPr>
          <w:sz w:val="20"/>
          <w:szCs w:val="20"/>
          <w:color w:val="auto"/>
        </w:rPr>
      </w:pPr>
    </w:p>
    <w:p>
      <w:pPr>
        <w:ind w:left="-8" w:right="80" w:firstLine="8"/>
        <w:spacing w:after="0" w:line="272" w:lineRule="auto"/>
        <w:tabs>
          <w:tab w:leader="none" w:pos="127"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No information, report, financial statement, certificate, Borrowing Request, LC Request, exhibit or schedule furnished by or on behalf of any Company to the Administrative Agent or any Lender in connection with the negotiation of any Loan Document or included therein or delivered pursuant thereto, taken as a whole, or the Confidential Information Memorandum contained or contains any material misstatement of fact or omitted or omits to state any material fact necessary to make the statements therein, in the light of the circumstances under which they were or are made, not misleading as of the date such information is dated or certified;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such information, report, financial statement, exhibit or schedule was based upon or constitutes a forecast or projection, each Company represents only that it acted in good faith and utilized reasonable assumptions and due care in the preparation of such information, report, financial statement, exhibit or schedule.</w:t>
      </w:r>
    </w:p>
    <w:p>
      <w:pPr>
        <w:spacing w:after="0" w:line="228"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3.15</w:t>
      </w:r>
      <w:r>
        <w:rPr>
          <w:sz w:val="20"/>
          <w:szCs w:val="20"/>
          <w:color w:val="auto"/>
        </w:rPr>
        <w:tab/>
      </w:r>
      <w:r>
        <w:rPr>
          <w:rFonts w:ascii="Arial" w:cs="Arial" w:eastAsia="Arial" w:hAnsi="Arial"/>
          <w:sz w:val="17"/>
          <w:szCs w:val="17"/>
          <w:b w:val="1"/>
          <w:bCs w:val="1"/>
          <w:u w:val="single" w:color="auto"/>
          <w:color w:val="auto"/>
        </w:rPr>
        <w:t>Labor Matters</w:t>
      </w:r>
    </w:p>
    <w:p>
      <w:pPr>
        <w:spacing w:after="0" w:line="256" w:lineRule="exact"/>
        <w:rPr>
          <w:sz w:val="20"/>
          <w:szCs w:val="20"/>
          <w:color w:val="auto"/>
        </w:rPr>
      </w:pPr>
    </w:p>
    <w:p>
      <w:pPr>
        <w:ind w:left="-8" w:firstLine="8"/>
        <w:spacing w:after="0" w:line="270" w:lineRule="auto"/>
        <w:tabs>
          <w:tab w:leader="none" w:pos="11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As of the Closing Date, there are no strikes, lockouts or slowdowns against any Company pending or, to the knowledge of any Company, threatened. The hours worked by and payments made to employees of any Company have not been in violation of the Fair Labor Standards Act of 1938, as amended, or any other applicable federal, state, local or foreign law dealing with such matters in any manner which could reasonably be expected to result in a Material Adverse Effect. All payments due from any Company, or for which any claim may be made against any Company, on account of wages and employee health and welfare insurance and other benefits, have been paid or accrued as a liability on the books of such Company except where the failure to do so could not reasonably be expected to result in a Material Adverse Effect. The consummation of the Transactions will not give rise to any right of termination or right of renegotiation on the part of any union under any collective bargaining agreement to which any Company is bound (other than rights of termination or rights of renegotiation on the part of any union under any collective bargaining agreement to which no Companies other than Immaterial Subsidiaries are bound which could not reasonably be expected to have a Material Adverse Effect).</w:t>
      </w:r>
    </w:p>
    <w:p>
      <w:pPr>
        <w:spacing w:after="0" w:line="232"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3.16</w:t>
      </w:r>
      <w:r>
        <w:rPr>
          <w:sz w:val="20"/>
          <w:szCs w:val="20"/>
          <w:color w:val="auto"/>
        </w:rPr>
        <w:tab/>
      </w:r>
      <w:r>
        <w:rPr>
          <w:rFonts w:ascii="Arial" w:cs="Arial" w:eastAsia="Arial" w:hAnsi="Arial"/>
          <w:sz w:val="15"/>
          <w:szCs w:val="15"/>
          <w:b w:val="1"/>
          <w:bCs w:val="1"/>
          <w:u w:val="single" w:color="auto"/>
          <w:color w:val="auto"/>
        </w:rPr>
        <w:t>Solvency</w:t>
      </w:r>
    </w:p>
    <w:p>
      <w:pPr>
        <w:spacing w:after="0" w:line="256" w:lineRule="exact"/>
        <w:rPr>
          <w:sz w:val="20"/>
          <w:szCs w:val="20"/>
          <w:color w:val="auto"/>
        </w:rPr>
      </w:pPr>
    </w:p>
    <w:p>
      <w:pPr>
        <w:ind w:left="-8" w:right="60" w:firstLine="8"/>
        <w:spacing w:after="0" w:line="291" w:lineRule="auto"/>
        <w:tabs>
          <w:tab w:leader="none" w:pos="12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Immediately after the consummation of the Transactions to occur on the Closing Date and immediately following the making of each Loan and after giving effect to the application of the proceeds of each Loan, (a) the fair value of the properties of each Loan Party (individually and on a consolidated basis with its Subsidiaries) will exceed its debts and liabilities, subordinated, contingent or otherwise; (b) the present fair saleable value of the property of each Loan Party (individually and on a consolidated basis with its Subsidiaries) will be greater than the amount that will be required to pay the probable liability of its debts and other liabilities, subordinated, contingent or otherwise, as such debts and other liabilities become absolute and matured; (c) each Loan Party (individually and on a consolidated basis with its Subsidiaries) will be able to pay its debts and liabilities, subordinated, contingent or otherwise, as such debts and liabilities become absolute and matured; and (d) each Loan Party (individually and on a consolidated basis with its Subsidiaries) will not have unreasonably</w:t>
      </w:r>
    </w:p>
    <w:p>
      <w:pPr>
        <w:sectPr>
          <w:pgSz w:w="11900" w:h="16838" w:orient="portrait"/>
          <w:cols w:equalWidth="0" w:num="1">
            <w:col w:w="11412"/>
          </w:cols>
          <w:pgMar w:left="248" w:top="391" w:right="239" w:bottom="0" w:gutter="0" w:footer="0" w:header="0"/>
        </w:sectPr>
      </w:pPr>
    </w:p>
    <w:bookmarkStart w:id="99" w:name="page100"/>
    <w:bookmarkEnd w:id="99"/>
    <w:p>
      <w:pPr>
        <w:ind w:right="460"/>
        <w:spacing w:after="0" w:line="277" w:lineRule="auto"/>
        <w:rPr>
          <w:sz w:val="20"/>
          <w:szCs w:val="20"/>
          <w:color w:val="auto"/>
        </w:rPr>
      </w:pPr>
      <w:r>
        <w:rPr>
          <w:rFonts w:ascii="Arial" w:cs="Arial" w:eastAsia="Arial" w:hAnsi="Arial"/>
          <w:sz w:val="18"/>
          <w:szCs w:val="18"/>
          <w:color w:val="auto"/>
        </w:rPr>
        <w:t>small capital with which to conduct its business in which it is engaged as such business is now conducted and is proposed to be conducted following the Closing Date.</w:t>
      </w:r>
    </w:p>
    <w:p>
      <w:pPr>
        <w:spacing w:after="0" w:line="22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3.17</w:t>
      </w:r>
      <w:r>
        <w:rPr>
          <w:sz w:val="20"/>
          <w:szCs w:val="20"/>
          <w:color w:val="auto"/>
        </w:rPr>
        <w:tab/>
      </w:r>
      <w:r>
        <w:rPr>
          <w:rFonts w:ascii="Arial" w:cs="Arial" w:eastAsia="Arial" w:hAnsi="Arial"/>
          <w:sz w:val="16"/>
          <w:szCs w:val="16"/>
          <w:b w:val="1"/>
          <w:bCs w:val="1"/>
          <w:u w:val="single" w:color="auto"/>
          <w:color w:val="auto"/>
        </w:rPr>
        <w:t>Employee Benefit Plans</w:t>
      </w:r>
    </w:p>
    <w:p>
      <w:pPr>
        <w:spacing w:after="0" w:line="283" w:lineRule="exact"/>
        <w:rPr>
          <w:sz w:val="20"/>
          <w:szCs w:val="20"/>
          <w:color w:val="auto"/>
        </w:rPr>
      </w:pPr>
    </w:p>
    <w:p>
      <w:pPr>
        <w:ind w:right="20" w:firstLine="1953"/>
        <w:spacing w:after="0" w:line="269" w:lineRule="auto"/>
        <w:tabs>
          <w:tab w:leader="none" w:pos="2577"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Each Company and its ERISA Affiliates is in compliance in all respects with the applicable provisions of ERISA and the Code and the regulations and published interpretations thereunder, except to the extent the failure to so comply could not reasonably be expected to have a Material Adverse Effect. No ERISA Event has occurred or is reasonably expected to occur that, when taken together with all other such ERISA Events, could reasonably be expected to result in (i) liability of any Company or any of its ERISA Affiliates that, individually or in the aggregate, could reasonably be expected to have a Material Adverse Effect, or (ii) the imposition of Liens on any property of any of the Companies securing actual or asserted liability in an aggregate amount exceeding $10.0 million. The present value of all accumulated benefit obligations of all underfunded Plans (based on the assumptions used for purposes of Statement of Financial Accounting Standards No. 87) did not, as of the date of the most recent financial statements reflecting such amounts, exceed by more than $10.0 million the fair market value of the property of all such underfunded Plans. Using actuarial assumptions and computation methods consistent with subpart I of subtitle E of Title IV of ERISA, the aggregate liabilities of each Company or its ERISA Affiliates to all Multiemployer Plans in the event of a complete withdrawal therefrom, as of the close of the most recent fiscal year of each such Multiemployer Plan, could not reasonably be expected to result in a Material Adverse Effect.</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ind w:firstLine="1953"/>
        <w:spacing w:after="0" w:line="253" w:lineRule="auto"/>
        <w:tabs>
          <w:tab w:leader="none" w:pos="258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the extent applicable, each Foreign Plan has been maintained in substantial compliance with its terms and with the requirements of any and all applicable Requirements of Law and has been maintained, where required, in good standing with applicable regulatory authorities, except to the extent the failure to so comply could not reasonably be expected to have a Material Adverse Effect. No Company has incurred any obligation in connection with the termination of or withdrawal from any Foreign Plan, except obligations that, individually or in the aggregate, could not reasonably be expected to have a Material Adverse Effect. The present value of the accrued benefit liabilities (whether or not vested) under each Foreign Plan which is funded, determined as of the end of the most recently ended fiscal year of the respective Company on the basis of actuarial assumptions, each of which is reasonable, did not exceed the current value of the property of such Foreign Plan by an amount that, individually or in the aggregate for all Companies, could reasonably be expected to have a Material Adverse Effect, and for each Foreign Plan which is not funded, the obligations of such Foreign Plan are properly accrued.</w:t>
      </w:r>
    </w:p>
    <w:p>
      <w:pPr>
        <w:spacing w:after="0" w:line="24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3.18</w:t>
      </w:r>
      <w:r>
        <w:rPr>
          <w:sz w:val="20"/>
          <w:szCs w:val="20"/>
          <w:color w:val="auto"/>
        </w:rPr>
        <w:tab/>
      </w:r>
      <w:r>
        <w:rPr>
          <w:rFonts w:ascii="Arial" w:cs="Arial" w:eastAsia="Arial" w:hAnsi="Arial"/>
          <w:sz w:val="16"/>
          <w:szCs w:val="16"/>
          <w:b w:val="1"/>
          <w:bCs w:val="1"/>
          <w:u w:val="single" w:color="auto"/>
          <w:color w:val="auto"/>
        </w:rPr>
        <w:t>Environmental Matters</w:t>
      </w:r>
    </w:p>
    <w:p>
      <w:pPr>
        <w:spacing w:after="0" w:line="283" w:lineRule="exact"/>
        <w:rPr>
          <w:sz w:val="20"/>
          <w:szCs w:val="20"/>
          <w:color w:val="auto"/>
        </w:rPr>
      </w:pPr>
    </w:p>
    <w:p>
      <w:pPr>
        <w:ind w:left="2580" w:hanging="627"/>
        <w:spacing w:after="0"/>
        <w:tabs>
          <w:tab w:leader="none" w:pos="25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Except as, individually or in the aggregate, could not reasonably be expected to result in a Material Adverse Effect:</w:t>
      </w:r>
    </w:p>
    <w:p>
      <w:pPr>
        <w:spacing w:after="0" w:line="200" w:lineRule="exact"/>
        <w:rPr>
          <w:rFonts w:ascii="Arial" w:cs="Arial" w:eastAsia="Arial" w:hAnsi="Arial"/>
          <w:sz w:val="17"/>
          <w:szCs w:val="17"/>
          <w:color w:val="auto"/>
        </w:rPr>
      </w:pPr>
    </w:p>
    <w:p>
      <w:pPr>
        <w:spacing w:after="0" w:line="333" w:lineRule="exact"/>
        <w:rPr>
          <w:rFonts w:ascii="Arial" w:cs="Arial" w:eastAsia="Arial" w:hAnsi="Arial"/>
          <w:sz w:val="17"/>
          <w:szCs w:val="17"/>
          <w:color w:val="auto"/>
        </w:rPr>
      </w:pPr>
    </w:p>
    <w:p>
      <w:pPr>
        <w:ind w:left="660" w:right="140" w:firstLine="2913"/>
        <w:spacing w:after="0" w:line="312" w:lineRule="auto"/>
        <w:tabs>
          <w:tab w:leader="none" w:pos="4179"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Companies and their businesses, operations and Real Property are in compliance with, and the Companies have no liability under, any applicable Environmental Law; and under the currently effective business plan of the Companies, no expenditures or operational adjustments will be required in order to comply with applicable Environmental Laws during the next five years;</w:t>
      </w: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ind w:left="660" w:right="340" w:firstLine="2913"/>
        <w:spacing w:after="0" w:line="279" w:lineRule="auto"/>
        <w:tabs>
          <w:tab w:leader="none" w:pos="4229" w:val="left"/>
        </w:tabs>
        <w:numPr>
          <w:ilvl w:val="1"/>
          <w:numId w:val="191"/>
        </w:numPr>
        <w:rPr>
          <w:rFonts w:ascii="Arial" w:cs="Arial" w:eastAsia="Arial" w:hAnsi="Arial"/>
          <w:sz w:val="17"/>
          <w:szCs w:val="17"/>
          <w:color w:val="auto"/>
        </w:rPr>
      </w:pPr>
      <w:r>
        <w:rPr>
          <w:rFonts w:ascii="Arial" w:cs="Arial" w:eastAsia="Arial" w:hAnsi="Arial"/>
          <w:sz w:val="17"/>
          <w:szCs w:val="17"/>
          <w:color w:val="auto"/>
        </w:rPr>
        <w:t>The Companies have obtained all Environmental Permits required for the conduct of their businesses and operations, and the ownership, operation and use of their property, under Environmental Law, all such Environmental Permits are valid and in good standing and, under the currently effective business plan of the Companies, no expenditures or operational adjustments will be required in order to renew or modify such Environmental Permits during the next five years;</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4280" w:hanging="707"/>
        <w:spacing w:after="0"/>
        <w:tabs>
          <w:tab w:leader="none" w:pos="428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There has been no Release or threatened Release of Hazardous Material on, at, under or from any</w:t>
      </w:r>
    </w:p>
    <w:p>
      <w:pPr>
        <w:spacing w:after="0" w:line="46" w:lineRule="exact"/>
        <w:rPr>
          <w:rFonts w:ascii="Arial" w:cs="Arial" w:eastAsia="Arial" w:hAnsi="Arial"/>
          <w:sz w:val="16"/>
          <w:szCs w:val="16"/>
          <w:color w:val="auto"/>
        </w:rPr>
      </w:pPr>
    </w:p>
    <w:p>
      <w:pPr>
        <w:ind w:left="660" w:right="500"/>
        <w:spacing w:after="0" w:line="261" w:lineRule="auto"/>
        <w:rPr>
          <w:rFonts w:ascii="Arial" w:cs="Arial" w:eastAsia="Arial" w:hAnsi="Arial"/>
          <w:sz w:val="16"/>
          <w:szCs w:val="16"/>
          <w:color w:val="auto"/>
        </w:rPr>
      </w:pPr>
      <w:r>
        <w:rPr>
          <w:rFonts w:ascii="Arial" w:cs="Arial" w:eastAsia="Arial" w:hAnsi="Arial"/>
          <w:sz w:val="18"/>
          <w:szCs w:val="18"/>
          <w:color w:val="auto"/>
        </w:rPr>
        <w:t>Real Property or facility presently or formerly owned, leased or operated by the Companies or their predecessors in interest that could result in liability by the Companies under any applicable Environmental Law;</w:t>
      </w: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jc w:val="both"/>
        <w:ind w:left="660" w:right="140" w:firstLine="2913"/>
        <w:spacing w:after="0" w:line="259" w:lineRule="auto"/>
        <w:tabs>
          <w:tab w:leader="none" w:pos="426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There is no Environmental Claim pending or threatened against the Companies, or relating to the Real Property currently or formerly owned, leased or operated by the Companies or their predecessors in interest or relating to the operations of the Companies, and there are no actions, activities, circumstances, conditions, events or incidents that could form the basis of such an Environmental Claim;</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right="260" w:firstLine="2913"/>
        <w:spacing w:after="0" w:line="277" w:lineRule="auto"/>
        <w:tabs>
          <w:tab w:leader="none" w:pos="421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No person with an indemnity or contribution obligation to the Companies relating to compliance with or liability under Environmental Law is in default with respect to such obligation;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660" w:right="40" w:firstLine="2913"/>
        <w:spacing w:after="0" w:line="259" w:lineRule="auto"/>
        <w:tabs>
          <w:tab w:leader="none" w:pos="426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No Company is obligated to perform any action or otherwise incur any expense under Environmental Law pursuant to any order, decree, judgment or agreement by which it is bound or has assumed by contract, agreement or operation of law, and no Company is conducting or financing any Response pursuant to any Environmental Law with respect to any Real Property or any other location;</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320" w:hanging="747"/>
        <w:spacing w:after="0"/>
        <w:tabs>
          <w:tab w:leader="none" w:pos="432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No Real Property or facility owned, operated or leased by the Companies and no Real Property or</w:t>
      </w:r>
    </w:p>
    <w:p>
      <w:pPr>
        <w:spacing w:after="0" w:line="46" w:lineRule="exact"/>
        <w:rPr>
          <w:rFonts w:ascii="Arial" w:cs="Arial" w:eastAsia="Arial" w:hAnsi="Arial"/>
          <w:sz w:val="16"/>
          <w:szCs w:val="16"/>
          <w:color w:val="auto"/>
        </w:rPr>
      </w:pPr>
    </w:p>
    <w:p>
      <w:pPr>
        <w:ind w:left="660" w:right="60"/>
        <w:spacing w:after="0" w:line="254" w:lineRule="auto"/>
        <w:rPr>
          <w:rFonts w:ascii="Arial" w:cs="Arial" w:eastAsia="Arial" w:hAnsi="Arial"/>
          <w:sz w:val="16"/>
          <w:szCs w:val="16"/>
          <w:color w:val="auto"/>
        </w:rPr>
      </w:pPr>
      <w:r>
        <w:rPr>
          <w:rFonts w:ascii="Arial" w:cs="Arial" w:eastAsia="Arial" w:hAnsi="Arial"/>
          <w:sz w:val="18"/>
          <w:szCs w:val="18"/>
          <w:color w:val="auto"/>
        </w:rPr>
        <w:t>facility formerly owned, operated or leased by the Companies or any of their predecessors in interest is (x) listed or proposed for listing on the National Priorities List promulgated pursuant to CERCLA or (y) listed on the Comprehensive Environmental Response, Compensation and Liability Information System promulgated pursuant to CERCLA or (z) included on any similar list maintained by any Governmental Authority including any such list relating to petroleum;</w:t>
      </w:r>
    </w:p>
    <w:p>
      <w:pPr>
        <w:sectPr>
          <w:pgSz w:w="11900" w:h="16838" w:orient="portrait"/>
          <w:cols w:equalWidth="0" w:num="1">
            <w:col w:w="11420"/>
          </w:cols>
          <w:pgMar w:left="240" w:top="125" w:right="239" w:bottom="132" w:gutter="0" w:footer="0" w:header="0"/>
        </w:sectPr>
      </w:pPr>
    </w:p>
    <w:bookmarkStart w:id="100" w:name="page101"/>
    <w:bookmarkEnd w:id="100"/>
    <w:p>
      <w:pPr>
        <w:ind w:left="4352" w:hanging="787"/>
        <w:spacing w:after="0"/>
        <w:tabs>
          <w:tab w:leader="none" w:pos="435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No Lien has been recorded or threatened under any Environmental Law with respect to any Real</w:t>
      </w:r>
    </w:p>
    <w:p>
      <w:pPr>
        <w:spacing w:after="0" w:line="46"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color w:val="auto"/>
        </w:rPr>
        <w:t>Property or other assets of the Companies; and</w:t>
      </w: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652" w:right="300" w:firstLine="2913"/>
        <w:spacing w:after="0" w:line="286" w:lineRule="auto"/>
        <w:tabs>
          <w:tab w:leader="none" w:pos="426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and the consummation of the transactions contemplated hereby will not require any notification, registration, filing, reporting, disclosure, investigation, remediation or cleanup pursuant to any Governmental Real Property Disclosure Requirements or any other applicable Environmental Law.</w:t>
      </w:r>
    </w:p>
    <w:p>
      <w:pPr>
        <w:spacing w:after="0" w:line="200" w:lineRule="exact"/>
        <w:rPr>
          <w:sz w:val="20"/>
          <w:szCs w:val="20"/>
          <w:color w:val="auto"/>
        </w:rPr>
      </w:pPr>
    </w:p>
    <w:p>
      <w:pPr>
        <w:spacing w:after="0" w:line="263" w:lineRule="exact"/>
        <w:rPr>
          <w:sz w:val="20"/>
          <w:szCs w:val="20"/>
          <w:color w:val="auto"/>
        </w:rPr>
      </w:pPr>
    </w:p>
    <w:p>
      <w:pPr>
        <w:jc w:val="both"/>
        <w:ind w:left="-8" w:right="60" w:firstLine="1953"/>
        <w:spacing w:after="0" w:line="312" w:lineRule="auto"/>
        <w:tabs>
          <w:tab w:leader="none" w:pos="257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Companies have made available to the Lenders all material records and files in the possession, custody or control of, or otherwise reasonably available to, the Companies concerning compliance with or liability under Environmental Law, including those concerning the actual or suspected existence of Hazardous Material at Real Property or facilities currently or formerly owned, operated, leased or used by the Companies.</w:t>
      </w:r>
    </w:p>
    <w:p>
      <w:pPr>
        <w:spacing w:after="0" w:line="197"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3.19</w:t>
      </w:r>
      <w:r>
        <w:rPr>
          <w:sz w:val="20"/>
          <w:szCs w:val="20"/>
          <w:color w:val="auto"/>
        </w:rPr>
        <w:tab/>
      </w:r>
      <w:r>
        <w:rPr>
          <w:rFonts w:ascii="Arial" w:cs="Arial" w:eastAsia="Arial" w:hAnsi="Arial"/>
          <w:sz w:val="16"/>
          <w:szCs w:val="16"/>
          <w:b w:val="1"/>
          <w:bCs w:val="1"/>
          <w:u w:val="single" w:color="auto"/>
          <w:color w:val="auto"/>
        </w:rPr>
        <w:t>Insurance</w:t>
      </w:r>
    </w:p>
    <w:p>
      <w:pPr>
        <w:spacing w:after="0" w:line="256" w:lineRule="exact"/>
        <w:rPr>
          <w:sz w:val="20"/>
          <w:szCs w:val="20"/>
          <w:color w:val="auto"/>
        </w:rPr>
      </w:pPr>
    </w:p>
    <w:p>
      <w:pPr>
        <w:ind w:left="-8" w:right="200" w:firstLine="8"/>
        <w:spacing w:after="0" w:line="276" w:lineRule="auto"/>
        <w:tabs>
          <w:tab w:leader="none" w:pos="127"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Schedule 3.19</w:t>
      </w:r>
      <w:r>
        <w:rPr>
          <w:rFonts w:ascii="Arial" w:cs="Arial" w:eastAsia="Arial" w:hAnsi="Arial"/>
          <w:sz w:val="17"/>
          <w:szCs w:val="17"/>
          <w:color w:val="auto"/>
        </w:rPr>
        <w:t xml:space="preserve"> sets forth a true, complete and correct description of all material insurance maintained by each Company as of the Closing Date. All insurance maintained by the Companies is in full force and effect, all premiums have been duly paid, no Company has received notice of violation or cancellation thereof, the Premises, and the use, occupancy and operation thereof, comply in all material respects with all Insurance Requirements, and there exists no material default under any Insurance Requirement. Each Company has insurance in such amounts and covering such risks and liabilities as are customary for companies of a similar size engaged in similar businesses in similar locations.</w:t>
      </w:r>
    </w:p>
    <w:p>
      <w:pPr>
        <w:spacing w:after="0" w:line="223"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3.20</w:t>
      </w:r>
      <w:r>
        <w:rPr>
          <w:sz w:val="20"/>
          <w:szCs w:val="20"/>
          <w:color w:val="auto"/>
        </w:rPr>
        <w:tab/>
      </w:r>
      <w:r>
        <w:rPr>
          <w:rFonts w:ascii="Arial" w:cs="Arial" w:eastAsia="Arial" w:hAnsi="Arial"/>
          <w:sz w:val="15"/>
          <w:szCs w:val="15"/>
          <w:b w:val="1"/>
          <w:bCs w:val="1"/>
          <w:u w:val="single" w:color="auto"/>
          <w:color w:val="auto"/>
        </w:rPr>
        <w:t>Security Documents</w:t>
      </w:r>
    </w:p>
    <w:p>
      <w:pPr>
        <w:spacing w:after="0" w:line="283" w:lineRule="exact"/>
        <w:rPr>
          <w:sz w:val="20"/>
          <w:szCs w:val="20"/>
          <w:color w:val="auto"/>
        </w:rPr>
      </w:pPr>
    </w:p>
    <w:p>
      <w:pPr>
        <w:ind w:left="-8" w:right="100" w:firstLine="1953"/>
        <w:spacing w:after="0" w:line="290" w:lineRule="auto"/>
        <w:tabs>
          <w:tab w:leader="none" w:pos="2569"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Security Agreement</w:t>
      </w:r>
      <w:r>
        <w:rPr>
          <w:rFonts w:ascii="Arial" w:cs="Arial" w:eastAsia="Arial" w:hAnsi="Arial"/>
          <w:sz w:val="16"/>
          <w:szCs w:val="16"/>
          <w:color w:val="auto"/>
        </w:rPr>
        <w:t xml:space="preserve">. The Security Agreement is effective to create in favor of the Collateral Agent for the benefit of the Secured Parties, legal, valid and enforceable Liens on, and security interests in, the Security Agreement Collateral and, when (i) financing statements and other filings in appropriate form are filed in the offices specified on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to the Perfection Certificate and (ii) upon the taking of possession or control by the Collateral Agent of the Security Agreement Collateral with respect to which a security interest may be perfected only by possession or control (which possession or control shall be given to the Collateral Agent to the extent possession or control by the Collateral Agent is required by each Security Agreement), the Liens created by the Security Agreement shall constitute fully perfected Liens on, and security interests in, all right, title and interest of the grantors in the Security Agreement Collateral (other than such Security Agreement Collateral in which a security interest cannot be perfected under the UCC as in effect at the relevant time in the relevant jurisdiction), in each case subject to no Liens other than Permitted Collateral Liens.</w:t>
      </w:r>
    </w:p>
    <w:p>
      <w:pPr>
        <w:spacing w:after="0" w:line="200" w:lineRule="exact"/>
        <w:rPr>
          <w:rFonts w:ascii="Arial" w:cs="Arial" w:eastAsia="Arial" w:hAnsi="Arial"/>
          <w:sz w:val="16"/>
          <w:szCs w:val="16"/>
          <w:color w:val="auto"/>
        </w:rPr>
      </w:pPr>
    </w:p>
    <w:p>
      <w:pPr>
        <w:spacing w:after="0" w:line="263" w:lineRule="exact"/>
        <w:rPr>
          <w:rFonts w:ascii="Arial" w:cs="Arial" w:eastAsia="Arial" w:hAnsi="Arial"/>
          <w:sz w:val="16"/>
          <w:szCs w:val="16"/>
          <w:color w:val="auto"/>
        </w:rPr>
      </w:pPr>
    </w:p>
    <w:p>
      <w:pPr>
        <w:ind w:left="-8" w:right="20" w:firstLine="1953"/>
        <w:spacing w:after="0" w:line="293" w:lineRule="auto"/>
        <w:tabs>
          <w:tab w:leader="none" w:pos="2579"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PTO Filing; Copyright Office Filing</w:t>
      </w:r>
      <w:r>
        <w:rPr>
          <w:rFonts w:ascii="Arial" w:cs="Arial" w:eastAsia="Arial" w:hAnsi="Arial"/>
          <w:sz w:val="16"/>
          <w:szCs w:val="16"/>
          <w:color w:val="auto"/>
        </w:rPr>
        <w:t>. When the Security Agreement or a short form thereof is filed in the United States Patent and Trademark Office and the United States Copyright Office, the Liens created by such Security Agreement shall constitute fully perfected Liens on, and security interests in, all right, title and interest of the grantors thereunder in the Patents (as defined in the Security Agreement) registered or applied for with the United States Patent and Trademark Office or the Copyrights (as defined in such Security Agreement) registered or applied for with the United States Copyright Office, as the case may be, set forth on the schedules or annexes to the Security Agreement, or the relevant short form thereof, filed in the United States Patent and Trademark Office and the United States Copyright Office, in each case subject to no Liens other than Permitted Collateral Liens.</w:t>
      </w: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8" w:right="60" w:firstLine="1953"/>
        <w:spacing w:after="0" w:line="271" w:lineRule="auto"/>
        <w:tabs>
          <w:tab w:leader="none" w:pos="2569"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Mortgages</w:t>
      </w:r>
      <w:r>
        <w:rPr>
          <w:rFonts w:ascii="Arial" w:cs="Arial" w:eastAsia="Arial" w:hAnsi="Arial"/>
          <w:sz w:val="17"/>
          <w:szCs w:val="17"/>
          <w:color w:val="auto"/>
        </w:rPr>
        <w:t xml:space="preserve">. Each Mortgage is effective to create, in favor of the Collateral Agent, for its benefit and the benefit of the Secured Parties, legal, valid and enforceable first priority Liens on, and security interests in, all of the Loan Parties’ right, title and interest in and to the Mortgaged Properties thereunder and the proceeds thereof, subject only to Permitted Collateral Liens or other Liens acceptable to the Collateral Agent, and when the Mortgages are filed in the offices specified on </w:t>
      </w:r>
      <w:r>
        <w:rPr>
          <w:rFonts w:ascii="Arial" w:cs="Arial" w:eastAsia="Arial" w:hAnsi="Arial"/>
          <w:sz w:val="17"/>
          <w:szCs w:val="17"/>
          <w:u w:val="single" w:color="auto"/>
          <w:color w:val="auto"/>
        </w:rPr>
        <w:t>Schedule 8(a)</w:t>
      </w:r>
      <w:r>
        <w:rPr>
          <w:rFonts w:ascii="Arial" w:cs="Arial" w:eastAsia="Arial" w:hAnsi="Arial"/>
          <w:sz w:val="17"/>
          <w:szCs w:val="17"/>
          <w:color w:val="auto"/>
        </w:rPr>
        <w:t xml:space="preserve"> to the Perfection Certificate dated the Closing Date (or, in the case of any Mortgage executed and delivered after the date thereof in accordance with the provisions of </w:t>
      </w:r>
      <w:r>
        <w:rPr>
          <w:rFonts w:ascii="Arial" w:cs="Arial" w:eastAsia="Arial" w:hAnsi="Arial"/>
          <w:sz w:val="17"/>
          <w:szCs w:val="17"/>
          <w:u w:val="single" w:color="auto"/>
          <w:color w:val="auto"/>
        </w:rPr>
        <w:t>Sections 5.10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when such Mortgage is filed in the offices specified in the local counsel opinion delivered with respect thereto in accordance with the provisions of </w:t>
      </w:r>
      <w:r>
        <w:rPr>
          <w:rFonts w:ascii="Arial" w:cs="Arial" w:eastAsia="Arial" w:hAnsi="Arial"/>
          <w:sz w:val="17"/>
          <w:szCs w:val="17"/>
          <w:u w:val="single" w:color="auto"/>
          <w:color w:val="auto"/>
        </w:rPr>
        <w:t>Sections 5.10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5.11</w:t>
      </w:r>
      <w:r>
        <w:rPr>
          <w:rFonts w:ascii="Arial" w:cs="Arial" w:eastAsia="Arial" w:hAnsi="Arial"/>
          <w:sz w:val="17"/>
          <w:szCs w:val="17"/>
          <w:color w:val="auto"/>
        </w:rPr>
        <w:t>), the Mortgages shall constitute fully perfected Liens on, and security interests in, all right, title and interest of the Loan Parties in the Mortgaged Properties and the proceeds thereof, in each case prior and superior in right to any other person, other than Liens permitted by such Mortgage.</w:t>
      </w:r>
    </w:p>
    <w:p>
      <w:pPr>
        <w:spacing w:after="0" w:line="200" w:lineRule="exact"/>
        <w:rPr>
          <w:rFonts w:ascii="Arial" w:cs="Arial" w:eastAsia="Arial" w:hAnsi="Arial"/>
          <w:sz w:val="17"/>
          <w:szCs w:val="17"/>
          <w:color w:val="auto"/>
        </w:rPr>
      </w:pPr>
    </w:p>
    <w:p>
      <w:pPr>
        <w:spacing w:after="0" w:line="276" w:lineRule="exact"/>
        <w:rPr>
          <w:rFonts w:ascii="Arial" w:cs="Arial" w:eastAsia="Arial" w:hAnsi="Arial"/>
          <w:sz w:val="17"/>
          <w:szCs w:val="17"/>
          <w:color w:val="auto"/>
        </w:rPr>
      </w:pPr>
    </w:p>
    <w:p>
      <w:pPr>
        <w:ind w:left="-8" w:firstLine="1953"/>
        <w:spacing w:after="0" w:line="291" w:lineRule="auto"/>
        <w:tabs>
          <w:tab w:leader="none" w:pos="2579"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Valid Liens</w:t>
      </w:r>
      <w:r>
        <w:rPr>
          <w:rFonts w:ascii="Arial" w:cs="Arial" w:eastAsia="Arial" w:hAnsi="Arial"/>
          <w:sz w:val="16"/>
          <w:szCs w:val="16"/>
          <w:color w:val="auto"/>
        </w:rPr>
        <w:t xml:space="preserve">. Each Security Document delivered pursuant to </w:t>
      </w:r>
      <w:r>
        <w:rPr>
          <w:rFonts w:ascii="Arial" w:cs="Arial" w:eastAsia="Arial" w:hAnsi="Arial"/>
          <w:sz w:val="16"/>
          <w:szCs w:val="16"/>
          <w:u w:val="single" w:color="auto"/>
          <w:color w:val="auto"/>
        </w:rPr>
        <w:t>Sections 5.10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will, upon execution and delivery thereof, be effective to create in favor of the Collateral Agent, for the benefit of the Secured Parties, legal, valid and enforceable Liens on, and security interests in, all of the Loan Parties’ right, title and interest in and to the Collateral thereunder, and (i) when all appropriate filings or recordings are made in the appropriate offices as may be required under applicable law and (ii) upon the taking of possession or control by the Collateral Agent of such Collateral with respect to which a security interest may be perfected only by possession or control (which possession or control shall be given to the Collateral Agent to the extent required by any Security Document), such Security Document will constitute fully perfected Liens on, and security interests in, all right, title and interest of the Loan Parties in such Collateral, in each case subject to no Liens other than the applicable Permitted Collateral Liens.</w:t>
      </w:r>
    </w:p>
    <w:p>
      <w:pPr>
        <w:spacing w:after="0" w:line="217"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3.21</w:t>
      </w:r>
      <w:r>
        <w:rPr>
          <w:sz w:val="20"/>
          <w:szCs w:val="20"/>
          <w:color w:val="auto"/>
        </w:rPr>
        <w:tab/>
      </w:r>
      <w:r>
        <w:rPr>
          <w:rFonts w:ascii="Arial" w:cs="Arial" w:eastAsia="Arial" w:hAnsi="Arial"/>
          <w:sz w:val="16"/>
          <w:szCs w:val="16"/>
          <w:b w:val="1"/>
          <w:bCs w:val="1"/>
          <w:u w:val="single" w:color="auto"/>
          <w:color w:val="auto"/>
        </w:rPr>
        <w:t>Acquisition Documents; Representations and Warranties in Acquisition Agreement</w:t>
      </w:r>
    </w:p>
    <w:p>
      <w:pPr>
        <w:spacing w:after="0" w:line="256" w:lineRule="exact"/>
        <w:rPr>
          <w:sz w:val="20"/>
          <w:szCs w:val="20"/>
          <w:color w:val="auto"/>
        </w:rPr>
      </w:pPr>
    </w:p>
    <w:p>
      <w:pPr>
        <w:ind w:left="-8" w:right="60" w:firstLine="8"/>
        <w:spacing w:after="0" w:line="270" w:lineRule="auto"/>
        <w:tabs>
          <w:tab w:leader="none" w:pos="127"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Schedule 3.21</w:t>
      </w:r>
      <w:r>
        <w:rPr>
          <w:rFonts w:ascii="Arial" w:cs="Arial" w:eastAsia="Arial" w:hAnsi="Arial"/>
          <w:sz w:val="17"/>
          <w:szCs w:val="17"/>
          <w:color w:val="auto"/>
        </w:rPr>
        <w:t xml:space="preserve"> lists (i) each exhibit, schedule, annex or other attachment to the Acquisition Agreement and (ii) each material agreement, certificate, instrument, letter or other document contemplated by the Acquisition Agreement or any item referred to in clause (i) to be entered into, executed or delivered or to become effective in connection with the Acquisition or otherwise entered into, executed or delivered in connection with the Acquisition. The Lenders have been furnished true and complete copies of each Acquisition Document to the extent executed and delivered on or prior to the Closing Date. Except to the extent the failure of such representations and warranties to be true and correct in all material respects could not reasonably be expected to have a Material Adverse Effect, all representations and warranties of each Company set forth in the Acquisition Agreement were true and correct in all material respects as of the time such representations and warranties were made and shall be true and correct in all material respects as of the Closing Date as if such representations and warranties were made on and as of such date, unless stated to relate to a specific earlier date, in which case such representations and warranties shall be true and correct in all material respects as of such earlier date.</w:t>
      </w:r>
    </w:p>
    <w:p>
      <w:pPr>
        <w:spacing w:after="0" w:line="232"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3.22</w:t>
      </w:r>
      <w:r>
        <w:rPr>
          <w:sz w:val="20"/>
          <w:szCs w:val="20"/>
          <w:color w:val="auto"/>
        </w:rPr>
        <w:tab/>
      </w:r>
      <w:r>
        <w:rPr>
          <w:rFonts w:ascii="Arial" w:cs="Arial" w:eastAsia="Arial" w:hAnsi="Arial"/>
          <w:sz w:val="17"/>
          <w:szCs w:val="17"/>
          <w:b w:val="1"/>
          <w:bCs w:val="1"/>
          <w:u w:val="single" w:color="auto"/>
          <w:color w:val="auto"/>
        </w:rPr>
        <w:t>Anti-Terrorism Law</w:t>
      </w:r>
    </w:p>
    <w:p>
      <w:pPr>
        <w:sectPr>
          <w:pgSz w:w="11900" w:h="16838" w:orient="portrait"/>
          <w:cols w:equalWidth="0" w:num="1">
            <w:col w:w="11412"/>
          </w:cols>
          <w:pgMar w:left="248" w:top="152" w:right="239" w:bottom="0" w:gutter="0" w:footer="0" w:header="0"/>
        </w:sectPr>
      </w:pPr>
    </w:p>
    <w:bookmarkStart w:id="101" w:name="page102"/>
    <w:bookmarkEnd w:id="101"/>
    <w:p>
      <w:pPr>
        <w:spacing w:after="0" w:line="68" w:lineRule="exact"/>
        <w:rPr>
          <w:sz w:val="20"/>
          <w:szCs w:val="20"/>
          <w:color w:val="auto"/>
        </w:rPr>
      </w:pPr>
    </w:p>
    <w:p>
      <w:pPr>
        <w:ind w:left="-8" w:firstLine="1953"/>
        <w:spacing w:after="0" w:line="259" w:lineRule="auto"/>
        <w:tabs>
          <w:tab w:leader="none" w:pos="256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 Loan Party and, to the knowledge of the Loan Parties, none of its Affiliates is in violation of any Requirement of Law relating to terrorism or money laundering (“</w:t>
      </w:r>
      <w:r>
        <w:rPr>
          <w:rFonts w:ascii="Arial" w:cs="Arial" w:eastAsia="Arial" w:hAnsi="Arial"/>
          <w:sz w:val="18"/>
          <w:szCs w:val="18"/>
          <w:b w:val="1"/>
          <w:bCs w:val="1"/>
          <w:color w:val="auto"/>
        </w:rPr>
        <w:t>Anti-Terrorism Laws</w:t>
      </w:r>
      <w:r>
        <w:rPr>
          <w:rFonts w:ascii="Arial" w:cs="Arial" w:eastAsia="Arial" w:hAnsi="Arial"/>
          <w:sz w:val="18"/>
          <w:szCs w:val="18"/>
          <w:color w:val="auto"/>
        </w:rPr>
        <w:t>”), including Executive Order No. 13224 on Terrorist Financing, effective September 24, 2001 (the “</w:t>
      </w:r>
      <w:r>
        <w:rPr>
          <w:rFonts w:ascii="Arial" w:cs="Arial" w:eastAsia="Arial" w:hAnsi="Arial"/>
          <w:sz w:val="18"/>
          <w:szCs w:val="18"/>
          <w:b w:val="1"/>
          <w:bCs w:val="1"/>
          <w:color w:val="auto"/>
        </w:rPr>
        <w:t>Executive Order</w:t>
      </w:r>
      <w:r>
        <w:rPr>
          <w:rFonts w:ascii="Arial" w:cs="Arial" w:eastAsia="Arial" w:hAnsi="Arial"/>
          <w:sz w:val="18"/>
          <w:szCs w:val="18"/>
          <w:color w:val="auto"/>
        </w:rPr>
        <w:t>”), and the Uniting and Strengthening America by Providing Appropriate Tools Required to Intercept and Obstruct Terrorism Act of 2001, Public Law 107-56.</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 w:right="60" w:firstLine="1953"/>
        <w:spacing w:after="0" w:line="277" w:lineRule="auto"/>
        <w:tabs>
          <w:tab w:leader="none" w:pos="257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 Loan Party and to the knowledge of the Loan Parties, no Affiliate or broker or other agent of any Loan Party acting or benefiting in any capacity in connection with the Loans is any of the following:</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4172" w:hanging="607"/>
        <w:spacing w:after="0"/>
        <w:tabs>
          <w:tab w:leader="none" w:pos="4172"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 person that is listed in the annex to, or is otherwise subject to the provisions of, the Executive</w:t>
      </w:r>
    </w:p>
    <w:p>
      <w:pPr>
        <w:spacing w:after="0" w:line="34"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8"/>
          <w:szCs w:val="18"/>
          <w:color w:val="auto"/>
        </w:rPr>
        <w:t>Order;</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652" w:right="60" w:firstLine="2913"/>
        <w:spacing w:after="0" w:line="277" w:lineRule="auto"/>
        <w:tabs>
          <w:tab w:leader="none" w:pos="422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person owned or controlled by, or acting for or on behalf of, any person that is listed in the annex to, or is otherwise subject to the provisions of, the Executive Order;</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4272" w:hanging="707"/>
        <w:spacing w:after="0"/>
        <w:tabs>
          <w:tab w:leader="none" w:pos="427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person with which any Lender is prohibited from dealing or otherwise engaging in any</w:t>
      </w:r>
    </w:p>
    <w:p>
      <w:pPr>
        <w:spacing w:after="0" w:line="23"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transaction by any Anti-Terrorism Law;</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4252" w:hanging="687"/>
        <w:spacing w:after="0"/>
        <w:tabs>
          <w:tab w:leader="none" w:pos="425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a person that commits, threatens or conspires to commit or supports “terrorism” as defined in the</w:t>
      </w:r>
    </w:p>
    <w:p>
      <w:pPr>
        <w:spacing w:after="0" w:line="46"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color w:val="auto"/>
        </w:rPr>
        <w:t>Executive Order; or</w:t>
      </w: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652" w:right="80" w:firstLine="2913"/>
        <w:spacing w:after="0" w:line="264" w:lineRule="auto"/>
        <w:tabs>
          <w:tab w:leader="none" w:pos="421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person that is named as a “specially designated national and blocked person” on the most current list published by the U.S. Treasury Department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at its official website or any replacement website or other replacement official publication of such list.</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8" w:right="140" w:firstLine="1953"/>
        <w:spacing w:after="0" w:line="276" w:lineRule="auto"/>
        <w:tabs>
          <w:tab w:leader="none" w:pos="2569" w:val="left"/>
        </w:tabs>
        <w:numPr>
          <w:ilvl w:val="0"/>
          <w:numId w:val="197"/>
        </w:numPr>
        <w:rPr>
          <w:rFonts w:ascii="Arial" w:cs="Arial" w:eastAsia="Arial" w:hAnsi="Arial"/>
          <w:sz w:val="17"/>
          <w:szCs w:val="17"/>
          <w:color w:val="auto"/>
        </w:rPr>
      </w:pPr>
      <w:r>
        <w:rPr>
          <w:rFonts w:ascii="Arial" w:cs="Arial" w:eastAsia="Arial" w:hAnsi="Arial"/>
          <w:sz w:val="17"/>
          <w:szCs w:val="17"/>
          <w:color w:val="auto"/>
        </w:rPr>
        <w:t>No Loan Party and, to the knowledge of the Loan Parties, no broker or other agent of any Loan Party acting in any capacity in connection with the Loans (i) conducts any business or engages in making or receiving any contribution of funds, goods or services to or for the benefit of any person described in paragraph (b) above,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Anti-Terrorism Law.</w:t>
      </w: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jc w:val="both"/>
        <w:ind w:left="-8" w:right="180" w:firstLine="1953"/>
        <w:spacing w:after="0" w:line="264" w:lineRule="auto"/>
        <w:tabs>
          <w:tab w:leader="none" w:pos="257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Loan Party has reasonable measures in place to ensure that it does not participate, directly or indirectly, in activity prohibited by U.S. sanctions laws, which include, but are not limited to, 31 C.F.R. Chapter V and all statutes and Executive orders imposing sanctions upon foreign states, individuals and/or entities.</w:t>
      </w:r>
    </w:p>
    <w:p>
      <w:pPr>
        <w:spacing w:after="0" w:line="231"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3.23</w:t>
      </w:r>
      <w:r>
        <w:rPr>
          <w:sz w:val="20"/>
          <w:szCs w:val="20"/>
          <w:color w:val="auto"/>
        </w:rPr>
        <w:tab/>
      </w:r>
      <w:r>
        <w:rPr>
          <w:rFonts w:ascii="Arial" w:cs="Arial" w:eastAsia="Arial" w:hAnsi="Arial"/>
          <w:sz w:val="16"/>
          <w:szCs w:val="16"/>
          <w:b w:val="1"/>
          <w:bCs w:val="1"/>
          <w:u w:val="single" w:color="auto"/>
          <w:color w:val="auto"/>
        </w:rPr>
        <w:t>Subordination of Senior Subordinated Notes and Convertible Senior Subordinated Notes</w:t>
      </w:r>
    </w:p>
    <w:p>
      <w:pPr>
        <w:spacing w:after="0" w:line="256" w:lineRule="exact"/>
        <w:rPr>
          <w:sz w:val="20"/>
          <w:szCs w:val="20"/>
          <w:color w:val="auto"/>
        </w:rPr>
      </w:pPr>
    </w:p>
    <w:p>
      <w:pPr>
        <w:ind w:left="-8" w:right="140" w:firstLine="8"/>
        <w:spacing w:after="0" w:line="259" w:lineRule="auto"/>
        <w:tabs>
          <w:tab w:leader="none" w:pos="12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Secured Obligations are “Senior Debt” (or any other defined term having a similar purpose), the Guaranteed Obligations are “Guarantor Senior Debt” (or any other defined term having a similar purpose) and the Secured Obligations and Guaranteed Obligations are “Designated Senior Debt” (or any other defined term having a similar purpose) in each case, within the meaning of the Existing Senior Subordinated Notes Documents (or any refinancings of any thereof permitted under </w:t>
      </w:r>
      <w:r>
        <w:rPr>
          <w:rFonts w:ascii="Arial" w:cs="Arial" w:eastAsia="Arial" w:hAnsi="Arial"/>
          <w:sz w:val="18"/>
          <w:szCs w:val="18"/>
          <w:u w:val="single" w:color="auto"/>
          <w:color w:val="auto"/>
        </w:rPr>
        <w:t>Section 6.01(b)(ii)</w:t>
      </w:r>
      <w:r>
        <w:rPr>
          <w:rFonts w:ascii="Arial" w:cs="Arial" w:eastAsia="Arial" w:hAnsi="Arial"/>
          <w:sz w:val="18"/>
          <w:szCs w:val="18"/>
          <w:color w:val="auto"/>
        </w:rPr>
        <w:t>) and any other Subordinated Indebtedness.</w:t>
      </w:r>
    </w:p>
    <w:p>
      <w:pPr>
        <w:spacing w:after="0" w:line="200" w:lineRule="exact"/>
        <w:rPr>
          <w:sz w:val="20"/>
          <w:szCs w:val="20"/>
          <w:color w:val="auto"/>
        </w:rPr>
      </w:pPr>
    </w:p>
    <w:p>
      <w:pPr>
        <w:spacing w:after="0" w:line="253" w:lineRule="exact"/>
        <w:rPr>
          <w:sz w:val="20"/>
          <w:szCs w:val="20"/>
          <w:color w:val="auto"/>
        </w:rPr>
      </w:pPr>
    </w:p>
    <w:p>
      <w:pPr>
        <w:ind w:left="4452"/>
        <w:spacing w:after="0"/>
        <w:rPr>
          <w:sz w:val="20"/>
          <w:szCs w:val="20"/>
          <w:color w:val="auto"/>
        </w:rPr>
      </w:pPr>
      <w:r>
        <w:rPr>
          <w:rFonts w:ascii="Arial" w:cs="Arial" w:eastAsia="Arial" w:hAnsi="Arial"/>
          <w:sz w:val="18"/>
          <w:szCs w:val="18"/>
          <w:b w:val="1"/>
          <w:bCs w:val="1"/>
          <w:color w:val="auto"/>
        </w:rPr>
        <w:t>ARTICLE IV</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CONDITIONS TO CREDIT EXTENSIONS</w:t>
      </w:r>
    </w:p>
    <w:p>
      <w:pPr>
        <w:spacing w:after="0" w:line="279"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6"/>
          <w:szCs w:val="16"/>
          <w:b w:val="1"/>
          <w:bCs w:val="1"/>
          <w:u w:val="single" w:color="auto"/>
          <w:color w:val="auto"/>
        </w:rPr>
        <w:t>Conditions to Initial Credit Extension</w:t>
      </w:r>
    </w:p>
    <w:p>
      <w:pPr>
        <w:spacing w:after="0" w:line="256" w:lineRule="exact"/>
        <w:rPr>
          <w:sz w:val="20"/>
          <w:szCs w:val="20"/>
          <w:color w:val="auto"/>
        </w:rPr>
      </w:pPr>
    </w:p>
    <w:p>
      <w:pPr>
        <w:ind w:left="-8" w:right="280" w:firstLine="8"/>
        <w:spacing w:after="0" w:line="277" w:lineRule="auto"/>
        <w:tabs>
          <w:tab w:leader="none" w:pos="12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obligation of each Lender and, if applicable, each Issuing Bank to fund the initial Credit Extension requested to be made by it shall be subject to the prior or concurrent satisfaction of each of the conditions precedent set forth in this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8" w:right="20" w:firstLine="1953"/>
        <w:spacing w:after="0" w:line="264" w:lineRule="auto"/>
        <w:tabs>
          <w:tab w:leader="none" w:pos="2569"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All legal matters incident to this Agreement, the Credit Extensions hereunder and the other Loan Documents shall be satisfactory to the Lenders, to the Issuing Bank and to the Administrative Agent and there shall have been delivered to the Administrative Agent an executed counterpart of each of the Loan Documents and the Perfection Certificate.</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2592" w:hanging="647"/>
        <w:spacing w:after="0"/>
        <w:tabs>
          <w:tab w:leader="none" w:pos="2592"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Corporate Documents</w:t>
      </w:r>
      <w:r>
        <w:rPr>
          <w:rFonts w:ascii="Arial" w:cs="Arial" w:eastAsia="Arial" w:hAnsi="Arial"/>
          <w:sz w:val="18"/>
          <w:szCs w:val="18"/>
          <w:color w:val="auto"/>
        </w:rPr>
        <w:t>. The Administrative Agent shall have received: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172" w:hanging="607"/>
        <w:spacing w:after="0"/>
        <w:tabs>
          <w:tab w:leader="none" w:pos="4172" w:val="left"/>
        </w:tabs>
        <w:numPr>
          <w:ilvl w:val="2"/>
          <w:numId w:val="199"/>
        </w:numPr>
        <w:rPr>
          <w:rFonts w:ascii="Arial" w:cs="Arial" w:eastAsia="Arial" w:hAnsi="Arial"/>
          <w:sz w:val="17"/>
          <w:szCs w:val="17"/>
          <w:color w:val="auto"/>
        </w:rPr>
      </w:pPr>
      <w:r>
        <w:rPr>
          <w:rFonts w:ascii="Arial" w:cs="Arial" w:eastAsia="Arial" w:hAnsi="Arial"/>
          <w:sz w:val="17"/>
          <w:szCs w:val="17"/>
          <w:color w:val="auto"/>
        </w:rPr>
        <w:t>a certificate of the secretary or assistant secretary of each Loan Party dated the Closing Date,</w:t>
      </w:r>
    </w:p>
    <w:p>
      <w:pPr>
        <w:spacing w:after="0" w:line="34" w:lineRule="exact"/>
        <w:rPr>
          <w:rFonts w:ascii="Arial" w:cs="Arial" w:eastAsia="Arial" w:hAnsi="Arial"/>
          <w:sz w:val="17"/>
          <w:szCs w:val="17"/>
          <w:color w:val="auto"/>
        </w:rPr>
      </w:pPr>
    </w:p>
    <w:p>
      <w:pPr>
        <w:ind w:left="652" w:right="560"/>
        <w:spacing w:after="0" w:line="323" w:lineRule="auto"/>
        <w:rPr>
          <w:rFonts w:ascii="Arial" w:cs="Arial" w:eastAsia="Arial" w:hAnsi="Arial"/>
          <w:sz w:val="17"/>
          <w:szCs w:val="17"/>
          <w:color w:val="auto"/>
        </w:rPr>
      </w:pPr>
      <w:r>
        <w:rPr>
          <w:rFonts w:ascii="Arial" w:cs="Arial" w:eastAsia="Arial" w:hAnsi="Arial"/>
          <w:sz w:val="16"/>
          <w:szCs w:val="16"/>
          <w:color w:val="auto"/>
        </w:rPr>
        <w:t>certifying (A) that attached thereto is a true and complete copy of each Organizational Document of such Loan Party certified (to the extent applicable) as of a recent date by the Secretary of State of the state of its organization, (B) that attached thereto is a true and complete copy of</w:t>
      </w:r>
    </w:p>
    <w:p>
      <w:pPr>
        <w:sectPr>
          <w:pgSz w:w="11900" w:h="16907" w:orient="portrait"/>
          <w:cols w:equalWidth="0" w:num="1">
            <w:col w:w="11392"/>
          </w:cols>
          <w:pgMar w:left="248" w:top="152" w:right="259" w:bottom="0" w:gutter="0" w:footer="0" w:header="0"/>
        </w:sectPr>
      </w:pPr>
    </w:p>
    <w:bookmarkStart w:id="102" w:name="page103"/>
    <w:bookmarkEnd w:id="102"/>
    <w:p>
      <w:pPr>
        <w:ind w:right="140"/>
        <w:spacing w:after="0" w:line="297" w:lineRule="auto"/>
        <w:rPr>
          <w:sz w:val="20"/>
          <w:szCs w:val="20"/>
          <w:color w:val="auto"/>
        </w:rPr>
      </w:pPr>
      <w:r>
        <w:rPr>
          <w:rFonts w:ascii="Arial" w:cs="Arial" w:eastAsia="Arial" w:hAnsi="Arial"/>
          <w:sz w:val="16"/>
          <w:szCs w:val="16"/>
          <w:color w:val="auto"/>
        </w:rPr>
        <w:t>resolutions duly adopted by the Board of Directors of such Loan Party authorizing the execution, delivery and performance of the Loan Documents to which such person is a party and, in the case of Borrower, the borrowings hereunder, and that such resolutions have not been modified, rescinded or amended and are in full force and effect and (C) as to the incumbency and specimen signature of each officer executing any Loan Document or any other document delivered in connection herewith on behalf of such Loan Party (together with a certificate of another officer as to the incumbency and specimen signature of the secretary or assistant secretary executing the certificate in this clause (i));</w:t>
      </w:r>
    </w:p>
    <w:p>
      <w:pPr>
        <w:spacing w:after="0" w:line="200" w:lineRule="exact"/>
        <w:rPr>
          <w:sz w:val="20"/>
          <w:szCs w:val="20"/>
          <w:color w:val="auto"/>
        </w:rPr>
      </w:pPr>
    </w:p>
    <w:p>
      <w:pPr>
        <w:spacing w:after="0" w:line="255" w:lineRule="exact"/>
        <w:rPr>
          <w:sz w:val="20"/>
          <w:szCs w:val="20"/>
          <w:color w:val="auto"/>
        </w:rPr>
      </w:pPr>
    </w:p>
    <w:p>
      <w:pPr>
        <w:ind w:right="60" w:firstLine="2913"/>
        <w:spacing w:after="0" w:line="277" w:lineRule="auto"/>
        <w:tabs>
          <w:tab w:leader="none" w:pos="356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 certificate as to the good standing of each Loan Party (in so-called “long-form” if available) as of a recent date, from such Secretary of State (or other applicable Governmental Authority); and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3620" w:hanging="707"/>
        <w:spacing w:after="0"/>
        <w:tabs>
          <w:tab w:leader="none" w:pos="362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such other documents as the Lenders, the Issuing Bank, the Administrative Agent or the Arranger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may reasonably request.</w:t>
      </w: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660" w:firstLine="1953"/>
        <w:spacing w:after="0" w:line="264" w:lineRule="auto"/>
        <w:tabs>
          <w:tab w:leader="none" w:pos="1917"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Administrative Agent shall have received a certificate, dated the Closing Date and signed by the chief executive officer and the chief financial officer of Borrower, confirming compliance with the conditions precedent set forth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4.02(b)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1940" w:hanging="647"/>
        <w:spacing w:after="0"/>
        <w:tabs>
          <w:tab w:leader="none" w:pos="194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Financings and Other Transactions, etc.</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280" w:firstLine="2913"/>
        <w:spacing w:after="0" w:line="259" w:lineRule="auto"/>
        <w:tabs>
          <w:tab w:leader="none" w:pos="3519"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Transactions shall have been consummated or shall be consummated simultaneously on the Closing Date, in each case in all material respects in accordance with the terms hereof and the terms of the Transaction Documents, without the waiver or amendment of any such terms not approved by the Administrative Agent and the Arranger other than any waiver or amendment thereof that is not materially adverse to the interests of the Lenders.</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right="120" w:firstLine="2913"/>
        <w:spacing w:after="0" w:line="255" w:lineRule="auto"/>
        <w:tabs>
          <w:tab w:leader="none" w:pos="3569"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Equity Financing shall have been consummated prior to the Closing Date. The terms of the Equity Financing shall not require any payments or other distributions of cash or property in respect thereof other than payments in kind, or any purchases, redemptions or other acquisitions thereof for cash or property other than payments in kind, in each case prior to the payment in full of all obligations under the Loan Documents, except as permitted by the Loan Documents. Including the Net Cash Proceeds of the Equity Financing, immediately prior to the consummation of the Transactions on the Closing Date, Borrower shall have cash on the balance sheet of not less than $590.7 million.</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3620" w:hanging="707"/>
        <w:spacing w:after="0"/>
        <w:tabs>
          <w:tab w:leader="none" w:pos="362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Lenders shall be satisfied with the management, capitalization, the terms and conditions of</w:t>
      </w:r>
    </w:p>
    <w:p>
      <w:pPr>
        <w:spacing w:after="0" w:line="46" w:lineRule="exact"/>
        <w:rPr>
          <w:rFonts w:ascii="Arial" w:cs="Arial" w:eastAsia="Arial" w:hAnsi="Arial"/>
          <w:sz w:val="16"/>
          <w:szCs w:val="16"/>
          <w:color w:val="auto"/>
        </w:rPr>
      </w:pPr>
    </w:p>
    <w:p>
      <w:pPr>
        <w:ind w:right="560"/>
        <w:spacing w:after="0" w:line="261" w:lineRule="auto"/>
        <w:rPr>
          <w:rFonts w:ascii="Arial" w:cs="Arial" w:eastAsia="Arial" w:hAnsi="Arial"/>
          <w:sz w:val="16"/>
          <w:szCs w:val="16"/>
          <w:color w:val="auto"/>
        </w:rPr>
      </w:pPr>
      <w:r>
        <w:rPr>
          <w:rFonts w:ascii="Arial" w:cs="Arial" w:eastAsia="Arial" w:hAnsi="Arial"/>
          <w:sz w:val="18"/>
          <w:szCs w:val="18"/>
          <w:color w:val="auto"/>
        </w:rPr>
        <w:t>any equity arrangements and the corporate or other organizational structure of the Companies (after giving effect to the Transactions) and any indemnities, employment and other arrangements entered into in connection with the Transactions.</w:t>
      </w: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firstLine="2913"/>
        <w:spacing w:after="0" w:line="293" w:lineRule="auto"/>
        <w:tabs>
          <w:tab w:leader="none" w:pos="3609"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Refinancing shall have been consummated in full to the satisfaction of the Lenders with all liens in favor of the existing lenders being unconditionally released; the Administrative Agent shall have received a “pay-off” letter in form and substance reasonably satisfactory to the Administrative Agent with respect to all debt being refinanced in the Refinancing; and the Administrative Agent shall have received from any person holding any Lien securing any such debt, such lien termination statements, mortgage releases, releases of assignments of leases and rents, releases of security interests in Intellectual Property and other instruments, in each case in proper form for recording, as the Administrative Agent shall have reasonably requested to release and terminate of record the Liens securing such debt.</w:t>
      </w: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660" w:right="140" w:firstLine="1953"/>
        <w:spacing w:after="0" w:line="264" w:lineRule="auto"/>
        <w:tabs>
          <w:tab w:leader="none" w:pos="1917"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Financial Statements; Pro Forma Balance Sheet; Projections</w:t>
      </w:r>
      <w:r>
        <w:rPr>
          <w:rFonts w:ascii="Arial" w:cs="Arial" w:eastAsia="Arial" w:hAnsi="Arial"/>
          <w:sz w:val="18"/>
          <w:szCs w:val="18"/>
          <w:color w:val="auto"/>
        </w:rPr>
        <w:t xml:space="preserve">. The Administrative Agent shall have received and shall be satisfied with the form and substance of the financial statements described in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and with the forecasts of the financial performance of Borrower, the Acquired Business and their respective Subsidiaries.</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660" w:right="220" w:firstLine="1953"/>
        <w:spacing w:after="0" w:line="259" w:lineRule="auto"/>
        <w:tabs>
          <w:tab w:leader="none" w:pos="1897"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Indebtedness and Minority Interests</w:t>
      </w:r>
      <w:r>
        <w:rPr>
          <w:rFonts w:ascii="Arial" w:cs="Arial" w:eastAsia="Arial" w:hAnsi="Arial"/>
          <w:sz w:val="18"/>
          <w:szCs w:val="18"/>
          <w:color w:val="auto"/>
        </w:rPr>
        <w:t xml:space="preserve">. After giving effect to the Transactions and the other transactions contemplated hereby, no Company shall have outstanding any Indebtedness or preferred stock other than (i) the Loans and Credit Extensions hereunder, (ii) Indebtedness under the Existing Senior Subordinated Notes Documents, (iii) the Indebtedness listed on </w:t>
      </w:r>
      <w:r>
        <w:rPr>
          <w:rFonts w:ascii="Arial" w:cs="Arial" w:eastAsia="Arial" w:hAnsi="Arial"/>
          <w:sz w:val="18"/>
          <w:szCs w:val="18"/>
          <w:u w:val="single" w:color="auto"/>
          <w:color w:val="auto"/>
        </w:rPr>
        <w:t>Schedule 6.01(b)</w:t>
      </w:r>
      <w:r>
        <w:rPr>
          <w:rFonts w:ascii="Arial" w:cs="Arial" w:eastAsia="Arial" w:hAnsi="Arial"/>
          <w:sz w:val="18"/>
          <w:szCs w:val="18"/>
          <w:color w:val="auto"/>
        </w:rPr>
        <w:t xml:space="preserve"> and (iv) Indebtedness owed to Borrower or any Subsidiary Guarantor.</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660" w:right="40" w:firstLine="1953"/>
        <w:spacing w:after="0" w:line="293" w:lineRule="auto"/>
        <w:tabs>
          <w:tab w:leader="none" w:pos="1927"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Opinions of Counsel</w:t>
      </w:r>
      <w:r>
        <w:rPr>
          <w:rFonts w:ascii="Arial" w:cs="Arial" w:eastAsia="Arial" w:hAnsi="Arial"/>
          <w:sz w:val="16"/>
          <w:szCs w:val="16"/>
          <w:color w:val="auto"/>
        </w:rPr>
        <w:t xml:space="preserve">. The Administrative Agent shall have received, on behalf of itself, the other Agents, the Arranger, the Lenders and the Issuing Bank, a favorable written opinion of (i) Perkins Coie LLP, special counsel for the Loan Parties, (ii) each local and foreign counsel listed on </w:t>
      </w:r>
      <w:r>
        <w:rPr>
          <w:rFonts w:ascii="Arial" w:cs="Arial" w:eastAsia="Arial" w:hAnsi="Arial"/>
          <w:sz w:val="16"/>
          <w:szCs w:val="16"/>
          <w:u w:val="single" w:color="auto"/>
          <w:color w:val="auto"/>
        </w:rPr>
        <w:t>Schedule 4.01(g)</w:t>
      </w:r>
      <w:r>
        <w:rPr>
          <w:rFonts w:ascii="Arial" w:cs="Arial" w:eastAsia="Arial" w:hAnsi="Arial"/>
          <w:sz w:val="16"/>
          <w:szCs w:val="16"/>
          <w:color w:val="auto"/>
        </w:rPr>
        <w:t xml:space="preserve">, in each case (A) dated the Closing Date, (B) addressed to the Agents, the Issuing Bank and the Lenders and (C) covering the matters set forth in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and such other matters relating to the Loan Documents and the Transactions as the Administrative Agent shall reasonably request, and (iii) a copy of each legal opinion delivered under the other Transaction Documents, accompanied by reliance letters from the party delivering such opinion authorizing the Agents, Lenders and the Issuing Bank to rely thereon as if such opinion were addressed to them.</w:t>
      </w: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660" w:right="60" w:firstLine="1953"/>
        <w:spacing w:after="0" w:line="277" w:lineRule="auto"/>
        <w:tabs>
          <w:tab w:leader="none" w:pos="1927"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xml:space="preserve">. The Administrative Agent shall have received a solvency certificate in the form of </w:t>
      </w:r>
      <w:r>
        <w:rPr>
          <w:rFonts w:ascii="Arial" w:cs="Arial" w:eastAsia="Arial" w:hAnsi="Arial"/>
          <w:sz w:val="18"/>
          <w:szCs w:val="18"/>
          <w:u w:val="single" w:color="auto"/>
          <w:color w:val="auto"/>
        </w:rPr>
        <w:t>Exhibit O</w:t>
      </w:r>
      <w:r>
        <w:rPr>
          <w:rFonts w:ascii="Arial" w:cs="Arial" w:eastAsia="Arial" w:hAnsi="Arial"/>
          <w:sz w:val="18"/>
          <w:szCs w:val="18"/>
          <w:color w:val="auto"/>
        </w:rPr>
        <w:t>, dated the Closing Date and signed by the chief financial officer of Borrower.</w:t>
      </w:r>
    </w:p>
    <w:p>
      <w:pPr>
        <w:sectPr>
          <w:pgSz w:w="11900" w:h="16838" w:orient="portrait"/>
          <w:cols w:equalWidth="0" w:num="1">
            <w:col w:w="10760"/>
          </w:cols>
          <w:pgMar w:left="900" w:top="125" w:right="239" w:bottom="0" w:gutter="0" w:footer="0" w:header="0"/>
        </w:sectPr>
      </w:pPr>
    </w:p>
    <w:bookmarkStart w:id="103" w:name="page104"/>
    <w:bookmarkEnd w:id="103"/>
    <w:p>
      <w:pPr>
        <w:ind w:left="-660" w:right="160" w:firstLine="1953"/>
        <w:spacing w:after="0" w:line="264" w:lineRule="auto"/>
        <w:tabs>
          <w:tab w:leader="none" w:pos="1887"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 The Lenders shall be satisfied that Borrower, its Subsidiaries and the Transactions shall be in full compliance with all material Requirements of Law, including Regulations T, U and X of the Board, and shall have received satisfactory evidence of such compliance reasonably requested by them.</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660" w:firstLine="1953"/>
        <w:spacing w:after="0" w:line="312" w:lineRule="auto"/>
        <w:tabs>
          <w:tab w:leader="none" w:pos="1887"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The Lenders shall be satisfied that all requisite Governmental Authorities and third parties shall have approved or consented to the Transactions, and there shall be no governmental or judicial action, actual or threatened, that has or would have, singly or in the aggregate, a reasonable likelihood of restraining, preventing or imposing burdensome conditions on the Transactions or the other transactions contemplated hereby.</w:t>
      </w: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ind w:left="-660" w:right="100" w:firstLine="1953"/>
        <w:spacing w:after="0" w:line="302" w:lineRule="auto"/>
        <w:tabs>
          <w:tab w:leader="none" w:pos="1927"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shall be no litigation, public or private, or administrative proceedings, governmental investigation or other legal or regulatory developments, actual or threatened, that, singly or in the aggregate, could reasonably be expected to result in a Material Adverse Effect, or could materially and adversely affect the ability of Borrower and the Subsidiaries to fully and timely perform their respective obligations under the Transaction Documents, or the ability of the parties to consummate the financings contemplated hereby or the other Transactions.</w:t>
      </w:r>
    </w:p>
    <w:p>
      <w:pPr>
        <w:spacing w:after="0" w:line="200" w:lineRule="exact"/>
        <w:rPr>
          <w:rFonts w:ascii="Arial" w:cs="Arial" w:eastAsia="Arial" w:hAnsi="Arial"/>
          <w:sz w:val="16"/>
          <w:szCs w:val="16"/>
          <w:color w:val="auto"/>
        </w:rPr>
      </w:pPr>
    </w:p>
    <w:p>
      <w:pPr>
        <w:spacing w:after="0" w:line="251" w:lineRule="exact"/>
        <w:rPr>
          <w:rFonts w:ascii="Arial" w:cs="Arial" w:eastAsia="Arial" w:hAnsi="Arial"/>
          <w:sz w:val="16"/>
          <w:szCs w:val="16"/>
          <w:color w:val="auto"/>
        </w:rPr>
      </w:pPr>
    </w:p>
    <w:p>
      <w:pPr>
        <w:ind w:left="1900" w:hanging="607"/>
        <w:spacing w:after="0"/>
        <w:tabs>
          <w:tab w:leader="none" w:pos="190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Sources and Uses</w:t>
      </w:r>
      <w:r>
        <w:rPr>
          <w:rFonts w:ascii="Arial" w:cs="Arial" w:eastAsia="Arial" w:hAnsi="Arial"/>
          <w:sz w:val="18"/>
          <w:szCs w:val="18"/>
          <w:color w:val="auto"/>
        </w:rPr>
        <w:t xml:space="preserve">. The sources and uses of the Loans shall be as set forth in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660" w:right="40" w:firstLine="1953"/>
        <w:spacing w:after="0" w:line="259" w:lineRule="auto"/>
        <w:tabs>
          <w:tab w:leader="none" w:pos="1977"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Arranger and Administrative Agent shall have received all Fees and other amounts due and payable on or prior to the Closing Date, including, to the extent invoiced, reimbursement or payment of all out-of-pocket expenses (including the legal fees and expenses of special counsel to the Agents, and the fees and expenses of any local counsel, foreign counsel, appraisers, consultants and other advisors) required to be reimbursed or paid by Borrower hereunder or under any other Loan Document.</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1940" w:hanging="647"/>
        <w:spacing w:after="0"/>
        <w:tabs>
          <w:tab w:leader="none" w:pos="194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Personal Property Requirements</w:t>
      </w:r>
      <w:r>
        <w:rPr>
          <w:rFonts w:ascii="Arial" w:cs="Arial" w:eastAsia="Arial" w:hAnsi="Arial"/>
          <w:sz w:val="18"/>
          <w:szCs w:val="18"/>
          <w:color w:val="auto"/>
        </w:rPr>
        <w:t>. The Collateral Agent shall have received: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480" w:firstLine="2913"/>
        <w:spacing w:after="0" w:line="277" w:lineRule="auto"/>
        <w:tabs>
          <w:tab w:leader="none" w:pos="351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all certificates, agreements or instruments representing or evidencing the Securities Collateral accompanied by instruments of transfer and stock powers undated and endorsed in blank;</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180" w:firstLine="2913"/>
        <w:spacing w:after="0" w:line="277" w:lineRule="auto"/>
        <w:tabs>
          <w:tab w:leader="none" w:pos="356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Intercompany Note executed by and among Borrower and each of the Subsidiary Guarantors, accompanied by instruments of transfer undated and endorsed in blank;</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220" w:firstLine="2913"/>
        <w:spacing w:after="0" w:line="286" w:lineRule="auto"/>
        <w:tabs>
          <w:tab w:leader="none" w:pos="3619"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all other certificates, agreements, including Control Agreements, or instruments necessary to perfect the Collateral Agent’s security interest in all Chattel Paper, all Instruments, all Deposit Accounts and all Investment Property of each Loan Party (as each such term is defined in the Security Agreement and to the extent required by the Security Agreement);</w:t>
      </w: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right="20" w:firstLine="2913"/>
        <w:spacing w:after="0" w:line="255" w:lineRule="auto"/>
        <w:tabs>
          <w:tab w:leader="none" w:pos="360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UCC financing statements in appropriate form for filing under the UCC, filings with the United States Patent and Trademark Office and United States Copyright Office and such other documents under applicable Requirements of Law in each jurisdiction as may be necessary or appropriate or, in the opinion of the Collateral Agent, desirable to perfect the Liens created, or purported to be created, by the Security Documents and, with respect to all UCC financing statements required to be filed pursuant to the Loan Documents, evidence satisfactory to the Administrative Agent that Borrower has retained, at its sole cost and expense, a service provider acceptable to the Administrative Agent for the tracking of all such financing statements and notification to the Administrative Agent, of, among other things, the upcoming lapse or expiration thereof;</w:t>
      </w: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100" w:firstLine="2913"/>
        <w:spacing w:after="0" w:line="255" w:lineRule="auto"/>
        <w:tabs>
          <w:tab w:leader="none" w:pos="355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certified copies of UCC, United States Patent and Trademark Office and United States Copyright Office, tax and judgment lien searches, bankruptcy and pending lawsuit searches or equivalent reports or searches, each of a recent date listing all effective financing statements, lien notices or comparable documents that name any Loan Party as debtor and that are filed in those state and county jurisdictions in which any property of any Loan Party is located and the state and county jurisdictions in which any Loan Party is organized or maintains its principal place of business and such other searches that the Collateral Agent deems necessary or appropriate, none of which encumber the Collateral covered or intended to be covered by the Security Documents (other than Permitted Collateral Liens or any other Liens acceptable to the Collateral Agent);</w:t>
      </w: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jc w:val="both"/>
        <w:ind w:firstLine="2913"/>
        <w:spacing w:after="0" w:line="279" w:lineRule="auto"/>
        <w:tabs>
          <w:tab w:leader="none" w:pos="3609" w:val="left"/>
        </w:tabs>
        <w:numPr>
          <w:ilvl w:val="1"/>
          <w:numId w:val="202"/>
        </w:numPr>
        <w:rPr>
          <w:rFonts w:ascii="Arial" w:cs="Arial" w:eastAsia="Arial" w:hAnsi="Arial"/>
          <w:sz w:val="17"/>
          <w:szCs w:val="17"/>
          <w:color w:val="auto"/>
        </w:rPr>
      </w:pPr>
      <w:r>
        <w:rPr>
          <w:rFonts w:ascii="Arial" w:cs="Arial" w:eastAsia="Arial" w:hAnsi="Arial"/>
          <w:sz w:val="17"/>
          <w:szCs w:val="17"/>
          <w:color w:val="auto"/>
        </w:rPr>
        <w:t xml:space="preserve">with respect to each location set forth on </w:t>
      </w:r>
      <w:r>
        <w:rPr>
          <w:rFonts w:ascii="Arial" w:cs="Arial" w:eastAsia="Arial" w:hAnsi="Arial"/>
          <w:sz w:val="17"/>
          <w:szCs w:val="17"/>
          <w:u w:val="single" w:color="auto"/>
          <w:color w:val="auto"/>
        </w:rPr>
        <w:t>Schedule 4.01(n)(vi)</w:t>
      </w:r>
      <w:r>
        <w:rPr>
          <w:rFonts w:ascii="Arial" w:cs="Arial" w:eastAsia="Arial" w:hAnsi="Arial"/>
          <w:sz w:val="17"/>
          <w:szCs w:val="17"/>
          <w:color w:val="auto"/>
        </w:rPr>
        <w:t xml:space="preserve">, a Landlord Access Agreement or Bailee Letter,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Landlord Access Agreement or Bailee Letter shall be required with respect to any Real Property that could not be obtained after the Loan Party that is the lessee of such Real Property or owner of the inventory or other personal property Collateral stored with the bailee thereof, as applicable, shall have used commercially reasonable efforts to do so; and</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3660" w:hanging="747"/>
        <w:spacing w:after="0"/>
        <w:tabs>
          <w:tab w:leader="none" w:pos="366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evidence acceptable to the Collateral Agent of payment or arrangements for payment by the Loan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of all applicable recording taxes, fees, charges, costs and expenses required for the recording of the Security Documents.</w:t>
      </w: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1940" w:hanging="647"/>
        <w:spacing w:after="0"/>
        <w:tabs>
          <w:tab w:leader="none" w:pos="194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Real Property Requirements</w:t>
      </w:r>
      <w:r>
        <w:rPr>
          <w:rFonts w:ascii="Arial" w:cs="Arial" w:eastAsia="Arial" w:hAnsi="Arial"/>
          <w:sz w:val="18"/>
          <w:szCs w:val="18"/>
          <w:color w:val="auto"/>
        </w:rPr>
        <w:t>. The Collateral Agent shall have received:</w:t>
      </w:r>
    </w:p>
    <w:p>
      <w:pPr>
        <w:sectPr>
          <w:pgSz w:w="11900" w:h="16838" w:orient="portrait"/>
          <w:cols w:equalWidth="0" w:num="1">
            <w:col w:w="10740"/>
          </w:cols>
          <w:pgMar w:left="900" w:top="395" w:right="259" w:bottom="0" w:gutter="0" w:footer="0" w:header="0"/>
        </w:sectPr>
      </w:pPr>
    </w:p>
    <w:bookmarkStart w:id="104" w:name="page105"/>
    <w:bookmarkEnd w:id="104"/>
    <w:p>
      <w:pPr>
        <w:ind w:left="-540" w:right="60" w:firstLine="2913"/>
        <w:spacing w:after="0" w:line="293" w:lineRule="auto"/>
        <w:tabs>
          <w:tab w:leader="none" w:pos="2979"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 Mortgage encumbering each Mortgaged Property in favor of the Collateral Agent, for the benefit of the Secured Parties, duly executed and acknowledged by each Loan Party that is the owner of or holder of any interest in such Mortgaged Property, and otherwise in form for recording in the recording office of each applicable political subdivision where each such Mortgaged Property is situated, together with such certificates, affidavits, questionnaires or returns as shall be required in connection with the recording or filing thereof to create a lien under applicable Requirements of Law, and such financing statements and any other instruments necessary to grant a mortgage lien under the laws of any applicable jurisdiction, all of which shall be in form and substance reasonably satisfactory to Collateral Agent;</w:t>
      </w: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540" w:right="140" w:firstLine="2913"/>
        <w:spacing w:after="0" w:line="259" w:lineRule="auto"/>
        <w:tabs>
          <w:tab w:leader="none" w:pos="302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with respect to each Mortgaged Property, such consents, approvals, amendments, supplements, estoppels, tenant subordination agreements or other instruments as necessary to consummate the Transactions or as shall reasonably be deemed necessary by the Collateral Agent in order for the owner or holder of the fee or leasehold interest constituting such Mortgaged Property to grant the Lien contemplated by the Mortgage with respect to such Mortgaged Property;</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40" w:right="20" w:firstLine="2913"/>
        <w:spacing w:after="0" w:line="287" w:lineRule="auto"/>
        <w:tabs>
          <w:tab w:leader="none" w:pos="3079" w:val="left"/>
        </w:tabs>
        <w:numPr>
          <w:ilvl w:val="1"/>
          <w:numId w:val="203"/>
        </w:numPr>
        <w:rPr>
          <w:rFonts w:ascii="Arial" w:cs="Arial" w:eastAsia="Arial" w:hAnsi="Arial"/>
          <w:sz w:val="16"/>
          <w:szCs w:val="16"/>
          <w:color w:val="auto"/>
        </w:rPr>
      </w:pPr>
      <w:r>
        <w:rPr>
          <w:rFonts w:ascii="Arial" w:cs="Arial" w:eastAsia="Arial" w:hAnsi="Arial"/>
          <w:sz w:val="16"/>
          <w:szCs w:val="16"/>
          <w:color w:val="auto"/>
        </w:rPr>
        <w:t xml:space="preserve">with respect to each Mortgage, a policy of title insurance (or marked up title insurance commitment having the effect of a policy of title insurance) insuring the Lien of such Mortgage as a valid first mortgage Lien on the Mortgaged Property and fixtures described therein in the amount equal to not less than the fair market value of such Mortgaged Property and fixtures, which fair market value is set forth on </w:t>
      </w:r>
      <w:r>
        <w:rPr>
          <w:rFonts w:ascii="Arial" w:cs="Arial" w:eastAsia="Arial" w:hAnsi="Arial"/>
          <w:sz w:val="16"/>
          <w:szCs w:val="16"/>
          <w:u w:val="single" w:color="auto"/>
          <w:color w:val="auto"/>
        </w:rPr>
        <w:t>Schedule 4.01(o)(iii)</w:t>
      </w:r>
      <w:r>
        <w:rPr>
          <w:rFonts w:ascii="Arial" w:cs="Arial" w:eastAsia="Arial" w:hAnsi="Arial"/>
          <w:sz w:val="16"/>
          <w:szCs w:val="16"/>
          <w:color w:val="auto"/>
        </w:rPr>
        <w:t>, which policy (or such marked-up commitment) (each, a “</w:t>
      </w:r>
      <w:r>
        <w:rPr>
          <w:rFonts w:ascii="Arial" w:cs="Arial" w:eastAsia="Arial" w:hAnsi="Arial"/>
          <w:sz w:val="16"/>
          <w:szCs w:val="16"/>
          <w:b w:val="1"/>
          <w:bCs w:val="1"/>
          <w:color w:val="auto"/>
        </w:rPr>
        <w:t>Title Policy</w:t>
      </w:r>
      <w:r>
        <w:rPr>
          <w:rFonts w:ascii="Arial" w:cs="Arial" w:eastAsia="Arial" w:hAnsi="Arial"/>
          <w:sz w:val="16"/>
          <w:szCs w:val="16"/>
          <w:color w:val="auto"/>
        </w:rPr>
        <w:t>”) shall (A) be issued by the Title Company, (B) to the extent necessary, include such reinsurance arrangements (with provisions for direct access, if necessary) as shall be reasonably acceptable to the Collateral Agent, (C) contain a “tie-in” or “cluster” endorsement, if available under applicable law (</w:t>
      </w:r>
      <w:r>
        <w:rPr>
          <w:rFonts w:ascii="Arial" w:cs="Arial" w:eastAsia="Arial" w:hAnsi="Arial"/>
          <w:sz w:val="16"/>
          <w:szCs w:val="16"/>
          <w:i w:val="1"/>
          <w:iCs w:val="1"/>
          <w:color w:val="auto"/>
        </w:rPr>
        <w:t>i.e</w:t>
      </w:r>
      <w:r>
        <w:rPr>
          <w:rFonts w:ascii="Arial" w:cs="Arial" w:eastAsia="Arial" w:hAnsi="Arial"/>
          <w:sz w:val="16"/>
          <w:szCs w:val="16"/>
          <w:color w:val="auto"/>
        </w:rPr>
        <w:t>., policies which insure against losses regardless of location or allocated value of the insured property up to a stated maximum coverage amount), (D) have been supplemented by such customary endorsements (or where such endorsements are not available, opinions of special counsel, architects or other professionals reasonably acceptable to the Collateral Agent) as shall be reasonably requested by the Collateral Agent (including, without limitation, endorsements on matters relating to usury, first loss, last Dollar, zoning, contiguity, revolving credit, doing business, non-imputation, public road access, survey, variable rate, environmental lien, subdivision, mortgage recording tax, separate tax lot, revolving credit, and so-called comprehensive coverage over covenants and restrictions), and (E) contain no exceptions to title other than exceptions acceptable to the Collateral Agent;</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540" w:right="100" w:firstLine="2913"/>
        <w:spacing w:after="0" w:line="264" w:lineRule="auto"/>
        <w:tabs>
          <w:tab w:leader="none" w:pos="306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with respect to each Mortgaged Property, such affidavits, certificates, information (including financial data) and instruments of indemnification (including a so-called “gap” indemnification) as shall be required to induce the Title Company to issue the Title Policy/ies and endorsements contemplated above;</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540" w:firstLine="2913"/>
        <w:spacing w:after="0" w:line="264" w:lineRule="auto"/>
        <w:tabs>
          <w:tab w:leader="none" w:pos="301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evidence reasonably acceptable to the Collateral Agent of payment by Borrower of all Title Policy premiums, search and examination charges, escrow charges and related charges, mortgage recording taxes, fees, charges, costs and expenses required for the recording of the Mortgages and issuance of the Title Policies referred to above;</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540" w:right="60" w:firstLine="2913"/>
        <w:spacing w:after="0" w:line="257" w:lineRule="auto"/>
        <w:tabs>
          <w:tab w:leader="none" w:pos="306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with respect to each Real Property or Mortgaged Property, copies of all Leases in which Borrower or any Subsidiary holds the lessor’s interest or other agreements relating to possessory interests, if any. To the extent any of the foregoing affect any Mortgaged Property, such agreement shall be subordinate to the Lien of the Mortgage to be recorded against such Mortgaged Property, either expressly by its terms or pursuant to a subordination, non-disturbance and attornment agreement, and shall otherwise be acceptable to the Collateral Agent;</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540" w:right="240" w:firstLine="2913"/>
        <w:spacing w:after="0" w:line="264" w:lineRule="auto"/>
        <w:tabs>
          <w:tab w:leader="none" w:pos="311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with respect to each Mortgaged Property, each Company shall have made all notifications, registrations and filings, to the extent required by, and in accordance with, all Governmental Real Property Disclosure Requirements applicable to such Mortgaged Property;</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3160" w:hanging="787"/>
        <w:spacing w:after="0"/>
        <w:tabs>
          <w:tab w:leader="none" w:pos="31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copies of existing Surveys (if any) with respect to each Mortgaged Property; and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540" w:right="320" w:firstLine="2913"/>
        <w:spacing w:after="0" w:line="277" w:lineRule="auto"/>
        <w:tabs>
          <w:tab w:leader="none" w:pos="306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to the extent applicable, a completed Federal Emergency Management Agency Standard Flood Hazard Determination with respect to each Mortgaged Property.</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1200" w:right="180" w:firstLine="1953"/>
        <w:spacing w:after="0" w:line="257" w:lineRule="auto"/>
        <w:tabs>
          <w:tab w:leader="none" w:pos="1387"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Administrative Agent shall have received a copy of, or a certificate as to coverage under, the insurance policies required by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and the applicable provisions of the Security Documents, each of which shall (except as may otherwise be agreed by the Administrative Agent in its sole discretion) be endorsed or otherwise amended to include a “standard” or “New York” lender’s loss payable or mortgagee endorsement, or shall name the Collateral Agent, on behalf of the Secured Parties, as additional insured, as applicable, in form and substance satisfactory to the Administrative Agent.</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1200" w:right="80" w:firstLine="1953"/>
        <w:spacing w:after="0" w:line="259" w:lineRule="auto"/>
        <w:tabs>
          <w:tab w:leader="none" w:pos="1387"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xml:space="preserve">. The Lenders shall have received, sufficiently in advance of the Closing Date, all documentation and other information that may be required by the Lenders in order to enable compliance with applicable “know your customer” and anti-money laundering rules and regulations, including the United States PATRIOT Act (Title III of Pub. L. 107-56 (signed into law October 26, 2001)) including the information described in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237"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Section 4.02</w:t>
      </w:r>
      <w:r>
        <w:rPr>
          <w:sz w:val="20"/>
          <w:szCs w:val="20"/>
          <w:color w:val="auto"/>
        </w:rPr>
        <w:tab/>
      </w:r>
      <w:r>
        <w:rPr>
          <w:rFonts w:ascii="Arial" w:cs="Arial" w:eastAsia="Arial" w:hAnsi="Arial"/>
          <w:sz w:val="16"/>
          <w:szCs w:val="16"/>
          <w:b w:val="1"/>
          <w:bCs w:val="1"/>
          <w:u w:val="single" w:color="auto"/>
          <w:color w:val="auto"/>
        </w:rPr>
        <w:t>Conditions to All Credit Extensions</w:t>
      </w:r>
    </w:p>
    <w:p>
      <w:pPr>
        <w:sectPr>
          <w:pgSz w:w="11900" w:h="16838" w:orient="portrait"/>
          <w:cols w:equalWidth="0" w:num="1">
            <w:col w:w="10200"/>
          </w:cols>
          <w:pgMar w:left="1440" w:top="638" w:right="259" w:bottom="0" w:gutter="0" w:footer="0" w:header="0"/>
        </w:sectPr>
      </w:pPr>
    </w:p>
    <w:bookmarkStart w:id="105" w:name="page106"/>
    <w:bookmarkEnd w:id="105"/>
    <w:p>
      <w:pPr>
        <w:ind w:right="280" w:firstLine="8"/>
        <w:spacing w:after="0" w:line="277" w:lineRule="auto"/>
        <w:tabs>
          <w:tab w:leader="none" w:pos="13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obligation of each Lender and each Issuing Bank to make any Credit Extension (including the initial Credit Extension) shall be subject to, and to the satisfaction of, each of the conditions precedent set forth below.</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220" w:firstLine="1953"/>
        <w:spacing w:after="0" w:line="255" w:lineRule="auto"/>
        <w:tabs>
          <w:tab w:leader="none" w:pos="2577"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Notice; Certificate</w:t>
      </w:r>
      <w:r>
        <w:rPr>
          <w:rFonts w:ascii="Arial" w:cs="Arial" w:eastAsia="Arial" w:hAnsi="Arial"/>
          <w:sz w:val="18"/>
          <w:szCs w:val="18"/>
          <w:color w:val="auto"/>
        </w:rPr>
        <w:t xml:space="preserve">. The Administrative Agent shall have received a Borrowing Request as required by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such notice shall have been deemed given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pursuant to the terms hereof) if Loans are being requested or, in the case of the issuance, amendment, extension or renewal of a Letter of Credit, the Issuing Bank and the Administrative Agent shall have received an LC Request as required by Section </w:t>
      </w:r>
      <w:r>
        <w:rPr>
          <w:rFonts w:ascii="Arial" w:cs="Arial" w:eastAsia="Arial" w:hAnsi="Arial"/>
          <w:sz w:val="18"/>
          <w:szCs w:val="18"/>
          <w:u w:val="single" w:color="auto"/>
          <w:color w:val="auto"/>
        </w:rPr>
        <w:t>2.18(b)</w:t>
      </w:r>
      <w:r>
        <w:rPr>
          <w:rFonts w:ascii="Arial" w:cs="Arial" w:eastAsia="Arial" w:hAnsi="Arial"/>
          <w:sz w:val="18"/>
          <w:szCs w:val="18"/>
          <w:color w:val="auto"/>
        </w:rPr>
        <w:t xml:space="preserve"> or, in the case of the Borrowing of a Swingline Loan, the Swingline Lender and the Administrative Agent shall have received a Borrowing Request as required by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in each case, together with a certificate of a Financial Officer of Borrower stating that the incurrence of such Indebtedness is permitted under the terms of the Existing Senior Subordinated Notes Documents (and any refinancings of any thereof permitted under </w:t>
      </w:r>
      <w:r>
        <w:rPr>
          <w:rFonts w:ascii="Arial" w:cs="Arial" w:eastAsia="Arial" w:hAnsi="Arial"/>
          <w:sz w:val="18"/>
          <w:szCs w:val="18"/>
          <w:u w:val="single" w:color="auto"/>
          <w:color w:val="auto"/>
        </w:rPr>
        <w:t>Section 6.01(b)(ii)</w:t>
      </w:r>
      <w:r>
        <w:rPr>
          <w:rFonts w:ascii="Arial" w:cs="Arial" w:eastAsia="Arial" w:hAnsi="Arial"/>
          <w:sz w:val="18"/>
          <w:szCs w:val="18"/>
          <w:color w:val="auto"/>
        </w:rPr>
        <w:t>, as applicable).</w:t>
      </w: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20" w:firstLine="1953"/>
        <w:spacing w:after="0" w:line="286" w:lineRule="auto"/>
        <w:tabs>
          <w:tab w:leader="none" w:pos="2587" w:val="left"/>
        </w:tabs>
        <w:numPr>
          <w:ilvl w:val="1"/>
          <w:numId w:val="205"/>
        </w:numPr>
        <w:rPr>
          <w:rFonts w:ascii="Arial" w:cs="Arial" w:eastAsia="Arial" w:hAnsi="Arial"/>
          <w:sz w:val="17"/>
          <w:szCs w:val="17"/>
          <w:color w:val="auto"/>
        </w:rPr>
      </w:pPr>
      <w:r>
        <w:rPr>
          <w:rFonts w:ascii="Arial" w:cs="Arial" w:eastAsia="Arial" w:hAnsi="Arial"/>
          <w:sz w:val="17"/>
          <w:szCs w:val="17"/>
          <w:u w:val="single" w:color="auto"/>
          <w:color w:val="auto"/>
        </w:rPr>
        <w:t>No Default</w:t>
      </w:r>
      <w:r>
        <w:rPr>
          <w:rFonts w:ascii="Arial" w:cs="Arial" w:eastAsia="Arial" w:hAnsi="Arial"/>
          <w:sz w:val="17"/>
          <w:szCs w:val="17"/>
          <w:color w:val="auto"/>
        </w:rPr>
        <w:t>. Borrower and each other Loan Party shall be in compliance in all material respects with all the terms and provisions set forth herein and in each other Loan Document on its part to be observed or performed, and, at the time of and immediately after giving effect to such Credit Extension and the application of the proceeds thereof, no Default shall have occurred and be continuing on such date.</w:t>
      </w: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right="180" w:firstLine="1953"/>
        <w:spacing w:after="0" w:line="255" w:lineRule="auto"/>
        <w:tabs>
          <w:tab w:leader="none" w:pos="2577"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Each of the representations and warranties made by any Loan Party set forth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hereof or in any other Loan Document shall be true and correct in all material respects (except that any representation and warranty that is qualified as to “materiality” or “Material Adverse Effect” shall be true and correct in all respects) on and as of the date of such Credit Extension with the same effect as though made on and as of such date, except to the extent such representations and warranties expressly relate to an earlier date, in which case such representations and warranties shall be true and correct in all material respects (or, if qualified as to “materiality” or “Material Adverse Effect”, true and correct in all respects) as of such earlier date.</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jc w:val="both"/>
        <w:ind w:right="280" w:firstLine="1953"/>
        <w:spacing w:after="0" w:line="259" w:lineRule="auto"/>
        <w:tabs>
          <w:tab w:leader="none" w:pos="2587"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No Legal Bar</w:t>
      </w:r>
      <w:r>
        <w:rPr>
          <w:rFonts w:ascii="Arial" w:cs="Arial" w:eastAsia="Arial" w:hAnsi="Arial"/>
          <w:sz w:val="18"/>
          <w:szCs w:val="18"/>
          <w:color w:val="auto"/>
        </w:rPr>
        <w:t>. No order, judgment or decree of any Governmental Authority shall purport to restrain any Lender from making any Loans to be made by it. No injunction or other restraining order shall have been issued, shall be pending or noticed with respect to any action, suit or proceeding seeking to enjoin or otherwise prevent the consummation of, or to recover any damages or obtain relief as a result of, the transactions contemplated by this Agreement or the making of Loans hereunder.</w:t>
      </w:r>
    </w:p>
    <w:p>
      <w:pPr>
        <w:spacing w:after="0" w:line="200" w:lineRule="exact"/>
        <w:rPr>
          <w:sz w:val="20"/>
          <w:szCs w:val="20"/>
          <w:color w:val="auto"/>
        </w:rPr>
      </w:pPr>
    </w:p>
    <w:p>
      <w:pPr>
        <w:spacing w:after="0" w:line="25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of the delivery of a Borrowing Request or an LC Request and the acceptance by Borrower of the proceeds of such Credit Extension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shall constitute a representation and warranty by Borrower and each other Loan Party that on the date of such Credit Extension (both immediately before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after giving effect to such Credit Extension and the application of the proceeds thereof) the conditions contained in </w:t>
      </w:r>
      <w:r>
        <w:rPr>
          <w:rFonts w:ascii="Arial" w:cs="Arial" w:eastAsia="Arial" w:hAnsi="Arial"/>
          <w:sz w:val="17"/>
          <w:szCs w:val="17"/>
          <w:u w:val="single" w:color="auto"/>
          <w:color w:val="auto"/>
        </w:rPr>
        <w:t>Sections 4.02(b)-(d)</w:t>
      </w:r>
      <w:r>
        <w:rPr>
          <w:rFonts w:ascii="Arial" w:cs="Arial" w:eastAsia="Arial" w:hAnsi="Arial"/>
          <w:sz w:val="17"/>
          <w:szCs w:val="17"/>
          <w:color w:val="auto"/>
        </w:rPr>
        <w:t xml:space="preserve"> have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satisfied. Borrower shall provide such information (including calculations in reasonable detail of the covenants in </w:t>
      </w:r>
      <w:r>
        <w:rPr>
          <w:rFonts w:ascii="Arial" w:cs="Arial" w:eastAsia="Arial" w:hAnsi="Arial"/>
          <w:sz w:val="16"/>
          <w:szCs w:val="16"/>
          <w:u w:val="single" w:color="auto"/>
          <w:color w:val="auto"/>
        </w:rPr>
        <w:t>Section 6.10</w:t>
      </w:r>
      <w:r>
        <w:rPr>
          <w:rFonts w:ascii="Arial" w:cs="Arial" w:eastAsia="Arial" w:hAnsi="Arial"/>
          <w:sz w:val="16"/>
          <w:szCs w:val="16"/>
          <w:color w:val="auto"/>
        </w:rPr>
        <w:t>) as the Administrative Agent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may reasonably request to confirm that the conditions in </w:t>
      </w:r>
      <w:r>
        <w:rPr>
          <w:rFonts w:ascii="Arial" w:cs="Arial" w:eastAsia="Arial" w:hAnsi="Arial"/>
          <w:sz w:val="18"/>
          <w:szCs w:val="18"/>
          <w:u w:val="single" w:color="auto"/>
          <w:color w:val="auto"/>
        </w:rPr>
        <w:t>Sections 4.02(b)-(d</w:t>
      </w:r>
      <w:r>
        <w:rPr>
          <w:rFonts w:ascii="Arial" w:cs="Arial" w:eastAsia="Arial" w:hAnsi="Arial"/>
          <w:sz w:val="18"/>
          <w:szCs w:val="18"/>
          <w:color w:val="auto"/>
        </w:rPr>
        <w:t>) have been satisfied.</w:t>
      </w: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ARTICLE V</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200" w:lineRule="exact"/>
        <w:rPr>
          <w:sz w:val="20"/>
          <w:szCs w:val="20"/>
          <w:color w:val="auto"/>
        </w:rPr>
      </w:pPr>
    </w:p>
    <w:p>
      <w:pPr>
        <w:spacing w:after="0" w:line="29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Each Loan Party warrants, covenants and agrees with each Lender that so long as this Agreement shall remain in effect and until the Commitments have been terminated and the principal of and interest on each Loan, all Fees and all other expenses or amounts payable under any Loan Document shall have been paid in full and all Letters of Credit have been canceled or have expired (or have been cash collateralized in a manner reasonably satisfactory to the Administrative Agent) and all amounts drawn thereunder have been reimbursed in full, unless the Required Lenders shall otherwise consent in writing, each Loan Party will, and will cause each of its Subsidiaries to:</w:t>
      </w:r>
    </w:p>
    <w:p>
      <w:pPr>
        <w:spacing w:after="0" w:line="238"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u w:val="single" w:color="auto"/>
          <w:color w:val="auto"/>
        </w:rPr>
        <w:t>Financial Statements, Reports, etc</w:t>
      </w:r>
    </w:p>
    <w:p>
      <w:pPr>
        <w:spacing w:after="0" w:line="256" w:lineRule="exact"/>
        <w:rPr>
          <w:sz w:val="20"/>
          <w:szCs w:val="20"/>
          <w:color w:val="auto"/>
        </w:rPr>
      </w:pPr>
    </w:p>
    <w:p>
      <w:pPr>
        <w:ind w:left="140" w:hanging="132"/>
        <w:spacing w:after="0"/>
        <w:tabs>
          <w:tab w:leader="none" w:pos="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Furnish to the Administrative Agent and each Lender:</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40" w:firstLine="1953"/>
        <w:spacing w:after="0" w:line="268" w:lineRule="auto"/>
        <w:tabs>
          <w:tab w:leader="none" w:pos="2577" w:val="left"/>
        </w:tabs>
        <w:numPr>
          <w:ilvl w:val="1"/>
          <w:numId w:val="206"/>
        </w:numPr>
        <w:rPr>
          <w:rFonts w:ascii="Arial" w:cs="Arial" w:eastAsia="Arial" w:hAnsi="Arial"/>
          <w:sz w:val="17"/>
          <w:szCs w:val="17"/>
          <w:color w:val="auto"/>
        </w:rPr>
      </w:pPr>
      <w:r>
        <w:rPr>
          <w:rFonts w:ascii="Arial" w:cs="Arial" w:eastAsia="Arial" w:hAnsi="Arial"/>
          <w:sz w:val="17"/>
          <w:szCs w:val="17"/>
          <w:u w:val="single" w:color="auto"/>
          <w:color w:val="auto"/>
        </w:rPr>
        <w:t>Annual Reports</w:t>
      </w:r>
      <w:r>
        <w:rPr>
          <w:rFonts w:ascii="Arial" w:cs="Arial" w:eastAsia="Arial" w:hAnsi="Arial"/>
          <w:sz w:val="17"/>
          <w:szCs w:val="17"/>
          <w:color w:val="auto"/>
        </w:rPr>
        <w:t>. As soon as available and in any event within 90 days (or such earlier date on which Borrower is required to file a Form 10-K under the Exchange Act) after the end of each fiscal year, beginning with the fiscal year ending December 31, 2007, (i) the consolidated balance sheet of Borrower as of the end of such fiscal year and related consolidated statements of income, cash flows and stockholders’ equity for such fiscal year, in comparative form with such financial statements as of the end of, and for, the preceding fiscal year, and notes thereto (including a note with a consolidating balance sheet and statements of income and cash flows separating out Borrower and the Subsidiaries), all prepared in accordance with Regulation S-X and accompanied by an opinion of Deloitte &amp; Touche LLP or other independent public accountants of recognized national standing reasonably satisfactory to the Administrative Agent (which opinion shall not be qualified as to scope or contain any going concern or other qualification), stating that such financial statements fairly present, in all material respects, the consolidated financial condition, results of operations and cash flows of Borrower as of the dates and for the periods specified in accordance with GAAP, (ii) a management report in a form reasonably satisfactory to the Administrative Agent setting forth (A) statement of income items and Consolidated EBITDA of Borrower for such fiscal year, showing variance, by Dollar amount and percentage, from amounts for the previous fiscal year and budgeted amounts and (B) key operational information and statistics for such fiscal year consistent with internal and industry-wide reporting standards, and (iii) a narrative report and management’s discussion and analysis, in a form reasonably satisfactory to the Administrative Agent, of the financial condition and results of operations of Borrower for such fiscal year, as compared to amounts for the previous fiscal year and budgeted amounts (it being understood that the information required by clauses (i) and (iii) may be furnished in the form of a Form 10-K);</w:t>
      </w:r>
    </w:p>
    <w:p>
      <w:pPr>
        <w:sectPr>
          <w:pgSz w:w="11900" w:h="16838" w:orient="portrait"/>
          <w:cols w:equalWidth="0" w:num="1">
            <w:col w:w="11420"/>
          </w:cols>
          <w:pgMar w:left="240" w:top="368" w:right="239" w:bottom="71" w:gutter="0" w:footer="0" w:header="0"/>
        </w:sectPr>
      </w:pPr>
    </w:p>
    <w:bookmarkStart w:id="106" w:name="page107"/>
    <w:bookmarkEnd w:id="106"/>
    <w:p>
      <w:pPr>
        <w:ind w:right="40" w:firstLine="1953"/>
        <w:spacing w:after="0" w:line="285" w:lineRule="auto"/>
        <w:tabs>
          <w:tab w:leader="none" w:pos="2587"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Quarterly Reports</w:t>
      </w:r>
      <w:r>
        <w:rPr>
          <w:rFonts w:ascii="Arial" w:cs="Arial" w:eastAsia="Arial" w:hAnsi="Arial"/>
          <w:sz w:val="16"/>
          <w:szCs w:val="16"/>
          <w:color w:val="auto"/>
        </w:rPr>
        <w:t>. As soon as available and in any event within 45 days (or such earlier date on which Borrower is required to file a Form 10-Q under the Exchange Act) after the end of each of the first three fiscal quarters of each fiscal year, beginning with the fiscal quarter ending March 31, 2007, (i) the consolidated balance sheet of Borrower as of the end of such fiscal quarter and related consolidated statements of income and cash flows for such fiscal quarter and for the then elapsed portion of the fiscal year, in comparative form with the consolidated statements of income and cash flows for the comparable periods in the previous fiscal year, and notes thereto (including a note with a consolidating balance sheet and statements of income and cash flows separating out Borrower and the Subsidiaries), all prepared in accordance with Regulation S-X under the Securities Act and accompanied by a certificate of a Financial Officer stating that such financial statements fairly present, in all material respects, the consolidated financial condition, results of operations and cash flows of Borrower as of the date and for the periods specified in accordance with GAAP consistently applied, and on a basis consistent with audited financial statements referred to in clause (a) of this Section, subject to normal year-end audit adjustments, (ii) a management report in a form reasonably satisfactory to the Administrative Agent setting forth (A) statement of income items and Consolidated EBITDA of Borrower for such fiscal quarter and for the then elapsed portion of the fiscal year, showing variance, by Dollar amount and percentage, from amounts for the comparable periods in the previous fiscal year and budgeted amounts and (B) key operational information and statistics for such fiscal quarter and for the then elapsed portion of the fiscal year consistent with internal and industry-wide reporting standards, and (iii) a narrative report and management’s discussion and analysis, in a form reasonably satisfactory to the Administrative Agent, of the financial condition and results of operations for such fiscal quarter and the then elapsed portion of the fiscal year, as compared to the comparable periods in the previous fiscal year and budgeted amounts (it being understood that the information required by clauses (i) and (iii) may be furnished in the form of a Form 10-Q);</w:t>
      </w:r>
    </w:p>
    <w:p>
      <w:pPr>
        <w:spacing w:after="0" w:line="200" w:lineRule="exact"/>
        <w:rPr>
          <w:rFonts w:ascii="Arial" w:cs="Arial" w:eastAsia="Arial" w:hAnsi="Arial"/>
          <w:sz w:val="16"/>
          <w:szCs w:val="16"/>
          <w:color w:val="auto"/>
        </w:rPr>
      </w:pPr>
    </w:p>
    <w:p>
      <w:pPr>
        <w:spacing w:after="0" w:line="274" w:lineRule="exact"/>
        <w:rPr>
          <w:rFonts w:ascii="Arial" w:cs="Arial" w:eastAsia="Arial" w:hAnsi="Arial"/>
          <w:sz w:val="16"/>
          <w:szCs w:val="16"/>
          <w:color w:val="auto"/>
        </w:rPr>
      </w:pPr>
    </w:p>
    <w:p>
      <w:pPr>
        <w:ind w:right="60" w:firstLine="1953"/>
        <w:spacing w:after="0" w:line="287" w:lineRule="auto"/>
        <w:tabs>
          <w:tab w:leader="none" w:pos="2577"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Financial Officer’s Certificate</w:t>
      </w:r>
      <w:r>
        <w:rPr>
          <w:rFonts w:ascii="Arial" w:cs="Arial" w:eastAsia="Arial" w:hAnsi="Arial"/>
          <w:sz w:val="16"/>
          <w:szCs w:val="16"/>
          <w:color w:val="auto"/>
        </w:rPr>
        <w:t xml:space="preserve">. (i) Concurrently with any delivery of financial statements under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 Compliance Certificate (A) certifying that no Default has occurred or, if such a Default has occurred, specifying the nature and extent thereof and any corrective action taken or proposed to be taken with respect thereto, (B) beginning with the fiscal quarter ending June 30, 2007, setting forth computations in reasonable detail satisfactory to the Administrative Agent demonstrating compliance with the covenants contained in </w:t>
      </w:r>
      <w:r>
        <w:rPr>
          <w:rFonts w:ascii="Arial" w:cs="Arial" w:eastAsia="Arial" w:hAnsi="Arial"/>
          <w:sz w:val="16"/>
          <w:szCs w:val="16"/>
          <w:u w:val="single" w:color="auto"/>
          <w:color w:val="auto"/>
        </w:rPr>
        <w:t>Sections 6.07(f)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6.10</w:t>
      </w:r>
      <w:r>
        <w:rPr>
          <w:rFonts w:ascii="Arial" w:cs="Arial" w:eastAsia="Arial" w:hAnsi="Arial"/>
          <w:sz w:val="16"/>
          <w:szCs w:val="16"/>
          <w:color w:val="auto"/>
        </w:rPr>
        <w:t xml:space="preserve"> and, concurrently with any delivery of financial statements under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above, setting forth Borrower’s calculation of Excess Cash Flow and Borrower’s calculations, as of the date of such certificate, of the Cumulative Excess Cash Flow Amount and the Cumulative Equity Amount, and (C) showing a reconciliation of Consolidated EBITDA to the net income set forth on the statement of income; and (ii) concurrently with any delivery of financial statements under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above, beginning with the fiscal year ending December 31, 2007, a report of the accounting firm opining on or certifying such financial statements stating that in the course of its regular audit of the financial statements of Borrower and its Subsidiaries, which audit was conducted in accordance with generally accepted auditing standards, such accounting firm obtained no knowledge that any Event of Default insofar as it relates to financial or accounting matters has occurred or, if in the opinion of such accounting firm such an Event of Default has occurred, specifying the nature and extent thereof;</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firstLine="1953"/>
        <w:spacing w:after="0" w:line="286" w:lineRule="auto"/>
        <w:tabs>
          <w:tab w:leader="none" w:pos="2587"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Financial Officer’s Certificate Regarding Collateral</w:t>
      </w:r>
      <w:r>
        <w:rPr>
          <w:rFonts w:ascii="Arial" w:cs="Arial" w:eastAsia="Arial" w:hAnsi="Arial"/>
          <w:sz w:val="17"/>
          <w:szCs w:val="17"/>
          <w:color w:val="auto"/>
        </w:rPr>
        <w:t xml:space="preserve">. Concurrently with any delivery of financial statements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5.01(a)</w:t>
      </w:r>
      <w:r>
        <w:rPr>
          <w:rFonts w:ascii="Arial" w:cs="Arial" w:eastAsia="Arial" w:hAnsi="Arial"/>
          <w:sz w:val="17"/>
          <w:szCs w:val="17"/>
          <w:color w:val="auto"/>
        </w:rPr>
        <w:t>, a certificate of a Financial Officer setting forth the information required pursuant to the Perfection Certificate Supplement or confirming that there has been no change in such information since the date of the Perfection Certificate or latest Perfection Certificate Supplement;</w:t>
      </w: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right="60" w:firstLine="1953"/>
        <w:spacing w:after="0" w:line="279" w:lineRule="auto"/>
        <w:tabs>
          <w:tab w:leader="none" w:pos="2577"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Public Reports</w:t>
      </w:r>
      <w:r>
        <w:rPr>
          <w:rFonts w:ascii="Arial" w:cs="Arial" w:eastAsia="Arial" w:hAnsi="Arial"/>
          <w:sz w:val="17"/>
          <w:szCs w:val="17"/>
          <w:color w:val="auto"/>
        </w:rPr>
        <w:t>. Promptly after the same become publicly available, copies of all periodic and other reports, proxy statements and other materials filed by any Company with the Securities and Exchange Commission, or any Governmental Authority succeeding to any or all of the functions of said Commission, or with any national securities exchange, or distributed to holders of its Indebtedness pursuant to the terms of the documentation governing such Indebtedness (or any trustee, agent or other representative therefor), as the case may be;</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right="40" w:firstLine="1953"/>
        <w:spacing w:after="0" w:line="255" w:lineRule="auto"/>
        <w:tabs>
          <w:tab w:leader="none" w:pos="255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Budgets</w:t>
      </w:r>
      <w:r>
        <w:rPr>
          <w:rFonts w:ascii="Arial" w:cs="Arial" w:eastAsia="Arial" w:hAnsi="Arial"/>
          <w:sz w:val="18"/>
          <w:szCs w:val="18"/>
          <w:color w:val="auto"/>
        </w:rPr>
        <w:t>. Within 60 days after the beginning of each fiscal year, a budget for Borrower in form reasonably satisfactory to the Administrative Agent, but to include balance sheets, statements of income and sources and uses of cash, for (i) each month of such fiscal year prepared in detail and (ii) each fiscal year thereafter, through and including the fiscal year in which the Final Maturity Date occurs, prepared in summary form, in each case, with appropriate presentation and discussion of the principal assumptions upon which such budgets are based, accompanied by the statement of a Financial Officer of Borrower to the effect that the budget of Borrower is a reasonable estimate for the periods covered thereby and, promptly when available, any significant revisions of such budget;</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right="260" w:firstLine="1953"/>
        <w:spacing w:after="0" w:line="277" w:lineRule="auto"/>
        <w:tabs>
          <w:tab w:leader="none" w:pos="258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xml:space="preserve">. Concurrently with any delivery of financial statements under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an accurate organizational chart as required by </w:t>
      </w:r>
      <w:r>
        <w:rPr>
          <w:rFonts w:ascii="Arial" w:cs="Arial" w:eastAsia="Arial" w:hAnsi="Arial"/>
          <w:sz w:val="18"/>
          <w:szCs w:val="18"/>
          <w:u w:val="single" w:color="auto"/>
          <w:color w:val="auto"/>
        </w:rPr>
        <w:t>Section 3.07(c)</w:t>
      </w:r>
      <w:r>
        <w:rPr>
          <w:rFonts w:ascii="Arial" w:cs="Arial" w:eastAsia="Arial" w:hAnsi="Arial"/>
          <w:sz w:val="18"/>
          <w:szCs w:val="18"/>
          <w:color w:val="auto"/>
        </w:rPr>
        <w:t xml:space="preserve">, or confirmation that there are no changes to </w:t>
      </w:r>
      <w:r>
        <w:rPr>
          <w:rFonts w:ascii="Arial" w:cs="Arial" w:eastAsia="Arial" w:hAnsi="Arial"/>
          <w:sz w:val="18"/>
          <w:szCs w:val="18"/>
          <w:u w:val="single" w:color="auto"/>
          <w:color w:val="auto"/>
        </w:rPr>
        <w:t>Schedule 10</w:t>
      </w:r>
      <w:r>
        <w:rPr>
          <w:rFonts w:ascii="Arial" w:cs="Arial" w:eastAsia="Arial" w:hAnsi="Arial"/>
          <w:sz w:val="18"/>
          <w:szCs w:val="18"/>
          <w:color w:val="auto"/>
        </w:rPr>
        <w:t xml:space="preserve"> to the Perfection Certificate;</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540" w:firstLine="1953"/>
        <w:spacing w:after="0" w:line="264" w:lineRule="auto"/>
        <w:tabs>
          <w:tab w:leader="none" w:pos="258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Promptly provide copies of any Organizational Documents that have been amended or modified in accordance with the terms hereof and deliver a copy of any notice of default given or received by any Company under any Organizational Document within 15 days after such Company gives or receives such notice; and</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380" w:firstLine="1953"/>
        <w:spacing w:after="0" w:line="264" w:lineRule="auto"/>
        <w:tabs>
          <w:tab w:leader="none" w:pos="2547"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Promptly, from time to time, such other information regarding the operations, business affairs and financial condition of any Company, or compliance with the terms of any Loan Document, as the Administrative Agent or any Lender may reasonably request.</w:t>
      </w:r>
    </w:p>
    <w:p>
      <w:pPr>
        <w:spacing w:after="0" w:line="23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5.02</w:t>
      </w:r>
      <w:r>
        <w:rPr>
          <w:sz w:val="20"/>
          <w:szCs w:val="20"/>
          <w:color w:val="auto"/>
        </w:rPr>
        <w:tab/>
      </w:r>
      <w:r>
        <w:rPr>
          <w:rFonts w:ascii="Arial" w:cs="Arial" w:eastAsia="Arial" w:hAnsi="Arial"/>
          <w:sz w:val="16"/>
          <w:szCs w:val="16"/>
          <w:b w:val="1"/>
          <w:bCs w:val="1"/>
          <w:u w:val="single" w:color="auto"/>
          <w:color w:val="auto"/>
        </w:rPr>
        <w:t>Litigation and Other Notices</w:t>
      </w:r>
    </w:p>
    <w:p>
      <w:pPr>
        <w:spacing w:after="0" w:line="256" w:lineRule="exact"/>
        <w:rPr>
          <w:sz w:val="20"/>
          <w:szCs w:val="20"/>
          <w:color w:val="auto"/>
        </w:rPr>
      </w:pPr>
    </w:p>
    <w:p>
      <w:pPr>
        <w:ind w:right="640" w:firstLine="8"/>
        <w:spacing w:after="0" w:line="277" w:lineRule="auto"/>
        <w:tabs>
          <w:tab w:leader="none" w:pos="13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Furnish to the Administrative Agent and each Lender written notice of the following promptly (and, in any event, within three Business Days of the occurrence thereof):</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580" w:hanging="627"/>
        <w:spacing w:after="0"/>
        <w:tabs>
          <w:tab w:leader="none" w:pos="258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any Default, specifying the nature and extent thereof and the corrective action (if any) taken or proposed to be taken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thereto;</w:t>
      </w:r>
    </w:p>
    <w:p>
      <w:pPr>
        <w:sectPr>
          <w:pgSz w:w="11900" w:h="16838" w:orient="portrait"/>
          <w:cols w:equalWidth="0" w:num="1">
            <w:col w:w="11420"/>
          </w:cols>
          <w:pgMar w:left="240" w:top="152" w:right="239" w:bottom="45" w:gutter="0" w:footer="0" w:header="0"/>
        </w:sectPr>
      </w:pPr>
    </w:p>
    <w:bookmarkStart w:id="107" w:name="page108"/>
    <w:bookmarkEnd w:id="107"/>
    <w:p>
      <w:pPr>
        <w:jc w:val="both"/>
        <w:ind w:left="-1200" w:right="300" w:firstLine="1953"/>
        <w:spacing w:after="0" w:line="264" w:lineRule="auto"/>
        <w:tabs>
          <w:tab w:leader="none" w:pos="138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filing or commencement of, or any threat or notice of intention of any person to file or commence, any action, suit, litigation or proceeding, whether at law or in equity by or before any Governmental Authority, (i) against any Company or any Affiliate thereof that could reasonably be expected to result in a Material Adverse Effect or (ii) with respect to any Loan Document;</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1380" w:hanging="627"/>
        <w:spacing w:after="0"/>
        <w:tabs>
          <w:tab w:leader="none" w:pos="13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development that has resulted in, or could reasonably be expected to result in a Material Adverse Effect;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400" w:hanging="647"/>
        <w:spacing w:after="0"/>
        <w:tabs>
          <w:tab w:leader="none" w:pos="14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occurrence of a Casualty Event with respect to any material property of the Borrower or any of its Subsidiaries; and</w:t>
      </w: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1200" w:right="400" w:firstLine="1953"/>
        <w:spacing w:after="0" w:line="277" w:lineRule="auto"/>
        <w:tabs>
          <w:tab w:leader="none" w:pos="137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the incurrence of any material Lien (other than Permitted Collateral Liens) on, or claim asserted against any of the Collateral or (ii) the occurrence of any other event which could materially affect the value of the Collateral.</w:t>
      </w:r>
    </w:p>
    <w:p>
      <w:pPr>
        <w:spacing w:after="0" w:line="220"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Section 5.03</w:t>
      </w:r>
      <w:r>
        <w:rPr>
          <w:sz w:val="20"/>
          <w:szCs w:val="20"/>
          <w:color w:val="auto"/>
        </w:rPr>
        <w:tab/>
      </w:r>
      <w:r>
        <w:rPr>
          <w:rFonts w:ascii="Arial" w:cs="Arial" w:eastAsia="Arial" w:hAnsi="Arial"/>
          <w:sz w:val="15"/>
          <w:szCs w:val="15"/>
          <w:b w:val="1"/>
          <w:bCs w:val="1"/>
          <w:u w:val="single" w:color="auto"/>
          <w:color w:val="auto"/>
        </w:rPr>
        <w:t>Existence; Businesses and Properties</w:t>
      </w:r>
    </w:p>
    <w:p>
      <w:pPr>
        <w:spacing w:after="0" w:line="283" w:lineRule="exact"/>
        <w:rPr>
          <w:sz w:val="20"/>
          <w:szCs w:val="20"/>
          <w:color w:val="auto"/>
        </w:rPr>
      </w:pPr>
    </w:p>
    <w:p>
      <w:pPr>
        <w:ind w:left="-1200" w:right="280" w:firstLine="1953"/>
        <w:spacing w:after="0" w:line="264" w:lineRule="auto"/>
        <w:tabs>
          <w:tab w:leader="none" w:pos="137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Do or cause to be done all things necessary to preserve, renew and maintain in full force and effect its legal existence, except as otherwise expressly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or, in the case of any Subsidiary, where the failure to perform such obligations, individually or in the aggregate, could not reasonably be expected to result in a Material Adverse Effect.</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1200" w:right="60" w:firstLine="1953"/>
        <w:spacing w:after="0" w:line="268" w:lineRule="auto"/>
        <w:tabs>
          <w:tab w:leader="none" w:pos="138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Do or cause to be done all things necessary to obtain, preserve, renew, extend and keep in full force and effect the rights, licenses, permits, privileges, franchises, authorizations, patents, copyrights, trademarks and trade names material to the conduct of its business; pay and perform its obligations under all Acquisition Documents and all material Leases; conduct and operate such business in substantially the manner in which it is presently conducted and operated; comply with all applicable Requirements of Law (including any and all zoning, building, Environmental Law,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could not reasonably be expected to result in a Material Adverse Effect; pay and perform its obligations under all Loan Documents; and at all times maintain, preserve and protect all property material to the conduct of such business and keep such property in good repair, working order and condition (other than wear and tear occurring in the ordinary course of business) and from time to time make, or cause to be made, all needful and proper repairs, renewals, additions, improvements and replacements thereto necessary in order that the business carried on in connection therewith may be properly conducted at all times;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5.03(b)</w:t>
      </w:r>
      <w:r>
        <w:rPr>
          <w:rFonts w:ascii="Arial" w:cs="Arial" w:eastAsia="Arial" w:hAnsi="Arial"/>
          <w:sz w:val="17"/>
          <w:szCs w:val="17"/>
          <w:color w:val="auto"/>
        </w:rPr>
        <w:t xml:space="preserve"> shall prevent (i) sales of property, consolidations or mergers by or involving any Company in accordance with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6.06</w:t>
      </w:r>
      <w:r>
        <w:rPr>
          <w:rFonts w:ascii="Arial" w:cs="Arial" w:eastAsia="Arial" w:hAnsi="Arial"/>
          <w:sz w:val="17"/>
          <w:szCs w:val="17"/>
          <w:color w:val="auto"/>
        </w:rPr>
        <w:t>; (ii) the withdrawal by any Company of its qualification as a foreign corporation in any jurisdiction where such withdrawal, individually or in the aggregate, could not reasonably be expected to result in a Material Adverse Effect; or (iii) the abandonment by any Company of any rights, franchises, licenses, trademarks, trade names, copyrights or patents that such person reasonably determines are not useful to its business or no longer commercially desirable.</w:t>
      </w:r>
    </w:p>
    <w:p>
      <w:pPr>
        <w:spacing w:after="0" w:line="233"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8"/>
          <w:szCs w:val="18"/>
          <w:b w:val="1"/>
          <w:bCs w:val="1"/>
          <w:color w:val="auto"/>
        </w:rPr>
        <w:t>Section 5.04</w:t>
      </w:r>
      <w:r>
        <w:rPr>
          <w:sz w:val="20"/>
          <w:szCs w:val="20"/>
          <w:color w:val="auto"/>
        </w:rPr>
        <w:tab/>
      </w:r>
      <w:r>
        <w:rPr>
          <w:rFonts w:ascii="Arial" w:cs="Arial" w:eastAsia="Arial" w:hAnsi="Arial"/>
          <w:sz w:val="16"/>
          <w:szCs w:val="16"/>
          <w:b w:val="1"/>
          <w:bCs w:val="1"/>
          <w:u w:val="single" w:color="auto"/>
          <w:color w:val="auto"/>
        </w:rPr>
        <w:t>Insurance</w:t>
      </w:r>
    </w:p>
    <w:p>
      <w:pPr>
        <w:spacing w:after="0" w:line="283" w:lineRule="exact"/>
        <w:rPr>
          <w:sz w:val="20"/>
          <w:szCs w:val="20"/>
          <w:color w:val="auto"/>
        </w:rPr>
      </w:pPr>
    </w:p>
    <w:p>
      <w:pPr>
        <w:ind w:left="-1200" w:firstLine="1953"/>
        <w:spacing w:after="0" w:line="269" w:lineRule="auto"/>
        <w:tabs>
          <w:tab w:leader="none" w:pos="1377"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Keep its insurable property adequately insured at all times by financially sound and reputable insurers; maintain such other insurance, to such extent and against such risks as is customary with companies in the same or similar businesses operating in the same or similar locations, including insurance with respect to Mortgaged Properties and other properties material to the business of the Companies against such casualties and contingencies and of such types and in such amounts with such deductibles as is customary in the case of similar businesses operating in the same or similar locations, including (i) physical hazard insurance on an “all risk” basis, (ii) commercial general liability against claims for bodily injury, death or property damage covering any and all insurable claims, (iii) explosion insurance in respect of any boilers, machinery or similar apparatus constituting Collateral, (iv) business interruption insurance, (v) worker’s compensation insurance and such other insurance as may be required by any Requirement of Law and (vi) such other insurance against risks as the Administrative Agent may from time to time require (such policies to be in such form and amounts and having such coverage as may be reasonably satisfactory to the Administrative Agent and the Collateral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physical hazard insurance, neither the Collateral Agent nor the applicable Company shall agree to the adjustment of any material claim thereunder without the consent of the other (such consent not to be unreasonably withheld or delayed);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consent of any Company shall be required during an Event of Default.</w:t>
      </w:r>
    </w:p>
    <w:p>
      <w:pPr>
        <w:spacing w:after="0" w:line="200" w:lineRule="exact"/>
        <w:rPr>
          <w:rFonts w:ascii="Arial" w:cs="Arial" w:eastAsia="Arial" w:hAnsi="Arial"/>
          <w:sz w:val="17"/>
          <w:szCs w:val="17"/>
          <w:color w:val="auto"/>
        </w:rPr>
      </w:pPr>
    </w:p>
    <w:p>
      <w:pPr>
        <w:spacing w:after="0" w:line="277" w:lineRule="exact"/>
        <w:rPr>
          <w:rFonts w:ascii="Arial" w:cs="Arial" w:eastAsia="Arial" w:hAnsi="Arial"/>
          <w:sz w:val="17"/>
          <w:szCs w:val="17"/>
          <w:color w:val="auto"/>
        </w:rPr>
      </w:pPr>
    </w:p>
    <w:p>
      <w:pPr>
        <w:ind w:left="-1200" w:right="60" w:firstLine="1953"/>
        <w:spacing w:after="0" w:line="255" w:lineRule="auto"/>
        <w:tabs>
          <w:tab w:leader="none" w:pos="1387"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Requirements of Insurance</w:t>
      </w:r>
      <w:r>
        <w:rPr>
          <w:rFonts w:ascii="Arial" w:cs="Arial" w:eastAsia="Arial" w:hAnsi="Arial"/>
          <w:sz w:val="18"/>
          <w:szCs w:val="18"/>
          <w:color w:val="auto"/>
        </w:rPr>
        <w:t>. All such insurance policies held by Loan Parties shall (except as may otherwise be agreed by the Administrative Agent in its sole discretion) (i) provide that no cancellation, material reduction in amount or material change in coverage thereof shall be effective until at least 30 days after receipt by the Collateral Agent of written notice thereof, (ii) name the Collateral Agent as mortgagee (in the case of property insurance) or additional insured on behalf of the Secured Parties (in the case of liability insurance) or loss payee (in the case of property insurance), as applicable, (iii) if reasonably requested by the Collateral Agent, include a breach of warranty clause and (iv) be reasonably satisfactory in all other respects to the Collateral Agent.</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1200" w:right="20" w:firstLine="1953"/>
        <w:spacing w:after="0" w:line="264" w:lineRule="auto"/>
        <w:tabs>
          <w:tab w:leader="none" w:pos="1377"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Notice to Agents</w:t>
      </w:r>
      <w:r>
        <w:rPr>
          <w:rFonts w:ascii="Arial" w:cs="Arial" w:eastAsia="Arial" w:hAnsi="Arial"/>
          <w:sz w:val="18"/>
          <w:szCs w:val="18"/>
          <w:color w:val="auto"/>
        </w:rPr>
        <w:t xml:space="preserve">. Notify the Administrative Agent and the Collateral Agent immediately whenever any separate insurance concurrent in form or contributing in the event of loss with that required to be maintained under this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is taken out by any Company; and promptly deliver to the Administrative Agent and the Collateral Agent a duplicate original copy of such policy or policies.</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1200" w:right="40" w:firstLine="1953"/>
        <w:spacing w:after="0" w:line="257" w:lineRule="auto"/>
        <w:tabs>
          <w:tab w:leader="none" w:pos="1387"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Flood Insurance</w:t>
      </w:r>
      <w:r>
        <w:rPr>
          <w:rFonts w:ascii="Arial" w:cs="Arial" w:eastAsia="Arial" w:hAnsi="Arial"/>
          <w:sz w:val="18"/>
          <w:szCs w:val="18"/>
          <w:color w:val="auto"/>
        </w:rPr>
        <w:t>. With respect to each Mortgaged Property, obtain flood insurance in such total amount as the Administrative Agent or the Required Lenders may from time to time require, if at any time the area in which any improvements located on any Mortgaged Property is designated a “flood hazard area” in any Flood Insurance Rate Map published by the Federal Emergency Management Agency (or any successor agency), and otherwise comply with the National Flood Insurance Program as set forth in the Flood Disaster Protection Act of 1973, as amended from time to time.</w:t>
      </w:r>
    </w:p>
    <w:p>
      <w:pPr>
        <w:sectPr>
          <w:pgSz w:w="11900" w:h="16838" w:orient="portrait"/>
          <w:cols w:equalWidth="0" w:num="1">
            <w:col w:w="10220"/>
          </w:cols>
          <w:pgMar w:left="1440" w:top="395" w:right="239" w:bottom="0" w:gutter="0" w:footer="0" w:header="0"/>
        </w:sectPr>
      </w:pPr>
    </w:p>
    <w:bookmarkStart w:id="108" w:name="page109"/>
    <w:bookmarkEnd w:id="108"/>
    <w:p>
      <w:pPr>
        <w:ind w:left="-8" w:right="180" w:firstLine="1953"/>
        <w:spacing w:after="0" w:line="264" w:lineRule="auto"/>
        <w:tabs>
          <w:tab w:leader="none" w:pos="2569"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Broker’s Report</w:t>
      </w:r>
      <w:r>
        <w:rPr>
          <w:rFonts w:ascii="Arial" w:cs="Arial" w:eastAsia="Arial" w:hAnsi="Arial"/>
          <w:sz w:val="18"/>
          <w:szCs w:val="18"/>
          <w:color w:val="auto"/>
        </w:rPr>
        <w:t>. Deliver to the Administrative Agent and the Collateral Agent and the Lenders a report of a reputable insurance broker with respect to such insurance and such supplemental reports with respect thereto as the Administrative Agent or the Collateral Agent may from time to time reasonably request.</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8" w:right="100" w:firstLine="1953"/>
        <w:spacing w:after="0" w:line="284" w:lineRule="auto"/>
        <w:tabs>
          <w:tab w:leader="none" w:pos="2549"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Mortgaged Properties</w:t>
      </w:r>
      <w:r>
        <w:rPr>
          <w:rFonts w:ascii="Arial" w:cs="Arial" w:eastAsia="Arial" w:hAnsi="Arial"/>
          <w:sz w:val="16"/>
          <w:szCs w:val="16"/>
          <w:color w:val="auto"/>
        </w:rPr>
        <w:t xml:space="preserve">. No Loan Party that is an owner of Mortgaged Property shall take any action that is reasonably likely to be the basis for termination, revocation or denial of any insurance coverage required to be maintained under such Loan Party’s respective Mortgage or that could be the basis for a defense to any claim under any Insurance Policy maintained in respect of the Premises, and each Loan Party shall otherwise comply in all material respects with all Insurance Requirements in respect of the Premises;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each Loan Party may, at its own expense and after written notice to the Administrative Agent, (i) contest the applicability or enforceability of any such Insurance Requirements by appropriate legal proceedings, the prosecution of which does not constitute a basis for cancellation or revocation of any insurance coverage required under this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or</w:t>
      </w:r>
    </w:p>
    <w:p>
      <w:pPr>
        <w:spacing w:after="0" w:line="4" w:lineRule="exact"/>
        <w:rPr>
          <w:rFonts w:ascii="Arial" w:cs="Arial" w:eastAsia="Arial" w:hAnsi="Arial"/>
          <w:sz w:val="16"/>
          <w:szCs w:val="16"/>
          <w:color w:val="auto"/>
        </w:rPr>
      </w:pPr>
    </w:p>
    <w:p>
      <w:pPr>
        <w:ind w:left="272" w:hanging="272"/>
        <w:spacing w:after="0"/>
        <w:tabs>
          <w:tab w:leader="none" w:pos="27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cause the Insurance Policy containing any such Insurance Requirement to be replaced by a new policy complying with the provisions of this </w:t>
      </w:r>
      <w:r>
        <w:rPr>
          <w:rFonts w:ascii="Arial" w:cs="Arial" w:eastAsia="Arial" w:hAnsi="Arial"/>
          <w:sz w:val="16"/>
          <w:szCs w:val="16"/>
          <w:u w:val="single" w:color="auto"/>
          <w:color w:val="auto"/>
        </w:rPr>
        <w:t>Section 5.04</w:t>
      </w:r>
      <w:r>
        <w:rPr>
          <w:rFonts w:ascii="Arial" w:cs="Arial" w:eastAsia="Arial" w:hAnsi="Arial"/>
          <w:sz w:val="16"/>
          <w:szCs w:val="16"/>
          <w:color w:val="auto"/>
        </w:rPr>
        <w:t>.</w:t>
      </w:r>
    </w:p>
    <w:p>
      <w:pPr>
        <w:spacing w:after="0" w:line="284"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5.05</w:t>
      </w:r>
      <w:r>
        <w:rPr>
          <w:sz w:val="20"/>
          <w:szCs w:val="20"/>
          <w:color w:val="auto"/>
        </w:rPr>
        <w:tab/>
      </w:r>
      <w:r>
        <w:rPr>
          <w:rFonts w:ascii="Arial" w:cs="Arial" w:eastAsia="Arial" w:hAnsi="Arial"/>
          <w:sz w:val="15"/>
          <w:szCs w:val="15"/>
          <w:b w:val="1"/>
          <w:bCs w:val="1"/>
          <w:u w:val="single" w:color="auto"/>
          <w:color w:val="auto"/>
        </w:rPr>
        <w:t>Obligations and Taxes</w:t>
      </w:r>
    </w:p>
    <w:p>
      <w:pPr>
        <w:spacing w:after="0" w:line="283" w:lineRule="exact"/>
        <w:rPr>
          <w:sz w:val="20"/>
          <w:szCs w:val="20"/>
          <w:color w:val="auto"/>
        </w:rPr>
      </w:pPr>
    </w:p>
    <w:p>
      <w:pPr>
        <w:ind w:left="-8" w:right="80" w:firstLine="1953"/>
        <w:spacing w:after="0" w:line="289" w:lineRule="auto"/>
        <w:tabs>
          <w:tab w:leader="none" w:pos="2569"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Payment of Obligations</w:t>
      </w:r>
      <w:r>
        <w:rPr>
          <w:rFonts w:ascii="Arial" w:cs="Arial" w:eastAsia="Arial" w:hAnsi="Arial"/>
          <w:sz w:val="16"/>
          <w:szCs w:val="16"/>
          <w:color w:val="auto"/>
        </w:rPr>
        <w:t xml:space="preserve">. Pay its Indebtedness and other obligations promptly and in accordance with their terms and pay and discharge promptly when due all Taxes, assessments and governmental charges or levies imposed upon it or upon its income or profits or in respect of its property, before the same shall become delinquent or in default, as well as all lawful claims for labor, services, materials and supplies or otherwise that, if unpaid, might give rise to a Lien other than a Permitted Lien upon such properties or any part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payment and discharge shall not be required with respect to any such Tax, assessment, charge, levy or claim so long as (x)(i) the validity or amount thereof shall be contested in good faith by appropriate proceedings timely instituted and diligently conducted and the applicable Company shall have set aside on its books adequate reserves or other appropriate provisions with respect thereto in accordance with GAAP, (ii) such contest operates to suspend collection of the contested obligation, Tax, assessment or charge and enforcement of a Lien other than a Permitted Lien and (iii) in the case of Collateral, the applicable Company shall have otherwise complied with the Contested Collateral Lien Conditions and (y) the failure to pay could not reasonably be expected to result in a Material Adverse Effect.</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8" w:firstLine="1953"/>
        <w:spacing w:after="0" w:line="277" w:lineRule="auto"/>
        <w:tabs>
          <w:tab w:leader="none" w:pos="2579"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Filing of Returns</w:t>
      </w:r>
      <w:r>
        <w:rPr>
          <w:rFonts w:ascii="Arial" w:cs="Arial" w:eastAsia="Arial" w:hAnsi="Arial"/>
          <w:sz w:val="18"/>
          <w:szCs w:val="18"/>
          <w:color w:val="auto"/>
        </w:rPr>
        <w:t>. Timely and correctly file all material Tax Returns required to be filed by it. Withhold, collect and remit all Taxes that it is required to collect, withhold or remit.</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8" w:right="20" w:firstLine="1953"/>
        <w:spacing w:after="0" w:line="264" w:lineRule="auto"/>
        <w:tabs>
          <w:tab w:leader="none" w:pos="2569"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Tax Shelter Reporting</w:t>
      </w:r>
      <w:r>
        <w:rPr>
          <w:rFonts w:ascii="Arial" w:cs="Arial" w:eastAsia="Arial" w:hAnsi="Arial"/>
          <w:sz w:val="18"/>
          <w:szCs w:val="18"/>
          <w:color w:val="auto"/>
        </w:rPr>
        <w:t>. Borrower does not intend to treat the Loans as being a “reportable transaction” within the meaning of Treasury Regulation Section 1.6011-4. In the event Borrower determines to take any action inconsistent with such intention, it will promptly notify the Administrative Agent thereof.</w:t>
      </w:r>
    </w:p>
    <w:p>
      <w:pPr>
        <w:spacing w:after="0" w:line="231"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5.06</w:t>
      </w:r>
      <w:r>
        <w:rPr>
          <w:sz w:val="20"/>
          <w:szCs w:val="20"/>
          <w:color w:val="auto"/>
        </w:rPr>
        <w:tab/>
      </w:r>
      <w:r>
        <w:rPr>
          <w:rFonts w:ascii="Arial" w:cs="Arial" w:eastAsia="Arial" w:hAnsi="Arial"/>
          <w:sz w:val="15"/>
          <w:szCs w:val="15"/>
          <w:b w:val="1"/>
          <w:bCs w:val="1"/>
          <w:u w:val="single" w:color="auto"/>
          <w:color w:val="auto"/>
        </w:rPr>
        <w:t>Employee Benefits</w:t>
      </w:r>
    </w:p>
    <w:p>
      <w:pPr>
        <w:spacing w:after="0" w:line="283" w:lineRule="exact"/>
        <w:rPr>
          <w:sz w:val="20"/>
          <w:szCs w:val="20"/>
          <w:color w:val="auto"/>
        </w:rPr>
      </w:pPr>
    </w:p>
    <w:p>
      <w:pPr>
        <w:ind w:left="-8" w:right="20" w:firstLine="1953"/>
        <w:spacing w:after="0" w:line="253" w:lineRule="auto"/>
        <w:tabs>
          <w:tab w:leader="none" w:pos="256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Comply in all material respects with the applicable provisions of ERISA and the Code and (b) furnish to the Administrative Agent (x) as soon as possible after, and in any event within five days after any Responsible Officer of any Company or any ERISA Affiliates of any Company knows or has reason to know that, any ERISA Event has occurred that, alone or together with any other ERISA Event could reasonably be expected to result in liability of the Companies or any of their ERISA Affiliates in an aggregate amount exceeding $10.0 million or the imposition of Liens securing actual or asserted liability in an aggregate amount exceeding $10.0 million, a statement of a Financial Officer of Borrower setting forth details as to such ERISA Event and the action, if any, that the Companies propose to take with respect thereto, and (y) upon request by the Administrative Agent, copies of (i) each Schedule B (Actuarial Information) to the annual report (Form 5500 Series) filed by any Company or any ERISA Affiliate with the Internal Revenue Service with respect to each Plan; (ii) the most recent actuarial valuation report for each Plan; (iii) all notices received by any Company or any ERISA Affiliate from a Multiemployer Plan sponsor or any governmental agency concerning an ERISA Event; and (iv) such other documents or governmental reports or filings relating to any Plan (or employee benefit plan sponsored or contributed to by any Company) as the Administrative Agent shall reasonably request.</w:t>
      </w:r>
    </w:p>
    <w:p>
      <w:pPr>
        <w:spacing w:after="0" w:line="243"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5.07</w:t>
      </w:r>
      <w:r>
        <w:rPr>
          <w:sz w:val="20"/>
          <w:szCs w:val="20"/>
          <w:color w:val="auto"/>
        </w:rPr>
        <w:tab/>
      </w:r>
      <w:r>
        <w:rPr>
          <w:rFonts w:ascii="Arial" w:cs="Arial" w:eastAsia="Arial" w:hAnsi="Arial"/>
          <w:sz w:val="16"/>
          <w:szCs w:val="16"/>
          <w:b w:val="1"/>
          <w:bCs w:val="1"/>
          <w:u w:val="single" w:color="auto"/>
          <w:color w:val="auto"/>
        </w:rPr>
        <w:t>Maintaining Records; Access to Properties and Inspections; Annual Meetings</w:t>
      </w:r>
    </w:p>
    <w:p>
      <w:pPr>
        <w:spacing w:after="0" w:line="283" w:lineRule="exact"/>
        <w:rPr>
          <w:sz w:val="20"/>
          <w:szCs w:val="20"/>
          <w:color w:val="auto"/>
        </w:rPr>
      </w:pPr>
    </w:p>
    <w:p>
      <w:pPr>
        <w:ind w:left="-8" w:right="20" w:firstLine="1953"/>
        <w:spacing w:after="0" w:line="255" w:lineRule="auto"/>
        <w:tabs>
          <w:tab w:leader="none" w:pos="256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Keep proper books of record and account in which full, true and correct entries in conformity with GAAP and all Requirements of Law are made of all dealings and transactions in relation to its business and activities. Each Company will permit any representatives designated by the Administrative Agent or any Lender to visit and inspect the financial records and the property of such Company at reasonable times and as often as reasonably requested and to make extracts from and copies of such financial records, and permit any representatives designated by the Administrative Agent or any Lender to discuss the affairs, finances, accounts and condition of any Company with Responsible Officers thereof and advisors therefor (including independent accountants).</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8" w:firstLine="1953"/>
        <w:spacing w:after="0" w:line="302" w:lineRule="auto"/>
        <w:tabs>
          <w:tab w:leader="none" w:pos="2579"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Within 150 days after the end of each fiscal year of the Companies, at the request of the Administrative Agent or Required Lenders, hold a meeting (at a mutually agreeable location, venue and time or, at the option of the Administrative Agent, by conference call, the costs of such venue or call to be paid by Borrower) with all Lenders who choose to attend such meeting, at which meeting shall be reviewed the financial results of the previous fiscal year and the financial condition of the Companies and the budgets presented for the current fiscal year of the Companies.</w:t>
      </w:r>
    </w:p>
    <w:p>
      <w:pPr>
        <w:spacing w:after="0" w:line="204"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5.08</w:t>
      </w:r>
      <w:r>
        <w:rPr>
          <w:sz w:val="20"/>
          <w:szCs w:val="20"/>
          <w:color w:val="auto"/>
        </w:rPr>
        <w:tab/>
      </w:r>
      <w:r>
        <w:rPr>
          <w:rFonts w:ascii="Arial" w:cs="Arial" w:eastAsia="Arial" w:hAnsi="Arial"/>
          <w:sz w:val="15"/>
          <w:szCs w:val="15"/>
          <w:b w:val="1"/>
          <w:bCs w:val="1"/>
          <w:u w:val="single" w:color="auto"/>
          <w:color w:val="auto"/>
        </w:rPr>
        <w:t>Use of Proceeds</w:t>
      </w:r>
    </w:p>
    <w:p>
      <w:pPr>
        <w:spacing w:after="0" w:line="256" w:lineRule="exact"/>
        <w:rPr>
          <w:sz w:val="20"/>
          <w:szCs w:val="20"/>
          <w:color w:val="auto"/>
        </w:rPr>
      </w:pPr>
    </w:p>
    <w:p>
      <w:pPr>
        <w:ind w:left="-8" w:right="160" w:firstLine="8"/>
        <w:spacing w:after="0" w:line="277" w:lineRule="auto"/>
        <w:tabs>
          <w:tab w:leader="none" w:pos="12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Use the proceeds of the Loans only for the purposes set forth in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and request the issuance of Letters of Credit only for the purposes set forth in the definition of Commercial Letter of Credit or Standby Letter of Credit, as the case may be.</w:t>
      </w:r>
    </w:p>
    <w:p>
      <w:pPr>
        <w:spacing w:after="0" w:line="220" w:lineRule="exact"/>
        <w:rPr>
          <w:sz w:val="20"/>
          <w:szCs w:val="20"/>
          <w:color w:val="auto"/>
        </w:rPr>
      </w:pPr>
    </w:p>
    <w:p>
      <w:pPr>
        <w:ind w:left="1292"/>
        <w:spacing w:after="0"/>
        <w:tabs>
          <w:tab w:leader="none" w:pos="2632" w:val="left"/>
        </w:tabs>
        <w:rPr>
          <w:sz w:val="20"/>
          <w:szCs w:val="20"/>
          <w:color w:val="auto"/>
        </w:rPr>
      </w:pPr>
      <w:r>
        <w:rPr>
          <w:rFonts w:ascii="Arial" w:cs="Arial" w:eastAsia="Arial" w:hAnsi="Arial"/>
          <w:sz w:val="18"/>
          <w:szCs w:val="18"/>
          <w:b w:val="1"/>
          <w:bCs w:val="1"/>
          <w:color w:val="auto"/>
        </w:rPr>
        <w:t>Section 5.09</w:t>
      </w:r>
      <w:r>
        <w:rPr>
          <w:sz w:val="20"/>
          <w:szCs w:val="20"/>
          <w:color w:val="auto"/>
        </w:rPr>
        <w:tab/>
      </w:r>
      <w:r>
        <w:rPr>
          <w:rFonts w:ascii="Arial" w:cs="Arial" w:eastAsia="Arial" w:hAnsi="Arial"/>
          <w:sz w:val="16"/>
          <w:szCs w:val="16"/>
          <w:b w:val="1"/>
          <w:bCs w:val="1"/>
          <w:u w:val="single" w:color="auto"/>
          <w:color w:val="auto"/>
        </w:rPr>
        <w:t>Compliance with Environmental Laws; Environmental Reports</w:t>
      </w:r>
    </w:p>
    <w:p>
      <w:pPr>
        <w:sectPr>
          <w:pgSz w:w="11900" w:h="16838" w:orient="portrait"/>
          <w:cols w:equalWidth="0" w:num="1">
            <w:col w:w="11412"/>
          </w:cols>
          <w:pgMar w:left="248" w:top="638" w:right="239" w:bottom="0" w:gutter="0" w:footer="0" w:header="0"/>
        </w:sectPr>
      </w:pPr>
    </w:p>
    <w:bookmarkStart w:id="109" w:name="page110"/>
    <w:bookmarkEnd w:id="109"/>
    <w:p>
      <w:pPr>
        <w:ind w:right="20" w:firstLine="1953"/>
        <w:spacing w:after="0" w:line="297" w:lineRule="auto"/>
        <w:tabs>
          <w:tab w:leader="none" w:pos="257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Comply, and cause all lessees and other persons occupying Real Property owned, operated or leased by any Company to comply, in all material respects with all Environmental Laws and Environmental Permits applicable to its operations and Real Property; obtain and renew all material Environmental Permits applicable to its operations and Real Property; and conduct all Responses required by, and in accordance with, Environmental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Company shall be required to undertake any Response to the extent that its obligation to do so is being contested in good faith and by proper proceedings and appropriate reserves are being maintained with respect to such circumstances in accordance with GAAP.</w:t>
      </w:r>
    </w:p>
    <w:p>
      <w:pPr>
        <w:spacing w:after="0" w:line="200" w:lineRule="exact"/>
        <w:rPr>
          <w:rFonts w:ascii="Arial" w:cs="Arial" w:eastAsia="Arial" w:hAnsi="Arial"/>
          <w:sz w:val="16"/>
          <w:szCs w:val="16"/>
          <w:color w:val="auto"/>
        </w:rPr>
      </w:pPr>
    </w:p>
    <w:p>
      <w:pPr>
        <w:spacing w:after="0" w:line="255" w:lineRule="exact"/>
        <w:rPr>
          <w:rFonts w:ascii="Arial" w:cs="Arial" w:eastAsia="Arial" w:hAnsi="Arial"/>
          <w:sz w:val="16"/>
          <w:szCs w:val="16"/>
          <w:color w:val="auto"/>
        </w:rPr>
      </w:pPr>
    </w:p>
    <w:p>
      <w:pPr>
        <w:ind w:right="140" w:firstLine="1953"/>
        <w:spacing w:after="0" w:line="293" w:lineRule="auto"/>
        <w:tabs>
          <w:tab w:leader="none" w:pos="258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If a Default caused by reason of a breach of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5.09(a)</w:t>
      </w:r>
      <w:r>
        <w:rPr>
          <w:rFonts w:ascii="Arial" w:cs="Arial" w:eastAsia="Arial" w:hAnsi="Arial"/>
          <w:sz w:val="16"/>
          <w:szCs w:val="16"/>
          <w:color w:val="auto"/>
        </w:rPr>
        <w:t xml:space="preserve"> shall have occurred and be continuing for more than 20 days without the Companies commencing activities reasonably likely to cure such Default in accordance with Environmental Laws, at the written request of the Administrative Agent or the Required Lenders through the Administrative Agent, provide to the Lenders within 45 days after such request, at the expense of Borrower, an environmental assessment report regarding the matters which are the subject of such Default, including, where appropriate, soil and/or groundwater sampling, prepared by an environmental consulting firm and, in the form and substance, reasonably acceptable to the Administrative Agent and indicating the presence or absence of Hazardous Materials and the estimated cost of any compliance or Response to address them.</w:t>
      </w:r>
    </w:p>
    <w:p>
      <w:pPr>
        <w:spacing w:after="0" w:line="21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5.10</w:t>
      </w:r>
      <w:r>
        <w:rPr>
          <w:sz w:val="20"/>
          <w:szCs w:val="20"/>
          <w:color w:val="auto"/>
        </w:rPr>
        <w:tab/>
      </w:r>
      <w:r>
        <w:rPr>
          <w:rFonts w:ascii="Arial" w:cs="Arial" w:eastAsia="Arial" w:hAnsi="Arial"/>
          <w:sz w:val="16"/>
          <w:szCs w:val="16"/>
          <w:b w:val="1"/>
          <w:bCs w:val="1"/>
          <w:u w:val="single" w:color="auto"/>
          <w:color w:val="auto"/>
        </w:rPr>
        <w:t>Additional Collateral; Additional Subsidiary Guarantors</w:t>
      </w:r>
    </w:p>
    <w:p>
      <w:pPr>
        <w:spacing w:after="0" w:line="283" w:lineRule="exact"/>
        <w:rPr>
          <w:sz w:val="20"/>
          <w:szCs w:val="20"/>
          <w:color w:val="auto"/>
        </w:rPr>
      </w:pPr>
    </w:p>
    <w:p>
      <w:pPr>
        <w:ind w:right="160" w:firstLine="1953"/>
        <w:spacing w:after="0" w:line="284" w:lineRule="auto"/>
        <w:tabs>
          <w:tab w:leader="none" w:pos="257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Subject to this </w:t>
      </w:r>
      <w:r>
        <w:rPr>
          <w:rFonts w:ascii="Arial" w:cs="Arial" w:eastAsia="Arial" w:hAnsi="Arial"/>
          <w:sz w:val="16"/>
          <w:szCs w:val="16"/>
          <w:u w:val="single" w:color="auto"/>
          <w:color w:val="auto"/>
        </w:rPr>
        <w:t>Section 5.10</w:t>
      </w:r>
      <w:r>
        <w:rPr>
          <w:rFonts w:ascii="Arial" w:cs="Arial" w:eastAsia="Arial" w:hAnsi="Arial"/>
          <w:sz w:val="16"/>
          <w:szCs w:val="16"/>
          <w:color w:val="auto"/>
        </w:rPr>
        <w:t>, with respect to any property acquired after the Closing Date by any Loan Party that is intended to be subject to the Lien created by any of the Security Documents but is not so subject, promptly (and in any event within 30 days after the acquisition thereof) (i) execute and deliver to the Administrative Agent and the Collateral Agent such amendments or supplements to the relevant Security Documents or such other documents as the Administrative Agent or the Collateral Agent shall deem necessary or advisable to grant to the Collateral Agent, for its benefit and for the benefit of the other Secured Parties, a Lien on such property subject to no Liens other than Permitted Collateral Liens, and (ii) take all actions necessary to cause such Lien to be duly perfected to the extent required by such Security Document in accordance with all applicable Requirements of Law, including the filing of financing statements in such jurisdictions as may be reasonably requested by the Administrative</w:t>
      </w:r>
    </w:p>
    <w:p>
      <w:pPr>
        <w:spacing w:after="0" w:line="2" w:lineRule="exact"/>
        <w:rPr>
          <w:rFonts w:ascii="Arial" w:cs="Arial" w:eastAsia="Arial" w:hAnsi="Arial"/>
          <w:sz w:val="16"/>
          <w:szCs w:val="16"/>
          <w:color w:val="auto"/>
        </w:rPr>
      </w:pPr>
    </w:p>
    <w:p>
      <w:pPr>
        <w:ind w:right="380"/>
        <w:spacing w:after="0" w:line="323" w:lineRule="auto"/>
        <w:rPr>
          <w:rFonts w:ascii="Arial" w:cs="Arial" w:eastAsia="Arial" w:hAnsi="Arial"/>
          <w:sz w:val="16"/>
          <w:szCs w:val="16"/>
          <w:color w:val="auto"/>
        </w:rPr>
      </w:pPr>
      <w:r>
        <w:rPr>
          <w:rFonts w:ascii="Arial" w:cs="Arial" w:eastAsia="Arial" w:hAnsi="Arial"/>
          <w:sz w:val="16"/>
          <w:szCs w:val="16"/>
          <w:color w:val="auto"/>
        </w:rPr>
        <w:t>Agent. Borrower shall otherwise take such actions and execute and/or deliver to the Collateral Agent such documents as the Administrative Agent or the Collateral Agent shall require to confirm the validity, perfection and priority of the Lien of the Security Documents on such after-acquired properties.</w:t>
      </w: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ind w:firstLine="1953"/>
        <w:spacing w:after="0" w:line="284" w:lineRule="auto"/>
        <w:tabs>
          <w:tab w:leader="none" w:pos="258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With respect to any person that is or becomes a Subsidiary after the Closing Date, promptly (and in any event within 30 days after such person becomes a Subsidiary (it being understood that for purposes of this clause (b), any Subsidiary with respect to which the second sentence of this clause (b) applies shall be deemed to have become a Subsidiary at such time as the provisions of the second sentence of this clause (b) shall cease to apply) (i) deliver to the Collateral Agent the certificates, if any, representing all of the Equity Interests of such Subsidiary, together with undated stock powers or other appropriate instruments of transfer executed and delivered in blank by a duly authorized officer of the holder(s) of such Equity Interests, and all intercompany notes owing from such Subsidiary to any Loan Party together with instruments of transfer executed and delivered in blank by a duly authorized officer of such Loan Party and (ii) cause such new Subsidiary (A) to execute a Joinder Agreement or such comparable documentation to become a Subsidiary Guarantor and a joinder agreement to the applicable Security Agreement, substantially in the form annexed thereto or, in the case of a Foreign Subsidiary, execute a security agreement compatible with the laws of such Foreign Subsidiary’s jurisdiction in form and substance reasonably satisfactory to the Administrative Agent, and (B) to take all actions necessary or advisable in the opinion of the Administrative Agent or the Collateral Agent to cause the Lien created by the applicable Security Agreement to be duly perfected to the extent required by such agreement in accordance with all applicable Requirements of Law, including the filing of financing statements in such jurisdictions as may be reasonably requested by the Administrative Agent or the Collateral Agent. Notwithstanding the foregoing, (x) (1) the Equity Interests required to be delivered to the Collateral Agent upon the creation or acquisition of a Foreign Subsidiary after the Closing Date pursuant to clause (i) of this </w:t>
      </w:r>
      <w:r>
        <w:rPr>
          <w:rFonts w:ascii="Arial" w:cs="Arial" w:eastAsia="Arial" w:hAnsi="Arial"/>
          <w:sz w:val="16"/>
          <w:szCs w:val="16"/>
          <w:u w:val="single" w:color="auto"/>
          <w:color w:val="auto"/>
        </w:rPr>
        <w:t>Section 5.10(b)</w:t>
      </w:r>
      <w:r>
        <w:rPr>
          <w:rFonts w:ascii="Arial" w:cs="Arial" w:eastAsia="Arial" w:hAnsi="Arial"/>
          <w:sz w:val="16"/>
          <w:szCs w:val="16"/>
          <w:color w:val="auto"/>
        </w:rPr>
        <w:t xml:space="preserve"> shall not include any Equity Interests of a Foreign Subsidiary created or acquired after the Closing Date, and (2) no Foreign Subsidiary shall be required to take the actions specified in clause (ii)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5.10(b)</w:t>
      </w:r>
      <w:r>
        <w:rPr>
          <w:rFonts w:ascii="Arial" w:cs="Arial" w:eastAsia="Arial" w:hAnsi="Arial"/>
          <w:sz w:val="16"/>
          <w:szCs w:val="16"/>
          <w:color w:val="auto"/>
        </w:rPr>
        <w:t xml:space="preserve">, if, in the case of either clause (1) or (2), doing so would constitute an investment of earnings in United States property under Section 956 (or a successor provision) of the Code, which investment would or could reasonably be expected to trigger an increase in the net income of a United States shareholder of such Subsidiary pursuant to Section 951 (or a successor provision) of the Code, as reasonably determined by the Administrative Agent;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this exception shall not apply to (A) Voting Stock of any Subsidiary which is a first-tier controlled foreign corporation (as defined in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957(a) of the Code) representing 66% of the total voting power of all outstanding Voting Stock of such Subsidiary and (B) 100% of the Equity Interests not constituting Voting Stock of any such Subsidiary, except that any such Equity Interests constituting “stock entitled to vote” within the meaning of Treasury Regulation Section 1.956-2(c)(2) shall be treated as Voting Stock for purposes of this </w:t>
      </w:r>
      <w:r>
        <w:rPr>
          <w:rFonts w:ascii="Arial" w:cs="Arial" w:eastAsia="Arial" w:hAnsi="Arial"/>
          <w:sz w:val="16"/>
          <w:szCs w:val="16"/>
          <w:u w:val="single" w:color="auto"/>
          <w:color w:val="auto"/>
        </w:rPr>
        <w:t>Section 5.10(b)</w:t>
      </w:r>
      <w:r>
        <w:rPr>
          <w:rFonts w:ascii="Arial" w:cs="Arial" w:eastAsia="Arial" w:hAnsi="Arial"/>
          <w:sz w:val="16"/>
          <w:szCs w:val="16"/>
          <w:color w:val="auto"/>
        </w:rPr>
        <w:t xml:space="preserve"> and (y) (1) the Equity Interests required to be delivered to the Collateral Agent pursuant to clause (i) of this </w:t>
      </w:r>
      <w:r>
        <w:rPr>
          <w:rFonts w:ascii="Arial" w:cs="Arial" w:eastAsia="Arial" w:hAnsi="Arial"/>
          <w:sz w:val="16"/>
          <w:szCs w:val="16"/>
          <w:u w:val="single" w:color="auto"/>
          <w:color w:val="auto"/>
        </w:rPr>
        <w:t>Section 5.10(b)</w:t>
      </w:r>
      <w:r>
        <w:rPr>
          <w:rFonts w:ascii="Arial" w:cs="Arial" w:eastAsia="Arial" w:hAnsi="Arial"/>
          <w:sz w:val="16"/>
          <w:szCs w:val="16"/>
          <w:color w:val="auto"/>
        </w:rPr>
        <w:t xml:space="preserve"> shall not include any Equity Interests of an Outsourcing Project Subsidiary so long as the terms of any Outsourcing Project Indebtedness of such Outsourcing Project Subsidiary permitted under </w:t>
      </w:r>
      <w:r>
        <w:rPr>
          <w:rFonts w:ascii="Arial" w:cs="Arial" w:eastAsia="Arial" w:hAnsi="Arial"/>
          <w:sz w:val="16"/>
          <w:szCs w:val="16"/>
          <w:u w:val="single" w:color="auto"/>
          <w:color w:val="auto"/>
        </w:rPr>
        <w:t>Section 6.01(m)</w:t>
      </w:r>
      <w:r>
        <w:rPr>
          <w:rFonts w:ascii="Arial" w:cs="Arial" w:eastAsia="Arial" w:hAnsi="Arial"/>
          <w:sz w:val="16"/>
          <w:szCs w:val="16"/>
          <w:color w:val="auto"/>
        </w:rPr>
        <w:t xml:space="preserve"> (or the terms of any related Outsourcing Project Guarantee permitted under </w:t>
      </w:r>
      <w:r>
        <w:rPr>
          <w:rFonts w:ascii="Arial" w:cs="Arial" w:eastAsia="Arial" w:hAnsi="Arial"/>
          <w:sz w:val="16"/>
          <w:szCs w:val="16"/>
          <w:u w:val="single" w:color="auto"/>
          <w:color w:val="auto"/>
        </w:rPr>
        <w:t>Section 6.01(m)</w:t>
      </w:r>
      <w:r>
        <w:rPr>
          <w:rFonts w:ascii="Arial" w:cs="Arial" w:eastAsia="Arial" w:hAnsi="Arial"/>
          <w:sz w:val="16"/>
          <w:szCs w:val="16"/>
          <w:color w:val="auto"/>
        </w:rPr>
        <w:t xml:space="preserve">) preclude the pledge of the Equity Interests of such Outsourcing Project Subsidiary and (2) no Outsourcing Project Subsidiary shall be required to take the actions specified in clause (ii) of this </w:t>
      </w:r>
      <w:r>
        <w:rPr>
          <w:rFonts w:ascii="Arial" w:cs="Arial" w:eastAsia="Arial" w:hAnsi="Arial"/>
          <w:sz w:val="16"/>
          <w:szCs w:val="16"/>
          <w:u w:val="single" w:color="auto"/>
          <w:color w:val="auto"/>
        </w:rPr>
        <w:t>Section 5.10(b)</w:t>
      </w:r>
      <w:r>
        <w:rPr>
          <w:rFonts w:ascii="Arial" w:cs="Arial" w:eastAsia="Arial" w:hAnsi="Arial"/>
          <w:sz w:val="16"/>
          <w:szCs w:val="16"/>
          <w:color w:val="auto"/>
        </w:rPr>
        <w:t xml:space="preserve"> so long as such Outsourcing Project Subsidiary has any Outsourcing Project Indebtedness permitted under </w:t>
      </w:r>
      <w:r>
        <w:rPr>
          <w:rFonts w:ascii="Arial" w:cs="Arial" w:eastAsia="Arial" w:hAnsi="Arial"/>
          <w:sz w:val="16"/>
          <w:szCs w:val="16"/>
          <w:u w:val="single" w:color="auto"/>
          <w:color w:val="auto"/>
        </w:rPr>
        <w:t>Section 6.01(m)</w:t>
      </w:r>
      <w:r>
        <w:rPr>
          <w:rFonts w:ascii="Arial" w:cs="Arial" w:eastAsia="Arial" w:hAnsi="Arial"/>
          <w:sz w:val="16"/>
          <w:szCs w:val="16"/>
          <w:color w:val="auto"/>
        </w:rPr>
        <w:t xml:space="preserve"> that by its terms precludes such Outsourcing Project Subsidiary from becoming party this Agreement and any applicable Security Documents.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5" w:lineRule="exact"/>
        <w:rPr>
          <w:rFonts w:ascii="Arial" w:cs="Arial" w:eastAsia="Arial" w:hAnsi="Arial"/>
          <w:sz w:val="16"/>
          <w:szCs w:val="16"/>
          <w:color w:val="auto"/>
        </w:rPr>
      </w:pPr>
    </w:p>
    <w:p>
      <w:pPr>
        <w:ind w:right="20" w:firstLine="1953"/>
        <w:spacing w:after="0" w:line="286" w:lineRule="auto"/>
        <w:tabs>
          <w:tab w:leader="none" w:pos="257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Promptly grant to the Collateral Agent, within 30 days of the acquisition thereof, a security interest in and Mortgage on (i) each Real Property owned in fee by such Loan Party as is acquired by such Loan Party after the Closing Date and that, together with any improvements thereon, individually has a fair market value of at least $2.5 million, and (ii) unless the Collateral Agent otherwise consents, each leased Real Property of such Loan Party (other than leased Real Property used primarily for office space of Loan Parties) which lease individually has a fair market value of at least $2.5 million, in each case, as additional security for the Secured Obligations (unless the subject property is already mortgaged to a third party to the extent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Such Mortgages shall be granted pursuant to documentation reasonably satisfactory in form and substance to the Administrative Agent and the Collateral Agent and shall constitute valid and enforceable perfected Liens subject only to Permitted Collateral Liens or other Liens acceptable to the Collateral Agent. The Mortgages or instruments related thereto shall be duly recorded or filed in such manner and in such places as are required by law to establish, perfect, preserve and protect the Liens in favor of the Collateral Agent required to be granted pursuant to the Mortgages and all taxes, fees and other charges payable in connection therewith shall be paid in full. Such Loan Party shall otherwise take such actions and execute and/or deliver to the Collateral Agent such documents as the Administrative Agent or the Collateral Agent shall require to confirm the validity, perfection and priority of the Lien of any existing Mortgage or new Mortgage against such after-acquired Real Property (including a Title Policy, a Survey (or such other information as is sufficient to allow the issuance of the Title Policy in respect of such Mortgage as an ALTA extended coverage mortgagee title insurance policy) and local counsel opinion (in form and substance reasonably satisfactory to the Administrative Agent and the Collateral Agent) in respect of such Mortgage).</w:t>
      </w:r>
    </w:p>
    <w:p>
      <w:pPr>
        <w:sectPr>
          <w:pgSz w:w="11900" w:h="16838" w:orient="portrait"/>
          <w:cols w:equalWidth="0" w:num="1">
            <w:col w:w="11420"/>
          </w:cols>
          <w:pgMar w:left="240" w:top="152" w:right="239" w:bottom="384" w:gutter="0" w:footer="0" w:header="0"/>
        </w:sectPr>
      </w:pPr>
    </w:p>
    <w:bookmarkStart w:id="110" w:name="page111"/>
    <w:bookmarkEnd w:id="110"/>
    <w:p>
      <w:pPr>
        <w:ind w:firstLine="1953"/>
        <w:spacing w:after="0" w:line="291" w:lineRule="auto"/>
        <w:tabs>
          <w:tab w:leader="none" w:pos="258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this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shall not require the creation or perfection of pledges of or security interests in, or the obtaining of title insurance or surveys with respect to, any particular assets if and for so long as, in the reasonable judgment of the Administrative Agent, the cost of creating or perfecting such pledges or security interests in such assets or obtaining title insurance or surveys in respect of such assets shall be excessive in view of the benefits to be obtained by the Lenders therefrom. Notwithstanding any other provision of this Agreement or any Security Document, the Collateral Agent may grant extensions of time for the perfection of security interests in or the obtaining of title insurance or surveys with respect to particular assets where it determines, in its sole discretion, that perfection cannot be accomplished without undue effort or expense by the time or times at which it would otherwise be required by this Agreement or the Security Documents.</w:t>
      </w:r>
    </w:p>
    <w:p>
      <w:pPr>
        <w:spacing w:after="0" w:line="217"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b w:val="1"/>
          <w:bCs w:val="1"/>
          <w:color w:val="auto"/>
        </w:rPr>
        <w:t>Section 5.11</w:t>
      </w:r>
      <w:r>
        <w:rPr>
          <w:sz w:val="20"/>
          <w:szCs w:val="20"/>
          <w:color w:val="auto"/>
        </w:rPr>
        <w:tab/>
      </w:r>
      <w:r>
        <w:rPr>
          <w:rFonts w:ascii="Arial" w:cs="Arial" w:eastAsia="Arial" w:hAnsi="Arial"/>
          <w:sz w:val="16"/>
          <w:szCs w:val="16"/>
          <w:b w:val="1"/>
          <w:bCs w:val="1"/>
          <w:u w:val="single" w:color="auto"/>
          <w:color w:val="auto"/>
        </w:rPr>
        <w:t>Security Interests; Further Assurances</w:t>
      </w:r>
    </w:p>
    <w:p>
      <w:pPr>
        <w:spacing w:after="0" w:line="256" w:lineRule="exact"/>
        <w:rPr>
          <w:sz w:val="20"/>
          <w:szCs w:val="20"/>
          <w:color w:val="auto"/>
        </w:rPr>
      </w:pPr>
    </w:p>
    <w:p>
      <w:pPr>
        <w:ind w:firstLine="8"/>
        <w:spacing w:after="0" w:line="268" w:lineRule="auto"/>
        <w:tabs>
          <w:tab w:leader="none" w:pos="13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Promptly, upon the reasonable request of the Administrative Agent, the Collateral Agent or any Lender, at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the Administrative Agent or the Collateral Agent reasonably necessary or desirable for the continued validity, perfection and priority of the Liens on the Collateral covered thereby subject to no other Liens other than Permitted Collateral Liens, or obtain any consents or waivers as may be necessary or appropriate in connection therewith. Deliver or cause to be delivered to the Administrative Agent and the Collateral Agent from time to time such other documentation, consents, authorizations, approvals and orders in form and substance reasonably satisfactory to the Administrative Agent and the Collateral Agent as the Administrative Agent and the Collateral Agent shall reasonably deem necessary to perfect or maintain the Liens on the Collateral pursuant to the Security Documents. Upon the exercise by the Administrative Agent, the Collateral Agent or any Lender of any power, right, privilege or remedy pursuant to any Loan Document which requires any consent, approval, registration, qualification or authorization of any Governmental Authority execute and deliver all applications, certifications, instruments and other documents and papers that the Administrative Agent, the Collateral Agent or such Lender may require. If the Administrative Agent, the Collateral Agent or the Required Lenders determine that they are required by a Requirement of Law to have appraisals prepared in respect of the Real Property of any Loan Party constituting Collateral, Borrower shall provide to the Administrative Agent appraisals that satisfy the applicable requirements of the Real Estate Appraisal Reform Amendments of FIRREA and are otherwise in form and substance satisfactory to the Administrative Agent and the Collateral Agent.</w:t>
      </w:r>
    </w:p>
    <w:p>
      <w:pPr>
        <w:spacing w:after="0" w:line="23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5.12</w:t>
      </w:r>
      <w:r>
        <w:rPr>
          <w:sz w:val="20"/>
          <w:szCs w:val="20"/>
          <w:color w:val="auto"/>
        </w:rPr>
        <w:tab/>
      </w:r>
      <w:r>
        <w:rPr>
          <w:rFonts w:ascii="Arial" w:cs="Arial" w:eastAsia="Arial" w:hAnsi="Arial"/>
          <w:sz w:val="16"/>
          <w:szCs w:val="16"/>
          <w:b w:val="1"/>
          <w:bCs w:val="1"/>
          <w:u w:val="single" w:color="auto"/>
          <w:color w:val="auto"/>
        </w:rPr>
        <w:t>Information Regarding Collateral</w:t>
      </w:r>
    </w:p>
    <w:p>
      <w:pPr>
        <w:spacing w:after="0" w:line="283" w:lineRule="exact"/>
        <w:rPr>
          <w:sz w:val="20"/>
          <w:szCs w:val="20"/>
          <w:color w:val="auto"/>
        </w:rPr>
      </w:pPr>
    </w:p>
    <w:p>
      <w:pPr>
        <w:ind w:left="2580" w:hanging="627"/>
        <w:spacing w:after="0"/>
        <w:tabs>
          <w:tab w:leader="none" w:pos="258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Not effect any change (i) in any Loan Party’s legal name, (ii) in the location of any Loan Party’s chief executive office,</w:t>
      </w:r>
    </w:p>
    <w:p>
      <w:pPr>
        <w:spacing w:after="0" w:line="34" w:lineRule="exact"/>
        <w:rPr>
          <w:rFonts w:ascii="Arial" w:cs="Arial" w:eastAsia="Arial" w:hAnsi="Arial"/>
          <w:sz w:val="17"/>
          <w:szCs w:val="17"/>
          <w:color w:val="auto"/>
        </w:rPr>
      </w:pPr>
    </w:p>
    <w:p>
      <w:pPr>
        <w:ind w:right="60" w:firstLine="8"/>
        <w:spacing w:after="0" w:line="267" w:lineRule="auto"/>
        <w:tabs>
          <w:tab w:leader="none" w:pos="31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any Loan Party’s identity or organizational structure, (iv) in any Loan Party’s Federal Taxpayer Identification Number or organizational identification number, if any, or (v) in any Loan Party’s jurisdiction of organization (in each case, including by merging with or into any other entity, reorganizing, dissolving, liquidating, reorganizing or organizing in any other jurisdiction), until (A) it shall have given the Collateral Agent and the Administrative Agent not less than 30 days’ prior written notice (in the form of an Officer’s Certificate), or such lesser notice period agreed to by the Collateral Agent, of its intention so to do, clearly describing such change and providing such other information in connection therewith as the Collateral Agent or the Administrative Agent may reasonably request and (B) it shall have taken all action reasonably satisfactory to the Collateral Agent to maintain the perfection and priority of the security interest of the Collateral Agent for the benefit of the Secured Parties in the Collateral, if applicable. Each Loan Party agrees to promptly provide the Collateral Agent with certified Organizational Documents reflecting any of the changes described in the preceding sentence. Each Loan Party also agrees to promptly notify the Collateral Agent of any change in the location of any office in which it maintains books or records relating to Collateral owned by it or any office or facility at which Collateral is located (including the establishment of any such new office or facility), other than changes in location to a Mortgaged Property or a leased property subject to a Landlord Access Agreement.</w:t>
      </w:r>
    </w:p>
    <w:p>
      <w:pPr>
        <w:spacing w:after="0" w:line="200" w:lineRule="exact"/>
        <w:rPr>
          <w:rFonts w:ascii="Arial" w:cs="Arial" w:eastAsia="Arial" w:hAnsi="Arial"/>
          <w:sz w:val="17"/>
          <w:szCs w:val="17"/>
          <w:color w:val="auto"/>
        </w:rPr>
      </w:pPr>
    </w:p>
    <w:p>
      <w:pPr>
        <w:spacing w:after="0" w:line="283" w:lineRule="exact"/>
        <w:rPr>
          <w:rFonts w:ascii="Arial" w:cs="Arial" w:eastAsia="Arial" w:hAnsi="Arial"/>
          <w:sz w:val="17"/>
          <w:szCs w:val="17"/>
          <w:color w:val="auto"/>
        </w:rPr>
      </w:pPr>
    </w:p>
    <w:p>
      <w:pPr>
        <w:ind w:right="140" w:firstLine="1953"/>
        <w:spacing w:after="0" w:line="254" w:lineRule="auto"/>
        <w:tabs>
          <w:tab w:leader="none" w:pos="2587"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financial statements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deliver to the Administrative Agent and the Collateral Agent a Perfection Certificate Supplement (to the extent there has occurred any change in the information disclosed in the Perfection Certificate or the most recently delivered Perfection Certificate Supplement, as the case may be) and a certificate of a Financial Officer and the chief legal officer of Borrower certifying that all UCC financing statements (including fixture filings, as applicable) or other appropriate filings, recordings or registrations, including all refilings, rerecordings and reregistrations, containing a description of the Collateral have been filed of record in each governmental, municipal or other appropriate office in each jurisdiction necessary to protect and perfect the security interests and Liens under the Security Documents for a period of not less than 18 months after the date of such certificate (except as noted therein with respect to any continuation statements to be filed within such period).</w:t>
      </w:r>
    </w:p>
    <w:p>
      <w:pPr>
        <w:spacing w:after="0" w:line="24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5.13</w:t>
      </w:r>
      <w:r>
        <w:rPr>
          <w:sz w:val="20"/>
          <w:szCs w:val="20"/>
          <w:color w:val="auto"/>
        </w:rPr>
        <w:tab/>
      </w:r>
      <w:r>
        <w:rPr>
          <w:rFonts w:ascii="Arial" w:cs="Arial" w:eastAsia="Arial" w:hAnsi="Arial"/>
          <w:sz w:val="15"/>
          <w:szCs w:val="15"/>
          <w:b w:val="1"/>
          <w:bCs w:val="1"/>
          <w:u w:val="single" w:color="auto"/>
          <w:color w:val="auto"/>
        </w:rPr>
        <w:t>Post-Closing Covenants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Execute and deliver the documents and complete the tasks set forth on </w:t>
      </w:r>
      <w:r>
        <w:rPr>
          <w:rFonts w:ascii="Arial" w:cs="Arial" w:eastAsia="Arial" w:hAnsi="Arial"/>
          <w:sz w:val="17"/>
          <w:szCs w:val="17"/>
          <w:u w:val="single" w:color="auto"/>
          <w:color w:val="auto"/>
        </w:rPr>
        <w:t>Schedule 5.13</w:t>
      </w:r>
      <w:r>
        <w:rPr>
          <w:rFonts w:ascii="Arial" w:cs="Arial" w:eastAsia="Arial" w:hAnsi="Arial"/>
          <w:sz w:val="17"/>
          <w:szCs w:val="17"/>
          <w:color w:val="auto"/>
        </w:rPr>
        <w:t>, in each case within the time limits specified on such schedule.</w:t>
      </w:r>
    </w:p>
    <w:p>
      <w:pPr>
        <w:spacing w:after="0" w:line="28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5.14</w:t>
      </w:r>
      <w:r>
        <w:rPr>
          <w:sz w:val="20"/>
          <w:szCs w:val="20"/>
          <w:color w:val="auto"/>
        </w:rPr>
        <w:tab/>
      </w:r>
      <w:r>
        <w:rPr>
          <w:rFonts w:ascii="Arial" w:cs="Arial" w:eastAsia="Arial" w:hAnsi="Arial"/>
          <w:sz w:val="16"/>
          <w:szCs w:val="16"/>
          <w:b w:val="1"/>
          <w:bCs w:val="1"/>
          <w:u w:val="single" w:color="auto"/>
          <w:color w:val="auto"/>
        </w:rPr>
        <w:t>Affirmative Covenants with Respect to Leases</w:t>
      </w:r>
    </w:p>
    <w:p>
      <w:pPr>
        <w:spacing w:after="0" w:line="256" w:lineRule="exact"/>
        <w:rPr>
          <w:sz w:val="20"/>
          <w:szCs w:val="20"/>
          <w:color w:val="auto"/>
        </w:rPr>
      </w:pPr>
    </w:p>
    <w:p>
      <w:pPr>
        <w:ind w:right="100" w:firstLine="8"/>
        <w:spacing w:after="0" w:line="264" w:lineRule="auto"/>
        <w:tabs>
          <w:tab w:leader="none" w:pos="13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With respect to each Lease where a Loan Party is the lessor, the respective Loan Party shall perform all the obligations imposed upon the landlord under such Lease and enforce all of the tenant’s obligations thereunder, except where the failure to so perform or enforce could not reasonably be expected to result in a Property Material Adverse Effect.</w:t>
      </w:r>
    </w:p>
    <w:p>
      <w:pPr>
        <w:spacing w:after="0" w:line="200" w:lineRule="exact"/>
        <w:rPr>
          <w:sz w:val="20"/>
          <w:szCs w:val="20"/>
          <w:color w:val="auto"/>
        </w:rPr>
      </w:pPr>
    </w:p>
    <w:p>
      <w:pPr>
        <w:spacing w:after="0" w:line="24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ARTICLE VI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200" w:lineRule="exact"/>
        <w:rPr>
          <w:sz w:val="20"/>
          <w:szCs w:val="20"/>
          <w:color w:val="auto"/>
        </w:rPr>
      </w:pPr>
    </w:p>
    <w:p>
      <w:pPr>
        <w:spacing w:after="0" w:line="299"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Each Loan Party warrants, covenants and agrees with each Lender that, so long as this Agreement shall remain in effect and until the Commitments have been terminated and the principal of and interest on each Loan, all Fees and all other expenses or amounts payable under any Loan Document have been paid in full and all Letters of Credit have been canceled or have expired (or have been cash collateralized in a manner reasonably satisfactory to the Administrative Agent) and all amounts drawn thereunder have been reimbursed in full, unless the Required Lenders shall otherwise consent in writing, no Loan Party will, nor will they cause or permit any Subsidiaries to:</w:t>
      </w:r>
    </w:p>
    <w:p>
      <w:pPr>
        <w:sectPr>
          <w:pgSz w:w="11900" w:h="16838" w:orient="portrait"/>
          <w:cols w:equalWidth="0" w:num="1">
            <w:col w:w="11420"/>
          </w:cols>
          <w:pgMar w:left="240" w:top="152" w:right="239" w:bottom="0" w:gutter="0" w:footer="0" w:header="0"/>
        </w:sectPr>
      </w:pPr>
    </w:p>
    <w:bookmarkStart w:id="111" w:name="page112"/>
    <w:bookmarkEnd w:id="111"/>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6.01</w:t>
      </w:r>
      <w:r>
        <w:rPr>
          <w:sz w:val="20"/>
          <w:szCs w:val="20"/>
          <w:color w:val="auto"/>
        </w:rPr>
        <w:tab/>
      </w:r>
      <w:r>
        <w:rPr>
          <w:rFonts w:ascii="Arial" w:cs="Arial" w:eastAsia="Arial" w:hAnsi="Arial"/>
          <w:sz w:val="15"/>
          <w:szCs w:val="15"/>
          <w:b w:val="1"/>
          <w:bCs w:val="1"/>
          <w:u w:val="single" w:color="auto"/>
          <w:color w:val="auto"/>
        </w:rPr>
        <w:t>Indebtedness</w:t>
      </w:r>
    </w:p>
    <w:p>
      <w:pPr>
        <w:spacing w:after="0" w:line="256" w:lineRule="exact"/>
        <w:rPr>
          <w:sz w:val="20"/>
          <w:szCs w:val="20"/>
          <w:color w:val="auto"/>
        </w:rPr>
      </w:pPr>
    </w:p>
    <w:p>
      <w:pPr>
        <w:ind w:left="140" w:hanging="132"/>
        <w:spacing w:after="0"/>
        <w:tabs>
          <w:tab w:leader="none" w:pos="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Incur, create, assume or permit to exist, directly or indirectly, any Indebtedness, except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580" w:hanging="627"/>
        <w:spacing w:after="0"/>
        <w:tabs>
          <w:tab w:leader="none" w:pos="25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Indebtedness incurred under this Agreement and the other Loan Documents;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40" w:firstLine="1953"/>
        <w:spacing w:after="0" w:line="269" w:lineRule="auto"/>
        <w:tabs>
          <w:tab w:leader="none" w:pos="2587" w:val="left"/>
        </w:tabs>
        <w:numPr>
          <w:ilvl w:val="1"/>
          <w:numId w:val="225"/>
        </w:numPr>
        <w:rPr>
          <w:rFonts w:ascii="Arial" w:cs="Arial" w:eastAsia="Arial" w:hAnsi="Arial"/>
          <w:sz w:val="17"/>
          <w:szCs w:val="17"/>
          <w:color w:val="auto"/>
        </w:rPr>
      </w:pPr>
      <w:r>
        <w:rPr>
          <w:rFonts w:ascii="Arial" w:cs="Arial" w:eastAsia="Arial" w:hAnsi="Arial"/>
          <w:sz w:val="17"/>
          <w:szCs w:val="17"/>
          <w:color w:val="auto"/>
        </w:rPr>
        <w:t xml:space="preserve">(i) (x) Indebtedness outstanding on the Closing Date and listed on </w:t>
      </w:r>
      <w:r>
        <w:rPr>
          <w:rFonts w:ascii="Arial" w:cs="Arial" w:eastAsia="Arial" w:hAnsi="Arial"/>
          <w:sz w:val="17"/>
          <w:szCs w:val="17"/>
          <w:u w:val="single" w:color="auto"/>
          <w:color w:val="auto"/>
        </w:rPr>
        <w:t>Schedule 6.01(b)</w:t>
      </w:r>
      <w:r>
        <w:rPr>
          <w:rFonts w:ascii="Arial" w:cs="Arial" w:eastAsia="Arial" w:hAnsi="Arial"/>
          <w:sz w:val="17"/>
          <w:szCs w:val="17"/>
          <w:color w:val="auto"/>
        </w:rPr>
        <w:t xml:space="preserve">, (y) Indebtedness of Borrower and Subsidiary Guarantors under the Senior Subordinated Note Documents and (z) Indebtedness under the Convertible Senior Subordinated Notes Documents and (ii) refinancings of Indebtedness described in the foregoing clause (i);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any such refinancing Indebtedness is in an aggregate principal amount not greater than the aggregate principal amount of the Indebtedness being renewed or refinanced,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amount of any premiums required to be paid thereon and reasonable fees and expenses associated therewith, (B) such refinancing Indebtedness has a later or equal final maturity and longer or equal weighted average life than the Indebtedness being renewed or refinanced and (C) the covenants, events of default, subordination and other provisions thereof (including any guarantees thereof) shall be, in the aggregate, no less favorable to the Lenders than (1) those contained in the Indebtedness being renewed or refinanced or (2) in the case of a refinancing of Indebtedness under the Convertible Senior Subordinated Notes Documents, those contained in the Senior Subordinated Note Documents (or any refinancing of the Senior Subordinated Note Documents permitted hereby) (for the avoidance of doubt, it being expressly understood and agreed that any such refinancing Indebtedness that refinances Subordinated Indebtedness shall be required to be Subordinated Indebtedness);</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ind w:right="100" w:firstLine="1953"/>
        <w:spacing w:after="0" w:line="302" w:lineRule="auto"/>
        <w:tabs>
          <w:tab w:leader="none" w:pos="257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Indebtedness under Hedging Obligations with respect to interest rates, foreign currency exchange rates or commodity prices, in each case not entered into for speculative purposes;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Hedging Obligations relate to interest rates, (i) such Hedging Obligations relate to payment obligations on Indebtedness otherwise permitted to be incurred by the Loan Documents and (ii) the notional principal amount of such Hedging Obligations at the time incurred does not exceed the principal amount of the Indebtedness to which such Hedging Obligations relate;</w:t>
      </w:r>
    </w:p>
    <w:p>
      <w:pPr>
        <w:spacing w:after="0" w:line="200" w:lineRule="exact"/>
        <w:rPr>
          <w:rFonts w:ascii="Arial" w:cs="Arial" w:eastAsia="Arial" w:hAnsi="Arial"/>
          <w:sz w:val="16"/>
          <w:szCs w:val="16"/>
          <w:color w:val="auto"/>
        </w:rPr>
      </w:pPr>
    </w:p>
    <w:p>
      <w:pPr>
        <w:spacing w:after="0" w:line="251" w:lineRule="exact"/>
        <w:rPr>
          <w:rFonts w:ascii="Arial" w:cs="Arial" w:eastAsia="Arial" w:hAnsi="Arial"/>
          <w:sz w:val="16"/>
          <w:szCs w:val="16"/>
          <w:color w:val="auto"/>
        </w:rPr>
      </w:pPr>
    </w:p>
    <w:p>
      <w:pPr>
        <w:ind w:left="2600" w:hanging="647"/>
        <w:spacing w:after="0"/>
        <w:tabs>
          <w:tab w:leader="none" w:pos="26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Indebtedness permitted by </w:t>
      </w:r>
      <w:r>
        <w:rPr>
          <w:rFonts w:ascii="Arial" w:cs="Arial" w:eastAsia="Arial" w:hAnsi="Arial"/>
          <w:sz w:val="18"/>
          <w:szCs w:val="18"/>
          <w:u w:val="single" w:color="auto"/>
          <w:color w:val="auto"/>
        </w:rPr>
        <w:t>Section 6.04(a)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380" w:firstLine="1953"/>
        <w:spacing w:after="0" w:line="277" w:lineRule="auto"/>
        <w:tabs>
          <w:tab w:leader="none" w:pos="257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Indebtedness in respect of Purchase Money Obligations and Capital Lease Obligations, and refinancings or renewals thereof, in an aggregate amount not to exceed $20.0 million at any time outstanding;</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560" w:hanging="607"/>
        <w:spacing w:after="0"/>
        <w:tabs>
          <w:tab w:leader="none" w:pos="25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Indebtedness incurred by Foreign Subsidiaries in an aggregate amount not to exceed $30.0 million at any time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outstanding;</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right="20" w:firstLine="1953"/>
        <w:spacing w:after="0" w:line="259" w:lineRule="auto"/>
        <w:tabs>
          <w:tab w:leader="none" w:pos="258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Indebtedness in respect of bid, performance or surety bonds, workers’ compensation claims, self-insurance obligations and bankers acceptances issued for the account of any Company in the ordinary course of business, including guarantees or obligations of any Company with respect to letters of credit supporting such bid, performance or surety bonds, workers’ compensation claims, self-insurance obligations and bankers acceptances (in each case other than for an obligation for money borrowed);</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right="160" w:firstLine="1953"/>
        <w:spacing w:after="0" w:line="302" w:lineRule="auto"/>
        <w:tabs>
          <w:tab w:leader="none" w:pos="258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Contingent Obligations of any Loan Party in respect of Indebtedness otherwise permitted under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(other than Indebtedness permitted under </w:t>
      </w:r>
      <w:r>
        <w:rPr>
          <w:rFonts w:ascii="Arial" w:cs="Arial" w:eastAsia="Arial" w:hAnsi="Arial"/>
          <w:sz w:val="16"/>
          <w:szCs w:val="16"/>
          <w:u w:val="single" w:color="auto"/>
          <w:color w:val="auto"/>
        </w:rPr>
        <w:t>Section 6.01(k)</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Contingent Obligations in respect of Indebtedness permitted under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w:t>
      </w:r>
      <w:r>
        <w:rPr>
          <w:rFonts w:ascii="Arial" w:cs="Arial" w:eastAsia="Arial" w:hAnsi="Arial"/>
          <w:sz w:val="16"/>
          <w:szCs w:val="16"/>
          <w:color w:val="auto"/>
        </w:rPr>
        <w:t xml:space="preserve"> shall be Subordinated Indebtedness, and the subordination provisions thereof shall be, in the aggregate, no less favorable to the Lenders than those contained in the Indebtedness under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(l)</w:t>
      </w:r>
      <w:r>
        <w:rPr>
          <w:rFonts w:ascii="Arial" w:cs="Arial" w:eastAsia="Arial" w:hAnsi="Arial"/>
          <w:sz w:val="16"/>
          <w:szCs w:val="16"/>
          <w:color w:val="auto"/>
        </w:rPr>
        <w:t xml:space="preserve"> with respect to which such Contingent Obligations relate;</w:t>
      </w:r>
    </w:p>
    <w:p>
      <w:pPr>
        <w:spacing w:after="0" w:line="200" w:lineRule="exact"/>
        <w:rPr>
          <w:rFonts w:ascii="Arial" w:cs="Arial" w:eastAsia="Arial" w:hAnsi="Arial"/>
          <w:sz w:val="16"/>
          <w:szCs w:val="16"/>
          <w:color w:val="auto"/>
        </w:rPr>
      </w:pPr>
    </w:p>
    <w:p>
      <w:pPr>
        <w:spacing w:after="0" w:line="251" w:lineRule="exact"/>
        <w:rPr>
          <w:rFonts w:ascii="Arial" w:cs="Arial" w:eastAsia="Arial" w:hAnsi="Arial"/>
          <w:sz w:val="16"/>
          <w:szCs w:val="16"/>
          <w:color w:val="auto"/>
        </w:rPr>
      </w:pPr>
    </w:p>
    <w:p>
      <w:pPr>
        <w:jc w:val="both"/>
        <w:ind w:right="240" w:firstLine="1953"/>
        <w:spacing w:after="0" w:line="259" w:lineRule="auto"/>
        <w:tabs>
          <w:tab w:leader="none" w:pos="254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Indebtedness is extinguished within five Business Days (or such longer period as may be determined by the Administrative Agent in its sole discretion) of incurrence;</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2560" w:hanging="607"/>
        <w:spacing w:after="0"/>
        <w:tabs>
          <w:tab w:leader="none" w:pos="256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Indebtedness arising in connection with endorsement of instruments for deposit in the ordinary course of business;</w:t>
      </w:r>
    </w:p>
    <w:p>
      <w:pPr>
        <w:spacing w:after="0" w:line="200" w:lineRule="exact"/>
        <w:rPr>
          <w:rFonts w:ascii="Arial" w:cs="Arial" w:eastAsia="Arial" w:hAnsi="Arial"/>
          <w:sz w:val="17"/>
          <w:szCs w:val="17"/>
          <w:color w:val="auto"/>
        </w:rPr>
      </w:pPr>
    </w:p>
    <w:p>
      <w:pPr>
        <w:spacing w:after="0" w:line="333" w:lineRule="exact"/>
        <w:rPr>
          <w:rFonts w:ascii="Arial" w:cs="Arial" w:eastAsia="Arial" w:hAnsi="Arial"/>
          <w:sz w:val="17"/>
          <w:szCs w:val="17"/>
          <w:color w:val="auto"/>
        </w:rPr>
      </w:pPr>
    </w:p>
    <w:p>
      <w:pPr>
        <w:ind w:left="2600" w:hanging="647"/>
        <w:spacing w:after="0"/>
        <w:tabs>
          <w:tab w:leader="none" w:pos="260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unsecured Indebtedness of any Company in an aggregate amount not to exceed $50.0 million at any time outstanding;</w:t>
      </w: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firstLine="1953"/>
        <w:spacing w:after="0" w:line="291" w:lineRule="auto"/>
        <w:tabs>
          <w:tab w:leader="none" w:pos="254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unsecured Subordinated Indebtedness of Borrower in an aggregate amount not exceeding $100,000,000 at any time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proceeds thereof are used either (x) to repay the Obligations hereunder or (y) to consummate Permitted Acquisitions and (ii)</w:t>
      </w:r>
    </w:p>
    <w:p>
      <w:pPr>
        <w:ind w:right="80" w:firstLine="8"/>
        <w:spacing w:after="0" w:line="255" w:lineRule="auto"/>
        <w:tabs>
          <w:tab w:leader="none" w:pos="29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no part of the principal part of such Indebtedness shall have a maturity date earlier than the 180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Term Loan Maturity Date, (B) after giving effect to the incurrence of such Indebtedness on a Pro Forma Basis, Borrower shall be in compliance with all covenants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as of the most recent Test Period (assuming, for purposes of </w:t>
      </w:r>
      <w:r>
        <w:rPr>
          <w:rFonts w:ascii="Arial" w:cs="Arial" w:eastAsia="Arial" w:hAnsi="Arial"/>
          <w:sz w:val="16"/>
          <w:szCs w:val="16"/>
          <w:u w:val="single" w:color="auto"/>
          <w:color w:val="auto"/>
        </w:rPr>
        <w:t>Section 6.10(a)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that such incurrence of Indebtedness, and each other incurrence of Indebtedness under this </w:t>
      </w:r>
      <w:r>
        <w:rPr>
          <w:rFonts w:ascii="Arial" w:cs="Arial" w:eastAsia="Arial" w:hAnsi="Arial"/>
          <w:sz w:val="16"/>
          <w:szCs w:val="16"/>
          <w:u w:val="single" w:color="auto"/>
          <w:color w:val="auto"/>
        </w:rPr>
        <w:t>Section 6.01(l)</w:t>
      </w:r>
      <w:r>
        <w:rPr>
          <w:rFonts w:ascii="Arial" w:cs="Arial" w:eastAsia="Arial" w:hAnsi="Arial"/>
          <w:sz w:val="16"/>
          <w:szCs w:val="16"/>
          <w:color w:val="auto"/>
        </w:rPr>
        <w:t xml:space="preserve"> consummated since the first day of the relevant Test Period for each of the financial covenants set forth in </w:t>
      </w:r>
      <w:r>
        <w:rPr>
          <w:rFonts w:ascii="Arial" w:cs="Arial" w:eastAsia="Arial" w:hAnsi="Arial"/>
          <w:sz w:val="16"/>
          <w:szCs w:val="16"/>
          <w:u w:val="single" w:color="auto"/>
          <w:color w:val="auto"/>
        </w:rPr>
        <w:t>Section</w:t>
      </w:r>
    </w:p>
    <w:p>
      <w:pPr>
        <w:ind w:right="200"/>
        <w:spacing w:after="0" w:line="302" w:lineRule="auto"/>
        <w:rPr>
          <w:rFonts w:ascii="Arial" w:cs="Arial" w:eastAsia="Arial" w:hAnsi="Arial"/>
          <w:sz w:val="16"/>
          <w:szCs w:val="16"/>
          <w:color w:val="auto"/>
        </w:rPr>
      </w:pPr>
      <w:r>
        <w:rPr>
          <w:rFonts w:ascii="Arial" w:cs="Arial" w:eastAsia="Arial" w:hAnsi="Arial"/>
          <w:sz w:val="16"/>
          <w:szCs w:val="16"/>
          <w:u w:val="single" w:color="auto"/>
          <w:color w:val="auto"/>
        </w:rPr>
        <w:t>6.10</w:t>
      </w:r>
      <w:r>
        <w:rPr>
          <w:rFonts w:ascii="Arial" w:cs="Arial" w:eastAsia="Arial" w:hAnsi="Arial"/>
          <w:sz w:val="16"/>
          <w:szCs w:val="16"/>
          <w:color w:val="auto"/>
        </w:rPr>
        <w:t xml:space="preserve"> ending on or prior to the date of such incurrence of Indebtedness, had occurred on the first day of such relevant Test Period) and Borrower shall have delivered to the Administrative Agent an Officer’s Certificate to such effect setting forth in reasonable detail the computations necessary to determine such compliance, (C) at the time of the incurrence of such Indebtedness and after giving effect thereto, no Default or Event of Default shall have occurred or be</w:t>
      </w:r>
    </w:p>
    <w:p>
      <w:pPr>
        <w:sectPr>
          <w:pgSz w:w="11900" w:h="16838" w:orient="portrait"/>
          <w:cols w:equalWidth="0" w:num="1">
            <w:col w:w="11360"/>
          </w:cols>
          <w:pgMar w:left="240" w:top="148" w:right="299" w:bottom="0" w:gutter="0" w:footer="0" w:header="0"/>
        </w:sectPr>
      </w:pPr>
    </w:p>
    <w:bookmarkStart w:id="112" w:name="page113"/>
    <w:bookmarkEnd w:id="112"/>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continuing and (D) the documentation governing such Indebtedness contains customary market terms (including subordination terms reasonably acceptable to the Administrative Agent); and</w:t>
      </w:r>
    </w:p>
    <w:p>
      <w:pPr>
        <w:spacing w:after="0" w:line="200" w:lineRule="exact"/>
        <w:rPr>
          <w:sz w:val="20"/>
          <w:szCs w:val="20"/>
          <w:color w:val="auto"/>
        </w:rPr>
      </w:pPr>
    </w:p>
    <w:p>
      <w:pPr>
        <w:spacing w:after="0" w:line="268" w:lineRule="exact"/>
        <w:rPr>
          <w:sz w:val="20"/>
          <w:szCs w:val="20"/>
          <w:color w:val="auto"/>
        </w:rPr>
      </w:pPr>
    </w:p>
    <w:p>
      <w:pPr>
        <w:ind w:firstLine="1953"/>
        <w:spacing w:after="0" w:line="273" w:lineRule="auto"/>
        <w:tabs>
          <w:tab w:leader="none" w:pos="2637"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(i) Outsourcing Project Indebtedness incurred to finance the acquisition, construction or operation of Outsourcing Project Assets and any refinancings thereof if (x) such refinancing Indebtedness does not increase the principal amount thereof and is issued on terms and conditions reasonably satisfactory to the Administrative Agent (including a maturity date not earlier than the maturity date of the Outsourcing Project Indebtedness being refinanced) and (y) no Default or Event of Default has occurred and is continuing immediately prior to and after giving effect to the issuance thereof, in an aggregate principal amount not to exceed, together with all other Indebtedness incurred pursuant to this </w:t>
      </w:r>
      <w:r>
        <w:rPr>
          <w:rFonts w:ascii="Arial" w:cs="Arial" w:eastAsia="Arial" w:hAnsi="Arial"/>
          <w:sz w:val="17"/>
          <w:szCs w:val="17"/>
          <w:u w:val="single" w:color="auto"/>
          <w:color w:val="auto"/>
        </w:rPr>
        <w:t>Section 6.01(m)</w:t>
      </w:r>
      <w:r>
        <w:rPr>
          <w:rFonts w:ascii="Arial" w:cs="Arial" w:eastAsia="Arial" w:hAnsi="Arial"/>
          <w:sz w:val="17"/>
          <w:szCs w:val="17"/>
          <w:color w:val="auto"/>
        </w:rPr>
        <w:t>, $50.0 million at any one time outstanding and (ii) Outsourcing Project Guarantees of Borrower in respect of such Outsourcing Project Indebtedness.</w:t>
      </w:r>
    </w:p>
    <w:p>
      <w:pPr>
        <w:spacing w:after="0" w:line="200" w:lineRule="exact"/>
        <w:rPr>
          <w:sz w:val="20"/>
          <w:szCs w:val="20"/>
          <w:color w:val="auto"/>
        </w:rPr>
      </w:pPr>
    </w:p>
    <w:p>
      <w:pPr>
        <w:spacing w:after="0" w:line="249"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 xml:space="preserve">To the extent the release of (i) the Liens on the relevant Outsourcing Project Assets under the Security Documents or (ii) the Guarantee of the relevant Outsourcing Project Subsidiary under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is necessary to permit (x) the incurrence of any Outsourcing Project Indebtedness permitted under </w:t>
      </w:r>
      <w:r>
        <w:rPr>
          <w:rFonts w:ascii="Arial" w:cs="Arial" w:eastAsia="Arial" w:hAnsi="Arial"/>
          <w:sz w:val="16"/>
          <w:szCs w:val="16"/>
          <w:u w:val="single" w:color="auto"/>
          <w:color w:val="auto"/>
        </w:rPr>
        <w:t>Section 6.01(m)</w:t>
      </w:r>
      <w:r>
        <w:rPr>
          <w:rFonts w:ascii="Arial" w:cs="Arial" w:eastAsia="Arial" w:hAnsi="Arial"/>
          <w:sz w:val="16"/>
          <w:szCs w:val="16"/>
          <w:color w:val="auto"/>
        </w:rPr>
        <w:t xml:space="preserve"> or (y) the incurrence of Liens permitted under </w:t>
      </w:r>
      <w:r>
        <w:rPr>
          <w:rFonts w:ascii="Arial" w:cs="Arial" w:eastAsia="Arial" w:hAnsi="Arial"/>
          <w:sz w:val="16"/>
          <w:szCs w:val="16"/>
          <w:u w:val="single" w:color="auto"/>
          <w:color w:val="auto"/>
        </w:rPr>
        <w:t>Section 6.02(q)</w:t>
      </w:r>
      <w:r>
        <w:rPr>
          <w:rFonts w:ascii="Arial" w:cs="Arial" w:eastAsia="Arial" w:hAnsi="Arial"/>
          <w:sz w:val="16"/>
          <w:szCs w:val="16"/>
          <w:color w:val="auto"/>
        </w:rPr>
        <w:t xml:space="preserve">, so long as Borrower shall have provided the Administrative Agent such Officer’s Certificates and other documents as the Administrative Agent shall reasonably request in order to demonstrate compliance with </w:t>
      </w:r>
      <w:r>
        <w:rPr>
          <w:rFonts w:ascii="Arial" w:cs="Arial" w:eastAsia="Arial" w:hAnsi="Arial"/>
          <w:sz w:val="16"/>
          <w:szCs w:val="16"/>
          <w:u w:val="single" w:color="auto"/>
          <w:color w:val="auto"/>
        </w:rPr>
        <w:t>Sections 6.01(m)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6.02(q)</w:t>
      </w:r>
      <w:r>
        <w:rPr>
          <w:rFonts w:ascii="Arial" w:cs="Arial" w:eastAsia="Arial" w:hAnsi="Arial"/>
          <w:sz w:val="16"/>
          <w:szCs w:val="16"/>
          <w:color w:val="auto"/>
        </w:rPr>
        <w:t xml:space="preserve"> and that the proceeds of any such Outsourcing Project Indebtedness will be applied in a manner not prohibited by this Agreement and the other Loan Documents and the Administrative Agent determines in good faith that no dispute exists or is likely to arise between the Lenders and Borrower with respect to such incurrence, the Agents shall take all actions they deem appropriate in order to effect such necessary releases.</w:t>
      </w:r>
    </w:p>
    <w:p>
      <w:pPr>
        <w:spacing w:after="0" w:line="21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6.02</w:t>
      </w:r>
      <w:r>
        <w:rPr>
          <w:sz w:val="20"/>
          <w:szCs w:val="20"/>
          <w:color w:val="auto"/>
        </w:rPr>
        <w:tab/>
      </w:r>
      <w:r>
        <w:rPr>
          <w:rFonts w:ascii="Arial" w:cs="Arial" w:eastAsia="Arial" w:hAnsi="Arial"/>
          <w:sz w:val="16"/>
          <w:szCs w:val="16"/>
          <w:b w:val="1"/>
          <w:bCs w:val="1"/>
          <w:u w:val="single" w:color="auto"/>
          <w:color w:val="auto"/>
        </w:rPr>
        <w:t>Liens</w:t>
      </w:r>
    </w:p>
    <w:p>
      <w:pPr>
        <w:spacing w:after="0" w:line="256" w:lineRule="exact"/>
        <w:rPr>
          <w:sz w:val="20"/>
          <w:szCs w:val="20"/>
          <w:color w:val="auto"/>
        </w:rPr>
      </w:pPr>
    </w:p>
    <w:p>
      <w:pPr>
        <w:ind w:firstLine="8"/>
        <w:spacing w:after="0" w:line="277" w:lineRule="auto"/>
        <w:tabs>
          <w:tab w:leader="none" w:pos="13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Create, incur, assume or permit to exist, directly or indirectly, any Lien on any property now owned or hereafter acquired by it or on any income or revenues or rights in respect of any thereof, except the following (collectively, the “</w:t>
      </w:r>
      <w:r>
        <w:rPr>
          <w:rFonts w:ascii="Arial" w:cs="Arial" w:eastAsia="Arial" w:hAnsi="Arial"/>
          <w:sz w:val="18"/>
          <w:szCs w:val="18"/>
          <w:b w:val="1"/>
          <w:bCs w:val="1"/>
          <w:color w:val="auto"/>
        </w:rPr>
        <w:t>Permitted Liens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jc w:val="both"/>
        <w:ind w:right="20" w:firstLine="1953"/>
        <w:spacing w:after="0" w:line="276" w:lineRule="auto"/>
        <w:tabs>
          <w:tab w:leader="none" w:pos="2577" w:val="left"/>
        </w:tabs>
        <w:numPr>
          <w:ilvl w:val="1"/>
          <w:numId w:val="228"/>
        </w:numPr>
        <w:rPr>
          <w:rFonts w:ascii="Arial" w:cs="Arial" w:eastAsia="Arial" w:hAnsi="Arial"/>
          <w:sz w:val="17"/>
          <w:szCs w:val="17"/>
          <w:color w:val="auto"/>
        </w:rPr>
      </w:pPr>
      <w:r>
        <w:rPr>
          <w:rFonts w:ascii="Arial" w:cs="Arial" w:eastAsia="Arial" w:hAnsi="Arial"/>
          <w:sz w:val="17"/>
          <w:szCs w:val="17"/>
          <w:color w:val="auto"/>
        </w:rPr>
        <w:t>inchoate Liens for taxes, assessments or governmental charges or levies not yet due and payable or delinquent and Liens for taxes, assessments or governmental charges or levies, which (i) are being contested in good faith by appropriate proceedings for which adequate reserves have been established in accordance with GAAP, which proceedings (or orders entered in connection with such proceedings) have the effect of preventing the forfeiture or sale of the property subject to any such Lien, and (ii) in the case of any such charge or claim which has or may become a Lien against any of the Collateral, such Lien and the contest thereof shall satisfy the Contested Collateral Lien Conditions;</w:t>
      </w: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right="60" w:firstLine="1953"/>
        <w:spacing w:after="0" w:line="290" w:lineRule="auto"/>
        <w:tabs>
          <w:tab w:leader="none" w:pos="2587" w:val="left"/>
        </w:tabs>
        <w:numPr>
          <w:ilvl w:val="1"/>
          <w:numId w:val="228"/>
        </w:numPr>
        <w:rPr>
          <w:rFonts w:ascii="Arial" w:cs="Arial" w:eastAsia="Arial" w:hAnsi="Arial"/>
          <w:sz w:val="16"/>
          <w:szCs w:val="16"/>
          <w:color w:val="auto"/>
        </w:rPr>
      </w:pPr>
      <w:r>
        <w:rPr>
          <w:rFonts w:ascii="Arial" w:cs="Arial" w:eastAsia="Arial" w:hAnsi="Arial"/>
          <w:sz w:val="16"/>
          <w:szCs w:val="16"/>
          <w:color w:val="auto"/>
        </w:rPr>
        <w:t>Liens in respect of property of any Company imposed by Requirements of Law, which were incurred in the ordinary course of business and do not secure Indebtedness for borrowed money, such as carriers’, warehousemen’s, materialmen’s, landlords’, workmen’s, suppliers’, repairmen’s and mechanics’ Liens and other similar Liens arising in the ordinary course of business, and (i) which do not in the aggregate materially detract from the value of the property of the Companies, taken as a whole, and do not materially impair the use thereof in the operation of the business of the Companies, taken as a whole, (ii) which, if they secure obligations that are then due and unpaid, are being contested in good faith by appropriate proceedings for which adequate reserves have been established in accordance with GAAP, which proceedings (or orders entered in connection with such proceedings) have the effect of preventing the forfeiture or sale of the property subject to any such Lien, and (iii) in the case of any such Lien which has or may become a Lien against any of the Collateral, such Lien and the contest thereof shall satisfy the Contested Collateral Lien Conditions;</w:t>
      </w:r>
    </w:p>
    <w:p>
      <w:pPr>
        <w:spacing w:after="0" w:line="200" w:lineRule="exact"/>
        <w:rPr>
          <w:rFonts w:ascii="Arial" w:cs="Arial" w:eastAsia="Arial" w:hAnsi="Arial"/>
          <w:sz w:val="16"/>
          <w:szCs w:val="16"/>
          <w:color w:val="auto"/>
        </w:rPr>
      </w:pPr>
    </w:p>
    <w:p>
      <w:pPr>
        <w:spacing w:after="0" w:line="263" w:lineRule="exact"/>
        <w:rPr>
          <w:rFonts w:ascii="Arial" w:cs="Arial" w:eastAsia="Arial" w:hAnsi="Arial"/>
          <w:sz w:val="16"/>
          <w:szCs w:val="16"/>
          <w:color w:val="auto"/>
        </w:rPr>
      </w:pPr>
    </w:p>
    <w:p>
      <w:pPr>
        <w:ind w:right="120" w:firstLine="1953"/>
        <w:spacing w:after="0" w:line="259" w:lineRule="auto"/>
        <w:tabs>
          <w:tab w:leader="none" w:pos="2577"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any Lien in existence on the Closing Date and set forth on </w:t>
      </w:r>
      <w:r>
        <w:rPr>
          <w:rFonts w:ascii="Arial" w:cs="Arial" w:eastAsia="Arial" w:hAnsi="Arial"/>
          <w:sz w:val="18"/>
          <w:szCs w:val="18"/>
          <w:u w:val="single" w:color="auto"/>
          <w:color w:val="auto"/>
        </w:rPr>
        <w:t>Schedule 6.02(c)</w:t>
      </w:r>
      <w:r>
        <w:rPr>
          <w:rFonts w:ascii="Arial" w:cs="Arial" w:eastAsia="Arial" w:hAnsi="Arial"/>
          <w:sz w:val="18"/>
          <w:szCs w:val="18"/>
          <w:color w:val="auto"/>
        </w:rPr>
        <w:t xml:space="preserve"> and any Lien granted as a replacement or substitute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replacement or substitute Lien (i) except as permitted by </w:t>
      </w:r>
      <w:r>
        <w:rPr>
          <w:rFonts w:ascii="Arial" w:cs="Arial" w:eastAsia="Arial" w:hAnsi="Arial"/>
          <w:sz w:val="18"/>
          <w:szCs w:val="18"/>
          <w:u w:val="single" w:color="auto"/>
          <w:color w:val="auto"/>
        </w:rPr>
        <w:t>Section 6.01(b)(ii)(A)</w:t>
      </w:r>
      <w:r>
        <w:rPr>
          <w:rFonts w:ascii="Arial" w:cs="Arial" w:eastAsia="Arial" w:hAnsi="Arial"/>
          <w:sz w:val="18"/>
          <w:szCs w:val="18"/>
          <w:color w:val="auto"/>
        </w:rPr>
        <w:t>, does not secure an aggregate amount of Indebtedness, if any, greater than that secured on the Closing Date and (ii) does not encumber any property other than the property subject thereto on the Closing Date (any such Lien, an “</w:t>
      </w:r>
      <w:r>
        <w:rPr>
          <w:rFonts w:ascii="Arial" w:cs="Arial" w:eastAsia="Arial" w:hAnsi="Arial"/>
          <w:sz w:val="18"/>
          <w:szCs w:val="18"/>
          <w:b w:val="1"/>
          <w:bCs w:val="1"/>
          <w:color w:val="auto"/>
        </w:rPr>
        <w:t>Existing Lien</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right="40" w:firstLine="1953"/>
        <w:spacing w:after="0" w:line="279" w:lineRule="auto"/>
        <w:tabs>
          <w:tab w:leader="none" w:pos="2587" w:val="left"/>
        </w:tabs>
        <w:numPr>
          <w:ilvl w:val="1"/>
          <w:numId w:val="228"/>
        </w:numPr>
        <w:rPr>
          <w:rFonts w:ascii="Arial" w:cs="Arial" w:eastAsia="Arial" w:hAnsi="Arial"/>
          <w:sz w:val="17"/>
          <w:szCs w:val="17"/>
          <w:color w:val="auto"/>
        </w:rPr>
      </w:pPr>
      <w:r>
        <w:rPr>
          <w:rFonts w:ascii="Arial" w:cs="Arial" w:eastAsia="Arial" w:hAnsi="Arial"/>
          <w:sz w:val="17"/>
          <w:szCs w:val="17"/>
          <w:color w:val="auto"/>
        </w:rPr>
        <w:t>easements, rights-of-way, restrictions (including zoning restrictions), covenants, licenses, encroachments, protrusions and other similar charges or encumbrances, and minor title deficiencies on or with respect to any Real Property, in each case whether now or hereafter in existence, not (i) securing Indebtedness, (ii) individually or in the aggregate materially impairing the value or marketability of such Real Property or (iii) individually or in the aggregate materially interfering with the ordinary conduct of the business of the Companies at such Real Property;</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jc w:val="both"/>
        <w:ind w:right="60" w:firstLine="1953"/>
        <w:spacing w:after="0" w:line="259" w:lineRule="auto"/>
        <w:tabs>
          <w:tab w:leader="none" w:pos="2577" w:val="left"/>
        </w:tabs>
        <w:numPr>
          <w:ilvl w:val="1"/>
          <w:numId w:val="228"/>
        </w:numPr>
        <w:rPr>
          <w:rFonts w:ascii="Arial" w:cs="Arial" w:eastAsia="Arial" w:hAnsi="Arial"/>
          <w:sz w:val="18"/>
          <w:szCs w:val="18"/>
          <w:color w:val="auto"/>
        </w:rPr>
      </w:pPr>
      <w:r>
        <w:rPr>
          <w:rFonts w:ascii="Arial" w:cs="Arial" w:eastAsia="Arial" w:hAnsi="Arial"/>
          <w:sz w:val="18"/>
          <w:szCs w:val="18"/>
          <w:color w:val="auto"/>
        </w:rPr>
        <w:t>Liens arising out of judgments, attachments or awards not resulting in a Default and in respect of which such Company shall in good faith be prosecuting an appeal or proceedings for review in respect of which there shall be secured a subsisting stay of execution pending such appeal or proceedings and, in the case of any such Lien which has or may become a Lien against any of the Collateral, such Lien and the contest thereof shall satisfy the Contested Collateral Lien Conditions;</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right="20" w:firstLine="1953"/>
        <w:spacing w:after="0" w:line="287" w:lineRule="auto"/>
        <w:tabs>
          <w:tab w:leader="none" w:pos="2557" w:val="left"/>
        </w:tabs>
        <w:numPr>
          <w:ilvl w:val="1"/>
          <w:numId w:val="228"/>
        </w:numPr>
        <w:rPr>
          <w:rFonts w:ascii="Arial" w:cs="Arial" w:eastAsia="Arial" w:hAnsi="Arial"/>
          <w:sz w:val="16"/>
          <w:szCs w:val="16"/>
          <w:color w:val="auto"/>
        </w:rPr>
      </w:pPr>
      <w:r>
        <w:rPr>
          <w:rFonts w:ascii="Arial" w:cs="Arial" w:eastAsia="Arial" w:hAnsi="Arial"/>
          <w:sz w:val="16"/>
          <w:szCs w:val="16"/>
          <w:color w:val="auto"/>
        </w:rPr>
        <w:t xml:space="preserve">Liens (other than any Lien imposed by ERISA) (x) imposed by Requirements of Law or deposits made in connection therewith in the ordinary course of business in connection with workers’ compensation, unemployment insurance and other types of social security legislation, (y) incurred in the ordinary course of business to secure the performance of tenders, statutory obligations (other than excise taxes), surety, stay, customs and appeal bonds, statutory bonds, bids, leases, government contracts, trade contracts, performance and return of money bonds and other similar obligations (exclusive of obligations for the payment of borrowed money) or (z) arising by virtue of deposits made in the ordinary course of business to secure liability for premiums to insurance carriers;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with respect to clauses (x), (y) and (z) of this paragraph (f), such Liens are for amounts not yet due and payable or delinquent or, to the extent such amounts are so due and payable, such amounts are being contested in good faith by appropriate proceedings for which adequate reserves have been established in accordance with GAAP, which proceedings for orders entered in connection with such proceedings have the effect of preventing the forfeiture or sale of the property subject to any such Lien, (ii) to the extent such Liens are not imposed by Requirements of Law, such Liens shall in no event encumber any property other than cash and Cash Equivalents, (iii) in the case of any such Lien against any of the Collateral, such Lien and the contest thereof shall satisfy the Contested Collateral Lien Conditions and (iv) the aggregate amount of deposits at any time pursuant to clause (y) and clause (z) of this paragraph (f) shall not exceed $10.0 million in the aggregate;</w:t>
      </w:r>
    </w:p>
    <w:p>
      <w:pPr>
        <w:sectPr>
          <w:pgSz w:w="11900" w:h="16849" w:orient="portrait"/>
          <w:cols w:equalWidth="0" w:num="1">
            <w:col w:w="11400"/>
          </w:cols>
          <w:pgMar w:left="240" w:top="125" w:right="259" w:bottom="0" w:gutter="0" w:footer="0" w:header="0"/>
        </w:sectPr>
      </w:pPr>
    </w:p>
    <w:bookmarkStart w:id="113" w:name="page114"/>
    <w:bookmarkEnd w:id="113"/>
    <w:p>
      <w:pPr>
        <w:ind w:firstLine="1953"/>
        <w:spacing w:after="0" w:line="259" w:lineRule="auto"/>
        <w:tabs>
          <w:tab w:leader="none" w:pos="258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Leases of the properties of any Company, in each case entered into in the ordinary course of such Company’s business so long as such Leases (if made by Loan Parties) are subordinate in all respects to the Liens granted and evidenced by the Security Documents and do not, individually or in the aggregate, (i) interfere in any material respect with the ordinary conduct of the business of any Company or (ii) materially impair the use (for its intended purposes) or the value of the property subject thereto;</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firstLine="1953"/>
        <w:spacing w:after="0" w:line="277" w:lineRule="auto"/>
        <w:tabs>
          <w:tab w:leader="none" w:pos="258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any Company in the ordinary course of business in accordance with the past practices of such Company;</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80" w:firstLine="1953"/>
        <w:spacing w:after="0" w:line="277" w:lineRule="auto"/>
        <w:tabs>
          <w:tab w:leader="none" w:pos="254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pursuant to </w:t>
      </w:r>
      <w:r>
        <w:rPr>
          <w:rFonts w:ascii="Arial" w:cs="Arial" w:eastAsia="Arial" w:hAnsi="Arial"/>
          <w:sz w:val="18"/>
          <w:szCs w:val="18"/>
          <w:u w:val="single" w:color="auto"/>
          <w:color w:val="auto"/>
        </w:rPr>
        <w:t>Section 6.01(e)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Liens attach only to the property being financed (or refinanced) pursuant to such Indebtedness and do not encumber any other property of any Company;</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20" w:firstLine="1953"/>
        <w:spacing w:after="0" w:line="276" w:lineRule="auto"/>
        <w:tabs>
          <w:tab w:leader="none" w:pos="2547"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bankers’ Liens, rights of setoff and other similar Liens existing solely with respect to cash and Cash Equivalents on deposit in one or more accounts maintained by any Company,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such Liens are non-consensual and arise by operation of law, in no case shall any such Liens secure (either directly or indirectly) the repayment of any Indebtedness;</w:t>
      </w: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jc w:val="both"/>
        <w:ind w:right="20" w:firstLine="1953"/>
        <w:spacing w:after="0" w:line="259" w:lineRule="auto"/>
        <w:tabs>
          <w:tab w:leader="none" w:pos="258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acquired or merged with or into or consolidated with any Company to the extent permitted hereunder (and not created in anticipation or contemplation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extend to property not subject to such Liens at the time of acquisition (other than improvements thereon and proceeds thereof) and are no more favorable to the lienholders than such existing Lien;</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2560" w:hanging="607"/>
        <w:spacing w:after="0"/>
        <w:tabs>
          <w:tab w:leader="none" w:pos="25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Liens granted pursuant to the Security Documents to secure the Secured Obligations;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280" w:firstLine="1953"/>
        <w:spacing w:after="0" w:line="277" w:lineRule="auto"/>
        <w:tabs>
          <w:tab w:leader="none" w:pos="263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licenses of Intellectual Property granted by any Company in the ordinary course of business and not interfering in any material respect with the ordinary conduct of business of the Companies;</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600" w:hanging="647"/>
        <w:spacing w:after="0"/>
        <w:tabs>
          <w:tab w:leader="none" w:pos="260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filing of UCC financing statements solely as a precautionary measure in connection with operating leases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consignment of goods;</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right="240" w:firstLine="1953"/>
        <w:spacing w:after="0" w:line="264" w:lineRule="auto"/>
        <w:tabs>
          <w:tab w:leader="none" w:pos="258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pursuant to </w:t>
      </w:r>
      <w:r>
        <w:rPr>
          <w:rFonts w:ascii="Arial" w:cs="Arial" w:eastAsia="Arial" w:hAnsi="Arial"/>
          <w:sz w:val="18"/>
          <w:szCs w:val="18"/>
          <w:u w:val="single" w:color="auto"/>
          <w:color w:val="auto"/>
        </w:rPr>
        <w:t>Section 6.01(f)</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Liens do not extend to, or encumber, property which constitutes Collateral and (ii) such Liens extend only to (x) the property (or Equity Interests) of the Foreign Subsidiary incurring such Indebtedness and (y) the property of any other Foreign Subsidiaries that guarantee such Indebtedness;</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100" w:firstLine="1953"/>
        <w:spacing w:after="0" w:line="264" w:lineRule="auto"/>
        <w:tabs>
          <w:tab w:leader="none" w:pos="258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any Company with respect to obligations that do not in the aggregate exceed $10.0 million at any time outstanding, so long as such Liens, to the extent covering any Collateral, are junior to the Liens granted pursuant to the Security Documents; and</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800" w:firstLine="1953"/>
        <w:spacing w:after="0" w:line="277" w:lineRule="auto"/>
        <w:tabs>
          <w:tab w:leader="none" w:pos="258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Liens on the Outsourcing Project Assets of an Outsourcing Project Subsidiary securing the Outsourcing Project Indebtedness of such Outsourcing Project Subsidiary permitted by </w:t>
      </w:r>
      <w:r>
        <w:rPr>
          <w:rFonts w:ascii="Arial" w:cs="Arial" w:eastAsia="Arial" w:hAnsi="Arial"/>
          <w:sz w:val="18"/>
          <w:szCs w:val="18"/>
          <w:u w:val="single" w:color="auto"/>
          <w:color w:val="auto"/>
        </w:rPr>
        <w:t>Section 6.01(m)</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no consensual Liens shall be permitted to exist, directly or indirectly, on any Securities Collateral, other than Liens granted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Security Documents.</w:t>
      </w:r>
    </w:p>
    <w:p>
      <w:pPr>
        <w:spacing w:after="0" w:line="22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6.03</w:t>
      </w:r>
      <w:r>
        <w:rPr>
          <w:sz w:val="20"/>
          <w:szCs w:val="20"/>
          <w:color w:val="auto"/>
        </w:rPr>
        <w:tab/>
      </w:r>
      <w:r>
        <w:rPr>
          <w:rFonts w:ascii="Arial" w:cs="Arial" w:eastAsia="Arial" w:hAnsi="Arial"/>
          <w:sz w:val="15"/>
          <w:szCs w:val="15"/>
          <w:b w:val="1"/>
          <w:bCs w:val="1"/>
          <w:u w:val="single" w:color="auto"/>
          <w:color w:val="auto"/>
        </w:rPr>
        <w:t>Sale and Leaseback Transactions</w:t>
      </w:r>
    </w:p>
    <w:p>
      <w:pPr>
        <w:spacing w:after="0" w:line="256" w:lineRule="exact"/>
        <w:rPr>
          <w:sz w:val="20"/>
          <w:szCs w:val="20"/>
          <w:color w:val="auto"/>
        </w:rPr>
      </w:pPr>
    </w:p>
    <w:p>
      <w:pPr>
        <w:ind w:right="60" w:firstLine="8"/>
        <w:spacing w:after="0" w:line="279" w:lineRule="auto"/>
        <w:tabs>
          <w:tab w:leader="none" w:pos="135" w:val="left"/>
        </w:tabs>
        <w:numPr>
          <w:ilvl w:val="0"/>
          <w:numId w:val="230"/>
        </w:numPr>
        <w:rPr>
          <w:rFonts w:ascii="Arial" w:cs="Arial" w:eastAsia="Arial" w:hAnsi="Arial"/>
          <w:sz w:val="17"/>
          <w:szCs w:val="17"/>
          <w:color w:val="auto"/>
        </w:rPr>
      </w:pPr>
      <w:r>
        <w:rPr>
          <w:rFonts w:ascii="Arial" w:cs="Arial" w:eastAsia="Arial" w:hAnsi="Arial"/>
          <w:sz w:val="17"/>
          <w:szCs w:val="17"/>
          <w:color w:val="auto"/>
        </w:rPr>
        <w:t>Enter into any arrangement, directly or indirectly, with any person whereby it shall sell or transfer any property, real or personal, used or useful in its business, whether now owned or hereafter acquired, and thereafter rent or lease such property or other property which it intends to use for substantially the same purpose or purposes as the property being sold or transferred (a “</w:t>
      </w:r>
      <w:r>
        <w:rPr>
          <w:rFonts w:ascii="Arial" w:cs="Arial" w:eastAsia="Arial" w:hAnsi="Arial"/>
          <w:sz w:val="17"/>
          <w:szCs w:val="17"/>
          <w:b w:val="1"/>
          <w:bCs w:val="1"/>
          <w:color w:val="auto"/>
        </w:rPr>
        <w:t>Sale and Leaseback Transaction</w:t>
      </w:r>
      <w:r>
        <w:rPr>
          <w:rFonts w:ascii="Arial" w:cs="Arial" w:eastAsia="Arial" w:hAnsi="Arial"/>
          <w:sz w:val="17"/>
          <w:szCs w:val="17"/>
          <w:color w:val="auto"/>
        </w:rPr>
        <w:t xml:space="preserve">”) unless (i) the sale of such property is permitted by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and (ii) any Liens arising in connection with its use of such property are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22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6.04</w:t>
      </w:r>
      <w:r>
        <w:rPr>
          <w:sz w:val="20"/>
          <w:szCs w:val="20"/>
          <w:color w:val="auto"/>
        </w:rPr>
        <w:tab/>
      </w:r>
      <w:r>
        <w:rPr>
          <w:rFonts w:ascii="Arial" w:cs="Arial" w:eastAsia="Arial" w:hAnsi="Arial"/>
          <w:sz w:val="15"/>
          <w:szCs w:val="15"/>
          <w:b w:val="1"/>
          <w:bCs w:val="1"/>
          <w:u w:val="single" w:color="auto"/>
          <w:color w:val="auto"/>
        </w:rPr>
        <w:t>Investments, Loans and Advances</w:t>
      </w:r>
    </w:p>
    <w:p>
      <w:pPr>
        <w:spacing w:after="0" w:line="256" w:lineRule="exact"/>
        <w:rPr>
          <w:sz w:val="20"/>
          <w:szCs w:val="20"/>
          <w:color w:val="auto"/>
        </w:rPr>
      </w:pPr>
    </w:p>
    <w:p>
      <w:pPr>
        <w:ind w:right="40" w:firstLine="8"/>
        <w:spacing w:after="0" w:line="257" w:lineRule="auto"/>
        <w:tabs>
          <w:tab w:leader="none" w:pos="13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Directly or indirectly, lend money or credit (by way of guarantee or other credit support (including, without limitation, the provision of letters of credit for the account of such person) or otherwise) or make advances to any person, or purchase or acquire any stock, bonds, notes, debentures or other obligations or securities of, or any other interest in, or make any capital contribution to, any other person, or purchase or own a futures contract or otherwise become liable for the purchase or sale of currency or other commodities at a future date in the nature of a futures contract (all of the foregoing, collectively, “</w:t>
      </w:r>
      <w:r>
        <w:rPr>
          <w:rFonts w:ascii="Arial" w:cs="Arial" w:eastAsia="Arial" w:hAnsi="Arial"/>
          <w:sz w:val="18"/>
          <w:szCs w:val="18"/>
          <w:b w:val="1"/>
          <w:bCs w:val="1"/>
          <w:color w:val="auto"/>
        </w:rPr>
        <w:t>Investments</w:t>
      </w:r>
      <w:r>
        <w:rPr>
          <w:rFonts w:ascii="Arial" w:cs="Arial" w:eastAsia="Arial" w:hAnsi="Arial"/>
          <w:sz w:val="18"/>
          <w:szCs w:val="18"/>
          <w:color w:val="auto"/>
        </w:rPr>
        <w:t>”), except that the following shall be permitted:</w:t>
      </w:r>
    </w:p>
    <w:p>
      <w:pPr>
        <w:sectPr>
          <w:pgSz w:w="11900" w:h="16838" w:orient="portrait"/>
          <w:cols w:equalWidth="0" w:num="1">
            <w:col w:w="11420"/>
          </w:cols>
          <w:pgMar w:left="240" w:top="638" w:right="239" w:bottom="0" w:gutter="0" w:footer="0" w:header="0"/>
        </w:sectPr>
      </w:pPr>
    </w:p>
    <w:bookmarkStart w:id="114" w:name="page115"/>
    <w:bookmarkEnd w:id="114"/>
    <w:p>
      <w:pPr>
        <w:spacing w:after="0" w:line="110" w:lineRule="exact"/>
        <w:rPr>
          <w:sz w:val="20"/>
          <w:szCs w:val="20"/>
          <w:color w:val="auto"/>
        </w:rPr>
      </w:pPr>
    </w:p>
    <w:p>
      <w:pPr>
        <w:ind w:firstLine="1953"/>
        <w:spacing w:after="0" w:line="255" w:lineRule="auto"/>
        <w:tabs>
          <w:tab w:leader="none" w:pos="257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the Companies may consummate the Transactions in accordance with the Transaction Documents, it being expressly understood and agreed that Borrower may make equity contributions, loans and/or advances to Itron Acquisition Company on the Closing Date in an aggregate amount as is necessary to permit the consummation of the Acquisition (for the avoidance of doubt, it being expressly understood that any such Investments made pursuant to this </w:t>
      </w:r>
      <w:r>
        <w:rPr>
          <w:rFonts w:ascii="Arial" w:cs="Arial" w:eastAsia="Arial" w:hAnsi="Arial"/>
          <w:sz w:val="18"/>
          <w:szCs w:val="18"/>
          <w:u w:val="single" w:color="auto"/>
          <w:color w:val="auto"/>
        </w:rPr>
        <w:t>Section 6.04(a)</w:t>
      </w:r>
      <w:r>
        <w:rPr>
          <w:rFonts w:ascii="Arial" w:cs="Arial" w:eastAsia="Arial" w:hAnsi="Arial"/>
          <w:sz w:val="18"/>
          <w:szCs w:val="18"/>
          <w:color w:val="auto"/>
        </w:rPr>
        <w:t xml:space="preserve"> shall not reduce the amount of Investments permitted under </w:t>
      </w:r>
      <w:r>
        <w:rPr>
          <w:rFonts w:ascii="Arial" w:cs="Arial" w:eastAsia="Arial" w:hAnsi="Arial"/>
          <w:sz w:val="18"/>
          <w:szCs w:val="18"/>
          <w:u w:val="single" w:color="auto"/>
          <w:color w:val="auto"/>
        </w:rPr>
        <w:t>Section 6.04(f)</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Investment permitted under this </w:t>
      </w:r>
      <w:r>
        <w:rPr>
          <w:rFonts w:ascii="Arial" w:cs="Arial" w:eastAsia="Arial" w:hAnsi="Arial"/>
          <w:sz w:val="18"/>
          <w:szCs w:val="18"/>
          <w:u w:val="single" w:color="auto"/>
          <w:color w:val="auto"/>
        </w:rPr>
        <w:t>Section 6.04(a)</w:t>
      </w:r>
      <w:r>
        <w:rPr>
          <w:rFonts w:ascii="Arial" w:cs="Arial" w:eastAsia="Arial" w:hAnsi="Arial"/>
          <w:sz w:val="18"/>
          <w:szCs w:val="18"/>
          <w:color w:val="auto"/>
        </w:rPr>
        <w:t xml:space="preserve"> made in the form of a loan or advance to, or by, any Loan Party shall be evidenced by a promissory note in form and substance reasonably satisfactory to the Administrative Agent and, in the case of a loan or advance by a Loan Party, pledged by such Loan Party as Collateral pursuant to the Security Documents;</w:t>
      </w: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2600" w:hanging="647"/>
        <w:spacing w:after="0"/>
        <w:tabs>
          <w:tab w:leader="none" w:pos="26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Investments outstanding on the Closing Date and identified on </w:t>
      </w:r>
      <w:r>
        <w:rPr>
          <w:rFonts w:ascii="Arial" w:cs="Arial" w:eastAsia="Arial" w:hAnsi="Arial"/>
          <w:sz w:val="18"/>
          <w:szCs w:val="18"/>
          <w:u w:val="single" w:color="auto"/>
          <w:color w:val="auto"/>
        </w:rPr>
        <w:t>Schedule 6.04(b)</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jc w:val="both"/>
        <w:ind w:right="60" w:firstLine="1953"/>
        <w:spacing w:after="0" w:line="259" w:lineRule="auto"/>
        <w:tabs>
          <w:tab w:leader="none" w:pos="257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Companies may (i) acquire and hold accounts receivables owing to any of them if created or acquired in the ordinary course of business and payable or dischargeable in accordance with customary terms, (ii) invest in, acquire and hold cash and Cash Equivalents, (iii) endorse negotiable instruments held for collection in the ordinary course of business or (iv) make lease, utility and other similar deposits in the ordinary course of business;</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2600" w:hanging="647"/>
        <w:spacing w:after="0"/>
        <w:tabs>
          <w:tab w:leader="none" w:pos="26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Hedging Obligations incurred pursuant to </w:t>
      </w:r>
      <w:r>
        <w:rPr>
          <w:rFonts w:ascii="Arial" w:cs="Arial" w:eastAsia="Arial" w:hAnsi="Arial"/>
          <w:sz w:val="18"/>
          <w:szCs w:val="18"/>
          <w:u w:val="single" w:color="auto"/>
          <w:color w:val="auto"/>
        </w:rPr>
        <w:t>Section 6.01(c)</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40" w:firstLine="1953"/>
        <w:spacing w:after="0" w:line="264" w:lineRule="auto"/>
        <w:tabs>
          <w:tab w:leader="none" w:pos="257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loans and advances to directors, employees and officers of Borrower and the Subsidiaries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business purposes and to purchase Equity Interests of Borrower, in aggregate amount not to exceed $2.0 million at any time outstanding;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loans in violation of Section 402 of the Sarbanes-Oxley Act shall be permitted hereunder;</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20" w:firstLine="1953"/>
        <w:spacing w:after="0" w:line="287" w:lineRule="auto"/>
        <w:tabs>
          <w:tab w:leader="none" w:pos="255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Investments (i) by any Company in Borrower or any Subsidiary Guarantor (other than any Outsourcing Project Subsidiary), (ii) by a Subsidiary that is not a Subsidiary Guarantor in any other Subsidiary (other than any Outsourcing Project Subsidiary) that is not a Subsidiary Guarantor, (iii) by any Company in any Person, that, prior to such Investment, is an Outsourcing Project Subsidiary so long as the aggregate amount of Investments under this clause (iii) does not exceed $25.0 million, net of recoveries and distributions received in cash thereon by any Loan Party, at any time outstanding, (iv) by any Outsourcing Project Subsidiary in any other Outsourcing Project Subsidiary that is a Wholly Owned Subsidiary of such Outsourcing Project Subsidiary, (v) consisting of Outsourcing Project Guarantees by Borrower in respect of Outsourcing Project Indebtedness permitted under </w:t>
      </w:r>
      <w:r>
        <w:rPr>
          <w:rFonts w:ascii="Arial" w:cs="Arial" w:eastAsia="Arial" w:hAnsi="Arial"/>
          <w:sz w:val="16"/>
          <w:szCs w:val="16"/>
          <w:u w:val="single" w:color="auto"/>
          <w:color w:val="auto"/>
        </w:rPr>
        <w:t>Section 6.01(m)</w:t>
      </w:r>
      <w:r>
        <w:rPr>
          <w:rFonts w:ascii="Arial" w:cs="Arial" w:eastAsia="Arial" w:hAnsi="Arial"/>
          <w:sz w:val="16"/>
          <w:szCs w:val="16"/>
          <w:color w:val="auto"/>
        </w:rPr>
        <w:t xml:space="preserve"> and (vi) by Borrower or any Subsidiary Guarantor in any other Subsidiary that is not a Subsidiary Guarantor in an aggregate amount under this clause (vi) at any time outstanding not to exceed an amount equal to the difference between (x) $250.0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the aggregate amount of the Acquisition Consideration for all Foreign Acquisitions made since the Closing Date under </w:t>
      </w:r>
      <w:r>
        <w:rPr>
          <w:rFonts w:ascii="Arial" w:cs="Arial" w:eastAsia="Arial" w:hAnsi="Arial"/>
          <w:sz w:val="16"/>
          <w:szCs w:val="16"/>
          <w:u w:val="single" w:color="auto"/>
          <w:color w:val="auto"/>
        </w:rPr>
        <w:t>Section 6.04(i)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Investment permitted under this </w:t>
      </w:r>
      <w:r>
        <w:rPr>
          <w:rFonts w:ascii="Arial" w:cs="Arial" w:eastAsia="Arial" w:hAnsi="Arial"/>
          <w:sz w:val="16"/>
          <w:szCs w:val="16"/>
          <w:u w:val="single" w:color="auto"/>
          <w:color w:val="auto"/>
        </w:rPr>
        <w:t>Section 6.04(f)</w:t>
      </w:r>
      <w:r>
        <w:rPr>
          <w:rFonts w:ascii="Arial" w:cs="Arial" w:eastAsia="Arial" w:hAnsi="Arial"/>
          <w:sz w:val="16"/>
          <w:szCs w:val="16"/>
          <w:color w:val="auto"/>
        </w:rPr>
        <w:t xml:space="preserve"> made in the form of a loan or advance to, or by, any Loan Party shall be evidenced by an Intercompany Note and, in the case of a loan or advance by a Loan Party, pledged by such Loan Party as Collateral pursuant to the Security Documents;</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right="160" w:firstLine="1953"/>
        <w:spacing w:after="0" w:line="342" w:lineRule="auto"/>
        <w:tabs>
          <w:tab w:leader="none" w:pos="258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Investments in securities of trade creditors or customers in the ordinary course of business received upon foreclosure or pursuant to any plan of reorganization or liquidation or similar arrangement upon the bankruptcy or insolvency of such trade creditors or customers;</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right="160" w:firstLine="1953"/>
        <w:spacing w:after="0" w:line="277" w:lineRule="auto"/>
        <w:tabs>
          <w:tab w:leader="none" w:pos="258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Investments made by Borrower or any Subsidiary as a result of consideration received in connection with an Asset Sale made in compliance with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560" w:hanging="607"/>
        <w:spacing w:after="0"/>
        <w:tabs>
          <w:tab w:leader="none" w:pos="25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Permitted Acquisitions; and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560" w:hanging="607"/>
        <w:spacing w:after="0"/>
        <w:tabs>
          <w:tab w:leader="none" w:pos="25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other Investments in an aggregate amount not to exceed $25.0 million at any time outstanding.</w:t>
      </w:r>
    </w:p>
    <w:p>
      <w:pPr>
        <w:spacing w:after="0" w:line="200" w:lineRule="exact"/>
        <w:rPr>
          <w:sz w:val="20"/>
          <w:szCs w:val="20"/>
          <w:color w:val="auto"/>
        </w:rPr>
      </w:pP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 Investment shall be deemed to be outstanding to the extent not returned in the same form as the original Investment to Borrower or any Subsidiary Guarantor.</w:t>
      </w:r>
    </w:p>
    <w:p>
      <w:pPr>
        <w:spacing w:after="0" w:line="22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6.05</w:t>
      </w:r>
      <w:r>
        <w:rPr>
          <w:sz w:val="20"/>
          <w:szCs w:val="20"/>
          <w:color w:val="auto"/>
        </w:rPr>
        <w:tab/>
      </w:r>
      <w:r>
        <w:rPr>
          <w:rFonts w:ascii="Arial" w:cs="Arial" w:eastAsia="Arial" w:hAnsi="Arial"/>
          <w:sz w:val="16"/>
          <w:szCs w:val="16"/>
          <w:b w:val="1"/>
          <w:bCs w:val="1"/>
          <w:u w:val="single" w:color="auto"/>
          <w:color w:val="auto"/>
        </w:rPr>
        <w:t>Mergers and Consolidations</w:t>
      </w:r>
    </w:p>
    <w:p>
      <w:pPr>
        <w:spacing w:after="0" w:line="256" w:lineRule="exact"/>
        <w:rPr>
          <w:sz w:val="20"/>
          <w:szCs w:val="20"/>
          <w:color w:val="auto"/>
        </w:rPr>
      </w:pPr>
    </w:p>
    <w:p>
      <w:pPr>
        <w:ind w:left="140" w:hanging="132"/>
        <w:spacing w:after="0"/>
        <w:tabs>
          <w:tab w:leader="none" w:pos="1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Wind up, liquidate or dissolve its affairs or enter into any transaction of merger or consolidation, except that the following shall be permitted: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580" w:hanging="627"/>
        <w:spacing w:after="0"/>
        <w:tabs>
          <w:tab w:leader="none" w:pos="25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Asset Sales in compliance with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600" w:hanging="647"/>
        <w:spacing w:after="0"/>
        <w:tabs>
          <w:tab w:leader="none" w:pos="26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acquisitions in compliance with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180" w:firstLine="1953"/>
        <w:spacing w:after="0" w:line="342" w:lineRule="auto"/>
        <w:tabs>
          <w:tab w:leader="none" w:pos="2577" w:val="left"/>
        </w:tabs>
        <w:numPr>
          <w:ilvl w:val="1"/>
          <w:numId w:val="233"/>
        </w:numPr>
        <w:rPr>
          <w:rFonts w:ascii="Arial" w:cs="Arial" w:eastAsia="Arial" w:hAnsi="Arial"/>
          <w:sz w:val="16"/>
          <w:szCs w:val="16"/>
          <w:color w:val="auto"/>
        </w:rPr>
      </w:pPr>
      <w:r>
        <w:rPr>
          <w:rFonts w:ascii="Arial" w:cs="Arial" w:eastAsia="Arial" w:hAnsi="Arial"/>
          <w:sz w:val="16"/>
          <w:szCs w:val="16"/>
          <w:color w:val="auto"/>
        </w:rPr>
        <w:t>any Company may merge or consolidate with or into Borrower or any Subsidiary Guarantor (as long as Borrower is the surviving person in the case of any merger or consolidation involving Borrower and a Subsidiary Guarantor is the surviving person and remains a Wholly</w:t>
      </w:r>
    </w:p>
    <w:p>
      <w:pPr>
        <w:sectPr>
          <w:pgSz w:w="11900" w:h="16948" w:orient="portrait"/>
          <w:cols w:equalWidth="0" w:num="1">
            <w:col w:w="11360"/>
          </w:cols>
          <w:pgMar w:left="240" w:top="638" w:right="299" w:bottom="0" w:gutter="0" w:footer="0" w:header="0"/>
        </w:sectPr>
      </w:pPr>
    </w:p>
    <w:bookmarkStart w:id="115" w:name="page116"/>
    <w:bookmarkEnd w:id="115"/>
    <w:p>
      <w:pPr>
        <w:ind w:right="340"/>
        <w:spacing w:after="0" w:line="264" w:lineRule="auto"/>
        <w:rPr>
          <w:sz w:val="20"/>
          <w:szCs w:val="20"/>
          <w:color w:val="auto"/>
        </w:rPr>
      </w:pPr>
      <w:r>
        <w:rPr>
          <w:rFonts w:ascii="Arial" w:cs="Arial" w:eastAsia="Arial" w:hAnsi="Arial"/>
          <w:sz w:val="18"/>
          <w:szCs w:val="18"/>
          <w:color w:val="auto"/>
        </w:rPr>
        <w:t xml:space="preserve">Owned Subsidiary of Borrower in any other case);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Lien on and security interest in such property granted or to be granted in favor of the Collateral Agent under the Security Documents shall be maintained or created in accordance with the provisions of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5.11</w:t>
      </w:r>
      <w:r>
        <w:rPr>
          <w:rFonts w:ascii="Arial" w:cs="Arial" w:eastAsia="Arial" w:hAnsi="Arial"/>
          <w:sz w:val="18"/>
          <w:szCs w:val="18"/>
          <w:color w:val="auto"/>
        </w:rPr>
        <w:t>, as applicable;</w:t>
      </w:r>
    </w:p>
    <w:p>
      <w:pPr>
        <w:spacing w:after="0" w:line="200" w:lineRule="exact"/>
        <w:rPr>
          <w:sz w:val="20"/>
          <w:szCs w:val="20"/>
          <w:color w:val="auto"/>
        </w:rPr>
      </w:pPr>
    </w:p>
    <w:p>
      <w:pPr>
        <w:spacing w:after="0" w:line="278" w:lineRule="exact"/>
        <w:rPr>
          <w:sz w:val="20"/>
          <w:szCs w:val="20"/>
          <w:color w:val="auto"/>
        </w:rPr>
      </w:pPr>
    </w:p>
    <w:p>
      <w:pPr>
        <w:ind w:right="40" w:firstLine="1953"/>
        <w:spacing w:after="0" w:line="277" w:lineRule="auto"/>
        <w:tabs>
          <w:tab w:leader="none" w:pos="258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Subsidiary that is not a Subsidiary Guarantor may merge or consolidate with or into any other Subsidiary that is not a Subsidiary Guarantor (as long as the surviving person is a Wholly Owned Subsidiary of Borrower); and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300" w:firstLine="1953"/>
        <w:spacing w:after="0" w:line="277" w:lineRule="auto"/>
        <w:tabs>
          <w:tab w:leader="none" w:pos="257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any Subsidiary may dissolve, liquidate or wind up its affairs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dissolution, liquidation or winding up, as applicable, could not reasonably be expected to have a Material Adverse Effect.</w:t>
      </w:r>
    </w:p>
    <w:p>
      <w:pPr>
        <w:spacing w:after="0" w:line="200" w:lineRule="exact"/>
        <w:rPr>
          <w:sz w:val="20"/>
          <w:szCs w:val="20"/>
          <w:color w:val="auto"/>
        </w:rPr>
      </w:pPr>
    </w:p>
    <w:p>
      <w:pPr>
        <w:spacing w:after="0" w:line="241"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 xml:space="preserve">To the extent the Required Lenders or all the Lenders, as applicable, waive the provisions of this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with respect to the sale of any Collateral, or any Collateral is sold as permitted by this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such Collateral (unless sold to a Company) shall be sold free and clear of the Liens created by the Security Documents and, so long as Borrower shall have provided the Agents such certifications or documents as any Agent shall reasonably request in order to demonstrate compliance with this </w:t>
      </w:r>
      <w:r>
        <w:rPr>
          <w:rFonts w:ascii="Arial" w:cs="Arial" w:eastAsia="Arial" w:hAnsi="Arial"/>
          <w:sz w:val="16"/>
          <w:szCs w:val="16"/>
          <w:u w:val="single" w:color="auto"/>
          <w:color w:val="auto"/>
        </w:rPr>
        <w:t>Section 6.05</w:t>
      </w:r>
      <w:r>
        <w:rPr>
          <w:rFonts w:ascii="Arial" w:cs="Arial" w:eastAsia="Arial" w:hAnsi="Arial"/>
          <w:sz w:val="16"/>
          <w:szCs w:val="16"/>
          <w:color w:val="auto"/>
        </w:rPr>
        <w:t>, the Agents shall take all actions they deem appropriate in order to effect the foregoing.</w:t>
      </w:r>
    </w:p>
    <w:p>
      <w:pPr>
        <w:spacing w:after="0" w:line="20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6.06</w:t>
      </w:r>
      <w:r>
        <w:rPr>
          <w:sz w:val="20"/>
          <w:szCs w:val="20"/>
          <w:color w:val="auto"/>
        </w:rPr>
        <w:tab/>
      </w:r>
      <w:r>
        <w:rPr>
          <w:rFonts w:ascii="Arial" w:cs="Arial" w:eastAsia="Arial" w:hAnsi="Arial"/>
          <w:sz w:val="14"/>
          <w:szCs w:val="14"/>
          <w:b w:val="1"/>
          <w:bCs w:val="1"/>
          <w:u w:val="single" w:color="auto"/>
          <w:color w:val="auto"/>
        </w:rPr>
        <w:t>Asset Sales</w:t>
      </w:r>
    </w:p>
    <w:p>
      <w:pPr>
        <w:spacing w:after="0" w:line="256" w:lineRule="exact"/>
        <w:rPr>
          <w:sz w:val="20"/>
          <w:szCs w:val="20"/>
          <w:color w:val="auto"/>
        </w:rPr>
      </w:pPr>
    </w:p>
    <w:p>
      <w:pPr>
        <w:ind w:left="140" w:hanging="132"/>
        <w:spacing w:after="0"/>
        <w:tabs>
          <w:tab w:leader="none" w:pos="1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Effect any Asset Sale, or agree to effect any Asset Sale, except that the following shall be permitted: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120" w:firstLine="1953"/>
        <w:spacing w:after="0" w:line="264" w:lineRule="auto"/>
        <w:tabs>
          <w:tab w:leader="none" w:pos="257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disposition of used, worn out, obsolete or surplus property by any Company in the ordinary course of business and the abandonment or other disposition of Intellectual Property that is, in the reasonable judgment of Borrower, no longer economically practicable to maintain or useful in the conduct of the business of the Companies taken as a whole;</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300" w:firstLine="1953"/>
        <w:spacing w:after="0" w:line="277" w:lineRule="auto"/>
        <w:tabs>
          <w:tab w:leader="none" w:pos="258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Asset Sales;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consideration received in respect of all Asset Sales pursuant to this clause (b) shall not exceed $50.0 million in any four consecutive fiscal quarters of Borrower;</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580" w:hanging="627"/>
        <w:spacing w:after="0"/>
        <w:tabs>
          <w:tab w:leader="none" w:pos="258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leases of real or personal property in the ordinary course of business and in accordance with the applicable Security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Documents;</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2600" w:hanging="647"/>
        <w:spacing w:after="0"/>
        <w:tabs>
          <w:tab w:leader="none" w:pos="26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Transactions as contemplated by the Transaction Documents;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580" w:hanging="627"/>
        <w:spacing w:after="0"/>
        <w:tabs>
          <w:tab w:leader="none" w:pos="25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mergers and consolidations in compliance with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560" w:hanging="607"/>
        <w:spacing w:after="0"/>
        <w:tabs>
          <w:tab w:leader="none" w:pos="256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Investments in compliance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 and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260" w:firstLine="1953"/>
        <w:spacing w:after="0" w:line="277" w:lineRule="auto"/>
        <w:tabs>
          <w:tab w:leader="none" w:pos="258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the sale, for consideration paid solely in cash, of the Sullivan Road Property (and all improvements thereon);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100% of the Net Cash Proceeds thereof are applied in accordance with </w:t>
      </w:r>
      <w:r>
        <w:rPr>
          <w:rFonts w:ascii="Arial" w:cs="Arial" w:eastAsia="Arial" w:hAnsi="Arial"/>
          <w:sz w:val="18"/>
          <w:szCs w:val="18"/>
          <w:u w:val="single" w:color="auto"/>
          <w:color w:val="auto"/>
        </w:rPr>
        <w:t>Section 2.10(c)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 xml:space="preserve">To the extent the Required Lenders or all the Lenders, as applicable, waive the provisions of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with respect to the sale of any Collateral, or any Collateral is sold as permitted by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such Collateral (unless sold to a Company) shall be sold free and clear of the Liens created by the Security Documents, and, so long as Borrower shall have provided the Agents such certifications or documents as any Agent shall reasonably request in order to demonstrate compliance with this </w:t>
      </w:r>
      <w:r>
        <w:rPr>
          <w:rFonts w:ascii="Arial" w:cs="Arial" w:eastAsia="Arial" w:hAnsi="Arial"/>
          <w:sz w:val="16"/>
          <w:szCs w:val="16"/>
          <w:u w:val="single" w:color="auto"/>
          <w:color w:val="auto"/>
        </w:rPr>
        <w:t>Section 6.06</w:t>
      </w:r>
      <w:r>
        <w:rPr>
          <w:rFonts w:ascii="Arial" w:cs="Arial" w:eastAsia="Arial" w:hAnsi="Arial"/>
          <w:sz w:val="16"/>
          <w:szCs w:val="16"/>
          <w:color w:val="auto"/>
        </w:rPr>
        <w:t>, the Agents shall take all actions they deem appropriate in order to effect the foregoing.</w:t>
      </w:r>
    </w:p>
    <w:p>
      <w:pPr>
        <w:spacing w:after="0" w:line="20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6.07</w:t>
      </w:r>
      <w:r>
        <w:rPr>
          <w:sz w:val="20"/>
          <w:szCs w:val="20"/>
          <w:color w:val="auto"/>
        </w:rPr>
        <w:tab/>
      </w:r>
      <w:r>
        <w:rPr>
          <w:rFonts w:ascii="Arial" w:cs="Arial" w:eastAsia="Arial" w:hAnsi="Arial"/>
          <w:sz w:val="15"/>
          <w:szCs w:val="15"/>
          <w:b w:val="1"/>
          <w:bCs w:val="1"/>
          <w:u w:val="single" w:color="auto"/>
          <w:color w:val="auto"/>
        </w:rPr>
        <w:t>Acquisitions</w:t>
      </w:r>
    </w:p>
    <w:p>
      <w:pPr>
        <w:spacing w:after="0" w:line="256" w:lineRule="exact"/>
        <w:rPr>
          <w:sz w:val="20"/>
          <w:szCs w:val="20"/>
          <w:color w:val="auto"/>
        </w:rPr>
      </w:pPr>
    </w:p>
    <w:p>
      <w:pPr>
        <w:ind w:right="80" w:firstLine="8"/>
        <w:spacing w:after="0" w:line="277" w:lineRule="auto"/>
        <w:tabs>
          <w:tab w:leader="none" w:pos="13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Purchase or otherwise acquire (in one or a series of related transactions) any part of the property (whether tangible or intangible) of any person, except that the following shall be permitted: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580" w:hanging="627"/>
        <w:spacing w:after="0"/>
        <w:tabs>
          <w:tab w:leader="none" w:pos="258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 xml:space="preserve">Capital Expenditures by Borrower and the Subsidiaries shall be permitted to the extent permitted by </w:t>
      </w:r>
      <w:r>
        <w:rPr>
          <w:rFonts w:ascii="Arial" w:cs="Arial" w:eastAsia="Arial" w:hAnsi="Arial"/>
          <w:sz w:val="17"/>
          <w:szCs w:val="17"/>
          <w:u w:val="single" w:color="auto"/>
          <w:color w:val="auto"/>
        </w:rPr>
        <w:t>Section 6.10(c)</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333" w:lineRule="exact"/>
        <w:rPr>
          <w:rFonts w:ascii="Arial" w:cs="Arial" w:eastAsia="Arial" w:hAnsi="Arial"/>
          <w:sz w:val="17"/>
          <w:szCs w:val="17"/>
          <w:color w:val="auto"/>
        </w:rPr>
      </w:pPr>
    </w:p>
    <w:p>
      <w:pPr>
        <w:ind w:left="2600" w:hanging="647"/>
        <w:spacing w:after="0"/>
        <w:tabs>
          <w:tab w:leader="none" w:pos="260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purchases and other acquisitions of inventory, materials, equipment and intangible property in the ordinary course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2580" w:hanging="627"/>
        <w:spacing w:after="0"/>
        <w:tabs>
          <w:tab w:leader="none" w:pos="258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Investments in compliance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ectPr>
          <w:pgSz w:w="11900" w:h="16838" w:orient="portrait"/>
          <w:cols w:equalWidth="0" w:num="1">
            <w:col w:w="11380"/>
          </w:cols>
          <w:pgMar w:left="240" w:top="125" w:right="279" w:bottom="221" w:gutter="0" w:footer="0" w:header="0"/>
        </w:sectPr>
      </w:pPr>
    </w:p>
    <w:bookmarkStart w:id="116" w:name="page117"/>
    <w:bookmarkEnd w:id="116"/>
    <w:p>
      <w:pPr>
        <w:ind w:right="220" w:firstLine="1953"/>
        <w:spacing w:after="0" w:line="277" w:lineRule="auto"/>
        <w:tabs>
          <w:tab w:leader="none" w:pos="258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leases of real or personal property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leases entered into by Loan Parties, such leases are in accordance with the applicable Security Documents;</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580" w:hanging="627"/>
        <w:spacing w:after="0"/>
        <w:tabs>
          <w:tab w:leader="none" w:pos="25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Transactions as contemplated by the Transaction Documents;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560" w:hanging="607"/>
        <w:spacing w:after="0"/>
        <w:tabs>
          <w:tab w:leader="none" w:pos="25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Permitted Acquisitions; and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600" w:hanging="647"/>
        <w:spacing w:after="0"/>
        <w:tabs>
          <w:tab w:leader="none" w:pos="26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mergers and consolidations in compliance with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such transaction involving any Loan Party, the Lien on and security interest in such property granted or to be granted in favor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Collateral Agent under the Security Documents shall be maintained or created in accordance with the provisions of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5.11</w:t>
      </w:r>
      <w:r>
        <w:rPr>
          <w:rFonts w:ascii="Arial" w:cs="Arial" w:eastAsia="Arial" w:hAnsi="Arial"/>
          <w:sz w:val="18"/>
          <w:szCs w:val="18"/>
          <w:color w:val="auto"/>
        </w:rPr>
        <w:t>, as applicable.</w:t>
      </w:r>
    </w:p>
    <w:p>
      <w:pPr>
        <w:spacing w:after="0" w:line="23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6.08</w:t>
      </w:r>
      <w:r>
        <w:rPr>
          <w:sz w:val="20"/>
          <w:szCs w:val="20"/>
          <w:color w:val="auto"/>
        </w:rPr>
        <w:tab/>
      </w:r>
      <w:r>
        <w:rPr>
          <w:rFonts w:ascii="Arial" w:cs="Arial" w:eastAsia="Arial" w:hAnsi="Arial"/>
          <w:sz w:val="15"/>
          <w:szCs w:val="15"/>
          <w:b w:val="1"/>
          <w:bCs w:val="1"/>
          <w:u w:val="single" w:color="auto"/>
          <w:color w:val="auto"/>
        </w:rPr>
        <w:t>Dividends</w:t>
      </w:r>
    </w:p>
    <w:p>
      <w:pPr>
        <w:spacing w:after="0" w:line="256" w:lineRule="exact"/>
        <w:rPr>
          <w:sz w:val="20"/>
          <w:szCs w:val="20"/>
          <w:color w:val="auto"/>
        </w:rPr>
      </w:pPr>
    </w:p>
    <w:p>
      <w:pPr>
        <w:ind w:left="140" w:hanging="132"/>
        <w:spacing w:after="0"/>
        <w:tabs>
          <w:tab w:leader="none" w:pos="1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Authorize, declare or pay, directly or indirectly, any Dividends with respect to any Company, except that the following shall be permitted: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580" w:hanging="627"/>
        <w:spacing w:after="0"/>
        <w:tabs>
          <w:tab w:leader="none" w:pos="258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Dividends by any Company to Borrower or any Subsidiary Guarantor that is a Wholly Owned Subsidiary of Borrower;</w:t>
      </w:r>
    </w:p>
    <w:p>
      <w:pPr>
        <w:spacing w:after="0" w:line="200" w:lineRule="exact"/>
        <w:rPr>
          <w:rFonts w:ascii="Arial" w:cs="Arial" w:eastAsia="Arial" w:hAnsi="Arial"/>
          <w:sz w:val="17"/>
          <w:szCs w:val="17"/>
          <w:color w:val="auto"/>
        </w:rPr>
      </w:pPr>
    </w:p>
    <w:p>
      <w:pPr>
        <w:spacing w:after="0" w:line="333" w:lineRule="exact"/>
        <w:rPr>
          <w:rFonts w:ascii="Arial" w:cs="Arial" w:eastAsia="Arial" w:hAnsi="Arial"/>
          <w:sz w:val="17"/>
          <w:szCs w:val="17"/>
          <w:color w:val="auto"/>
        </w:rPr>
      </w:pPr>
    </w:p>
    <w:p>
      <w:pPr>
        <w:ind w:right="200" w:firstLine="1953"/>
        <w:spacing w:after="0" w:line="264" w:lineRule="auto"/>
        <w:tabs>
          <w:tab w:leader="none" w:pos="2587"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(i) Dividends by any Subsidiary that is not a Subsidiary Guarantor to any other Subsidiary that is not a Subsidiary Guarantor but is a Wholly Owned Subsidiary of Borrower and (ii) cash Dividends by any Subsidiary that is not a Wholly Owned Subsidiary of Borrower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20" w:firstLine="1953"/>
        <w:spacing w:after="0" w:line="288" w:lineRule="auto"/>
        <w:tabs>
          <w:tab w:leader="none" w:pos="2577" w:val="left"/>
        </w:tabs>
        <w:numPr>
          <w:ilvl w:val="1"/>
          <w:numId w:val="238"/>
        </w:numPr>
        <w:rPr>
          <w:rFonts w:ascii="Arial" w:cs="Arial" w:eastAsia="Arial" w:hAnsi="Arial"/>
          <w:sz w:val="16"/>
          <w:szCs w:val="16"/>
          <w:color w:val="auto"/>
        </w:rPr>
      </w:pPr>
      <w:r>
        <w:rPr>
          <w:rFonts w:ascii="Arial" w:cs="Arial" w:eastAsia="Arial" w:hAnsi="Arial"/>
          <w:sz w:val="16"/>
          <w:szCs w:val="16"/>
          <w:color w:val="auto"/>
        </w:rPr>
        <w:t xml:space="preserve">so long as no Default or Event of Default shall have occurred and is continuing or would result therefrom, Borrower may purchase common stock of Borrower or common stock options or warrants issued by Borrower from present or former officers or employees of any Company upon the death, disability or termination of employment of such officer or employee;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payments under this clause (c)</w:t>
      </w:r>
    </w:p>
    <w:p>
      <w:pPr>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(net of any proceeds received by Borrower after the Closing Date in connection with resales of any such common stock or common stock options so purchased) shall not exceed $1.0 million in any fiscal year of Borrower (provided that any such amount not expended in a particular fiscal year may be carried over for expenditure into any succeeding fiscal year so long as the aggregate amount expended in any one fiscal year pursuant to this </w:t>
      </w:r>
      <w:r>
        <w:rPr>
          <w:rFonts w:ascii="Arial" w:cs="Arial" w:eastAsia="Arial" w:hAnsi="Arial"/>
          <w:sz w:val="18"/>
          <w:szCs w:val="18"/>
          <w:u w:val="single" w:color="auto"/>
          <w:color w:val="auto"/>
        </w:rPr>
        <w:t>Section 6.08(c)</w:t>
      </w:r>
      <w:r>
        <w:rPr>
          <w:rFonts w:ascii="Arial" w:cs="Arial" w:eastAsia="Arial" w:hAnsi="Arial"/>
          <w:sz w:val="18"/>
          <w:szCs w:val="18"/>
          <w:color w:val="auto"/>
        </w:rPr>
        <w:t xml:space="preserve"> does not exceed $3.0 million; and</w:t>
      </w: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right="20" w:firstLine="1953"/>
        <w:spacing w:after="0" w:line="255" w:lineRule="auto"/>
        <w:tabs>
          <w:tab w:leader="none" w:pos="2587"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Borrower may purchase common stock or common stock options or warrants issued by Borrower from shareholders who are not present or former officers or employees of any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aggregate amount of all payments under this clause (d) does not exceed the sum of (x) $5.0 million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(y) on a cumulative basis, commencing with fiscal year 2007, 25% of the aggregate Borrower ECF Amounts as of the date of such purchase and (ii) no Default or Event of Default has occurred and is continuing or would result therefrom;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notwithstanding the foregoing, no payment made under clause (y) of this </w:t>
      </w:r>
      <w:r>
        <w:rPr>
          <w:rFonts w:ascii="Arial" w:cs="Arial" w:eastAsia="Arial" w:hAnsi="Arial"/>
          <w:sz w:val="18"/>
          <w:szCs w:val="18"/>
          <w:u w:val="single" w:color="auto"/>
          <w:color w:val="auto"/>
        </w:rPr>
        <w:t>Section 6.08(d)</w:t>
      </w:r>
      <w:r>
        <w:rPr>
          <w:rFonts w:ascii="Arial" w:cs="Arial" w:eastAsia="Arial" w:hAnsi="Arial"/>
          <w:sz w:val="18"/>
          <w:szCs w:val="18"/>
          <w:color w:val="auto"/>
        </w:rPr>
        <w:t xml:space="preserve"> shall exceed the Cumulative Excess Cash Flow Amount then in effect immediately prior to such payment.</w:t>
      </w:r>
    </w:p>
    <w:p>
      <w:pPr>
        <w:spacing w:after="0" w:line="24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6.09</w:t>
      </w:r>
      <w:r>
        <w:rPr>
          <w:sz w:val="20"/>
          <w:szCs w:val="20"/>
          <w:color w:val="auto"/>
        </w:rPr>
        <w:tab/>
      </w:r>
      <w:r>
        <w:rPr>
          <w:rFonts w:ascii="Arial" w:cs="Arial" w:eastAsia="Arial" w:hAnsi="Arial"/>
          <w:sz w:val="16"/>
          <w:szCs w:val="16"/>
          <w:b w:val="1"/>
          <w:bCs w:val="1"/>
          <w:u w:val="single" w:color="auto"/>
          <w:color w:val="auto"/>
        </w:rPr>
        <w:t>Transactions with Affiliates</w:t>
      </w:r>
    </w:p>
    <w:p>
      <w:pPr>
        <w:spacing w:after="0" w:line="256" w:lineRule="exact"/>
        <w:rPr>
          <w:sz w:val="20"/>
          <w:szCs w:val="20"/>
          <w:color w:val="auto"/>
        </w:rPr>
      </w:pPr>
    </w:p>
    <w:p>
      <w:pPr>
        <w:jc w:val="both"/>
        <w:ind w:right="40" w:firstLine="8"/>
        <w:spacing w:after="0" w:line="259" w:lineRule="auto"/>
        <w:tabs>
          <w:tab w:leader="none" w:pos="13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Enter into, directly or indirectly, any transaction or series of related transactions, whether or not in the ordinary course of business, with or for the benefit of any Affiliate of any Company (other than between or among Borrower and one or more Subsidiary Guarantors), other than on terms and conditions at least as favorable to such Company as would reasonably be obtained by such Company at that time in a comparable arm’s-length transaction with a person other than an Affiliate, except that the following shall be permitted:</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2580" w:hanging="627"/>
        <w:spacing w:after="0"/>
        <w:tabs>
          <w:tab w:leader="none" w:pos="25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Dividends permitted by </w:t>
      </w:r>
      <w:r>
        <w:rPr>
          <w:rFonts w:ascii="Arial" w:cs="Arial" w:eastAsia="Arial" w:hAnsi="Arial"/>
          <w:sz w:val="18"/>
          <w:szCs w:val="18"/>
          <w:u w:val="single" w:color="auto"/>
          <w:color w:val="auto"/>
        </w:rPr>
        <w:t>Section 6.08</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2600" w:hanging="647"/>
        <w:spacing w:after="0"/>
        <w:tabs>
          <w:tab w:leader="none" w:pos="26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Investments permitted by </w:t>
      </w:r>
      <w:r>
        <w:rPr>
          <w:rFonts w:ascii="Arial" w:cs="Arial" w:eastAsia="Arial" w:hAnsi="Arial"/>
          <w:sz w:val="18"/>
          <w:szCs w:val="18"/>
          <w:u w:val="single" w:color="auto"/>
          <w:color w:val="auto"/>
        </w:rPr>
        <w:t>Sections 6.04(e)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120" w:firstLine="1953"/>
        <w:spacing w:after="0" w:line="342" w:lineRule="auto"/>
        <w:tabs>
          <w:tab w:leader="none" w:pos="2577" w:val="left"/>
        </w:tabs>
        <w:numPr>
          <w:ilvl w:val="1"/>
          <w:numId w:val="239"/>
        </w:numPr>
        <w:rPr>
          <w:rFonts w:ascii="Arial" w:cs="Arial" w:eastAsia="Arial" w:hAnsi="Arial"/>
          <w:sz w:val="16"/>
          <w:szCs w:val="16"/>
          <w:color w:val="auto"/>
        </w:rPr>
      </w:pPr>
      <w:r>
        <w:rPr>
          <w:rFonts w:ascii="Arial" w:cs="Arial" w:eastAsia="Arial" w:hAnsi="Arial"/>
          <w:sz w:val="16"/>
          <w:szCs w:val="16"/>
          <w:color w:val="auto"/>
        </w:rPr>
        <w:t>reasonable and customary director, officer and employee compensation (including bonuses) and other benefits (including retirement, health, stock option and other benefit plans) and indemnification arrangements, in each case approved by the Board of Directors of Borrower;</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right="360" w:firstLine="1953"/>
        <w:spacing w:after="0" w:line="277" w:lineRule="auto"/>
        <w:tabs>
          <w:tab w:leader="none" w:pos="2587"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transactions with customers, clients, suppliers, joint venture partners or purchasers or sellers of goods and services, in each case in the ordinary course of business and otherwise not prohibited by the Loan Documents;</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760" w:firstLine="1953"/>
        <w:spacing w:after="0" w:line="277" w:lineRule="auto"/>
        <w:tabs>
          <w:tab w:leader="none" w:pos="2577" w:val="left"/>
        </w:tabs>
        <w:numPr>
          <w:ilvl w:val="1"/>
          <w:numId w:val="239"/>
        </w:numPr>
        <w:rPr>
          <w:rFonts w:ascii="Arial" w:cs="Arial" w:eastAsia="Arial" w:hAnsi="Arial"/>
          <w:sz w:val="18"/>
          <w:szCs w:val="18"/>
          <w:color w:val="auto"/>
        </w:rPr>
      </w:pPr>
      <w:r>
        <w:rPr>
          <w:rFonts w:ascii="Arial" w:cs="Arial" w:eastAsia="Arial" w:hAnsi="Arial"/>
          <w:sz w:val="18"/>
          <w:szCs w:val="18"/>
          <w:color w:val="auto"/>
        </w:rPr>
        <w:t>sales of Qualified Capital Stock of Borrower to Affiliates of Borrower (other than any Subsidiary) not otherwise prohibited by the Loan Documents and the granting of registration and other customary rights in connection therewith;</w:t>
      </w:r>
    </w:p>
    <w:p>
      <w:pPr>
        <w:sectPr>
          <w:pgSz w:w="11900" w:h="16838" w:orient="portrait"/>
          <w:cols w:equalWidth="0" w:num="1">
            <w:col w:w="11420"/>
          </w:cols>
          <w:pgMar w:left="240" w:top="152" w:right="239" w:bottom="0" w:gutter="0" w:footer="0" w:header="0"/>
        </w:sectPr>
      </w:pPr>
    </w:p>
    <w:bookmarkStart w:id="117" w:name="page118"/>
    <w:bookmarkEnd w:id="117"/>
    <w:p>
      <w:pPr>
        <w:ind w:left="2560" w:hanging="607"/>
        <w:spacing w:after="0"/>
        <w:tabs>
          <w:tab w:leader="none" w:pos="25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any transaction with an Affiliate where the only consideration paid by any Loan Party is Qualified Capital Stock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Borrower; and</w:t>
      </w:r>
    </w:p>
    <w:p>
      <w:pPr>
        <w:spacing w:after="0" w:line="200" w:lineRule="exact"/>
        <w:rPr>
          <w:sz w:val="20"/>
          <w:szCs w:val="20"/>
          <w:color w:val="auto"/>
        </w:rPr>
      </w:pPr>
    </w:p>
    <w:p>
      <w:pPr>
        <w:spacing w:after="0" w:line="308" w:lineRule="exact"/>
        <w:rPr>
          <w:sz w:val="20"/>
          <w:szCs w:val="20"/>
          <w:color w:val="auto"/>
        </w:rPr>
      </w:pPr>
    </w:p>
    <w:p>
      <w:pPr>
        <w:ind w:left="2600" w:hanging="647"/>
        <w:spacing w:after="0"/>
        <w:tabs>
          <w:tab w:leader="none" w:pos="26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Transactions as contemplated by the Transaction Documents.</w:t>
      </w:r>
    </w:p>
    <w:p>
      <w:pPr>
        <w:spacing w:after="0" w:line="27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6.10</w:t>
      </w:r>
      <w:r>
        <w:rPr>
          <w:sz w:val="20"/>
          <w:szCs w:val="20"/>
          <w:color w:val="auto"/>
        </w:rPr>
        <w:tab/>
      </w:r>
      <w:r>
        <w:rPr>
          <w:rFonts w:ascii="Arial" w:cs="Arial" w:eastAsia="Arial" w:hAnsi="Arial"/>
          <w:sz w:val="16"/>
          <w:szCs w:val="16"/>
          <w:b w:val="1"/>
          <w:bCs w:val="1"/>
          <w:u w:val="single" w:color="auto"/>
          <w:color w:val="auto"/>
        </w:rPr>
        <w:t>Financial Covenants</w:t>
      </w:r>
    </w:p>
    <w:p>
      <w:pPr>
        <w:spacing w:after="0" w:line="283" w:lineRule="exact"/>
        <w:rPr>
          <w:sz w:val="20"/>
          <w:szCs w:val="20"/>
          <w:color w:val="auto"/>
        </w:rPr>
      </w:pPr>
    </w:p>
    <w:p>
      <w:pPr>
        <w:ind w:right="380" w:firstLine="1953"/>
        <w:spacing w:after="0" w:line="277" w:lineRule="auto"/>
        <w:tabs>
          <w:tab w:leader="none" w:pos="2577"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Maximum Total Leverage Ratio</w:t>
      </w:r>
      <w:r>
        <w:rPr>
          <w:rFonts w:ascii="Arial" w:cs="Arial" w:eastAsia="Arial" w:hAnsi="Arial"/>
          <w:sz w:val="18"/>
          <w:szCs w:val="18"/>
          <w:color w:val="auto"/>
        </w:rPr>
        <w:t>. Permit the Total Leverage Ratio, as at the end of any Test Period ending during any period set forth in the table below, to exceed the ratio set forth opposite such period in the table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5540" w:type="dxa"/>
            <w:vAlign w:val="bottom"/>
            <w:tcBorders>
              <w:top w:val="single" w:sz="8" w:color="auto"/>
            </w:tcBorders>
          </w:tcPr>
          <w:p>
            <w:pPr>
              <w:ind w:left="2300"/>
              <w:spacing w:after="0"/>
              <w:rPr>
                <w:sz w:val="20"/>
                <w:szCs w:val="20"/>
                <w:color w:val="auto"/>
              </w:rPr>
            </w:pPr>
            <w:r>
              <w:rPr>
                <w:rFonts w:ascii="Arial" w:cs="Arial" w:eastAsia="Arial" w:hAnsi="Arial"/>
                <w:sz w:val="18"/>
                <w:szCs w:val="18"/>
                <w:b w:val="1"/>
                <w:bCs w:val="1"/>
                <w:color w:val="auto"/>
              </w:rPr>
              <w:t>Test Period</w:t>
            </w:r>
          </w:p>
        </w:tc>
        <w:tc>
          <w:tcPr>
            <w:tcW w:w="5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Leverage Ratio</w:t>
            </w:r>
          </w:p>
        </w:tc>
      </w:tr>
      <w:tr>
        <w:trPr>
          <w:trHeight w:val="232"/>
        </w:trPr>
        <w:tc>
          <w:tcPr>
            <w:tcW w:w="5560" w:type="dxa"/>
            <w:vAlign w:val="bottom"/>
            <w:gridSpan w:val="2"/>
          </w:tcPr>
          <w:p>
            <w:pPr>
              <w:spacing w:after="0"/>
              <w:rPr>
                <w:sz w:val="20"/>
                <w:szCs w:val="20"/>
                <w:color w:val="auto"/>
              </w:rPr>
            </w:pPr>
          </w:p>
        </w:tc>
        <w:tc>
          <w:tcPr>
            <w:tcW w:w="586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Closing Date through September 30, 2007</w:t>
            </w:r>
          </w:p>
        </w:tc>
        <w:tc>
          <w:tcPr>
            <w:tcW w:w="5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6.50 to 1.0</w:t>
            </w:r>
          </w:p>
        </w:tc>
      </w:tr>
      <w:tr>
        <w:trPr>
          <w:trHeight w:val="223"/>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October 1, 2007 through June 30, 2008</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6.25 to 1.0</w:t>
            </w:r>
          </w:p>
        </w:tc>
      </w:tr>
      <w:tr>
        <w:trPr>
          <w:trHeight w:val="223"/>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July 1, 2008 through September 30, 2008</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6.00 to 1.0</w:t>
            </w:r>
          </w:p>
        </w:tc>
      </w:tr>
      <w:tr>
        <w:trPr>
          <w:trHeight w:val="223"/>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October 1, 2008 through December 31, 2008</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5.50 to 1.0</w:t>
            </w:r>
          </w:p>
        </w:tc>
      </w:tr>
      <w:tr>
        <w:trPr>
          <w:trHeight w:val="223"/>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2009 through December 31, 2009</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4.00 to 1.0</w:t>
            </w:r>
          </w:p>
        </w:tc>
      </w:tr>
      <w:tr>
        <w:trPr>
          <w:trHeight w:val="223"/>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2010 through December 31, 2010</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3.25 to 1.0</w:t>
            </w:r>
          </w:p>
        </w:tc>
      </w:tr>
      <w:tr>
        <w:trPr>
          <w:trHeight w:val="223"/>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2011 through December 31, 2011</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2.25 to 1.0</w:t>
            </w:r>
          </w:p>
        </w:tc>
      </w:tr>
      <w:tr>
        <w:trPr>
          <w:trHeight w:val="223"/>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2012 and thereafter</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 to 1.0</w:t>
            </w:r>
          </w:p>
        </w:tc>
      </w:tr>
    </w:tbl>
    <w:p>
      <w:pPr>
        <w:spacing w:after="0" w:line="256" w:lineRule="exact"/>
        <w:rPr>
          <w:sz w:val="20"/>
          <w:szCs w:val="20"/>
          <w:color w:val="auto"/>
        </w:rPr>
      </w:pPr>
    </w:p>
    <w:p>
      <w:pPr>
        <w:ind w:right="220" w:firstLine="1953"/>
        <w:spacing w:after="0" w:line="277" w:lineRule="auto"/>
        <w:tabs>
          <w:tab w:leader="none" w:pos="2587"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Minimum Interest Coverage Ratio</w:t>
      </w:r>
      <w:r>
        <w:rPr>
          <w:rFonts w:ascii="Arial" w:cs="Arial" w:eastAsia="Arial" w:hAnsi="Arial"/>
          <w:sz w:val="18"/>
          <w:szCs w:val="18"/>
          <w:color w:val="auto"/>
        </w:rPr>
        <w:t>. Permit the Consolidated Interest Coverage Ratio, for any Test Period ending during any period set forth in the table below, to be less than the ratio set forth opposite such period in the table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520" w:type="dxa"/>
            <w:vAlign w:val="bottom"/>
            <w:tcBorders>
              <w:top w:val="single" w:sz="8" w:color="auto"/>
            </w:tcBorders>
          </w:tcPr>
          <w:p>
            <w:pPr>
              <w:ind w:left="2300"/>
              <w:spacing w:after="0"/>
              <w:rPr>
                <w:sz w:val="20"/>
                <w:szCs w:val="20"/>
                <w:color w:val="auto"/>
              </w:rPr>
            </w:pPr>
            <w:r>
              <w:rPr>
                <w:rFonts w:ascii="Arial" w:cs="Arial" w:eastAsia="Arial" w:hAnsi="Arial"/>
                <w:sz w:val="18"/>
                <w:szCs w:val="18"/>
                <w:b w:val="1"/>
                <w:bCs w:val="1"/>
                <w:color w:val="auto"/>
              </w:rPr>
              <w:t>Test Period</w:t>
            </w:r>
          </w:p>
        </w:tc>
        <w:tc>
          <w:tcPr>
            <w:tcW w:w="5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w:t>
            </w: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880" w:type="dxa"/>
            <w:vAlign w:val="bottom"/>
          </w:tcPr>
          <w:p>
            <w:pPr>
              <w:jc w:val="center"/>
              <w:spacing w:after="0"/>
              <w:rPr>
                <w:sz w:val="20"/>
                <w:szCs w:val="20"/>
                <w:color w:val="auto"/>
              </w:rPr>
            </w:pPr>
            <w:r>
              <w:rPr>
                <w:rFonts w:ascii="Arial" w:cs="Arial" w:eastAsia="Arial" w:hAnsi="Arial"/>
                <w:sz w:val="18"/>
                <w:szCs w:val="18"/>
                <w:b w:val="1"/>
                <w:bCs w:val="1"/>
                <w:color w:val="auto"/>
                <w:w w:val="90"/>
              </w:rPr>
              <w:t>Coverage Ratio</w:t>
            </w:r>
          </w:p>
        </w:tc>
      </w:tr>
      <w:tr>
        <w:trPr>
          <w:trHeight w:val="250"/>
        </w:trPr>
        <w:tc>
          <w:tcPr>
            <w:tcW w:w="5540" w:type="dxa"/>
            <w:vAlign w:val="bottom"/>
            <w:gridSpan w:val="2"/>
          </w:tcPr>
          <w:p>
            <w:pPr>
              <w:spacing w:after="0"/>
              <w:rPr>
                <w:sz w:val="21"/>
                <w:szCs w:val="21"/>
                <w:color w:val="auto"/>
              </w:rPr>
            </w:pPr>
          </w:p>
        </w:tc>
        <w:tc>
          <w:tcPr>
            <w:tcW w:w="5880" w:type="dxa"/>
            <w:vAlign w:val="bottom"/>
          </w:tcPr>
          <w:p>
            <w:pPr>
              <w:spacing w:after="0"/>
              <w:rPr>
                <w:sz w:val="21"/>
                <w:szCs w:val="2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Closing Date through June 30, 2007</w:t>
            </w:r>
          </w:p>
        </w:tc>
        <w:tc>
          <w:tcPr>
            <w:tcW w:w="5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2.000 to 1.0</w:t>
            </w:r>
          </w:p>
        </w:tc>
      </w:tr>
      <w:tr>
        <w:trPr>
          <w:trHeight w:val="223"/>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July 1, 2007 through December 31, 2007</w:t>
            </w:r>
          </w:p>
        </w:tc>
        <w:tc>
          <w:tcPr>
            <w:tcW w:w="5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2.125 to 1.0</w:t>
            </w:r>
          </w:p>
        </w:tc>
      </w:tr>
      <w:tr>
        <w:trPr>
          <w:trHeight w:val="223"/>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2008 through June 30, 2008</w:t>
            </w:r>
          </w:p>
        </w:tc>
        <w:tc>
          <w:tcPr>
            <w:tcW w:w="5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2.250 to 1.0</w:t>
            </w:r>
          </w:p>
        </w:tc>
      </w:tr>
      <w:tr>
        <w:trPr>
          <w:trHeight w:val="223"/>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July 1, 2008 through December 31, 2008</w:t>
            </w:r>
          </w:p>
        </w:tc>
        <w:tc>
          <w:tcPr>
            <w:tcW w:w="5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2.500 to 1.0</w:t>
            </w:r>
          </w:p>
        </w:tc>
      </w:tr>
      <w:tr>
        <w:trPr>
          <w:trHeight w:val="223"/>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2009 through December 31, 2009</w:t>
            </w:r>
          </w:p>
        </w:tc>
        <w:tc>
          <w:tcPr>
            <w:tcW w:w="5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3.500 to 1.0</w:t>
            </w:r>
          </w:p>
        </w:tc>
      </w:tr>
      <w:tr>
        <w:trPr>
          <w:trHeight w:val="223"/>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2010 through December 31, 2010</w:t>
            </w:r>
          </w:p>
        </w:tc>
        <w:tc>
          <w:tcPr>
            <w:tcW w:w="5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4.500 to 1.0</w:t>
            </w:r>
          </w:p>
        </w:tc>
      </w:tr>
      <w:tr>
        <w:trPr>
          <w:trHeight w:val="223"/>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2011 and thereafter</w:t>
            </w:r>
          </w:p>
        </w:tc>
        <w:tc>
          <w:tcPr>
            <w:tcW w:w="5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5.000 to 1.0</w:t>
            </w:r>
          </w:p>
        </w:tc>
      </w:tr>
    </w:tbl>
    <w:p>
      <w:pPr>
        <w:spacing w:after="0" w:line="256" w:lineRule="exact"/>
        <w:rPr>
          <w:sz w:val="20"/>
          <w:szCs w:val="20"/>
          <w:color w:val="auto"/>
        </w:rPr>
      </w:pPr>
    </w:p>
    <w:p>
      <w:pPr>
        <w:ind w:right="260" w:firstLine="1953"/>
        <w:spacing w:after="0" w:line="277" w:lineRule="auto"/>
        <w:tabs>
          <w:tab w:leader="none" w:pos="2577"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Limitation on Capital Expenditures</w:t>
      </w:r>
      <w:r>
        <w:rPr>
          <w:rFonts w:ascii="Arial" w:cs="Arial" w:eastAsia="Arial" w:hAnsi="Arial"/>
          <w:sz w:val="18"/>
          <w:szCs w:val="18"/>
          <w:color w:val="auto"/>
        </w:rPr>
        <w:t>. Permit the aggregate amount of Capital Expenditures made in any period set forth below, to exceed the amount set forth opposite such period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5440" w:type="dxa"/>
            <w:vAlign w:val="bottom"/>
            <w:tcBorders>
              <w:top w:val="single" w:sz="8" w:color="auto"/>
            </w:tcBorders>
          </w:tcPr>
          <w:p>
            <w:pPr>
              <w:ind w:left="2480"/>
              <w:spacing w:after="0"/>
              <w:rPr>
                <w:sz w:val="20"/>
                <w:szCs w:val="20"/>
                <w:color w:val="auto"/>
              </w:rPr>
            </w:pPr>
            <w:r>
              <w:rPr>
                <w:rFonts w:ascii="Arial" w:cs="Arial" w:eastAsia="Arial" w:hAnsi="Arial"/>
                <w:sz w:val="18"/>
                <w:szCs w:val="18"/>
                <w:b w:val="1"/>
                <w:bCs w:val="1"/>
                <w:color w:val="auto"/>
              </w:rPr>
              <w:t>Period</w:t>
            </w:r>
          </w:p>
        </w:tc>
        <w:tc>
          <w:tcPr>
            <w:tcW w:w="5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Amount in Millions</w:t>
            </w:r>
          </w:p>
        </w:tc>
      </w:tr>
      <w:tr>
        <w:trPr>
          <w:trHeight w:val="232"/>
        </w:trPr>
        <w:tc>
          <w:tcPr>
            <w:tcW w:w="5460" w:type="dxa"/>
            <w:vAlign w:val="bottom"/>
            <w:gridSpan w:val="2"/>
          </w:tcPr>
          <w:p>
            <w:pPr>
              <w:spacing w:after="0"/>
              <w:rPr>
                <w:sz w:val="20"/>
                <w:szCs w:val="20"/>
                <w:color w:val="auto"/>
              </w:rPr>
            </w:pPr>
          </w:p>
        </w:tc>
        <w:tc>
          <w:tcPr>
            <w:tcW w:w="596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Closing Date through December 31, 2007</w:t>
            </w:r>
          </w:p>
        </w:tc>
        <w:tc>
          <w:tcPr>
            <w:tcW w:w="5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45.0</w:t>
            </w:r>
          </w:p>
        </w:tc>
      </w:tr>
      <w:tr>
        <w:trPr>
          <w:trHeight w:val="223"/>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2008 through December 31, 2008</w:t>
            </w:r>
          </w:p>
        </w:tc>
        <w:tc>
          <w:tcPr>
            <w:tcW w:w="5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65.0</w:t>
            </w:r>
          </w:p>
        </w:tc>
      </w:tr>
      <w:tr>
        <w:trPr>
          <w:trHeight w:val="223"/>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2009 through December 31, 2009</w:t>
            </w:r>
          </w:p>
        </w:tc>
        <w:tc>
          <w:tcPr>
            <w:tcW w:w="5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60.0</w:t>
            </w:r>
          </w:p>
        </w:tc>
      </w:tr>
      <w:tr>
        <w:trPr>
          <w:trHeight w:val="223"/>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2010 through December 31, 2010</w:t>
            </w:r>
          </w:p>
        </w:tc>
        <w:tc>
          <w:tcPr>
            <w:tcW w:w="5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60.0</w:t>
            </w:r>
          </w:p>
        </w:tc>
      </w:tr>
      <w:tr>
        <w:trPr>
          <w:trHeight w:val="223"/>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2011 through December 31, 2011</w:t>
            </w:r>
          </w:p>
        </w:tc>
        <w:tc>
          <w:tcPr>
            <w:tcW w:w="5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60.0</w:t>
            </w:r>
          </w:p>
        </w:tc>
      </w:tr>
      <w:tr>
        <w:trPr>
          <w:trHeight w:val="223"/>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2012 through December 31, 2012</w:t>
            </w:r>
          </w:p>
        </w:tc>
        <w:tc>
          <w:tcPr>
            <w:tcW w:w="5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60.0</w:t>
            </w:r>
          </w:p>
        </w:tc>
      </w:tr>
      <w:tr>
        <w:trPr>
          <w:trHeight w:val="223"/>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2013 through December 31, 2013</w:t>
            </w:r>
          </w:p>
        </w:tc>
        <w:tc>
          <w:tcPr>
            <w:tcW w:w="5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60.0</w:t>
            </w:r>
          </w:p>
        </w:tc>
      </w:tr>
      <w:tr>
        <w:trPr>
          <w:trHeight w:val="223"/>
        </w:trPr>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January 1, 2014 through December 31, 2014</w:t>
            </w:r>
          </w:p>
        </w:tc>
        <w:tc>
          <w:tcPr>
            <w:tcW w:w="5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60.0</w:t>
            </w:r>
          </w:p>
        </w:tc>
      </w:tr>
    </w:tbl>
    <w:p>
      <w:pPr>
        <w:spacing w:after="0" w:line="229" w:lineRule="exact"/>
        <w:rPr>
          <w:sz w:val="20"/>
          <w:szCs w:val="20"/>
          <w:color w:val="auto"/>
        </w:rPr>
      </w:pPr>
    </w:p>
    <w:p>
      <w:pPr>
        <w:ind w:right="140" w:firstLine="8"/>
        <w:spacing w:after="0" w:line="276" w:lineRule="auto"/>
        <w:tabs>
          <w:tab w:leader="none" w:pos="95" w:val="left"/>
        </w:tabs>
        <w:numPr>
          <w:ilvl w:val="0"/>
          <w:numId w:val="245"/>
        </w:numPr>
        <w:rPr>
          <w:rFonts w:ascii="Arial" w:cs="Arial" w:eastAsia="Arial" w:hAnsi="Arial"/>
          <w:sz w:val="17"/>
          <w:szCs w:val="17"/>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(x) if the aggregate amount of Capital Expenditures made in any period set forth above shall be less than the maximum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Capital Expenditures permitted under this </w:t>
      </w:r>
      <w:r>
        <w:rPr>
          <w:rFonts w:ascii="Arial" w:cs="Arial" w:eastAsia="Arial" w:hAnsi="Arial"/>
          <w:sz w:val="17"/>
          <w:szCs w:val="17"/>
          <w:u w:val="single" w:color="auto"/>
          <w:color w:val="auto"/>
        </w:rPr>
        <w:t>Section 6.10(c)</w:t>
      </w:r>
      <w:r>
        <w:rPr>
          <w:rFonts w:ascii="Arial" w:cs="Arial" w:eastAsia="Arial" w:hAnsi="Arial"/>
          <w:sz w:val="17"/>
          <w:szCs w:val="17"/>
          <w:color w:val="auto"/>
        </w:rPr>
        <w:t xml:space="preserve"> for such period (before giving effect to any carryover), then an amount of such shortfall not exceeding 50% of such maximum amount may be added to the amount of Capital Expenditures permitted under this </w:t>
      </w:r>
      <w:r>
        <w:rPr>
          <w:rFonts w:ascii="Arial" w:cs="Arial" w:eastAsia="Arial" w:hAnsi="Arial"/>
          <w:sz w:val="17"/>
          <w:szCs w:val="17"/>
          <w:u w:val="single" w:color="auto"/>
          <w:color w:val="auto"/>
        </w:rPr>
        <w:t>Section 6.10(c)</w:t>
      </w:r>
      <w:r>
        <w:rPr>
          <w:rFonts w:ascii="Arial" w:cs="Arial" w:eastAsia="Arial" w:hAnsi="Arial"/>
          <w:sz w:val="17"/>
          <w:szCs w:val="17"/>
          <w:color w:val="auto"/>
        </w:rPr>
        <w:t xml:space="preserve"> for the immediately succeeding (but not any other) period and (y) in determining whether any amount is available for carryover, the amount expended in any period shall first be deemed to be from the amount allocated to such period (before giving effect to any carryover).</w:t>
      </w:r>
    </w:p>
    <w:p>
      <w:pPr>
        <w:spacing w:after="0" w:line="223"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b w:val="1"/>
          <w:bCs w:val="1"/>
          <w:color w:val="auto"/>
        </w:rPr>
        <w:t>Section 6.11</w:t>
      </w:r>
      <w:r>
        <w:rPr>
          <w:sz w:val="20"/>
          <w:szCs w:val="20"/>
          <w:color w:val="auto"/>
        </w:rPr>
        <w:tab/>
      </w:r>
      <w:r>
        <w:rPr>
          <w:rFonts w:ascii="Arial" w:cs="Arial" w:eastAsia="Arial" w:hAnsi="Arial"/>
          <w:sz w:val="16"/>
          <w:szCs w:val="16"/>
          <w:b w:val="1"/>
          <w:bCs w:val="1"/>
          <w:u w:val="single" w:color="auto"/>
          <w:color w:val="auto"/>
        </w:rPr>
        <w:t>Prepayments of Other Indebtedness; Modifications of Organizational Documents and Other Documents, etc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Directly or indirectly:</w:t>
      </w:r>
    </w:p>
    <w:p>
      <w:pPr>
        <w:spacing w:after="0" w:line="200" w:lineRule="exact"/>
        <w:rPr>
          <w:sz w:val="20"/>
          <w:szCs w:val="20"/>
          <w:color w:val="auto"/>
        </w:rPr>
      </w:pPr>
    </w:p>
    <w:p>
      <w:pPr>
        <w:spacing w:after="0" w:line="322" w:lineRule="exact"/>
        <w:rPr>
          <w:sz w:val="20"/>
          <w:szCs w:val="20"/>
          <w:color w:val="auto"/>
        </w:rPr>
      </w:pPr>
    </w:p>
    <w:p>
      <w:pPr>
        <w:ind w:right="120" w:firstLine="1953"/>
        <w:spacing w:after="0" w:line="293" w:lineRule="auto"/>
        <w:tabs>
          <w:tab w:leader="none" w:pos="2577"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make (or give any notice in respect thereof) any voluntary or optional payment of principal on or prepayment on or redemption or acquisition for value of, or any prepayment or redemption as a result of any (i) asset sale, (ii) change of control, (iii) exercise of conversion rights or put rights by the holders of, or (iv) similar event of, or otherwise voluntarily or optionally defease or segregate funds with respect to, any Indebtedness under the Existing Senior Subordinated Notes Documents (or any refinancings of any thereof permitted under </w:t>
      </w:r>
      <w:r>
        <w:rPr>
          <w:rFonts w:ascii="Arial" w:cs="Arial" w:eastAsia="Arial" w:hAnsi="Arial"/>
          <w:sz w:val="16"/>
          <w:szCs w:val="16"/>
          <w:u w:val="single" w:color="auto"/>
          <w:color w:val="auto"/>
        </w:rPr>
        <w:t>Section 6.01(b)(ii)</w:t>
      </w:r>
      <w:r>
        <w:rPr>
          <w:rFonts w:ascii="Arial" w:cs="Arial" w:eastAsia="Arial" w:hAnsi="Arial"/>
          <w:sz w:val="16"/>
          <w:szCs w:val="16"/>
          <w:color w:val="auto"/>
        </w:rPr>
        <w:t xml:space="preserve">), except: (w) with the proceeds of refinancing Indebtedness permitted under </w:t>
      </w:r>
      <w:r>
        <w:rPr>
          <w:rFonts w:ascii="Arial" w:cs="Arial" w:eastAsia="Arial" w:hAnsi="Arial"/>
          <w:sz w:val="16"/>
          <w:szCs w:val="16"/>
          <w:u w:val="single" w:color="auto"/>
          <w:color w:val="auto"/>
        </w:rPr>
        <w:t>Section 6.01(b)(ii)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after giving effect to such transaction on a Pro Forma Basis, Borrower shall be in compliance with all covenants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as of the most recent Test Period (assuming, for purposes of </w:t>
      </w:r>
      <w:r>
        <w:rPr>
          <w:rFonts w:ascii="Arial" w:cs="Arial" w:eastAsia="Arial" w:hAnsi="Arial"/>
          <w:sz w:val="16"/>
          <w:szCs w:val="16"/>
          <w:u w:val="single" w:color="auto"/>
          <w:color w:val="auto"/>
        </w:rPr>
        <w:t>Section 6.10</w:t>
      </w:r>
      <w:r>
        <w:rPr>
          <w:rFonts w:ascii="Arial" w:cs="Arial" w:eastAsia="Arial" w:hAnsi="Arial"/>
          <w:sz w:val="16"/>
          <w:szCs w:val="16"/>
          <w:color w:val="auto"/>
        </w:rPr>
        <w:t>, that</w:t>
      </w:r>
    </w:p>
    <w:p>
      <w:pPr>
        <w:sectPr>
          <w:pgSz w:w="11900" w:h="16838" w:orient="portrait"/>
          <w:cols w:equalWidth="0" w:num="1">
            <w:col w:w="11420"/>
          </w:cols>
          <w:pgMar w:left="240" w:top="638" w:right="239" w:bottom="0" w:gutter="0" w:footer="0" w:header="0"/>
        </w:sectPr>
      </w:pPr>
    </w:p>
    <w:bookmarkStart w:id="118" w:name="page119"/>
    <w:bookmarkEnd w:id="118"/>
    <w:p>
      <w:pPr>
        <w:spacing w:after="0" w:line="255" w:lineRule="auto"/>
        <w:rPr>
          <w:sz w:val="20"/>
          <w:szCs w:val="20"/>
          <w:color w:val="auto"/>
        </w:rPr>
      </w:pPr>
      <w:r>
        <w:rPr>
          <w:rFonts w:ascii="Arial" w:cs="Arial" w:eastAsia="Arial" w:hAnsi="Arial"/>
          <w:sz w:val="18"/>
          <w:szCs w:val="18"/>
          <w:color w:val="auto"/>
        </w:rPr>
        <w:t xml:space="preserve">such transaction, and all other refinancing transactions consummated since the first day of the relevant Test Period for each of the financial covenants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ending on or prior to the date of such transaction, had occurred on the first day of such relevant Test Period); (x) with amounts not exceeding, in the aggregate for all such amounts from and after the Closing Date, $10.0 million; (y) with amounts not exceeding, in the aggregate for all such amounts from and after the Closing Date, the difference between (1) the Cumulative Equity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(2) the portion of the Cumulative Equity Amount applied to make Permitted Acquisitions pursuant to clause (ix)(B)(2) of the definition of “Permitted Acquisition”; and (z) in an amount not exceeding the Cumulative Excess Cash Flow Amount then in effect immediately prior to such payment or prepayment on or redemption or acquisition for value of any such Indebtedness;</w:t>
      </w:r>
    </w:p>
    <w:p>
      <w:pPr>
        <w:spacing w:after="0" w:line="200" w:lineRule="exact"/>
        <w:rPr>
          <w:sz w:val="20"/>
          <w:szCs w:val="20"/>
          <w:color w:val="auto"/>
        </w:rPr>
      </w:pPr>
    </w:p>
    <w:p>
      <w:pPr>
        <w:spacing w:after="0" w:line="286" w:lineRule="exact"/>
        <w:rPr>
          <w:sz w:val="20"/>
          <w:szCs w:val="20"/>
          <w:color w:val="auto"/>
        </w:rPr>
      </w:pPr>
    </w:p>
    <w:p>
      <w:pPr>
        <w:ind w:right="560" w:firstLine="1953"/>
        <w:spacing w:after="0" w:line="308" w:lineRule="auto"/>
        <w:tabs>
          <w:tab w:leader="none" w:pos="2587"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amend or modify, or permit the amendment or modification of, any provision of any Transaction Document or any document governing any Material Indebtedness in any manner that is adverse in any material respect to the interests of the Lenders;</w:t>
      </w: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ind w:firstLine="1953"/>
        <w:spacing w:after="0" w:line="272" w:lineRule="auto"/>
        <w:tabs>
          <w:tab w:leader="none" w:pos="2577"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terminate, amend or modify any of its Organizational Documents (including (x) by the filing or modification of any certificate of designation and (y) any election to treat any Pledged Securities (as defined in the Security Agreement) as a “security” under Section 8-103 of the UCC other than concurrently with the delivery of certificates representing such Pledged Securities to the Collateral Agent) or any agreement to which it is a party with respect to its Equity Interests (including any stockholders’ agreement), or enter into any new agreement with respect to its Equity Interests, other than any such amendments or modifications or such new agreements which are not adverse in any material respect to the interests of the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may issue such Equity Interests, so long as such issuance is not prohibited by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or any other provision of this Agreement, and may amend or modify its Organizational Documents to authorize any such Equity Interests;</w:t>
      </w:r>
    </w:p>
    <w:p>
      <w:pPr>
        <w:spacing w:after="0" w:line="200" w:lineRule="exact"/>
        <w:rPr>
          <w:rFonts w:ascii="Arial" w:cs="Arial" w:eastAsia="Arial" w:hAnsi="Arial"/>
          <w:sz w:val="17"/>
          <w:szCs w:val="17"/>
          <w:color w:val="auto"/>
        </w:rPr>
      </w:pPr>
    </w:p>
    <w:p>
      <w:pPr>
        <w:spacing w:after="0" w:line="275" w:lineRule="exact"/>
        <w:rPr>
          <w:rFonts w:ascii="Arial" w:cs="Arial" w:eastAsia="Arial" w:hAnsi="Arial"/>
          <w:sz w:val="17"/>
          <w:szCs w:val="17"/>
          <w:color w:val="auto"/>
        </w:rPr>
      </w:pPr>
    </w:p>
    <w:p>
      <w:pPr>
        <w:ind w:firstLine="1953"/>
        <w:spacing w:after="0" w:line="286" w:lineRule="auto"/>
        <w:tabs>
          <w:tab w:leader="none" w:pos="2587"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cause or permit any other obligation (other than the Secured Obligations and the Guaranteed Obligations) to be designated as or otherwise constitute “Designated Senior Debt” (or any other defined term having a similar purpose) under any of the Existing Senior Subordinated Notes Documents (or any refinancings of any thereof permitted under </w:t>
      </w:r>
      <w:r>
        <w:rPr>
          <w:rFonts w:ascii="Arial" w:cs="Arial" w:eastAsia="Arial" w:hAnsi="Arial"/>
          <w:sz w:val="17"/>
          <w:szCs w:val="17"/>
          <w:u w:val="single" w:color="auto"/>
          <w:color w:val="auto"/>
        </w:rPr>
        <w:t>Section 6.01(b)(ii)</w:t>
      </w:r>
      <w:r>
        <w:rPr>
          <w:rFonts w:ascii="Arial" w:cs="Arial" w:eastAsia="Arial" w:hAnsi="Arial"/>
          <w:sz w:val="17"/>
          <w:szCs w:val="17"/>
          <w:color w:val="auto"/>
        </w:rPr>
        <w:t>) or any other Subordinated Indebtedness; or</w:t>
      </w: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right="100" w:firstLine="1953"/>
        <w:spacing w:after="0" w:line="279" w:lineRule="auto"/>
        <w:tabs>
          <w:tab w:leader="none" w:pos="2577" w:val="left"/>
        </w:tabs>
        <w:numPr>
          <w:ilvl w:val="0"/>
          <w:numId w:val="247"/>
        </w:numPr>
        <w:rPr>
          <w:rFonts w:ascii="Arial" w:cs="Arial" w:eastAsia="Arial" w:hAnsi="Arial"/>
          <w:sz w:val="17"/>
          <w:szCs w:val="17"/>
          <w:color w:val="auto"/>
        </w:rPr>
      </w:pPr>
      <w:r>
        <w:rPr>
          <w:rFonts w:ascii="Arial" w:cs="Arial" w:eastAsia="Arial" w:hAnsi="Arial"/>
          <w:sz w:val="17"/>
          <w:szCs w:val="17"/>
          <w:color w:val="auto"/>
        </w:rPr>
        <w:t>make (or give any notice in respect of) any voluntary or optional payment or prepayment on or redemption or acquisition for value of, or any prepayment or redemption as a result of any (i) asset sale, (ii) change of control, (iii) exercise of conversion rights or put rights by the holders of, or (iv) similar event of, or otherwise voluntarily or optionally defease or segregate funds with respect to, any Outsourcing Project Indebtedness, except if no Default or Event of Default shall have occurred and is continuing or would result therefrom.</w:t>
      </w:r>
    </w:p>
    <w:p>
      <w:pPr>
        <w:spacing w:after="0" w:line="22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6.12</w:t>
      </w:r>
      <w:r>
        <w:rPr>
          <w:sz w:val="20"/>
          <w:szCs w:val="20"/>
          <w:color w:val="auto"/>
        </w:rPr>
        <w:tab/>
      </w:r>
      <w:r>
        <w:rPr>
          <w:rFonts w:ascii="Arial" w:cs="Arial" w:eastAsia="Arial" w:hAnsi="Arial"/>
          <w:sz w:val="16"/>
          <w:szCs w:val="16"/>
          <w:b w:val="1"/>
          <w:bCs w:val="1"/>
          <w:u w:val="single" w:color="auto"/>
          <w:color w:val="auto"/>
        </w:rPr>
        <w:t>Limitation on Certain Restrictions on Subsidiaries</w:t>
      </w:r>
    </w:p>
    <w:p>
      <w:pPr>
        <w:spacing w:after="0" w:line="256" w:lineRule="exact"/>
        <w:rPr>
          <w:sz w:val="20"/>
          <w:szCs w:val="20"/>
          <w:color w:val="auto"/>
        </w:rPr>
      </w:pPr>
    </w:p>
    <w:p>
      <w:pPr>
        <w:ind w:right="60" w:firstLine="8"/>
        <w:spacing w:after="0" w:line="283" w:lineRule="auto"/>
        <w:tabs>
          <w:tab w:leader="none" w:pos="13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Directly or indirectly, create or otherwise cause or suffer to exist or become effective any encumbrance or restriction on the ability of any Subsidiary to (a) pay dividends or make any other distributions on its capital stock or any other interest or participation in its profits owned by Borrower or any Subsidiary, or pay any Indebtedness owed to Borrower or a Subsidiary, (b) make loans or advances to Borrower or any Subsidiary or (c) transfer any of its properties to Borrower or any Subsidiary, except for such encumbrances or restrictions existing under or by reason of (i) applicable Requirements of Law; (ii) this Agreement and the other Loan Documents; (iii) the Senior Subordinated Note Documents; (iv) customary provisions restricting subletting or assignment of any lease governing a leasehold interest of a Subsidiary; (v) customary provisions restricting assignment of any agreement entered into by a Subsidiary in the ordinary course of business; (vi) any holder of a Lien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restricting the transfer of the property subject thereto; (vii) customary restrictions and conditions contained in any agreement relating to the sale of any property permitted under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pending the consummation of such sale; (viii) any agreement in effect at the time such Subsidiary becomes a Subsidiary of Borrower, so long as such agreement was not entered into in connection with or in contemplation of such person becoming a Subsidiary of Borrower; (ix) without affecting the Loan Parties’ obligations under </w:t>
      </w:r>
      <w:r>
        <w:rPr>
          <w:rFonts w:ascii="Arial" w:cs="Arial" w:eastAsia="Arial" w:hAnsi="Arial"/>
          <w:sz w:val="16"/>
          <w:szCs w:val="16"/>
          <w:u w:val="single" w:color="auto"/>
          <w:color w:val="auto"/>
        </w:rPr>
        <w:t>Section</w:t>
      </w:r>
    </w:p>
    <w:p>
      <w:pPr>
        <w:spacing w:after="0" w:line="5" w:lineRule="exact"/>
        <w:rPr>
          <w:rFonts w:ascii="Arial" w:cs="Arial" w:eastAsia="Arial" w:hAnsi="Arial"/>
          <w:sz w:val="16"/>
          <w:szCs w:val="16"/>
          <w:color w:val="auto"/>
        </w:rPr>
      </w:pPr>
    </w:p>
    <w:p>
      <w:pPr>
        <w:ind w:right="60"/>
        <w:spacing w:after="0" w:line="285" w:lineRule="auto"/>
        <w:rPr>
          <w:rFonts w:ascii="Arial" w:cs="Arial" w:eastAsia="Arial" w:hAnsi="Arial"/>
          <w:sz w:val="16"/>
          <w:szCs w:val="16"/>
          <w:color w:val="auto"/>
        </w:rPr>
      </w:pPr>
      <w:r>
        <w:rPr>
          <w:rFonts w:ascii="Arial" w:cs="Arial" w:eastAsia="Arial" w:hAnsi="Arial"/>
          <w:sz w:val="16"/>
          <w:szCs w:val="16"/>
          <w:u w:val="single" w:color="auto"/>
          <w:color w:val="auto"/>
        </w:rPr>
        <w:t>5.10</w:t>
      </w:r>
      <w:r>
        <w:rPr>
          <w:rFonts w:ascii="Arial" w:cs="Arial" w:eastAsia="Arial" w:hAnsi="Arial"/>
          <w:sz w:val="16"/>
          <w:szCs w:val="16"/>
          <w:color w:val="auto"/>
        </w:rPr>
        <w:t>, customary provisions in partnership agreements, limited liability company organizational governance documents, asset sale and stock sale agreements and other similar agreements entered into in the ordinary course of business that restrict the transfer of ownership interests in such partnership, limited liability company or similar person; (x) restrictions on cash or other deposits or net worth imposed by suppliers or landlords under contracts entered into in the ordinary course of business; (xi) any instrument governing Indebtedness assumed in connection with any Permitted Acquisition, which encumbrance or restriction is not applicable to any person, or the properties or assets of any person, other than the person or the properties or assets of the person so acquired; (xii) in the case of any joint venture which is not a Loan Party in respect of any matters referred to in clauses (b) and (c) above, restrictions in such person’s Organizational Documents or pursuant to any joint venture agreement or stockholders agreements solely to the extent of the Equity Interests of or property held in the subject joint venture or other entity; (xiii) any encumbrances or restrictions imposed by any amendments or refinancings that are otherwise permitted by the Loan Documents of the contracts, instruments or obligations referred to in clauses (iii) or (viii)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amendments or refinancings are no more materially restrictive with respect to such encumbrances and restrictions than those prior to such amendment or refinancing); or (ix) any restrictions with respect to an Outsourcing Project Subsidiary pursuant to the applicable Outsourcing Project Debt Documentation in respect of any Outsourcing Project Indebtedness permitted under </w:t>
      </w:r>
      <w:r>
        <w:rPr>
          <w:rFonts w:ascii="Arial" w:cs="Arial" w:eastAsia="Arial" w:hAnsi="Arial"/>
          <w:sz w:val="16"/>
          <w:szCs w:val="16"/>
          <w:u w:val="single" w:color="auto"/>
          <w:color w:val="auto"/>
        </w:rPr>
        <w:t>Section 6.01(m)</w:t>
      </w:r>
      <w:r>
        <w:rPr>
          <w:rFonts w:ascii="Arial" w:cs="Arial" w:eastAsia="Arial" w:hAnsi="Arial"/>
          <w:sz w:val="16"/>
          <w:szCs w:val="16"/>
          <w:color w:val="auto"/>
        </w:rPr>
        <w:t>.</w:t>
      </w:r>
    </w:p>
    <w:p>
      <w:pPr>
        <w:spacing w:after="0" w:line="22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6.13</w:t>
      </w:r>
      <w:r>
        <w:rPr>
          <w:sz w:val="20"/>
          <w:szCs w:val="20"/>
          <w:color w:val="auto"/>
        </w:rPr>
        <w:tab/>
      </w:r>
      <w:r>
        <w:rPr>
          <w:rFonts w:ascii="Arial" w:cs="Arial" w:eastAsia="Arial" w:hAnsi="Arial"/>
          <w:sz w:val="16"/>
          <w:szCs w:val="16"/>
          <w:b w:val="1"/>
          <w:bCs w:val="1"/>
          <w:u w:val="single" w:color="auto"/>
          <w:color w:val="auto"/>
        </w:rPr>
        <w:t>Limitation on Issuance of Capital Stock</w:t>
      </w:r>
    </w:p>
    <w:p>
      <w:pPr>
        <w:spacing w:after="0" w:line="283" w:lineRule="exact"/>
        <w:rPr>
          <w:sz w:val="20"/>
          <w:szCs w:val="20"/>
          <w:color w:val="auto"/>
        </w:rPr>
      </w:pPr>
    </w:p>
    <w:p>
      <w:pPr>
        <w:ind w:left="2580" w:hanging="627"/>
        <w:spacing w:after="0"/>
        <w:tabs>
          <w:tab w:leader="none" w:pos="25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With respect to Borrower, issue any Equity Interest that is not Qualified Capital Stock.</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40" w:firstLine="1953"/>
        <w:spacing w:after="0" w:line="255" w:lineRule="auto"/>
        <w:tabs>
          <w:tab w:leader="none" w:pos="258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With respect to any Subsidiary, issue any Equity Interest (including by way of sales of treasury stock) or any options or warrants to purchase, or securities convertible into, any Equity Interest, except (i) for stock splits, stock dividends and additional issuances of Equity Interests which do not decrease the percentage ownership of Borrower or any Subsidiaries in any class of the Equity Interest of such Subsidiary; and (ii) Subsidiaries of Borrower formed after the Closing Date in accordance with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may issue Equity Interests to Borrower or the Subsidiary of Borrower which is to own such Equity Interests. All Equity Interests issued in accordance with this </w:t>
      </w:r>
      <w:r>
        <w:rPr>
          <w:rFonts w:ascii="Arial" w:cs="Arial" w:eastAsia="Arial" w:hAnsi="Arial"/>
          <w:sz w:val="18"/>
          <w:szCs w:val="18"/>
          <w:u w:val="single" w:color="auto"/>
          <w:color w:val="auto"/>
        </w:rPr>
        <w:t>Section 6.13(b</w:t>
      </w:r>
      <w:r>
        <w:rPr>
          <w:rFonts w:ascii="Arial" w:cs="Arial" w:eastAsia="Arial" w:hAnsi="Arial"/>
          <w:sz w:val="18"/>
          <w:szCs w:val="18"/>
          <w:color w:val="auto"/>
        </w:rPr>
        <w:t xml:space="preserve">) shall, to the extent required by </w:t>
      </w:r>
      <w:r>
        <w:rPr>
          <w:rFonts w:ascii="Arial" w:cs="Arial" w:eastAsia="Arial" w:hAnsi="Arial"/>
          <w:sz w:val="18"/>
          <w:szCs w:val="18"/>
          <w:u w:val="single" w:color="auto"/>
          <w:color w:val="auto"/>
        </w:rPr>
        <w:t>Sections 5.10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or any Security Agreement or if such Equity Interests are issued by Borrower, be delivered to the Collateral Agent for pledge pursuant to the applicable Security Agreement.</w:t>
      </w:r>
    </w:p>
    <w:p>
      <w:pPr>
        <w:spacing w:after="0" w:line="239"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6.14</w:t>
      </w:r>
      <w:r>
        <w:rPr>
          <w:sz w:val="20"/>
          <w:szCs w:val="20"/>
          <w:color w:val="auto"/>
        </w:rPr>
        <w:tab/>
      </w:r>
      <w:r>
        <w:rPr>
          <w:rFonts w:ascii="Arial" w:cs="Arial" w:eastAsia="Arial" w:hAnsi="Arial"/>
          <w:sz w:val="16"/>
          <w:szCs w:val="16"/>
          <w:b w:val="1"/>
          <w:bCs w:val="1"/>
          <w:u w:val="single" w:color="auto"/>
          <w:color w:val="auto"/>
        </w:rPr>
        <w:t>Limitation on Creation of Subsidiaries</w:t>
      </w:r>
    </w:p>
    <w:p>
      <w:pPr>
        <w:sectPr>
          <w:pgSz w:w="11900" w:h="16838" w:orient="portrait"/>
          <w:cols w:equalWidth="0" w:num="1">
            <w:col w:w="11400"/>
          </w:cols>
          <w:pgMar w:left="240" w:top="125" w:right="259" w:bottom="171" w:gutter="0" w:footer="0" w:header="0"/>
        </w:sectPr>
      </w:pPr>
    </w:p>
    <w:bookmarkStart w:id="119" w:name="page120"/>
    <w:bookmarkEnd w:id="119"/>
    <w:p>
      <w:pPr>
        <w:ind w:right="100" w:firstLine="8"/>
        <w:spacing w:after="0" w:line="259" w:lineRule="auto"/>
        <w:tabs>
          <w:tab w:leader="none" w:pos="13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Establish, create or acquire any additional Subsidiaries without the prior written consent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such consent, Borrower may (i) establish or create one or more Wholly Owned Subsidiaries of Borrower, (ii) establish, create or acquire one or more Subsidiaries in connection with an Investment made pursuant to </w:t>
      </w:r>
      <w:r>
        <w:rPr>
          <w:rFonts w:ascii="Arial" w:cs="Arial" w:eastAsia="Arial" w:hAnsi="Arial"/>
          <w:sz w:val="18"/>
          <w:szCs w:val="18"/>
          <w:u w:val="single" w:color="auto"/>
          <w:color w:val="auto"/>
        </w:rPr>
        <w:t>Section 6.04(f)</w:t>
      </w:r>
      <w:r>
        <w:rPr>
          <w:rFonts w:ascii="Arial" w:cs="Arial" w:eastAsia="Arial" w:hAnsi="Arial"/>
          <w:sz w:val="18"/>
          <w:szCs w:val="18"/>
          <w:color w:val="auto"/>
        </w:rPr>
        <w:t xml:space="preserve"> or (iii) acquire one or more Subsidiaries in connection with a Permitted Acquisition, so long as, in each case, </w:t>
      </w:r>
      <w:r>
        <w:rPr>
          <w:rFonts w:ascii="Arial" w:cs="Arial" w:eastAsia="Arial" w:hAnsi="Arial"/>
          <w:sz w:val="18"/>
          <w:szCs w:val="18"/>
          <w:u w:val="single" w:color="auto"/>
          <w:color w:val="auto"/>
        </w:rPr>
        <w:t>Section 5.10(b)</w:t>
      </w:r>
      <w:r>
        <w:rPr>
          <w:rFonts w:ascii="Arial" w:cs="Arial" w:eastAsia="Arial" w:hAnsi="Arial"/>
          <w:sz w:val="18"/>
          <w:szCs w:val="18"/>
          <w:color w:val="auto"/>
        </w:rPr>
        <w:t xml:space="preserve"> shall be complied with.</w:t>
      </w:r>
    </w:p>
    <w:p>
      <w:pPr>
        <w:spacing w:after="0" w:line="23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6.15</w:t>
      </w:r>
      <w:r>
        <w:rPr>
          <w:sz w:val="20"/>
          <w:szCs w:val="20"/>
          <w:color w:val="auto"/>
        </w:rPr>
        <w:tab/>
      </w:r>
      <w:r>
        <w:rPr>
          <w:rFonts w:ascii="Arial" w:cs="Arial" w:eastAsia="Arial" w:hAnsi="Arial"/>
          <w:sz w:val="14"/>
          <w:szCs w:val="14"/>
          <w:b w:val="1"/>
          <w:bCs w:val="1"/>
          <w:u w:val="single" w:color="auto"/>
          <w:color w:val="auto"/>
        </w:rPr>
        <w:t>Business</w:t>
      </w:r>
    </w:p>
    <w:p>
      <w:pPr>
        <w:spacing w:after="0" w:line="256" w:lineRule="exact"/>
        <w:rPr>
          <w:sz w:val="20"/>
          <w:szCs w:val="20"/>
          <w:color w:val="auto"/>
        </w:rPr>
      </w:pPr>
    </w:p>
    <w:p>
      <w:pPr>
        <w:ind w:right="240" w:firstLine="8"/>
        <w:spacing w:after="0" w:line="264" w:lineRule="auto"/>
        <w:tabs>
          <w:tab w:leader="none" w:pos="13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Engage (directly or indirectly) in any business other than those businesses in which Borrower and its Subsidiaries are engaged on the Closing Date as described in the Confidential Information Memorandum (or, in the good faith judgment of the Board of Directors, which are substantially related thereto or are reasonable extensions thereof).</w:t>
      </w:r>
    </w:p>
    <w:p>
      <w:pPr>
        <w:spacing w:after="0" w:line="23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6.16</w:t>
      </w:r>
      <w:r>
        <w:rPr>
          <w:sz w:val="20"/>
          <w:szCs w:val="20"/>
          <w:color w:val="auto"/>
        </w:rPr>
        <w:tab/>
      </w:r>
      <w:r>
        <w:rPr>
          <w:rFonts w:ascii="Arial" w:cs="Arial" w:eastAsia="Arial" w:hAnsi="Arial"/>
          <w:sz w:val="16"/>
          <w:szCs w:val="16"/>
          <w:b w:val="1"/>
          <w:bCs w:val="1"/>
          <w:u w:val="single" w:color="auto"/>
          <w:color w:val="auto"/>
        </w:rPr>
        <w:t>Limitation on Accounting Changes</w:t>
      </w:r>
    </w:p>
    <w:p>
      <w:pPr>
        <w:spacing w:after="0" w:line="256" w:lineRule="exact"/>
        <w:rPr>
          <w:sz w:val="20"/>
          <w:szCs w:val="20"/>
          <w:color w:val="auto"/>
        </w:rPr>
      </w:pPr>
    </w:p>
    <w:p>
      <w:pPr>
        <w:ind w:right="800" w:firstLine="8"/>
        <w:spacing w:after="0" w:line="277" w:lineRule="auto"/>
        <w:tabs>
          <w:tab w:leader="none" w:pos="13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Make or permit any change in accounting policies or reporting practices, without the consent of the Required Lenders, which consent shall not be unreasonably withheld, except changes that are required by GAAP.</w:t>
      </w:r>
    </w:p>
    <w:p>
      <w:pPr>
        <w:spacing w:after="0" w:line="22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6.17</w:t>
      </w:r>
      <w:r>
        <w:rPr>
          <w:sz w:val="20"/>
          <w:szCs w:val="20"/>
          <w:color w:val="auto"/>
        </w:rPr>
        <w:tab/>
      </w:r>
      <w:r>
        <w:rPr>
          <w:rFonts w:ascii="Arial" w:cs="Arial" w:eastAsia="Arial" w:hAnsi="Arial"/>
          <w:sz w:val="16"/>
          <w:szCs w:val="16"/>
          <w:b w:val="1"/>
          <w:bCs w:val="1"/>
          <w:u w:val="single" w:color="auto"/>
          <w:color w:val="auto"/>
        </w:rPr>
        <w:t>Fiscal Year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Change its fiscal year-end to a date other than December 31.</w:t>
      </w:r>
    </w:p>
    <w:p>
      <w:pPr>
        <w:spacing w:after="0" w:line="27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6.18</w:t>
      </w:r>
      <w:r>
        <w:rPr>
          <w:sz w:val="20"/>
          <w:szCs w:val="20"/>
          <w:color w:val="auto"/>
        </w:rPr>
        <w:tab/>
      </w:r>
      <w:r>
        <w:rPr>
          <w:rFonts w:ascii="Arial" w:cs="Arial" w:eastAsia="Arial" w:hAnsi="Arial"/>
          <w:sz w:val="16"/>
          <w:szCs w:val="16"/>
          <w:b w:val="1"/>
          <w:bCs w:val="1"/>
          <w:u w:val="single" w:color="auto"/>
          <w:color w:val="auto"/>
        </w:rPr>
        <w:t>No Further Negative Pledge</w:t>
      </w:r>
    </w:p>
    <w:p>
      <w:pPr>
        <w:spacing w:after="0" w:line="256" w:lineRule="exact"/>
        <w:rPr>
          <w:sz w:val="20"/>
          <w:szCs w:val="20"/>
          <w:color w:val="auto"/>
        </w:rPr>
      </w:pPr>
    </w:p>
    <w:p>
      <w:pPr>
        <w:ind w:firstLine="8"/>
        <w:spacing w:after="0" w:line="285" w:lineRule="auto"/>
        <w:tabs>
          <w:tab w:leader="none" w:pos="13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Enter into any agreement, instrument, deed or lease which prohibits or limits the ability of any Loan Party to create, incur, assume or suffer to exist any Lien upon any of their respective properties or revenues, whether now owned or hereafter acquired, or which requires the grant of any security for an obligation if security is granted for another obligation, except the following: (1) this Agreement and the other Loan Documents; (2) covenants in documents creating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prohibiting further Liens on the properties encumbered thereby and the proceeds thereof; (3) the Senior Subordinated Note Documents as in effect on the Closing Date; (4) any other agreement that does not restrict in any manner (directly or indirectly) Liens created pursuant to the Loan Documents on any Collateral securing the Secured Obligations and does not require the direct or indirect granting of any Lien securing any Indebtedness or other obligation by virtue of the granting of Liens on or pledge of property of any Loan Party to secure the Secured Obligations; (5) any prohibition or limitation that (a) exists pursuant to applicable Requirements of Law, (b) consists of customary restrictions and conditions contained in any agreement relating to the sale of any property permitted under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pending the consummation of such sale, (c) restricts subletting or assignment of any lease governing a leasehold interest of Borrower or a Subsidiary, (d) exists in any agreement in effect at the time such Subsidiary becomes a Subsidiary of Borrower, so long as such agreement was not entered into in contemplation of such person becoming a Subsidiary or (e) is imposed by any amendments or refinancings that are otherwise permitted by the Loan Documents of the contracts, instruments or obligations referred to in clause (3) or (5)(d);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amendments and refinancings are no more materially restrictive with respect to such prohibitions and limitations than those prior to such amendment or refinancing; and (6) any Outsourcing Project Debt Documentation in respect of any Outsourcing Project Indebtedness permitted under </w:t>
      </w:r>
      <w:r>
        <w:rPr>
          <w:rFonts w:ascii="Arial" w:cs="Arial" w:eastAsia="Arial" w:hAnsi="Arial"/>
          <w:sz w:val="16"/>
          <w:szCs w:val="16"/>
          <w:u w:val="single" w:color="auto"/>
          <w:color w:val="auto"/>
        </w:rPr>
        <w:t>Section 6.01(m)</w:t>
      </w:r>
      <w:r>
        <w:rPr>
          <w:rFonts w:ascii="Arial" w:cs="Arial" w:eastAsia="Arial" w:hAnsi="Arial"/>
          <w:sz w:val="16"/>
          <w:szCs w:val="16"/>
          <w:color w:val="auto"/>
        </w:rPr>
        <w:t xml:space="preserve"> (in which case any prohibition or limitation shall only be effective against the assets of the Outsourcing Project Subsidiaries obligated under such Outsourcing Project Indebtedness and in any event shall not require the grant of any security for an obligation if security is granted for another obligation).</w:t>
      </w:r>
    </w:p>
    <w:p>
      <w:pPr>
        <w:spacing w:after="0" w:line="228"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6.19</w:t>
      </w:r>
      <w:r>
        <w:rPr>
          <w:sz w:val="20"/>
          <w:szCs w:val="20"/>
          <w:color w:val="auto"/>
        </w:rPr>
        <w:tab/>
      </w:r>
      <w:r>
        <w:rPr>
          <w:rFonts w:ascii="Arial" w:cs="Arial" w:eastAsia="Arial" w:hAnsi="Arial"/>
          <w:sz w:val="16"/>
          <w:szCs w:val="16"/>
          <w:b w:val="1"/>
          <w:bCs w:val="1"/>
          <w:u w:val="single" w:color="auto"/>
          <w:color w:val="auto"/>
        </w:rPr>
        <w:t>Anti-Terrorism Law; Anti-Money Laundering</w:t>
      </w:r>
    </w:p>
    <w:p>
      <w:pPr>
        <w:spacing w:after="0" w:line="283" w:lineRule="exact"/>
        <w:rPr>
          <w:sz w:val="20"/>
          <w:szCs w:val="20"/>
          <w:color w:val="auto"/>
        </w:rPr>
      </w:pPr>
    </w:p>
    <w:p>
      <w:pPr>
        <w:ind w:right="60" w:firstLine="1953"/>
        <w:spacing w:after="0" w:line="273" w:lineRule="auto"/>
        <w:tabs>
          <w:tab w:leader="none" w:pos="257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Directly or indirectly, (i) knowingly conduct any business or engage in making or receiving any contribution of funds, goods or services to or for the benefit of any person described in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(ii) knowingly deal in, or otherwise engage in any transaction relating to, any property or interests in property blocked pursuant to the Executive Order or any other Anti-Terrorism Law, or (iii) knowingly engage in or conspire to engage in any transaction that evades or avoids, or has the purpose of evading or avoiding, or attempts to violate, any of the prohibitions set forth in any Anti-Terrorism Law (and the Loan Parties shall deliver to the Lenders any certification or other evidence requested from time to time by any Lender in its reasonable discretion, confirming the Companies’ compliance with this </w:t>
      </w:r>
      <w:r>
        <w:rPr>
          <w:rFonts w:ascii="Arial" w:cs="Arial" w:eastAsia="Arial" w:hAnsi="Arial"/>
          <w:sz w:val="17"/>
          <w:szCs w:val="17"/>
          <w:u w:val="single" w:color="auto"/>
          <w:color w:val="auto"/>
        </w:rPr>
        <w:t>Section 6.20</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75" w:lineRule="exact"/>
        <w:rPr>
          <w:rFonts w:ascii="Arial" w:cs="Arial" w:eastAsia="Arial" w:hAnsi="Arial"/>
          <w:sz w:val="17"/>
          <w:szCs w:val="17"/>
          <w:color w:val="auto"/>
        </w:rPr>
      </w:pPr>
    </w:p>
    <w:p>
      <w:pPr>
        <w:ind w:right="560" w:firstLine="1953"/>
        <w:spacing w:after="0" w:line="277" w:lineRule="auto"/>
        <w:tabs>
          <w:tab w:leader="none" w:pos="258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Cause or permit any of the funds of such of the Companies that are used to repay the Loans to be derived from any unlawful activity with the result that the making of the Loans would be in violation of any Requirement of Law.</w:t>
      </w:r>
    </w:p>
    <w:p>
      <w:pPr>
        <w:spacing w:after="0" w:line="22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6.20</w:t>
      </w:r>
      <w:r>
        <w:rPr>
          <w:sz w:val="20"/>
          <w:szCs w:val="20"/>
          <w:color w:val="auto"/>
        </w:rPr>
        <w:tab/>
      </w:r>
      <w:r>
        <w:rPr>
          <w:rFonts w:ascii="Arial" w:cs="Arial" w:eastAsia="Arial" w:hAnsi="Arial"/>
          <w:sz w:val="16"/>
          <w:szCs w:val="16"/>
          <w:b w:val="1"/>
          <w:bCs w:val="1"/>
          <w:u w:val="single" w:color="auto"/>
          <w:color w:val="auto"/>
        </w:rPr>
        <w:t>Embargoed Person</w:t>
      </w:r>
    </w:p>
    <w:p>
      <w:pPr>
        <w:spacing w:after="0" w:line="256" w:lineRule="exact"/>
        <w:rPr>
          <w:sz w:val="20"/>
          <w:szCs w:val="20"/>
          <w:color w:val="auto"/>
        </w:rPr>
      </w:pPr>
    </w:p>
    <w:p>
      <w:pPr>
        <w:ind w:right="20" w:firstLine="8"/>
        <w:spacing w:after="0" w:line="288" w:lineRule="auto"/>
        <w:tabs>
          <w:tab w:leader="none" w:pos="13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Cause or permit (a) any of the funds or properties of the Companies that are used to repay the Loans to constitute property of, or be beneficially owned directly or indirectly by, any person subject to sanctions or trade restrictions under United States law (“</w:t>
      </w:r>
      <w:r>
        <w:rPr>
          <w:rFonts w:ascii="Arial" w:cs="Arial" w:eastAsia="Arial" w:hAnsi="Arial"/>
          <w:sz w:val="16"/>
          <w:szCs w:val="16"/>
          <w:b w:val="1"/>
          <w:bCs w:val="1"/>
          <w:color w:val="auto"/>
        </w:rPr>
        <w:t>Embargoed Person</w:t>
      </w:r>
      <w:r>
        <w:rPr>
          <w:rFonts w:ascii="Arial" w:cs="Arial" w:eastAsia="Arial" w:hAnsi="Arial"/>
          <w:sz w:val="16"/>
          <w:szCs w:val="16"/>
          <w:color w:val="auto"/>
        </w:rPr>
        <w:t>” or “</w:t>
      </w:r>
      <w:r>
        <w:rPr>
          <w:rFonts w:ascii="Arial" w:cs="Arial" w:eastAsia="Arial" w:hAnsi="Arial"/>
          <w:sz w:val="16"/>
          <w:szCs w:val="16"/>
          <w:b w:val="1"/>
          <w:bCs w:val="1"/>
          <w:color w:val="auto"/>
        </w:rPr>
        <w:t>Embargoed Persons</w:t>
      </w:r>
      <w:r>
        <w:rPr>
          <w:rFonts w:ascii="Arial" w:cs="Arial" w:eastAsia="Arial" w:hAnsi="Arial"/>
          <w:sz w:val="16"/>
          <w:szCs w:val="16"/>
          <w:color w:val="auto"/>
        </w:rPr>
        <w:t xml:space="preserve">”) that is identified on (1) the “List of Specially Designated Nationals and Blocked Persons” maintained by OFAC and/or on any other similar list maintained by OFAC pursuant to any authorizing statute including, but not limited to, the International Emergency Economic Powers Act, 50 U.S.C. §§ 1701 </w:t>
      </w:r>
      <w:r>
        <w:rPr>
          <w:rFonts w:ascii="Arial" w:cs="Arial" w:eastAsia="Arial" w:hAnsi="Arial"/>
          <w:sz w:val="16"/>
          <w:szCs w:val="16"/>
          <w:i w:val="1"/>
          <w:iCs w:val="1"/>
          <w:color w:val="auto"/>
        </w:rPr>
        <w:t>et seq</w:t>
      </w:r>
      <w:r>
        <w:rPr>
          <w:rFonts w:ascii="Arial" w:cs="Arial" w:eastAsia="Arial" w:hAnsi="Arial"/>
          <w:sz w:val="16"/>
          <w:szCs w:val="16"/>
          <w:color w:val="auto"/>
        </w:rPr>
        <w:t>., The Trading with the Enemy Act, 50 U.S.C. App. 1 et seq., and any Executive Order or Requirement of Law promulgated thereunder, with the result that the investment in the Loan Parties (whether directly or indirectly) is prohibited by a Requirement of Law, or the Loans made by the Lenders would be in violation of a Requirement of Law, or (2) the Executive Order, any related enabling legislation or any other similar Executive Orders, (b) any Embargoed Person to have any direct or indirect interest, of any nature whatsoever in any of the Companies, with the result that the investment in the Companies (whether directly or indirectly) is prohibited by a Requirement of Law or the Loans are in violation of a Requirement of Law or (c) directly or indirectly, the proceeds of the Loans to be transferred to or for the benefit of Embargoed Persons in violation of any Requirement of Law, including, without limitation, U.S. sanctions laws.</w:t>
      </w: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ARTICLE VII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GUARANTEE</w:t>
      </w:r>
    </w:p>
    <w:p>
      <w:pPr>
        <w:spacing w:after="0" w:line="279"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6"/>
          <w:szCs w:val="16"/>
          <w:b w:val="1"/>
          <w:bCs w:val="1"/>
          <w:u w:val="single" w:color="auto"/>
          <w:color w:val="auto"/>
        </w:rPr>
        <w:t>The Guarantee</w:t>
      </w:r>
    </w:p>
    <w:p>
      <w:pPr>
        <w:sectPr>
          <w:pgSz w:w="11900" w:h="16838" w:orient="portrait"/>
          <w:cols w:equalWidth="0" w:num="1">
            <w:col w:w="11420"/>
          </w:cols>
          <w:pgMar w:left="240" w:top="125" w:right="239" w:bottom="90" w:gutter="0" w:footer="0" w:header="0"/>
        </w:sectPr>
      </w:pPr>
    </w:p>
    <w:bookmarkStart w:id="120" w:name="page121"/>
    <w:bookmarkEnd w:id="120"/>
    <w:p>
      <w:pPr>
        <w:spacing w:after="0" w:line="22" w:lineRule="exact"/>
        <w:rPr>
          <w:sz w:val="20"/>
          <w:szCs w:val="20"/>
          <w:color w:val="auto"/>
        </w:rPr>
      </w:pPr>
    </w:p>
    <w:p>
      <w:pPr>
        <w:ind w:right="20" w:firstLine="8"/>
        <w:spacing w:after="0" w:line="287" w:lineRule="auto"/>
        <w:tabs>
          <w:tab w:leader="none" w:pos="132"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Subsidiary Guarantors hereby jointly and severally guarantee, as a primary obligor and not as a surety to each Secured Party and their respective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the Title 11 of the United States Code after any bankruptcy or insolvency petition under Title 11 of the United States Code) on the Loans made by the Lenders to, and the Notes held by each Lender of, Borrower, and all other Secured Obligations from time to time owing to the Secured Parties by any Loan Party under any Loan Document or any Hedging Agreement or Treasury Services Agreement entered into with a counterparty that is a Secured Party, in each case strictly in accordance with the terms thereof (such obligations being herein collectively called the “</w:t>
      </w:r>
      <w:r>
        <w:rPr>
          <w:rFonts w:ascii="Arial" w:cs="Arial" w:eastAsia="Arial" w:hAnsi="Arial"/>
          <w:sz w:val="16"/>
          <w:szCs w:val="16"/>
          <w:b w:val="1"/>
          <w:bCs w:val="1"/>
          <w:color w:val="auto"/>
        </w:rPr>
        <w:t>Guaranteed Obligations</w:t>
      </w:r>
      <w:r>
        <w:rPr>
          <w:rFonts w:ascii="Arial" w:cs="Arial" w:eastAsia="Arial" w:hAnsi="Arial"/>
          <w:sz w:val="16"/>
          <w:szCs w:val="16"/>
          <w:color w:val="auto"/>
        </w:rPr>
        <w:t>”). The Subsidiary Guarantors hereby jointly and severally agree that if Borrower or other Subsidiary Guarantor(s) shall fail to pay in full when due (whether at stated maturity, by acceleration or otherwise) any of the Guaranteed Obligations, the Subsidiary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22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7.02</w:t>
      </w:r>
      <w:r>
        <w:rPr>
          <w:sz w:val="20"/>
          <w:szCs w:val="20"/>
          <w:color w:val="auto"/>
        </w:rPr>
        <w:tab/>
      </w:r>
      <w:r>
        <w:rPr>
          <w:rFonts w:ascii="Arial" w:cs="Arial" w:eastAsia="Arial" w:hAnsi="Arial"/>
          <w:sz w:val="16"/>
          <w:szCs w:val="16"/>
          <w:b w:val="1"/>
          <w:bCs w:val="1"/>
          <w:u w:val="single" w:color="auto"/>
          <w:color w:val="auto"/>
        </w:rPr>
        <w:t>Obligations Unconditional</w:t>
      </w:r>
    </w:p>
    <w:p>
      <w:pPr>
        <w:spacing w:after="0" w:line="256" w:lineRule="exact"/>
        <w:rPr>
          <w:sz w:val="20"/>
          <w:szCs w:val="20"/>
          <w:color w:val="auto"/>
        </w:rPr>
      </w:pPr>
    </w:p>
    <w:p>
      <w:pPr>
        <w:ind w:firstLine="8"/>
        <w:spacing w:after="0" w:line="291" w:lineRule="auto"/>
        <w:tabs>
          <w:tab w:leader="none" w:pos="13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The obligations of the Subsidiary Guarantors under Section </w:t>
      </w:r>
      <w:r>
        <w:rPr>
          <w:rFonts w:ascii="Arial" w:cs="Arial" w:eastAsia="Arial" w:hAnsi="Arial"/>
          <w:sz w:val="16"/>
          <w:szCs w:val="16"/>
          <w:u w:val="single" w:color="auto"/>
          <w:color w:val="auto"/>
        </w:rPr>
        <w:t>7.01</w:t>
      </w:r>
      <w:r>
        <w:rPr>
          <w:rFonts w:ascii="Arial" w:cs="Arial" w:eastAsia="Arial" w:hAnsi="Arial"/>
          <w:sz w:val="16"/>
          <w:szCs w:val="16"/>
          <w:color w:val="auto"/>
        </w:rPr>
        <w:t xml:space="preserve"> shall constitute a guaranty of payment and to the fullest extent permitted by applicable Requirements of Law, are absolute, irrevocable and unconditional, joint and several, irrespective of the value, genuineness, validity, regularity or enforceability of the Guaranteed Obligations of Borrower under this Agreement, the Notes, if any,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Subsidiary Guarantor (except for payment in full). Without limiting the generality of the foregoing, it is agreed that the occurrence of any one or more of the following shall not alter or impair the liability of the Subsidiary Guarantors hereunder which shall remain absolute, irrevocable and unconditional under any and all circumstances as described above:</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660" w:right="460" w:firstLine="2913"/>
        <w:spacing w:after="0" w:line="342" w:lineRule="auto"/>
        <w:tabs>
          <w:tab w:leader="none" w:pos="4179" w:val="left"/>
        </w:tabs>
        <w:numPr>
          <w:ilvl w:val="1"/>
          <w:numId w:val="257"/>
        </w:numPr>
        <w:rPr>
          <w:rFonts w:ascii="Arial" w:cs="Arial" w:eastAsia="Arial" w:hAnsi="Arial"/>
          <w:sz w:val="16"/>
          <w:szCs w:val="16"/>
          <w:color w:val="auto"/>
        </w:rPr>
      </w:pPr>
      <w:r>
        <w:rPr>
          <w:rFonts w:ascii="Arial" w:cs="Arial" w:eastAsia="Arial" w:hAnsi="Arial"/>
          <w:sz w:val="16"/>
          <w:szCs w:val="16"/>
          <w:color w:val="auto"/>
        </w:rPr>
        <w:t>at any time or from time to time, without notice to the Subsidiary Guarantors, the time for any performance of or compliance with any of the Guaranteed Obligations shall be extended, or such performance or compliance shall be waived;</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660" w:right="280" w:firstLine="2913"/>
        <w:spacing w:after="0" w:line="277" w:lineRule="auto"/>
        <w:tabs>
          <w:tab w:leader="none" w:pos="4229"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this Agreement or the Notes, if any, or any other agreement or instrument referred to herein or therein shall be done or omitted;</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4280" w:hanging="707"/>
        <w:spacing w:after="0"/>
        <w:tabs>
          <w:tab w:leader="none" w:pos="428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the maturity of any of the Guaranteed Obligations shall be accelerated, or any of the Guaranteed</w:t>
      </w:r>
    </w:p>
    <w:p>
      <w:pPr>
        <w:spacing w:after="0" w:line="46" w:lineRule="exact"/>
        <w:rPr>
          <w:rFonts w:ascii="Arial" w:cs="Arial" w:eastAsia="Arial" w:hAnsi="Arial"/>
          <w:sz w:val="16"/>
          <w:szCs w:val="16"/>
          <w:color w:val="auto"/>
        </w:rPr>
      </w:pPr>
    </w:p>
    <w:p>
      <w:pPr>
        <w:jc w:val="both"/>
        <w:ind w:left="660" w:right="420"/>
        <w:spacing w:after="0" w:line="255" w:lineRule="auto"/>
        <w:rPr>
          <w:rFonts w:ascii="Arial" w:cs="Arial" w:eastAsia="Arial" w:hAnsi="Arial"/>
          <w:sz w:val="16"/>
          <w:szCs w:val="16"/>
          <w:color w:val="auto"/>
        </w:rPr>
      </w:pPr>
      <w:r>
        <w:rPr>
          <w:rFonts w:ascii="Arial" w:cs="Arial" w:eastAsia="Arial" w:hAnsi="Arial"/>
          <w:sz w:val="18"/>
          <w:szCs w:val="18"/>
          <w:color w:val="auto"/>
        </w:rPr>
        <w:t>Obligations shall be amended in any respect, or any right under the Loan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200" w:lineRule="exact"/>
        <w:rPr>
          <w:rFonts w:ascii="Arial" w:cs="Arial" w:eastAsia="Arial" w:hAnsi="Arial"/>
          <w:sz w:val="16"/>
          <w:szCs w:val="16"/>
          <w:color w:val="auto"/>
        </w:rPr>
      </w:pPr>
    </w:p>
    <w:p>
      <w:pPr>
        <w:spacing w:after="0" w:line="287" w:lineRule="exact"/>
        <w:rPr>
          <w:rFonts w:ascii="Arial" w:cs="Arial" w:eastAsia="Arial" w:hAnsi="Arial"/>
          <w:sz w:val="16"/>
          <w:szCs w:val="16"/>
          <w:color w:val="auto"/>
        </w:rPr>
      </w:pPr>
    </w:p>
    <w:p>
      <w:pPr>
        <w:ind w:left="660" w:right="340" w:firstLine="2913"/>
        <w:spacing w:after="0" w:line="277" w:lineRule="auto"/>
        <w:tabs>
          <w:tab w:leader="none" w:pos="4269"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Lien or security interest granted to, or in favor of, Issuing Bank or any Lender or Agent as security for any of the Guaranteed Obligations shall fail to be perfected; or</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660" w:right="280" w:firstLine="2913"/>
        <w:spacing w:after="0" w:line="277" w:lineRule="auto"/>
        <w:tabs>
          <w:tab w:leader="none" w:pos="4219" w:val="left"/>
        </w:tabs>
        <w:numPr>
          <w:ilvl w:val="1"/>
          <w:numId w:val="257"/>
        </w:numPr>
        <w:rPr>
          <w:rFonts w:ascii="Arial" w:cs="Arial" w:eastAsia="Arial" w:hAnsi="Arial"/>
          <w:sz w:val="18"/>
          <w:szCs w:val="18"/>
          <w:color w:val="auto"/>
        </w:rPr>
      </w:pPr>
      <w:r>
        <w:rPr>
          <w:rFonts w:ascii="Arial" w:cs="Arial" w:eastAsia="Arial" w:hAnsi="Arial"/>
          <w:sz w:val="18"/>
          <w:szCs w:val="18"/>
          <w:color w:val="auto"/>
        </w:rPr>
        <w:t xml:space="preserve">the release of any other Subsidiary Guarantor pursuant to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or in connection with the incurrence of any Outsourcing Project Indebtedness permitted under </w:t>
      </w:r>
      <w:r>
        <w:rPr>
          <w:rFonts w:ascii="Arial" w:cs="Arial" w:eastAsia="Arial" w:hAnsi="Arial"/>
          <w:sz w:val="18"/>
          <w:szCs w:val="18"/>
          <w:u w:val="single" w:color="auto"/>
          <w:color w:val="auto"/>
        </w:rPr>
        <w:t>Section 6.01(m)</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The Subsidiary Guarantors hereby expressly waive diligence, presentment, demand of payment, protest and all notices whatsoever, and any requirement that any Secured Party exhaust any right, power or remedy or proceed against Borrower under this Agreement or the Notes, if any, or any other agreement or instrument referred to herein or therein, or against any other person under any other guarantee of, or security for, any of the Guaranteed Obligations. The Subsidiary Guarantors waive any and all notice of the creation, renewal, extension, waiver, termination or accrual of any of the Guaranteed Obligations and notice of or proof of reliance by any Secured Party upon this Guarantee or acceptance of this Guarantee, and the Guaranteed Obligations, and any of them, shall conclusively be deemed to have been created, contracted or incurred in reliance upon this Guarantee, and all dealings between Borrower and the Secured Parties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Secured Parties, and the obligations and liabilities of the Subsidiary Guarantors hereunder shall not be conditioned or contingent upon the pursuit by the Secured Parties or any other person at any time of any right or remedy against Borrower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Subsidiary Guarantors and the successors and assigns thereof, and shall inure to the benefit of the Lenders, and their respective successors and assigns, notwithstanding that from time to time during the term of this Agreement there may be no Guaranteed Obligations outstanding.</w:t>
      </w:r>
    </w:p>
    <w:p>
      <w:pPr>
        <w:spacing w:after="0" w:line="22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7.03</w:t>
      </w:r>
      <w:r>
        <w:rPr>
          <w:sz w:val="20"/>
          <w:szCs w:val="20"/>
          <w:color w:val="auto"/>
        </w:rPr>
        <w:tab/>
      </w:r>
      <w:r>
        <w:rPr>
          <w:rFonts w:ascii="Arial" w:cs="Arial" w:eastAsia="Arial" w:hAnsi="Arial"/>
          <w:sz w:val="15"/>
          <w:szCs w:val="15"/>
          <w:b w:val="1"/>
          <w:bCs w:val="1"/>
          <w:u w:val="single" w:color="auto"/>
          <w:color w:val="auto"/>
        </w:rPr>
        <w:t>Reinstatement</w:t>
      </w:r>
    </w:p>
    <w:p>
      <w:pPr>
        <w:spacing w:after="0" w:line="256" w:lineRule="exact"/>
        <w:rPr>
          <w:sz w:val="20"/>
          <w:szCs w:val="20"/>
          <w:color w:val="auto"/>
        </w:rPr>
      </w:pPr>
    </w:p>
    <w:p>
      <w:pPr>
        <w:jc w:val="both"/>
        <w:ind w:right="60" w:firstLine="8"/>
        <w:spacing w:after="0" w:line="286" w:lineRule="auto"/>
        <w:tabs>
          <w:tab w:leader="none" w:pos="132"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The obligations of the Subsidiary Guarantors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be automatically reinstated if and to the extent that for any reason any payment by or on behalf of Borrower or other Loan Party in respect of the Guaranteed Obligations is rescinded or must be otherwise restored by any holder of any of the Guaranteed Obligations, whether as a result of any proceedings in bankruptcy or reorganization or otherwise.</w:t>
      </w:r>
    </w:p>
    <w:p>
      <w:pPr>
        <w:spacing w:after="0" w:line="216"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7.04</w:t>
      </w:r>
      <w:r>
        <w:rPr>
          <w:sz w:val="20"/>
          <w:szCs w:val="20"/>
          <w:color w:val="auto"/>
        </w:rPr>
        <w:tab/>
      </w:r>
      <w:r>
        <w:rPr>
          <w:rFonts w:ascii="Arial" w:cs="Arial" w:eastAsia="Arial" w:hAnsi="Arial"/>
          <w:sz w:val="16"/>
          <w:szCs w:val="16"/>
          <w:b w:val="1"/>
          <w:bCs w:val="1"/>
          <w:u w:val="single" w:color="auto"/>
          <w:color w:val="auto"/>
        </w:rPr>
        <w:t>Subrogation; Subordination</w:t>
      </w:r>
    </w:p>
    <w:p>
      <w:pPr>
        <w:spacing w:after="0" w:line="256" w:lineRule="exact"/>
        <w:rPr>
          <w:sz w:val="20"/>
          <w:szCs w:val="20"/>
          <w:color w:val="auto"/>
        </w:rPr>
      </w:pPr>
    </w:p>
    <w:p>
      <w:pPr>
        <w:ind w:right="20" w:firstLine="8"/>
        <w:spacing w:after="0" w:line="297" w:lineRule="auto"/>
        <w:tabs>
          <w:tab w:leader="none" w:pos="13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Each Subsidiary Guarantor hereby agrees that until the indefeasible payment and satisfaction in full in cash of all Guaranteed Obligations and the expiration and termination of the Commitments of the Lenders under this Agreement it shall waive any claim and shall not exercise any right or remedy, direct or indirect, arising by reason of any performance by it of its guarantee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whether by subrogation or otherwise, against Borrower or any other Subsidiary Guarantor of any of the Guaranteed Obligations or any security for any of the Guaranteed Obligations. Any Indebtedness of any Loan Party permitted pursuant to </w:t>
      </w:r>
      <w:r>
        <w:rPr>
          <w:rFonts w:ascii="Arial" w:cs="Arial" w:eastAsia="Arial" w:hAnsi="Arial"/>
          <w:sz w:val="16"/>
          <w:szCs w:val="16"/>
          <w:u w:val="single" w:color="auto"/>
          <w:color w:val="auto"/>
        </w:rPr>
        <w:t>Section 6.01(d)</w:t>
      </w:r>
      <w:r>
        <w:rPr>
          <w:rFonts w:ascii="Arial" w:cs="Arial" w:eastAsia="Arial" w:hAnsi="Arial"/>
          <w:sz w:val="16"/>
          <w:szCs w:val="16"/>
          <w:color w:val="auto"/>
        </w:rPr>
        <w:t xml:space="preserve"> shall be subordinated to such Loan Party’s Secured Obligations in the manner set forth in the Intercompany Note.</w:t>
      </w:r>
    </w:p>
    <w:p>
      <w:pPr>
        <w:sectPr>
          <w:pgSz w:w="11900" w:h="16860" w:orient="portrait"/>
          <w:cols w:equalWidth="0" w:num="1">
            <w:col w:w="11400"/>
          </w:cols>
          <w:pgMar w:left="240" w:top="125" w:right="259" w:bottom="0" w:gutter="0" w:footer="0" w:header="0"/>
        </w:sectPr>
      </w:pPr>
    </w:p>
    <w:bookmarkStart w:id="121" w:name="page122"/>
    <w:bookmarkEnd w:id="121"/>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7.05</w:t>
      </w:r>
      <w:r>
        <w:rPr>
          <w:sz w:val="20"/>
          <w:szCs w:val="20"/>
          <w:color w:val="auto"/>
        </w:rPr>
        <w:tab/>
      </w:r>
      <w:r>
        <w:rPr>
          <w:rFonts w:ascii="Arial" w:cs="Arial" w:eastAsia="Arial" w:hAnsi="Arial"/>
          <w:sz w:val="15"/>
          <w:szCs w:val="15"/>
          <w:b w:val="1"/>
          <w:bCs w:val="1"/>
          <w:u w:val="single" w:color="auto"/>
          <w:color w:val="auto"/>
        </w:rPr>
        <w:t>Remedies</w:t>
      </w:r>
    </w:p>
    <w:p>
      <w:pPr>
        <w:spacing w:after="0" w:line="256" w:lineRule="exact"/>
        <w:rPr>
          <w:sz w:val="20"/>
          <w:szCs w:val="20"/>
          <w:color w:val="auto"/>
        </w:rPr>
      </w:pPr>
    </w:p>
    <w:p>
      <w:pPr>
        <w:ind w:right="60" w:firstLine="8"/>
        <w:spacing w:after="0" w:line="273" w:lineRule="auto"/>
        <w:tabs>
          <w:tab w:leader="none" w:pos="13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 xml:space="preserve">The Subsidiary Guarantors jointly and severally agree that, as between the Subsidiary Guarantors and the Lenders, the obligations of Borrower under this Agreement and the Notes, if any, may be declared to be forthwith due and payable as provided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(and shall be deemed to have become automatically due and payable in the circumstances provided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for purposes of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notwithstanding any stay, injunction or other prohibition preventing such declaration (or such obligations from becoming automatically due and payable) as against Borrower and that, in the event of such declaration (or such obligations being deemed to have become automatically due and payable), such obligations (whether or not due and payable by Borrower) shall forthwith become due and payable by the Subsidiary Guarantors for purposes of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228"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7.06</w:t>
      </w:r>
      <w:r>
        <w:rPr>
          <w:sz w:val="20"/>
          <w:szCs w:val="20"/>
          <w:color w:val="auto"/>
        </w:rPr>
        <w:tab/>
      </w:r>
      <w:r>
        <w:rPr>
          <w:rFonts w:ascii="Arial" w:cs="Arial" w:eastAsia="Arial" w:hAnsi="Arial"/>
          <w:sz w:val="16"/>
          <w:szCs w:val="16"/>
          <w:b w:val="1"/>
          <w:bCs w:val="1"/>
          <w:u w:val="single" w:color="auto"/>
          <w:color w:val="auto"/>
        </w:rPr>
        <w:t>Instrument for the Payment of Money</w:t>
      </w:r>
    </w:p>
    <w:p>
      <w:pPr>
        <w:spacing w:after="0" w:line="256" w:lineRule="exact"/>
        <w:rPr>
          <w:sz w:val="20"/>
          <w:szCs w:val="20"/>
          <w:color w:val="auto"/>
        </w:rPr>
      </w:pPr>
    </w:p>
    <w:p>
      <w:pPr>
        <w:ind w:firstLine="8"/>
        <w:spacing w:after="0" w:line="264" w:lineRule="auto"/>
        <w:tabs>
          <w:tab w:leader="none" w:pos="13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Each Subsidiary Guarantor hereby acknowledges that the guarantee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constitutes an instrument for the payment of money, and consents and agrees that any Lender or Agent, at its sole option, in the event of a dispute by such Subsidiary Guarantor in the payment of any moneys due hereunder, shall have the right to bring a motion-action under New York CPLR Section 3213.</w:t>
      </w:r>
    </w:p>
    <w:p>
      <w:pPr>
        <w:spacing w:after="0" w:line="23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7.07</w:t>
      </w:r>
      <w:r>
        <w:rPr>
          <w:sz w:val="20"/>
          <w:szCs w:val="20"/>
          <w:color w:val="auto"/>
        </w:rPr>
        <w:tab/>
      </w:r>
      <w:r>
        <w:rPr>
          <w:rFonts w:ascii="Arial" w:cs="Arial" w:eastAsia="Arial" w:hAnsi="Arial"/>
          <w:sz w:val="16"/>
          <w:szCs w:val="16"/>
          <w:b w:val="1"/>
          <w:bCs w:val="1"/>
          <w:u w:val="single" w:color="auto"/>
          <w:color w:val="auto"/>
        </w:rPr>
        <w:t>Continuing Guarantee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The guarantee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is a continuing guarantee of payment, and shall apply to all Guaranteed Obligations whenever arising.</w:t>
      </w:r>
    </w:p>
    <w:p>
      <w:pPr>
        <w:spacing w:after="0" w:line="27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7.08</w:t>
      </w:r>
      <w:r>
        <w:rPr>
          <w:sz w:val="20"/>
          <w:szCs w:val="20"/>
          <w:color w:val="auto"/>
        </w:rPr>
        <w:tab/>
      </w:r>
      <w:r>
        <w:rPr>
          <w:rFonts w:ascii="Arial" w:cs="Arial" w:eastAsia="Arial" w:hAnsi="Arial"/>
          <w:sz w:val="16"/>
          <w:szCs w:val="16"/>
          <w:b w:val="1"/>
          <w:bCs w:val="1"/>
          <w:u w:val="single" w:color="auto"/>
          <w:color w:val="auto"/>
        </w:rPr>
        <w:t>General Limitation on Guarantee Obligations</w:t>
      </w:r>
    </w:p>
    <w:p>
      <w:pPr>
        <w:spacing w:after="0" w:line="256" w:lineRule="exact"/>
        <w:rPr>
          <w:sz w:val="20"/>
          <w:szCs w:val="20"/>
          <w:color w:val="auto"/>
        </w:rPr>
      </w:pPr>
    </w:p>
    <w:p>
      <w:pPr>
        <w:jc w:val="both"/>
        <w:ind w:right="300" w:firstLine="8"/>
        <w:spacing w:after="0" w:line="291" w:lineRule="auto"/>
        <w:tabs>
          <w:tab w:leader="none" w:pos="13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In any action or proceeding involving any state corporate limited partnership or limited liability company law, or any applicable state, federal or foreign bankruptcy, insolvency, reorganization or other law affecting the rights of creditors generally, if the obligations of any Subsidiary Guarantor under </w:t>
      </w:r>
      <w:r>
        <w:rPr>
          <w:rFonts w:ascii="Arial" w:cs="Arial" w:eastAsia="Arial" w:hAnsi="Arial"/>
          <w:sz w:val="16"/>
          <w:szCs w:val="16"/>
          <w:u w:val="single" w:color="auto"/>
          <w:color w:val="auto"/>
        </w:rPr>
        <w:t>Section</w:t>
      </w:r>
    </w:p>
    <w:p>
      <w:pPr>
        <w:ind w:right="8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7.01</w:t>
      </w:r>
      <w:r>
        <w:rPr>
          <w:rFonts w:ascii="Arial" w:cs="Arial" w:eastAsia="Arial" w:hAnsi="Arial"/>
          <w:sz w:val="18"/>
          <w:szCs w:val="18"/>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then, notwithstanding any other provision to the contrary, the amount of such liability shall, without any further action by such Subsidiary Guarantor, any Loan Party or any other person, be automatically limited and reduced to the highest amount (after giving effect to the right of contribution established in </w:t>
      </w:r>
      <w:r>
        <w:rPr>
          <w:rFonts w:ascii="Arial" w:cs="Arial" w:eastAsia="Arial" w:hAnsi="Arial"/>
          <w:sz w:val="18"/>
          <w:szCs w:val="18"/>
          <w:u w:val="single" w:color="auto"/>
          <w:color w:val="auto"/>
        </w:rPr>
        <w:t>Section 7.10</w:t>
      </w:r>
      <w:r>
        <w:rPr>
          <w:rFonts w:ascii="Arial" w:cs="Arial" w:eastAsia="Arial" w:hAnsi="Arial"/>
          <w:sz w:val="18"/>
          <w:szCs w:val="18"/>
          <w:color w:val="auto"/>
        </w:rPr>
        <w:t>) that is valid and enforceable and not subordinated to the claims of other creditors as determined in such action or proceeding.</w:t>
      </w:r>
    </w:p>
    <w:p>
      <w:pPr>
        <w:spacing w:after="0" w:line="24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7.09</w:t>
      </w:r>
      <w:r>
        <w:rPr>
          <w:sz w:val="20"/>
          <w:szCs w:val="20"/>
          <w:color w:val="auto"/>
        </w:rPr>
        <w:tab/>
      </w:r>
      <w:r>
        <w:rPr>
          <w:rFonts w:ascii="Arial" w:cs="Arial" w:eastAsia="Arial" w:hAnsi="Arial"/>
          <w:sz w:val="16"/>
          <w:szCs w:val="16"/>
          <w:b w:val="1"/>
          <w:bCs w:val="1"/>
          <w:u w:val="single" w:color="auto"/>
          <w:color w:val="auto"/>
        </w:rPr>
        <w:t>Release of Subsidiary Guarantors</w:t>
      </w:r>
    </w:p>
    <w:p>
      <w:pPr>
        <w:spacing w:after="0" w:line="256" w:lineRule="exact"/>
        <w:rPr>
          <w:sz w:val="20"/>
          <w:szCs w:val="20"/>
          <w:color w:val="auto"/>
        </w:rPr>
      </w:pPr>
    </w:p>
    <w:p>
      <w:pPr>
        <w:ind w:right="60" w:firstLine="8"/>
        <w:spacing w:after="0" w:line="270" w:lineRule="auto"/>
        <w:tabs>
          <w:tab w:leader="none" w:pos="13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If, in compliance with the terms and provisions of the Loan Documents, all or substantially all of the Equity Interests or property of any Subsidiary Guarantor are sold or otherwise transferred (a “</w:t>
      </w:r>
      <w:r>
        <w:rPr>
          <w:rFonts w:ascii="Arial" w:cs="Arial" w:eastAsia="Arial" w:hAnsi="Arial"/>
          <w:sz w:val="17"/>
          <w:szCs w:val="17"/>
          <w:b w:val="1"/>
          <w:bCs w:val="1"/>
          <w:color w:val="auto"/>
        </w:rPr>
        <w:t>Transferred Guarantor</w:t>
      </w:r>
      <w:r>
        <w:rPr>
          <w:rFonts w:ascii="Arial" w:cs="Arial" w:eastAsia="Arial" w:hAnsi="Arial"/>
          <w:sz w:val="17"/>
          <w:szCs w:val="17"/>
          <w:color w:val="auto"/>
        </w:rPr>
        <w:t xml:space="preserve">”) to a person or persons, none of which is Borrower or a Subsidiary, such Transferred Guarantor shall, upon the consummation of such sale or transfer, be automatically released from its obligations under this Agreement (including under Section </w:t>
      </w:r>
      <w:r>
        <w:rPr>
          <w:rFonts w:ascii="Arial" w:cs="Arial" w:eastAsia="Arial" w:hAnsi="Arial"/>
          <w:sz w:val="17"/>
          <w:szCs w:val="17"/>
          <w:u w:val="single" w:color="auto"/>
          <w:color w:val="auto"/>
        </w:rPr>
        <w:t>10.03</w:t>
      </w:r>
      <w:r>
        <w:rPr>
          <w:rFonts w:ascii="Arial" w:cs="Arial" w:eastAsia="Arial" w:hAnsi="Arial"/>
          <w:sz w:val="17"/>
          <w:szCs w:val="17"/>
          <w:color w:val="auto"/>
        </w:rPr>
        <w:t xml:space="preserve"> hereof) and its obligations to pledge and grant any Collateral owned by it pursuant to any Security Document and, in the case of a sale of all or substantially all of the Equity Interests of the Transferred Guarantor, the pledge of such Equity Interests to the Collateral Agent pursuant to the Security Agreements shall be automatically released, and, so long as Borrower shall have provided the Agents such certifications or documents as any Agent shall reasonably request, the Collateral Agent shall take such actions as are necessary to effect each release described in this </w:t>
      </w:r>
      <w:r>
        <w:rPr>
          <w:rFonts w:ascii="Arial" w:cs="Arial" w:eastAsia="Arial" w:hAnsi="Arial"/>
          <w:sz w:val="17"/>
          <w:szCs w:val="17"/>
          <w:u w:val="single" w:color="auto"/>
          <w:color w:val="auto"/>
        </w:rPr>
        <w:t>Section 7.09</w:t>
      </w:r>
      <w:r>
        <w:rPr>
          <w:rFonts w:ascii="Arial" w:cs="Arial" w:eastAsia="Arial" w:hAnsi="Arial"/>
          <w:sz w:val="17"/>
          <w:szCs w:val="17"/>
          <w:color w:val="auto"/>
        </w:rPr>
        <w:t xml:space="preserve"> in accordance with the relevant provisions of the Security Documents, so long as Borrower shall have provided the Agents such certifications or documents as any Agent shall reasonably request in order to demonstrate compliance with this Agreement.</w:t>
      </w:r>
    </w:p>
    <w:p>
      <w:pPr>
        <w:spacing w:after="0" w:line="23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6"/>
          <w:szCs w:val="16"/>
          <w:b w:val="1"/>
          <w:bCs w:val="1"/>
          <w:u w:val="single" w:color="auto"/>
          <w:color w:val="auto"/>
        </w:rPr>
        <w:t>Right of Contribution</w:t>
      </w:r>
    </w:p>
    <w:p>
      <w:pPr>
        <w:spacing w:after="0" w:line="256" w:lineRule="exact"/>
        <w:rPr>
          <w:sz w:val="20"/>
          <w:szCs w:val="20"/>
          <w:color w:val="auto"/>
        </w:rPr>
      </w:pPr>
    </w:p>
    <w:p>
      <w:pPr>
        <w:ind w:right="100" w:firstLine="8"/>
        <w:spacing w:after="0" w:line="293" w:lineRule="auto"/>
        <w:tabs>
          <w:tab w:leader="none" w:pos="13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Each Subsidiary Guarantor hereby agrees that to the extent that a Subsidiary Guarantor shall have paid more than its proportionate share of any payment made hereunder, such Subsidiary Guarantor shall be entitled to seek and receive contribution from and against any other Subsidiary Guarantor hereunder which has not paid its proportionate share of such payment. Each Subsidiary Guarantor’s right of contribution shall be subject to the terms and conditions of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shall in no respect limit the obligations and liabilities of any Subsidiary Guarantor to the Administrative Agent, the Issuing Bank, the Swingline Lender and the Lenders, and each Subsidiary Guarantor shall remain liable to the Administrative Agent, the Issuing Bank, the Swingline Lender and the Lenders for the full amount guaranteed by such Subsidiary Guarantor hereunder.</w:t>
      </w:r>
    </w:p>
    <w:p>
      <w:pPr>
        <w:spacing w:after="0" w:line="200" w:lineRule="exact"/>
        <w:rPr>
          <w:sz w:val="20"/>
          <w:szCs w:val="20"/>
          <w:color w:val="auto"/>
        </w:rPr>
      </w:pPr>
    </w:p>
    <w:p>
      <w:pPr>
        <w:spacing w:after="0" w:line="23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ARTICLE VIII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279"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6"/>
          <w:szCs w:val="16"/>
          <w:b w:val="1"/>
          <w:bCs w:val="1"/>
          <w:u w:val="single" w:color="auto"/>
          <w:color w:val="auto"/>
        </w:rPr>
        <w:t>Events of Default</w:t>
      </w:r>
    </w:p>
    <w:p>
      <w:pPr>
        <w:spacing w:after="0" w:line="252" w:lineRule="exact"/>
        <w:rPr>
          <w:sz w:val="20"/>
          <w:szCs w:val="20"/>
          <w:color w:val="auto"/>
        </w:rPr>
      </w:pPr>
    </w:p>
    <w:p>
      <w:pPr>
        <w:ind w:left="140" w:hanging="132"/>
        <w:spacing w:after="0"/>
        <w:tabs>
          <w:tab w:leader="none" w:pos="1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the following events (“</w:t>
      </w:r>
      <w:r>
        <w:rPr>
          <w:rFonts w:ascii="Arial" w:cs="Arial" w:eastAsia="Arial" w:hAnsi="Arial"/>
          <w:sz w:val="18"/>
          <w:szCs w:val="18"/>
          <w:b w:val="1"/>
          <w:bCs w:val="1"/>
          <w:color w:val="auto"/>
        </w:rPr>
        <w:t>Events of Default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jc w:val="both"/>
        <w:ind w:right="380" w:firstLine="1953"/>
        <w:spacing w:after="0" w:line="264" w:lineRule="auto"/>
        <w:tabs>
          <w:tab w:leader="none" w:pos="257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default shall be made in the payment of any principal of any Loan or any Reimbursement Obligation when and as the same shall become due and payable, whether at the due date thereof (including a Term Loan Repayment Date) or at a date fixed for prepayment (whether voluntary or mandatory) thereof or by acceleration thereof or otherwise;</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220" w:firstLine="1953"/>
        <w:spacing w:after="0" w:line="264" w:lineRule="auto"/>
        <w:tabs>
          <w:tab w:leader="none" w:pos="258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default shall be made in the payment of any interest on any Loan or any Fee or any other amount (other than an amount referred to in paragraph (a) above) due under any Loan Document, when and as the same shall become due and payable, and such default shall continue unremedied for a period of three Business Days;</w:t>
      </w:r>
    </w:p>
    <w:p>
      <w:pPr>
        <w:sectPr>
          <w:pgSz w:w="11900" w:h="16838" w:orient="portrait"/>
          <w:cols w:equalWidth="0" w:num="1">
            <w:col w:w="11420"/>
          </w:cols>
          <w:pgMar w:left="240" w:top="391" w:right="239" w:bottom="393" w:gutter="0" w:footer="0" w:header="0"/>
        </w:sectPr>
      </w:pPr>
    </w:p>
    <w:bookmarkStart w:id="122" w:name="page123"/>
    <w:bookmarkEnd w:id="122"/>
    <w:p>
      <w:pPr>
        <w:jc w:val="both"/>
        <w:ind w:left="-8" w:right="100" w:firstLine="1953"/>
        <w:spacing w:after="0" w:line="259" w:lineRule="auto"/>
        <w:tabs>
          <w:tab w:leader="none" w:pos="2569"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in or in connection with any Loan Document or the borrowings or issuances of Letters of Credit hereunder, or any representation, warranty, statement or information contained in any report, certificate, financial statement or other instrument furnished in connection with or pursuant to any Loan Document, shall prove to have been false or misleading in any material respect when so made, deemed made or furnished;</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 w:right="240" w:firstLine="1953"/>
        <w:spacing w:after="0" w:line="277" w:lineRule="auto"/>
        <w:tabs>
          <w:tab w:leader="none" w:pos="2579" w:val="left"/>
        </w:tabs>
        <w:numPr>
          <w:ilvl w:val="1"/>
          <w:numId w:val="266"/>
        </w:numPr>
        <w:rPr>
          <w:rFonts w:ascii="Arial" w:cs="Arial" w:eastAsia="Arial" w:hAnsi="Arial"/>
          <w:sz w:val="18"/>
          <w:szCs w:val="18"/>
          <w:color w:val="auto"/>
        </w:rPr>
      </w:pPr>
      <w:r>
        <w:rPr>
          <w:rFonts w:ascii="Arial" w:cs="Arial" w:eastAsia="Arial" w:hAnsi="Arial"/>
          <w:sz w:val="18"/>
          <w:szCs w:val="18"/>
          <w:color w:val="auto"/>
        </w:rPr>
        <w:t xml:space="preserve">default shall be made in the due observance or performance by any Company of any covenant, condition or agreement contained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t>
      </w:r>
      <w:r>
        <w:rPr>
          <w:rFonts w:ascii="Arial" w:cs="Arial" w:eastAsia="Arial" w:hAnsi="Arial"/>
          <w:sz w:val="18"/>
          <w:szCs w:val="18"/>
          <w:u w:val="single" w:color="auto"/>
          <w:color w:val="auto"/>
        </w:rPr>
        <w:t>5.03(a)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5.08</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8" w:right="140" w:firstLine="1953"/>
        <w:spacing w:after="0" w:line="259" w:lineRule="auto"/>
        <w:tabs>
          <w:tab w:leader="none" w:pos="2569" w:val="left"/>
        </w:tabs>
        <w:numPr>
          <w:ilvl w:val="1"/>
          <w:numId w:val="266"/>
        </w:numPr>
        <w:rPr>
          <w:rFonts w:ascii="Arial" w:cs="Arial" w:eastAsia="Arial" w:hAnsi="Arial"/>
          <w:sz w:val="18"/>
          <w:szCs w:val="18"/>
          <w:color w:val="auto"/>
        </w:rPr>
      </w:pPr>
      <w:r>
        <w:rPr>
          <w:rFonts w:ascii="Arial" w:cs="Arial" w:eastAsia="Arial" w:hAnsi="Arial"/>
          <w:sz w:val="18"/>
          <w:szCs w:val="18"/>
          <w:color w:val="auto"/>
        </w:rPr>
        <w:t>default shall be made in the due observance or performance by any Company of any covenant, condition or agreement contained in any Loan Document (other than those specified in paragraphs (a), (b) or (d) immediately above) and such default shall continue unremedied or shall not be waived for a period of 30 days after the earlier to occur of (x) knowledge of such default by a Responsible Officer of Borrower and (y) written notice of such default from the Administrative Agent or any Lender to Borrower;</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 w:firstLine="1953"/>
        <w:spacing w:after="0" w:line="287" w:lineRule="auto"/>
        <w:tabs>
          <w:tab w:leader="none" w:pos="2549" w:val="left"/>
        </w:tabs>
        <w:numPr>
          <w:ilvl w:val="1"/>
          <w:numId w:val="266"/>
        </w:numPr>
        <w:rPr>
          <w:rFonts w:ascii="Arial" w:cs="Arial" w:eastAsia="Arial" w:hAnsi="Arial"/>
          <w:sz w:val="16"/>
          <w:szCs w:val="16"/>
          <w:color w:val="auto"/>
        </w:rPr>
      </w:pPr>
      <w:r>
        <w:rPr>
          <w:rFonts w:ascii="Arial" w:cs="Arial" w:eastAsia="Arial" w:hAnsi="Arial"/>
          <w:sz w:val="16"/>
          <w:szCs w:val="16"/>
          <w:color w:val="auto"/>
        </w:rPr>
        <w:t xml:space="preserve">any Company shall (i) fail to pay any principal or interest, regardless of amount, due in respect of any Indebtedness (other than the Obligations), when and as the same shall become due and payable beyond any applicable grace period, or (ii) fail to observe or perform any other term, covenant, condition or agreement contained in any agreement or instrument evidencing or governing any such Indebtedness if the effect of any failure referred to in this clause (ii) is to cause, or to permit the holder or holders of such Indebtedness or a trustee or other representative on its or their behalf (with or without the giving of notice, the lapse of time or both) to cause, such Indebtedness to become due prior to its stated maturity or become subject to a mandatory offer purchase by the obligor;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shall not constitute an Event of Default pursuant to this paragraph (f) unless (A) the aggregate amount of all such Indebtedness referred to in clauses (i) and (ii) exceeds $25.0 million, at any one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Hedging Obligations, the amount counted for this purpose shall be the amount payable by all Companies if such Hedging Obligations were terminated at such time) or (B) one or more defaults, events or conditions of the type described in clauses (i) and (ii) shall have occurred and be continuing with respect to Outsourcing Project Indebtedness of any Outsourcing Project Subsidiary and Borrower would not have been in compliance with the covenants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as of the last day of the most recent Test Period if Consolidated EBITDA for the four fiscal quarter period ended on such day were calculated to exclude (to the extent otherwise included in Consolidated Net Income) the income of such Outsourcing Project Subsidiary from Consolidated Net Income;</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8" w:right="20" w:firstLine="1953"/>
        <w:spacing w:after="0" w:line="255" w:lineRule="auto"/>
        <w:tabs>
          <w:tab w:leader="none" w:pos="2579"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in a court of competent jurisdiction seeking (i) relief in respect of any Company, or of a substantial part of the property of any Company, under Title 11 of the U.S. Code, as now constituted or hereafter amended, or any other federal, state or foreign bankruptcy, insolvency, receivership or similar law; (ii) the appointment of a receiver, trustee, custodian, sequestrator, conservator or similar official for any Company or for a substantial part of the property of any Company; or (iii) the winding-up or liquidation of any Company; and such proceeding or petition shall continue undismissed for 60 days or an order or decree approving or ordering any of the foregoing shall be entered;</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8" w:right="180" w:firstLine="1953"/>
        <w:spacing w:after="0" w:line="288" w:lineRule="auto"/>
        <w:tabs>
          <w:tab w:leader="none" w:pos="2579" w:val="left"/>
        </w:tabs>
        <w:numPr>
          <w:ilvl w:val="1"/>
          <w:numId w:val="266"/>
        </w:numPr>
        <w:rPr>
          <w:rFonts w:ascii="Arial" w:cs="Arial" w:eastAsia="Arial" w:hAnsi="Arial"/>
          <w:sz w:val="16"/>
          <w:szCs w:val="16"/>
          <w:color w:val="auto"/>
        </w:rPr>
      </w:pPr>
      <w:r>
        <w:rPr>
          <w:rFonts w:ascii="Arial" w:cs="Arial" w:eastAsia="Arial" w:hAnsi="Arial"/>
          <w:sz w:val="16"/>
          <w:szCs w:val="16"/>
          <w:color w:val="auto"/>
        </w:rPr>
        <w:t>any Company shall (i) voluntarily commence any proceeding or file any petition seeking relief under Title 11 of the United States Code, as now constituted or hereafter amended, or any other federal, state or foreign bankruptcy, insolvency, receivership or similar law; (ii) consent to the institution of, or fail to contest in a timely and appropriate manner, any proceeding or the filing of any petition described in clause (g) above;</w:t>
      </w:r>
    </w:p>
    <w:p>
      <w:pPr>
        <w:ind w:left="-8" w:right="40" w:firstLine="8"/>
        <w:spacing w:after="0" w:line="295" w:lineRule="auto"/>
        <w:tabs>
          <w:tab w:leader="none" w:pos="30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apply for or consent to the appointment of a receiver, trustee, custodian, sequestrator, conservator or similar official for any Company or for a substantial part of the property of any Company;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except as permitted by </w:t>
      </w:r>
      <w:r>
        <w:rPr>
          <w:rFonts w:ascii="Arial" w:cs="Arial" w:eastAsia="Arial" w:hAnsi="Arial"/>
          <w:sz w:val="16"/>
          <w:szCs w:val="16"/>
          <w:u w:val="single" w:color="auto"/>
          <w:color w:val="auto"/>
        </w:rPr>
        <w:t>Section 6.05</w:t>
      </w:r>
      <w:r>
        <w:rPr>
          <w:rFonts w:ascii="Arial" w:cs="Arial" w:eastAsia="Arial" w:hAnsi="Arial"/>
          <w:sz w:val="16"/>
          <w:szCs w:val="16"/>
          <w:color w:val="auto"/>
        </w:rPr>
        <w:t>, wind up or liquidate;</w:t>
      </w: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left="-8" w:firstLine="1953"/>
        <w:spacing w:after="0" w:line="259" w:lineRule="auto"/>
        <w:tabs>
          <w:tab w:leader="none" w:pos="2539" w:val="left"/>
        </w:tabs>
        <w:numPr>
          <w:ilvl w:val="1"/>
          <w:numId w:val="267"/>
        </w:numPr>
        <w:rPr>
          <w:rFonts w:ascii="Arial" w:cs="Arial" w:eastAsia="Arial" w:hAnsi="Arial"/>
          <w:sz w:val="18"/>
          <w:szCs w:val="18"/>
          <w:color w:val="auto"/>
        </w:rPr>
      </w:pPr>
      <w:r>
        <w:rPr>
          <w:rFonts w:ascii="Arial" w:cs="Arial" w:eastAsia="Arial" w:hAnsi="Arial"/>
          <w:sz w:val="18"/>
          <w:szCs w:val="18"/>
          <w:color w:val="auto"/>
        </w:rPr>
        <w:t>one or more judgments, orders or decrees for the payment of money in an aggregate amount in excess of $25.0 million shall be rendered against any Company or any combination thereof and the same shall remain undischarged, unvacated or unbonded for a period of 30 consecutive days during which execution shall not be effectively stayed, or any action shall be legally taken by a judgment creditor to levy upon properties of any Company to enforce any such judgment;</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8" w:right="20" w:firstLine="1953"/>
        <w:spacing w:after="0" w:line="279" w:lineRule="auto"/>
        <w:tabs>
          <w:tab w:leader="none" w:pos="2539" w:val="left"/>
        </w:tabs>
        <w:numPr>
          <w:ilvl w:val="1"/>
          <w:numId w:val="267"/>
        </w:numPr>
        <w:rPr>
          <w:rFonts w:ascii="Arial" w:cs="Arial" w:eastAsia="Arial" w:hAnsi="Arial"/>
          <w:sz w:val="17"/>
          <w:szCs w:val="17"/>
          <w:color w:val="auto"/>
        </w:rPr>
      </w:pPr>
      <w:r>
        <w:rPr>
          <w:rFonts w:ascii="Arial" w:cs="Arial" w:eastAsia="Arial" w:hAnsi="Arial"/>
          <w:sz w:val="17"/>
          <w:szCs w:val="17"/>
          <w:color w:val="auto"/>
        </w:rPr>
        <w:t>one or more ERISA Events or noncompliance with respect to Foreign Plans shall have occurred that, in the opinion of the Required Lenders, when taken together with all other such ERISA Events and noncompliance with respect to Foreign Plans that have occurred, could reasonably be expected to result in liability of any Company and its ERISA Affiliates in an aggregate amount exceeding $10.0 million or in the imposition of Liens on any properties of a Company securing actual or asserted liability in an aggregate amount exceeding $10.0 million;</w:t>
      </w: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8" w:right="40" w:firstLine="1953"/>
        <w:spacing w:after="0" w:line="255" w:lineRule="auto"/>
        <w:tabs>
          <w:tab w:leader="none" w:pos="2579"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any security interest and Lien purported to be created by any Security Document shall cease to be in full force and effect, or shall cease to give the Collateral Agent, for the benefit of the Secured Parties, the Liens, rights, powers and privileges purported to be created and granted under such Security Document (including a perfected first priority security interest in and Lien on all of the Collateral thereunder (except as otherwise expressly provided in such Security Document)) in favor of the Collateral Agent, or shall be asserted by Borrower or any other Loan Party not to be a valid, perfected, first priority (except as otherwise expressly provided in this Agreement or such Security Document) security interest in or Lien on the Collateral covered thereby;</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8" w:firstLine="1953"/>
        <w:spacing w:after="0" w:line="259" w:lineRule="auto"/>
        <w:tabs>
          <w:tab w:leader="none" w:pos="2539"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any Loan Document or any material provisions thereof shall at any time and for any reason be declared by a court of competent jurisdiction to be null and void, or a proceeding shall be commenced by any Company or by any Governmental Authority, seeking to establish the invalidity or unenforceability thereof (exclusive of questions of interpretation of any provision thereof), or any Loan Party shall repudiate or deny any portion of its liability or obligation for the Obligations;</w:t>
      </w:r>
    </w:p>
    <w:p>
      <w:pPr>
        <w:sectPr>
          <w:pgSz w:w="11900" w:h="16838" w:orient="portrait"/>
          <w:cols w:equalWidth="0" w:num="1">
            <w:col w:w="11352"/>
          </w:cols>
          <w:pgMar w:left="248" w:top="152" w:right="299" w:bottom="21" w:gutter="0" w:footer="0" w:header="0"/>
        </w:sectPr>
      </w:pPr>
    </w:p>
    <w:bookmarkStart w:id="123" w:name="page124"/>
    <w:bookmarkEnd w:id="123"/>
    <w:p>
      <w:pPr>
        <w:ind w:left="2640" w:hanging="687"/>
        <w:spacing w:after="0"/>
        <w:tabs>
          <w:tab w:leader="none" w:pos="26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there shall have occurred a Change in Control;</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right="140" w:firstLine="1953"/>
        <w:spacing w:after="0" w:line="259" w:lineRule="auto"/>
        <w:tabs>
          <w:tab w:leader="none" w:pos="258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there shall have occurred the termination of, or the receipt by any Loan Party of notice of the termination of, or the occurrence of any event or condition which would, with the passage of time or the giving of notice or both, constitute an event of default under or permit the termination of, any one or more material agreements or licenses of any Company, and such termination, event or condition, or event of default could reasonably be expected to have a Material Adverse Effect;</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jc w:val="both"/>
        <w:ind w:right="60" w:firstLine="1953"/>
        <w:spacing w:after="0" w:line="264" w:lineRule="auto"/>
        <w:tabs>
          <w:tab w:leader="none" w:pos="258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Company shall be prohibited or otherwise restrained from conducting the business theretofore conducted by it in any manner that has or could reasonably be expected to result in a Material Adverse Effect by virtue of any determination, ruling, decision, decree or order of any court or Governmental Authority of competent jurisdiction; or</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280" w:firstLine="1953"/>
        <w:spacing w:after="0" w:line="264" w:lineRule="auto"/>
        <w:tabs>
          <w:tab w:leader="none" w:pos="258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Borrower shall have become unconditionally obligated to make payment under one or more Outsourcing Project Guarantees in an amount in excess of the amount which Borrower would then be permitted to invest in such Outsourcing Project Subsidiary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6.04(f)(iii)</w:t>
      </w:r>
      <w:r>
        <w:rPr>
          <w:rFonts w:ascii="Arial" w:cs="Arial" w:eastAsia="Arial" w:hAnsi="Arial"/>
          <w:sz w:val="18"/>
          <w:szCs w:val="18"/>
          <w:color w:val="auto"/>
        </w:rPr>
        <w:t>;</w:t>
      </w:r>
    </w:p>
    <w:p>
      <w:pPr>
        <w:spacing w:after="0" w:line="200" w:lineRule="exact"/>
        <w:rPr>
          <w:sz w:val="20"/>
          <w:szCs w:val="20"/>
          <w:color w:val="auto"/>
        </w:rPr>
      </w:pPr>
    </w:p>
    <w:p>
      <w:pPr>
        <w:spacing w:after="0" w:line="25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then, and in every such event (other than an event with respect to Borrower described in paragraph (g) or (h) above), and at any time thereafter during the continuance of such event, the Administrative Agent may, and at the request of the Required Lenders shall, by notice to Borrower, take either or both of the following actions, at the same or different times: (i) terminate forthwith the Commitments and (ii) declare the Loans and Reimbursement Obligations then outstanding to be forthwith due and payable in whole or in part, whereupon the principal of the Loans and Reimbursement Obligations so declared to be due and payable, together with accrued interest thereon and any unpaid accrued Fees and all other Obligations of Borrower accrued hereunder and under any other Loan Document, shall become forthwith due and payable, without presentment, demand, protest or any other notice of any kind, all of which are hereby expressly waived by Borrower and the Subsidiary Guarantors, anything contained herein or in any other Loan Document to the contrary notwithstanding; and in any event, with respect to Borrower described in paragraph (g) or (h) above, the Commitments shall automatically terminate and the principal of the Loans and Reimbursement Obligations then outstanding, together with accrued interest thereon and any unpaid accrued Fees and all other Obligations of Borrower accrued hereunder and under any other Loan Document, shall automatically become due and payable, without presentment, demand, protest or any other notice of any kind, all of which are hereby expressly waived by Borrower and the Subsidiary Guarantors, anything contained herein or in any other Loan Document to the contrary notwithstanding.</w:t>
      </w:r>
    </w:p>
    <w:p>
      <w:pPr>
        <w:spacing w:after="0" w:line="23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8.02</w:t>
      </w:r>
      <w:r>
        <w:rPr>
          <w:sz w:val="20"/>
          <w:szCs w:val="20"/>
          <w:color w:val="auto"/>
        </w:rPr>
        <w:tab/>
      </w:r>
      <w:r>
        <w:rPr>
          <w:rFonts w:ascii="Arial" w:cs="Arial" w:eastAsia="Arial" w:hAnsi="Arial"/>
          <w:sz w:val="15"/>
          <w:szCs w:val="15"/>
          <w:b w:val="1"/>
          <w:bCs w:val="1"/>
          <w:u w:val="single" w:color="auto"/>
          <w:color w:val="auto"/>
        </w:rPr>
        <w:t>Application of Proceeds</w:t>
      </w:r>
    </w:p>
    <w:p>
      <w:pPr>
        <w:spacing w:after="0" w:line="256" w:lineRule="exact"/>
        <w:rPr>
          <w:sz w:val="20"/>
          <w:szCs w:val="20"/>
          <w:color w:val="auto"/>
        </w:rPr>
      </w:pPr>
    </w:p>
    <w:p>
      <w:pPr>
        <w:jc w:val="both"/>
        <w:ind w:right="40" w:firstLine="8"/>
        <w:spacing w:after="0" w:line="264" w:lineRule="auto"/>
        <w:tabs>
          <w:tab w:leader="none" w:pos="13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proceeds received by the Collateral Agent in respect of any sale of, collection from or other realization upon all or any part of the Collateral pursuant to the exercise by the Collateral Agent of its remedies shall be applied, in full or in part, together with any other sums then held by the Collateral Agent pursuant to this Agreement, promptly by the Collateral Agent as follows:</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right="100" w:firstLine="1953"/>
        <w:spacing w:after="0" w:line="257" w:lineRule="auto"/>
        <w:tabs>
          <w:tab w:leader="none" w:pos="2587" w:val="left"/>
        </w:tabs>
        <w:numPr>
          <w:ilvl w:val="1"/>
          <w:numId w:val="269"/>
        </w:numPr>
        <w:rPr>
          <w:rFonts w:ascii="Arial" w:cs="Arial" w:eastAsia="Arial" w:hAnsi="Arial"/>
          <w:sz w:val="18"/>
          <w:szCs w:val="18"/>
          <w:i w:val="1"/>
          <w:iCs w:val="1"/>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reasonable costs and expenses, fees, commissions and taxes of such sale, collection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realization including compensation to the Collateral Agent and its agents and counsel, and all expenses, liabilities and advances made or incurred by the Collateral Agent in connection therewith and all amounts for which the Collateral Agent is entitled to indemnification pursuant to the provisions of any Loan Document, together with interest on each such amount at the highest rate then in effect under this Agreement from and after the date such amount is due, owing or unpaid until paid in full;</w:t>
      </w:r>
    </w:p>
    <w:p>
      <w:pPr>
        <w:spacing w:after="0" w:line="200" w:lineRule="exact"/>
        <w:rPr>
          <w:rFonts w:ascii="Arial" w:cs="Arial" w:eastAsia="Arial" w:hAnsi="Arial"/>
          <w:sz w:val="18"/>
          <w:szCs w:val="18"/>
          <w:i w:val="1"/>
          <w:iCs w:val="1"/>
          <w:color w:val="auto"/>
        </w:rPr>
      </w:pPr>
    </w:p>
    <w:p>
      <w:pPr>
        <w:spacing w:after="0" w:line="285" w:lineRule="exact"/>
        <w:rPr>
          <w:rFonts w:ascii="Arial" w:cs="Arial" w:eastAsia="Arial" w:hAnsi="Arial"/>
          <w:sz w:val="18"/>
          <w:szCs w:val="18"/>
          <w:i w:val="1"/>
          <w:iCs w:val="1"/>
          <w:color w:val="auto"/>
        </w:rPr>
      </w:pPr>
    </w:p>
    <w:p>
      <w:pPr>
        <w:ind w:right="80" w:firstLine="1953"/>
        <w:spacing w:after="0" w:line="259" w:lineRule="auto"/>
        <w:tabs>
          <w:tab w:leader="none" w:pos="2587" w:val="left"/>
        </w:tabs>
        <w:numPr>
          <w:ilvl w:val="1"/>
          <w:numId w:val="269"/>
        </w:numPr>
        <w:rPr>
          <w:rFonts w:ascii="Arial" w:cs="Arial" w:eastAsia="Arial" w:hAnsi="Arial"/>
          <w:sz w:val="18"/>
          <w:szCs w:val="18"/>
          <w:i w:val="1"/>
          <w:iCs w:val="1"/>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of all other reasonable costs and expenses of such sale, collection or other realization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to the other Secured Parties and their agents and counsel and all costs, liabilities and advances made or incurred by the other Secured Parties in connection therewith, together with interest on each such amount at the highest rate then in effect under this Agreement from and after the date such amount is due, owing or unpaid until paid in full;</w:t>
      </w:r>
    </w:p>
    <w:p>
      <w:pPr>
        <w:spacing w:after="0" w:line="200" w:lineRule="exact"/>
        <w:rPr>
          <w:rFonts w:ascii="Arial" w:cs="Arial" w:eastAsia="Arial" w:hAnsi="Arial"/>
          <w:sz w:val="18"/>
          <w:szCs w:val="18"/>
          <w:i w:val="1"/>
          <w:iCs w:val="1"/>
          <w:color w:val="auto"/>
        </w:rPr>
      </w:pPr>
    </w:p>
    <w:p>
      <w:pPr>
        <w:spacing w:after="0" w:line="284" w:lineRule="exact"/>
        <w:rPr>
          <w:rFonts w:ascii="Arial" w:cs="Arial" w:eastAsia="Arial" w:hAnsi="Arial"/>
          <w:sz w:val="18"/>
          <w:szCs w:val="18"/>
          <w:i w:val="1"/>
          <w:iCs w:val="1"/>
          <w:color w:val="auto"/>
        </w:rPr>
      </w:pPr>
    </w:p>
    <w:p>
      <w:pPr>
        <w:ind w:right="80" w:firstLine="1953"/>
        <w:spacing w:after="0" w:line="279" w:lineRule="auto"/>
        <w:tabs>
          <w:tab w:leader="none" w:pos="2577" w:val="left"/>
        </w:tabs>
        <w:numPr>
          <w:ilvl w:val="1"/>
          <w:numId w:val="269"/>
        </w:numPr>
        <w:rPr>
          <w:rFonts w:ascii="Arial" w:cs="Arial" w:eastAsia="Arial" w:hAnsi="Arial"/>
          <w:sz w:val="17"/>
          <w:szCs w:val="17"/>
          <w:i w:val="1"/>
          <w:iCs w:val="1"/>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without duplication of amounts applied pursuant to clauses (a) and (b) above, to the indefeasible payment in full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cash, </w:t>
      </w:r>
      <w:r>
        <w:rPr>
          <w:rFonts w:ascii="Arial" w:cs="Arial" w:eastAsia="Arial" w:hAnsi="Arial"/>
          <w:sz w:val="17"/>
          <w:szCs w:val="17"/>
          <w:i w:val="1"/>
          <w:iCs w:val="1"/>
          <w:color w:val="auto"/>
        </w:rPr>
        <w:t>pro rata</w:t>
      </w:r>
      <w:r>
        <w:rPr>
          <w:rFonts w:ascii="Arial" w:cs="Arial" w:eastAsia="Arial" w:hAnsi="Arial"/>
          <w:sz w:val="17"/>
          <w:szCs w:val="17"/>
          <w:color w:val="auto"/>
        </w:rPr>
        <w:t>, of interest and other amounts constituting Obligations (other than principal and Reimbursement Obligations) and any fees, premiums and scheduled periodic payments due under Hedging Agreements or Treasury Services Agreements constituting Secured Obligations and any interest accrued thereon, in each case equally and ratably in accordance with the respective amounts thereof then due and owing;</w:t>
      </w:r>
    </w:p>
    <w:p>
      <w:pPr>
        <w:spacing w:after="0" w:line="200" w:lineRule="exact"/>
        <w:rPr>
          <w:rFonts w:ascii="Arial" w:cs="Arial" w:eastAsia="Arial" w:hAnsi="Arial"/>
          <w:sz w:val="17"/>
          <w:szCs w:val="17"/>
          <w:i w:val="1"/>
          <w:iCs w:val="1"/>
          <w:color w:val="auto"/>
        </w:rPr>
      </w:pPr>
    </w:p>
    <w:p>
      <w:pPr>
        <w:spacing w:after="0" w:line="268" w:lineRule="exact"/>
        <w:rPr>
          <w:rFonts w:ascii="Arial" w:cs="Arial" w:eastAsia="Arial" w:hAnsi="Arial"/>
          <w:sz w:val="17"/>
          <w:szCs w:val="17"/>
          <w:i w:val="1"/>
          <w:iCs w:val="1"/>
          <w:color w:val="auto"/>
        </w:rPr>
      </w:pPr>
    </w:p>
    <w:p>
      <w:pPr>
        <w:ind w:right="380" w:firstLine="1953"/>
        <w:spacing w:after="0" w:line="264" w:lineRule="auto"/>
        <w:tabs>
          <w:tab w:leader="none" w:pos="2587" w:val="left"/>
        </w:tabs>
        <w:numPr>
          <w:ilvl w:val="1"/>
          <w:numId w:val="269"/>
        </w:numPr>
        <w:rPr>
          <w:rFonts w:ascii="Arial" w:cs="Arial" w:eastAsia="Arial" w:hAnsi="Arial"/>
          <w:sz w:val="18"/>
          <w:szCs w:val="18"/>
          <w:i w:val="1"/>
          <w:iCs w:val="1"/>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indefeasible payment in full in cash,</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principal amount of the Obligations and any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thereon (including Reimbursement Obligations) and any breakage, termination or other payments under Hedging Agreements and Treasury Services Agreements constituting Secured Obligations and any interest accrued thereon; and</w:t>
      </w:r>
    </w:p>
    <w:p>
      <w:pPr>
        <w:spacing w:after="0" w:line="200" w:lineRule="exact"/>
        <w:rPr>
          <w:rFonts w:ascii="Arial" w:cs="Arial" w:eastAsia="Arial" w:hAnsi="Arial"/>
          <w:sz w:val="18"/>
          <w:szCs w:val="18"/>
          <w:i w:val="1"/>
          <w:iCs w:val="1"/>
          <w:color w:val="auto"/>
        </w:rPr>
      </w:pPr>
    </w:p>
    <w:p>
      <w:pPr>
        <w:spacing w:after="0" w:line="278" w:lineRule="exact"/>
        <w:rPr>
          <w:rFonts w:ascii="Arial" w:cs="Arial" w:eastAsia="Arial" w:hAnsi="Arial"/>
          <w:sz w:val="18"/>
          <w:szCs w:val="18"/>
          <w:i w:val="1"/>
          <w:iCs w:val="1"/>
          <w:color w:val="auto"/>
        </w:rPr>
      </w:pPr>
    </w:p>
    <w:p>
      <w:pPr>
        <w:ind w:right="200" w:firstLine="1953"/>
        <w:spacing w:after="0" w:line="277" w:lineRule="auto"/>
        <w:tabs>
          <w:tab w:leader="none" w:pos="2577" w:val="left"/>
        </w:tabs>
        <w:numPr>
          <w:ilvl w:val="1"/>
          <w:numId w:val="269"/>
        </w:numPr>
        <w:rPr>
          <w:rFonts w:ascii="Arial" w:cs="Arial" w:eastAsia="Arial" w:hAnsi="Arial"/>
          <w:sz w:val="18"/>
          <w:szCs w:val="18"/>
          <w:i w:val="1"/>
          <w:iCs w:val="1"/>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the balance, if any, to the person lawfully entitled thereto (including the applicable Loan Party or its successors or</w:t>
      </w:r>
      <w:r>
        <w:rPr>
          <w:rFonts w:ascii="Arial" w:cs="Arial" w:eastAsia="Arial" w:hAnsi="Arial"/>
          <w:sz w:val="18"/>
          <w:szCs w:val="18"/>
          <w:i w:val="1"/>
          <w:iCs w:val="1"/>
          <w:color w:val="auto"/>
        </w:rPr>
        <w:t xml:space="preserve"> </w:t>
      </w:r>
      <w:r>
        <w:rPr>
          <w:rFonts w:ascii="Arial" w:cs="Arial" w:eastAsia="Arial" w:hAnsi="Arial"/>
          <w:sz w:val="18"/>
          <w:szCs w:val="18"/>
          <w:color w:val="auto"/>
        </w:rPr>
        <w:t>assigns) or as a court of competent jurisdiction may direct.</w:t>
      </w:r>
    </w:p>
    <w:p>
      <w:pPr>
        <w:spacing w:after="0" w:line="200" w:lineRule="exact"/>
        <w:rPr>
          <w:sz w:val="20"/>
          <w:szCs w:val="20"/>
          <w:color w:val="auto"/>
        </w:rPr>
      </w:pPr>
    </w:p>
    <w:p>
      <w:pPr>
        <w:spacing w:after="0" w:line="241"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In the event that any such proceeds are insufficient to pay in full the items described in clauses (a) through (e) of this </w:t>
      </w:r>
      <w:r>
        <w:rPr>
          <w:rFonts w:ascii="Arial" w:cs="Arial" w:eastAsia="Arial" w:hAnsi="Arial"/>
          <w:sz w:val="18"/>
          <w:szCs w:val="18"/>
          <w:u w:val="single" w:color="auto"/>
          <w:color w:val="auto"/>
        </w:rPr>
        <w:t>Section 8.02</w:t>
      </w:r>
      <w:r>
        <w:rPr>
          <w:rFonts w:ascii="Arial" w:cs="Arial" w:eastAsia="Arial" w:hAnsi="Arial"/>
          <w:sz w:val="18"/>
          <w:szCs w:val="18"/>
          <w:color w:val="auto"/>
        </w:rPr>
        <w:t>, the Loan Parties shall remain liable, jointly and severally, for any deficiency.</w:t>
      </w:r>
    </w:p>
    <w:p>
      <w:pPr>
        <w:sectPr>
          <w:pgSz w:w="11900" w:h="16838" w:orient="portrait"/>
          <w:cols w:equalWidth="0" w:num="1">
            <w:col w:w="11420"/>
          </w:cols>
          <w:pgMar w:left="240" w:top="395" w:right="239" w:bottom="86" w:gutter="0" w:footer="0" w:header="0"/>
        </w:sectPr>
      </w:pPr>
    </w:p>
    <w:bookmarkStart w:id="124" w:name="page125"/>
    <w:bookmarkEnd w:id="124"/>
    <w:p>
      <w:pPr>
        <w:ind w:left="4460"/>
        <w:spacing w:after="0"/>
        <w:rPr>
          <w:sz w:val="20"/>
          <w:szCs w:val="20"/>
          <w:color w:val="auto"/>
        </w:rPr>
      </w:pPr>
      <w:r>
        <w:rPr>
          <w:rFonts w:ascii="Arial" w:cs="Arial" w:eastAsia="Arial" w:hAnsi="Arial"/>
          <w:sz w:val="18"/>
          <w:szCs w:val="18"/>
          <w:b w:val="1"/>
          <w:bCs w:val="1"/>
          <w:color w:val="auto"/>
        </w:rPr>
        <w:t>ARTICLE IX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ADMINISTRATIVE AGENT AND THE COLLATERAL AGENT</w:t>
      </w:r>
    </w:p>
    <w:p>
      <w:pPr>
        <w:spacing w:after="0" w:line="279"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6"/>
          <w:szCs w:val="16"/>
          <w:b w:val="1"/>
          <w:bCs w:val="1"/>
          <w:u w:val="single" w:color="auto"/>
          <w:color w:val="auto"/>
        </w:rPr>
        <w:t>Appointment and Authority</w:t>
      </w:r>
    </w:p>
    <w:p>
      <w:pPr>
        <w:spacing w:after="0" w:line="256" w:lineRule="exact"/>
        <w:rPr>
          <w:sz w:val="20"/>
          <w:szCs w:val="20"/>
          <w:color w:val="auto"/>
        </w:rPr>
      </w:pPr>
    </w:p>
    <w:p>
      <w:pPr>
        <w:ind w:right="60" w:firstLine="8"/>
        <w:spacing w:after="0" w:line="276" w:lineRule="auto"/>
        <w:tabs>
          <w:tab w:leader="none" w:pos="13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Each of the Lenders and the Issuing Bank hereby irrevocably appoints Wells Fargo Bank, National Association, to act on its behalf as the Administrative Agent and the Collateral Agent hereunder and under the other Loan Documents and authorizes such Agents to take such actions on its behalf and to exercise such powers as are delegated to such Agents by the terms hereof or thereof, together with such actions and powers as are reasonably incidental thereto. The provisions of this Article are solely for the benefit of the Administrative Agent, the Collateral Agent, the Lenders and the Issuing Bank, and neither Borrower nor any other Loan Party shall have rights as a third party beneficiary of any of such provisions.</w:t>
      </w:r>
    </w:p>
    <w:p>
      <w:pPr>
        <w:spacing w:after="0" w:line="22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9.02</w:t>
      </w:r>
      <w:r>
        <w:rPr>
          <w:sz w:val="20"/>
          <w:szCs w:val="20"/>
          <w:color w:val="auto"/>
        </w:rPr>
        <w:tab/>
      </w:r>
      <w:r>
        <w:rPr>
          <w:rFonts w:ascii="Arial" w:cs="Arial" w:eastAsia="Arial" w:hAnsi="Arial"/>
          <w:sz w:val="16"/>
          <w:szCs w:val="16"/>
          <w:b w:val="1"/>
          <w:bCs w:val="1"/>
          <w:u w:val="single" w:color="auto"/>
          <w:color w:val="auto"/>
        </w:rPr>
        <w:t>Rights as a Lender</w:t>
      </w:r>
    </w:p>
    <w:p>
      <w:pPr>
        <w:spacing w:after="0" w:line="256" w:lineRule="exact"/>
        <w:rPr>
          <w:sz w:val="20"/>
          <w:szCs w:val="20"/>
          <w:color w:val="auto"/>
        </w:rPr>
      </w:pPr>
    </w:p>
    <w:p>
      <w:pPr>
        <w:ind w:firstLine="8"/>
        <w:spacing w:after="0" w:line="276" w:lineRule="auto"/>
        <w:tabs>
          <w:tab w:leader="none" w:pos="13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Each person serving as an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each person serving as an Agent hereunder in its individual capacity. Such person and its Affiliates may accept deposits from, lend money to, act as the financial advisor or in any other advisory capacity for and generally engage in any kind of business with Borrower or any Subsidiary or other Affiliate thereof as if such person were not an Agent hereunder and without any duty to account therefor to the Lenders.</w:t>
      </w:r>
    </w:p>
    <w:p>
      <w:pPr>
        <w:spacing w:after="0" w:line="22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9.03</w:t>
      </w:r>
      <w:r>
        <w:rPr>
          <w:sz w:val="20"/>
          <w:szCs w:val="20"/>
          <w:color w:val="auto"/>
        </w:rPr>
        <w:tab/>
      </w:r>
      <w:r>
        <w:rPr>
          <w:rFonts w:ascii="Arial" w:cs="Arial" w:eastAsia="Arial" w:hAnsi="Arial"/>
          <w:sz w:val="16"/>
          <w:szCs w:val="16"/>
          <w:b w:val="1"/>
          <w:bCs w:val="1"/>
          <w:u w:val="single" w:color="auto"/>
          <w:color w:val="auto"/>
        </w:rPr>
        <w:t>Exculpatory Provisions</w:t>
      </w:r>
    </w:p>
    <w:p>
      <w:pPr>
        <w:spacing w:after="0" w:line="256" w:lineRule="exact"/>
        <w:rPr>
          <w:sz w:val="20"/>
          <w:szCs w:val="20"/>
          <w:color w:val="auto"/>
        </w:rPr>
      </w:pPr>
    </w:p>
    <w:p>
      <w:pPr>
        <w:ind w:right="160" w:firstLine="8"/>
        <w:spacing w:after="0" w:line="277" w:lineRule="auto"/>
        <w:tabs>
          <w:tab w:leader="none" w:pos="13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 Agent shall have any duties or obligations except those expressly set forth herein and in the other Loan Documents. Without limiting the generality of the foregoing, no Agent:</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4180" w:hanging="607"/>
        <w:spacing w:after="0"/>
        <w:tabs>
          <w:tab w:leader="none" w:pos="418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shall be subject to any fiduciary or other implied duties, regardless of whether a Default has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occurred and is continuing;</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660" w:right="20" w:firstLine="2913"/>
        <w:spacing w:after="0" w:line="276" w:lineRule="auto"/>
        <w:tabs>
          <w:tab w:leader="none" w:pos="4229" w:val="left"/>
        </w:tabs>
        <w:numPr>
          <w:ilvl w:val="1"/>
          <w:numId w:val="272"/>
        </w:numPr>
        <w:rPr>
          <w:rFonts w:ascii="Arial" w:cs="Arial" w:eastAsia="Arial" w:hAnsi="Arial"/>
          <w:sz w:val="17"/>
          <w:szCs w:val="17"/>
          <w:color w:val="auto"/>
        </w:rPr>
      </w:pPr>
      <w:r>
        <w:rPr>
          <w:rFonts w:ascii="Arial" w:cs="Arial" w:eastAsia="Arial" w:hAnsi="Arial"/>
          <w:sz w:val="17"/>
          <w:szCs w:val="17"/>
          <w:color w:val="auto"/>
        </w:rPr>
        <w:t xml:space="preserve">shall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Agent shall not be required to take any action that, in its judgment or the judgment of its counsel, may expose such Agent to liability or that is contrary to any Loan Document or applicable Requirements of Law; and</w:t>
      </w: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660" w:right="300" w:firstLine="2913"/>
        <w:spacing w:after="0" w:line="264" w:lineRule="auto"/>
        <w:tabs>
          <w:tab w:leader="none" w:pos="4279" w:val="left"/>
        </w:tabs>
        <w:numPr>
          <w:ilvl w:val="1"/>
          <w:numId w:val="272"/>
        </w:numPr>
        <w:rPr>
          <w:rFonts w:ascii="Arial" w:cs="Arial" w:eastAsia="Arial" w:hAnsi="Arial"/>
          <w:sz w:val="18"/>
          <w:szCs w:val="18"/>
          <w:color w:val="auto"/>
        </w:rPr>
      </w:pPr>
      <w:r>
        <w:rPr>
          <w:rFonts w:ascii="Arial" w:cs="Arial" w:eastAsia="Arial" w:hAnsi="Arial"/>
          <w:sz w:val="18"/>
          <w:szCs w:val="18"/>
          <w:color w:val="auto"/>
        </w:rPr>
        <w:t>shall, except as expressly set forth herein and in the other Loan Documents, have any duty to disclose, and shall not be liable for the failure to disclose, any information relating to Borrower or any of its Affiliates that is communicated to or obtained by the person serving as such Agent or any of its Affiliates in any capacity.</w:t>
      </w:r>
    </w:p>
    <w:p>
      <w:pPr>
        <w:spacing w:after="0" w:line="200" w:lineRule="exact"/>
        <w:rPr>
          <w:sz w:val="20"/>
          <w:szCs w:val="20"/>
          <w:color w:val="auto"/>
        </w:rPr>
      </w:pPr>
    </w:p>
    <w:p>
      <w:pPr>
        <w:spacing w:after="0" w:line="25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No Agent shall be liable for any action taken or not taken by it (x) with the consent or at the request of the Required Lenders (or such other number or percentage of the Lenders as shall be necessary, or as such Agent shall believe in good faith shall be necessary, under the circumstances as provided in </w:t>
      </w:r>
      <w:r>
        <w:rPr>
          <w:rFonts w:ascii="Arial" w:cs="Arial" w:eastAsia="Arial" w:hAnsi="Arial"/>
          <w:sz w:val="17"/>
          <w:szCs w:val="17"/>
          <w:u w:val="single" w:color="auto"/>
          <w:color w:val="auto"/>
        </w:rPr>
        <w:t>Section 10.02</w:t>
      </w:r>
      <w:r>
        <w:rPr>
          <w:rFonts w:ascii="Arial" w:cs="Arial" w:eastAsia="Arial" w:hAnsi="Arial"/>
          <w:sz w:val="17"/>
          <w:szCs w:val="17"/>
          <w:color w:val="auto"/>
        </w:rPr>
        <w:t>) or (y) in the absence of its own gross negligence or willful misconduct. No Agent shall be deemed to have knowledge of any Default unless and until notice describing such Default is given to such Agent by Borrower, a Lender or the Issuing Bank.</w:t>
      </w:r>
    </w:p>
    <w:p>
      <w:pPr>
        <w:spacing w:after="0" w:line="200" w:lineRule="exact"/>
        <w:rPr>
          <w:sz w:val="20"/>
          <w:szCs w:val="20"/>
          <w:color w:val="auto"/>
        </w:rPr>
      </w:pPr>
    </w:p>
    <w:p>
      <w:pPr>
        <w:spacing w:after="0" w:line="242"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such Agent. Without limiting the generality of the foregoing, the use of the term “agent” in this Agreement with reference to the Administrative Agent or the Collateral Agent is not intended to connote any fiduciary or other implied (or express) obligations arising under agency doctrine of any applicable law. Instead, such term us used merely as a matter of market custom and is intended to create or reflect only an administrative relationship between independent contracting parties.</w:t>
      </w:r>
    </w:p>
    <w:p>
      <w:pPr>
        <w:spacing w:after="0" w:line="23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9.04</w:t>
      </w:r>
      <w:r>
        <w:rPr>
          <w:sz w:val="20"/>
          <w:szCs w:val="20"/>
          <w:color w:val="auto"/>
        </w:rPr>
        <w:tab/>
      </w:r>
      <w:r>
        <w:rPr>
          <w:rFonts w:ascii="Arial" w:cs="Arial" w:eastAsia="Arial" w:hAnsi="Arial"/>
          <w:sz w:val="16"/>
          <w:szCs w:val="16"/>
          <w:b w:val="1"/>
          <w:bCs w:val="1"/>
          <w:u w:val="single" w:color="auto"/>
          <w:color w:val="auto"/>
        </w:rPr>
        <w:t>Reliance by Agent</w:t>
      </w:r>
    </w:p>
    <w:p>
      <w:pPr>
        <w:spacing w:after="0" w:line="256" w:lineRule="exact"/>
        <w:rPr>
          <w:sz w:val="20"/>
          <w:szCs w:val="20"/>
          <w:color w:val="auto"/>
        </w:rPr>
      </w:pPr>
    </w:p>
    <w:p>
      <w:pPr>
        <w:ind w:right="100" w:firstLine="8"/>
        <w:spacing w:after="0" w:line="289" w:lineRule="auto"/>
        <w:tabs>
          <w:tab w:leader="none" w:pos="13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Administrative Agent may presume that such condition is satisfactory to such Lender or the Issuing Bank unless the Administrative Agent shall have received notice to the contrary from such Lender or the Issuing Bank prior to the making of such Loan or the issuance of such Letter of Credit.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21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9.05</w:t>
      </w:r>
      <w:r>
        <w:rPr>
          <w:sz w:val="20"/>
          <w:szCs w:val="20"/>
          <w:color w:val="auto"/>
        </w:rPr>
        <w:tab/>
      </w:r>
      <w:r>
        <w:rPr>
          <w:rFonts w:ascii="Arial" w:cs="Arial" w:eastAsia="Arial" w:hAnsi="Arial"/>
          <w:sz w:val="15"/>
          <w:szCs w:val="15"/>
          <w:b w:val="1"/>
          <w:bCs w:val="1"/>
          <w:u w:val="single" w:color="auto"/>
          <w:color w:val="auto"/>
        </w:rPr>
        <w:t>Delegation of Duties</w:t>
      </w:r>
    </w:p>
    <w:p>
      <w:pPr>
        <w:sectPr>
          <w:pgSz w:w="11900" w:h="16838" w:orient="portrait"/>
          <w:cols w:equalWidth="0" w:num="1">
            <w:col w:w="11400"/>
          </w:cols>
          <w:pgMar w:left="240" w:top="121" w:right="259" w:bottom="63" w:gutter="0" w:footer="0" w:header="0"/>
        </w:sectPr>
      </w:pPr>
    </w:p>
    <w:bookmarkStart w:id="125" w:name="page126"/>
    <w:bookmarkEnd w:id="125"/>
    <w:p>
      <w:pPr>
        <w:ind w:firstLine="8"/>
        <w:spacing w:after="0" w:line="255" w:lineRule="auto"/>
        <w:tabs>
          <w:tab w:leader="none" w:pos="13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Each Agent may perform any and all of its duties and exercise its rights and powers hereunder or under any other Loan Document by or through, or delegate any and all such rights and powers to, any one or more sub-agents appointed by such Agent, including a sub-agent which is a non-U.S. Affiliate of such Agent. Each Agent and any such sub-agent may perform any and all of its duties and exercise its rights and powers by or through their respective Related Parties. The exculpatory provisions of this Article and the indemnification and reimbursement provisions of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apply to any such sub-agent and to the Related Parties of each Agent and any such sub-agent, and shall apply to their respective activities in connection with the syndication of the credit facilities provided for herein as well as activities as Agent.</w:t>
      </w:r>
    </w:p>
    <w:p>
      <w:pPr>
        <w:spacing w:after="0" w:line="24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9.06</w:t>
      </w:r>
      <w:r>
        <w:rPr>
          <w:sz w:val="20"/>
          <w:szCs w:val="20"/>
          <w:color w:val="auto"/>
        </w:rPr>
        <w:tab/>
      </w:r>
      <w:r>
        <w:rPr>
          <w:rFonts w:ascii="Arial" w:cs="Arial" w:eastAsia="Arial" w:hAnsi="Arial"/>
          <w:sz w:val="15"/>
          <w:szCs w:val="15"/>
          <w:b w:val="1"/>
          <w:bCs w:val="1"/>
          <w:u w:val="single" w:color="auto"/>
          <w:color w:val="auto"/>
        </w:rPr>
        <w:t>Resignation of Agent</w:t>
      </w:r>
    </w:p>
    <w:p>
      <w:pPr>
        <w:spacing w:after="0" w:line="256" w:lineRule="exact"/>
        <w:rPr>
          <w:sz w:val="20"/>
          <w:szCs w:val="20"/>
          <w:color w:val="auto"/>
        </w:rPr>
      </w:pPr>
    </w:p>
    <w:p>
      <w:pPr>
        <w:ind w:right="40" w:firstLine="8"/>
        <w:spacing w:after="0" w:line="285" w:lineRule="auto"/>
        <w:tabs>
          <w:tab w:leader="none" w:pos="13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Each Agent may at any time give notice of its resignation to the Lenders, the Issuing Bank and Borrower. Upon receipt of any such notice of resignation, the Required Lenders shall have the right, in consultation with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then the retiring Agent may on behalf of the Lenders and the Issuing Bank, appoint a successor Agent meeting the qualifications set forth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Agent shall notify Borrower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security held by the Collateral Agent on behalf of the Lenders or the Issuing Bank under any of the Loan Documents, the retiring Collateral Agent shall continue to hold such collateral security as nominee until such time as a successor Collateral Agent is appointed) and (2) all payments, communications and determinations provided to be made by, to or through an Agent shall instead be made by or to each Lender and the Issuing Bank directly, until such time as the Required Lenders appoint a successor Agent as provided for above in this paragraph.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paragraph). The fees payable by Borrower to a successor Agent shall be the same as those payable to its predecessor unless otherwise agreed between Borrower and such successor. After the retiring Agent’s resignation hereunder and under the other Loan Documents,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shall continue in effect for the benefit of such retiring Agent, its sub-agents and their respective Related Parties in respect of any actions taken or omitted to be taken by any of them while the retiring Agent was acting as Agent.</w:t>
      </w:r>
    </w:p>
    <w:p>
      <w:pPr>
        <w:spacing w:after="0" w:line="22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9.07</w:t>
      </w:r>
      <w:r>
        <w:rPr>
          <w:sz w:val="20"/>
          <w:szCs w:val="20"/>
          <w:color w:val="auto"/>
        </w:rPr>
        <w:tab/>
      </w:r>
      <w:r>
        <w:rPr>
          <w:rFonts w:ascii="Arial" w:cs="Arial" w:eastAsia="Arial" w:hAnsi="Arial"/>
          <w:sz w:val="16"/>
          <w:szCs w:val="16"/>
          <w:b w:val="1"/>
          <w:bCs w:val="1"/>
          <w:u w:val="single" w:color="auto"/>
          <w:color w:val="auto"/>
        </w:rPr>
        <w:t>Non-Reliance on Agent and Other Lenders</w:t>
      </w:r>
    </w:p>
    <w:p>
      <w:pPr>
        <w:spacing w:after="0" w:line="256" w:lineRule="exact"/>
        <w:rPr>
          <w:sz w:val="20"/>
          <w:szCs w:val="20"/>
          <w:color w:val="auto"/>
        </w:rPr>
      </w:pPr>
    </w:p>
    <w:p>
      <w:pPr>
        <w:ind w:right="340" w:firstLine="8"/>
        <w:spacing w:after="0" w:line="291" w:lineRule="auto"/>
        <w:tabs>
          <w:tab w:leader="none" w:pos="13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Each Lender and the Issuing Bank acknowledges that it has, independently and without reliance upon any Agent or any other Lender and based on such documents and information as it has deemed appropriate, made its own credit analysis and decision to enter into this Agreement. Each Lender further represents and warrants that it has reviewed the Confidential Information Memorandum and each other document made available to it on the Platform in connection with this Agreement and has acknowledged and accepted the terms and conditions applicable to the recipients thereof. Each Lender and the Issuing Bank also acknowledges that it will, independently and without reliance upon any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1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b w:val="1"/>
          <w:bCs w:val="1"/>
          <w:color w:val="auto"/>
        </w:rPr>
        <w:t>Section 9.08</w:t>
      </w:r>
      <w:r>
        <w:rPr>
          <w:sz w:val="20"/>
          <w:szCs w:val="20"/>
          <w:color w:val="auto"/>
        </w:rPr>
        <w:tab/>
      </w:r>
      <w:r>
        <w:rPr>
          <w:rFonts w:ascii="Arial" w:cs="Arial" w:eastAsia="Arial" w:hAnsi="Arial"/>
          <w:sz w:val="16"/>
          <w:szCs w:val="16"/>
          <w:b w:val="1"/>
          <w:bCs w:val="1"/>
          <w:u w:val="single" w:color="auto"/>
          <w:color w:val="auto"/>
        </w:rPr>
        <w:t>No Other Duties, etc</w:t>
      </w:r>
    </w:p>
    <w:p>
      <w:pPr>
        <w:spacing w:after="0" w:line="256" w:lineRule="exact"/>
        <w:rPr>
          <w:sz w:val="20"/>
          <w:szCs w:val="20"/>
          <w:color w:val="auto"/>
        </w:rPr>
      </w:pPr>
    </w:p>
    <w:p>
      <w:pPr>
        <w:ind w:firstLine="8"/>
        <w:spacing w:after="0" w:line="259" w:lineRule="auto"/>
        <w:tabs>
          <w:tab w:leader="none" w:pos="12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Anything herein to the contrary notwithstanding, except for consent rights and expense reimbursement and indemnification rights in favor of the Arranger expressly set forth herein, none of the Bookrunner, Arranger, Syndication Agent or Documentation Agent listed on the cover page hereof shall have any powers, duties or responsibilities under this Agreement or any of the other Loan Documents, except in its capacity, as applicable, as the Administrative Agent, the Collateral Agent, a Lender or the Issuing Bank hereunder.</w:t>
      </w:r>
    </w:p>
    <w:p>
      <w:pPr>
        <w:spacing w:after="0" w:line="200" w:lineRule="exact"/>
        <w:rPr>
          <w:sz w:val="20"/>
          <w:szCs w:val="20"/>
          <w:color w:val="auto"/>
        </w:rPr>
      </w:pPr>
    </w:p>
    <w:p>
      <w:pPr>
        <w:spacing w:after="0" w:line="25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ARTICLE 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79"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color w:val="auto"/>
        </w:rPr>
        <w:t>Section 10.01</w:t>
      </w:r>
      <w:r>
        <w:rPr>
          <w:sz w:val="20"/>
          <w:szCs w:val="20"/>
          <w:color w:val="auto"/>
        </w:rPr>
        <w:tab/>
      </w:r>
      <w:r>
        <w:rPr>
          <w:rFonts w:ascii="Arial" w:cs="Arial" w:eastAsia="Arial" w:hAnsi="Arial"/>
          <w:sz w:val="15"/>
          <w:szCs w:val="15"/>
          <w:b w:val="1"/>
          <w:bCs w:val="1"/>
          <w:u w:val="single" w:color="auto"/>
          <w:color w:val="auto"/>
        </w:rPr>
        <w:t>Notices</w:t>
      </w:r>
    </w:p>
    <w:p>
      <w:pPr>
        <w:spacing w:after="0" w:line="283" w:lineRule="exact"/>
        <w:rPr>
          <w:sz w:val="20"/>
          <w:szCs w:val="20"/>
          <w:color w:val="auto"/>
        </w:rPr>
      </w:pPr>
    </w:p>
    <w:p>
      <w:pPr>
        <w:jc w:val="both"/>
        <w:ind w:right="320" w:firstLine="1953"/>
        <w:spacing w:after="0" w:line="264" w:lineRule="auto"/>
        <w:tabs>
          <w:tab w:leader="none" w:pos="2577"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telecopier as follows:</w:t>
      </w:r>
    </w:p>
    <w:p>
      <w:pPr>
        <w:spacing w:after="0" w:line="200" w:lineRule="exact"/>
        <w:rPr>
          <w:sz w:val="20"/>
          <w:szCs w:val="20"/>
          <w:color w:val="auto"/>
        </w:rPr>
      </w:pPr>
    </w:p>
    <w:p>
      <w:pPr>
        <w:spacing w:after="0" w:line="278" w:lineRule="exact"/>
        <w:rPr>
          <w:sz w:val="20"/>
          <w:szCs w:val="20"/>
          <w:color w:val="auto"/>
        </w:rPr>
      </w:pPr>
    </w:p>
    <w:p>
      <w:pPr>
        <w:ind w:left="4180" w:hanging="607"/>
        <w:spacing w:after="0"/>
        <w:tabs>
          <w:tab w:leader="none" w:pos="41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if to any Loan Party, to Borrower at:</w:t>
      </w: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Itron, Inc.</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2111 North Molter Road</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Liberty Lake, WA 99019</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Chief Financial Officer</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Telecopier No.: (509) 891-3334</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steve.helmbrecht@itron.com</w:t>
      </w:r>
    </w:p>
    <w:p>
      <w:pPr>
        <w:sectPr>
          <w:pgSz w:w="11900" w:h="16838" w:orient="portrait"/>
          <w:cols w:equalWidth="0" w:num="1">
            <w:col w:w="11420"/>
          </w:cols>
          <w:pgMar w:left="240" w:top="125" w:right="239" w:bottom="329" w:gutter="0" w:footer="0" w:header="0"/>
        </w:sectPr>
      </w:pPr>
    </w:p>
    <w:bookmarkStart w:id="126" w:name="page127"/>
    <w:bookmarkEnd w:id="126"/>
    <w:p>
      <w:pPr>
        <w:ind w:left="2040"/>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Itron, Inc.</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2111 North Molter Road</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Liberty Lake, WA 99019</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Attention: Senior Vice President, General Counsel</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Telecopier No.: (509) 891-3655</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Email: john.holleran@itron.com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Perkins Coie LLP</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1201 Third Avenue, 48th flr.</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Seattle, WA 98101-3099</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Attention: James D. Gradel</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Telecopier No.: (206) 359-8401</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Email: jgradel@perkinscoie.com</w:t>
      </w:r>
    </w:p>
    <w:p>
      <w:pPr>
        <w:spacing w:after="0" w:line="279" w:lineRule="exact"/>
        <w:rPr>
          <w:sz w:val="20"/>
          <w:szCs w:val="20"/>
          <w:color w:val="auto"/>
        </w:rPr>
      </w:pPr>
    </w:p>
    <w:p>
      <w:pPr>
        <w:ind w:left="3020" w:hanging="647"/>
        <w:spacing w:after="0"/>
        <w:tabs>
          <w:tab w:leader="none" w:pos="302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if to the Administrative Agent, the Collateral Agent or Wells Fargo, as an Issuing Bank, to it at:</w:t>
      </w:r>
    </w:p>
    <w:p>
      <w:pPr>
        <w:spacing w:after="0" w:line="200" w:lineRule="exact"/>
        <w:rPr>
          <w:sz w:val="20"/>
          <w:szCs w:val="20"/>
          <w:color w:val="auto"/>
        </w:rPr>
      </w:pPr>
    </w:p>
    <w:p>
      <w:pPr>
        <w:spacing w:after="0" w:line="31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Wells Fargo Bank</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Inland Northwest RCBO</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601 West First Avenue, Suite 900</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Spokane, WA 99201</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Attention: Tom Beil</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Telecopier No.: (509) 455-5760</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Email: beilt@wellsfargo.com</w:t>
      </w:r>
    </w:p>
    <w:p>
      <w:pPr>
        <w:spacing w:after="0" w:line="279" w:lineRule="exact"/>
        <w:rPr>
          <w:sz w:val="20"/>
          <w:szCs w:val="20"/>
          <w:color w:val="auto"/>
        </w:rPr>
      </w:pPr>
    </w:p>
    <w:p>
      <w:pPr>
        <w:ind w:left="3080" w:hanging="707"/>
        <w:spacing w:after="0"/>
        <w:tabs>
          <w:tab w:leader="none" w:pos="3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to Mizuho, as an Issuing Bank, to it at:</w:t>
      </w:r>
    </w:p>
    <w:p>
      <w:pPr>
        <w:spacing w:after="0" w:line="200" w:lineRule="exact"/>
        <w:rPr>
          <w:sz w:val="20"/>
          <w:szCs w:val="20"/>
          <w:color w:val="auto"/>
        </w:rPr>
      </w:pPr>
    </w:p>
    <w:p>
      <w:pPr>
        <w:spacing w:after="0" w:line="29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Mizuho Corporate Bank, Ltd.</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River Plate House</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7-11 Finsbury Square</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London</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EC2M 7DH</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Attention: Steve Kerns</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Telecopier No.: 0207 012 4410</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Email: steve.kerns@mhcb.co.uk</w:t>
      </w:r>
    </w:p>
    <w:p>
      <w:pPr>
        <w:sectPr>
          <w:pgSz w:w="11900" w:h="16838" w:orient="portrait"/>
          <w:cols w:equalWidth="0" w:num="1">
            <w:col w:w="9900"/>
          </w:cols>
          <w:pgMar w:left="1440" w:top="125" w:right="559" w:bottom="167" w:gutter="0" w:footer="0" w:header="0"/>
        </w:sectPr>
      </w:pPr>
    </w:p>
    <w:bookmarkStart w:id="127" w:name="page128"/>
    <w:bookmarkEnd w:id="127"/>
    <w:p>
      <w:pPr>
        <w:spacing w:after="0" w:line="87" w:lineRule="exact"/>
        <w:rPr>
          <w:sz w:val="20"/>
          <w:szCs w:val="20"/>
          <w:color w:val="auto"/>
        </w:rPr>
      </w:pPr>
    </w:p>
    <w:p>
      <w:pPr>
        <w:ind w:left="4260" w:hanging="687"/>
        <w:spacing w:after="0"/>
        <w:tabs>
          <w:tab w:leader="none" w:pos="42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if to a Lender, to it at its address (or telecopier number) set forth in its Administrative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Questionnaire; and</w:t>
      </w:r>
    </w:p>
    <w:p>
      <w:pPr>
        <w:spacing w:after="0" w:line="200" w:lineRule="exact"/>
        <w:rPr>
          <w:sz w:val="20"/>
          <w:szCs w:val="20"/>
          <w:color w:val="auto"/>
        </w:rPr>
      </w:pPr>
    </w:p>
    <w:p>
      <w:pPr>
        <w:spacing w:after="0" w:line="308" w:lineRule="exact"/>
        <w:rPr>
          <w:sz w:val="20"/>
          <w:szCs w:val="20"/>
          <w:color w:val="auto"/>
        </w:rPr>
      </w:pPr>
    </w:p>
    <w:p>
      <w:pPr>
        <w:ind w:left="4220" w:hanging="647"/>
        <w:spacing w:after="0"/>
        <w:tabs>
          <w:tab w:leader="none" w:pos="42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if to the Swingline Lender, to it at:</w:t>
      </w: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Wells Fargo Bank</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Inland Northwest RCBO</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601 West First Avenue, Suite 900</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Spokane, WA 99201</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Tom Beil</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Telecopier No.: (509) 455-5760</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beilt@wellsfargo.com</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200" w:lineRule="exact"/>
        <w:rPr>
          <w:sz w:val="20"/>
          <w:szCs w:val="20"/>
          <w:color w:val="auto"/>
        </w:rPr>
      </w:pPr>
    </w:p>
    <w:p>
      <w:pPr>
        <w:spacing w:after="0" w:line="284" w:lineRule="exact"/>
        <w:rPr>
          <w:sz w:val="20"/>
          <w:szCs w:val="20"/>
          <w:color w:val="auto"/>
        </w:rPr>
      </w:pPr>
    </w:p>
    <w:p>
      <w:pPr>
        <w:ind w:right="20" w:firstLine="1953"/>
        <w:spacing w:after="0" w:line="272" w:lineRule="auto"/>
        <w:tabs>
          <w:tab w:leader="none" w:pos="2587"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and the Issuing Bank hereunder may (subject to </w:t>
      </w:r>
      <w:r>
        <w:rPr>
          <w:rFonts w:ascii="Arial" w:cs="Arial" w:eastAsia="Arial" w:hAnsi="Arial"/>
          <w:sz w:val="17"/>
          <w:szCs w:val="17"/>
          <w:u w:val="single" w:color="auto"/>
          <w:color w:val="auto"/>
        </w:rPr>
        <w:t>Section 10.01(d)</w:t>
      </w:r>
      <w:r>
        <w:rPr>
          <w:rFonts w:ascii="Arial" w:cs="Arial" w:eastAsia="Arial" w:hAnsi="Arial"/>
          <w:sz w:val="17"/>
          <w:szCs w:val="17"/>
          <w:color w:val="auto"/>
        </w:rPr>
        <w:t xml:space="preserve">) be delivered or furnished by electronic communication (including email and Internet or intranet websites) pursuant to procedures approved by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apply to notices to any Lender or the Issuing Bank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or the Issuing Bank, as applicable, has notified the Administrative Agent that it is incapable of receiving notices under such Article by electronic communication. The Administrative Agent, the Collateral Agent or Borrower may, in its discretion, agree to accept notices and other communications to it hereunder by electronic communications pursuant to procedures approved by it (including as set forth in </w:t>
      </w:r>
      <w:r>
        <w:rPr>
          <w:rFonts w:ascii="Arial" w:cs="Arial" w:eastAsia="Arial" w:hAnsi="Arial"/>
          <w:sz w:val="17"/>
          <w:szCs w:val="17"/>
          <w:u w:val="single" w:color="auto"/>
          <w:color w:val="auto"/>
        </w:rPr>
        <w:t>Section 10.01(d)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200" w:lineRule="exact"/>
        <w:rPr>
          <w:sz w:val="20"/>
          <w:szCs w:val="20"/>
          <w:color w:val="auto"/>
        </w:rPr>
      </w:pPr>
    </w:p>
    <w:p>
      <w:pPr>
        <w:spacing w:after="0" w:line="248" w:lineRule="exact"/>
        <w:rPr>
          <w:sz w:val="20"/>
          <w:szCs w:val="20"/>
          <w:color w:val="auto"/>
        </w:rPr>
      </w:pPr>
    </w:p>
    <w:p>
      <w:pPr>
        <w:ind w:right="80" w:firstLine="1297"/>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00" w:lineRule="exact"/>
        <w:rPr>
          <w:sz w:val="20"/>
          <w:szCs w:val="20"/>
          <w:color w:val="auto"/>
        </w:rPr>
      </w:pPr>
    </w:p>
    <w:p>
      <w:pPr>
        <w:spacing w:after="0" w:line="262" w:lineRule="exact"/>
        <w:rPr>
          <w:sz w:val="20"/>
          <w:szCs w:val="20"/>
          <w:color w:val="auto"/>
        </w:rPr>
      </w:pPr>
    </w:p>
    <w:p>
      <w:pPr>
        <w:ind w:right="1020" w:firstLine="1953"/>
        <w:spacing w:after="0" w:line="277" w:lineRule="auto"/>
        <w:tabs>
          <w:tab w:leader="none" w:pos="2577"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Any party hereto may change its address or telecopier number for notices and other communications hereunder by notice to the other parties hereto.</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100" w:firstLine="1953"/>
        <w:spacing w:after="0" w:line="268" w:lineRule="auto"/>
        <w:tabs>
          <w:tab w:leader="none" w:pos="2587"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Posting</w:t>
      </w:r>
      <w:r>
        <w:rPr>
          <w:rFonts w:ascii="Arial" w:cs="Arial" w:eastAsia="Arial" w:hAnsi="Arial"/>
          <w:sz w:val="17"/>
          <w:szCs w:val="17"/>
          <w:color w:val="auto"/>
        </w:rPr>
        <w:t>. Each Loan Party hereby agrees that it will provide to the Administrative Agent all information, documents and other materials that it is obligated to furnish to the Administrative Agent pursuant to this Agreement and any other Loan Document, including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notice of any Default under this Agreement or (iv) is required to be delivered to satisfy any condition precedent to the effectiveness of this Agreement and/or any borrowing or other extension of credit hereunder (all such non-excluded communications, collectively, the “</w:t>
      </w:r>
      <w:r>
        <w:rPr>
          <w:rFonts w:ascii="Arial" w:cs="Arial" w:eastAsia="Arial" w:hAnsi="Arial"/>
          <w:sz w:val="17"/>
          <w:szCs w:val="17"/>
          <w:b w:val="1"/>
          <w:bCs w:val="1"/>
          <w:color w:val="auto"/>
        </w:rPr>
        <w:t>Communications</w:t>
      </w:r>
      <w:r>
        <w:rPr>
          <w:rFonts w:ascii="Arial" w:cs="Arial" w:eastAsia="Arial" w:hAnsi="Arial"/>
          <w:sz w:val="17"/>
          <w:szCs w:val="17"/>
          <w:color w:val="auto"/>
        </w:rPr>
        <w:t xml:space="preserve">”), by transmitting the Communications in an electronic/soft medium in a format reasonably acceptable to the Administrative Agent at beilt@wellsfargo.com and godleys@wellsfargo.com or at such other email address(es) provided to Borrower from time to time or in such other form, including hard copy delivery thereof, as the Administrative Agent shall require. In addition, each Loan Party agrees to continue to provide the Communications to the Administrative Agent in the manner specified in this Agreement or any other Loan Document or in such other form, including hard copy delivery thereof, as the Administrative Agent shall require. Nothing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shall prejudice the right of the Agents, any Lender or any Loan Party to give any notice or other communication pursuant to this Agreement or any other Loan Document in any other manner specified in this Agreement or any other Loan Document or as any such Agent shall require.</w:t>
      </w:r>
    </w:p>
    <w:p>
      <w:pPr>
        <w:spacing w:after="0" w:line="200" w:lineRule="exact"/>
        <w:rPr>
          <w:sz w:val="20"/>
          <w:szCs w:val="20"/>
          <w:color w:val="auto"/>
        </w:rPr>
      </w:pPr>
    </w:p>
    <w:p>
      <w:pPr>
        <w:spacing w:after="0" w:line="255" w:lineRule="exact"/>
        <w:rPr>
          <w:sz w:val="20"/>
          <w:szCs w:val="20"/>
          <w:color w:val="auto"/>
        </w:rPr>
      </w:pPr>
    </w:p>
    <w:p>
      <w:pPr>
        <w:ind w:right="340" w:firstLine="1297"/>
        <w:spacing w:after="0" w:line="259" w:lineRule="auto"/>
        <w:rPr>
          <w:sz w:val="20"/>
          <w:szCs w:val="20"/>
          <w:color w:val="auto"/>
        </w:rPr>
      </w:pPr>
      <w:r>
        <w:rPr>
          <w:rFonts w:ascii="Arial" w:cs="Arial" w:eastAsia="Arial" w:hAnsi="Arial"/>
          <w:sz w:val="18"/>
          <w:szCs w:val="18"/>
          <w:color w:val="auto"/>
        </w:rPr>
        <w:t xml:space="preserve">To the extent consented to by the Administrative Agent in writing from time to time, the Administrative Agent agrees that receipt of the Communications by the Administrative Agent at its email address(es) set forth above shall constitute effective delivery of the Communications to the Administrative Agent for purposes of the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shall also deliver to the Administrative Agent an executed original of each Compliance Certificate required to be delivered hereunder.</w:t>
      </w:r>
    </w:p>
    <w:p>
      <w:pPr>
        <w:spacing w:after="0" w:line="200" w:lineRule="exact"/>
        <w:rPr>
          <w:sz w:val="20"/>
          <w:szCs w:val="20"/>
          <w:color w:val="auto"/>
        </w:rPr>
      </w:pPr>
    </w:p>
    <w:p>
      <w:pPr>
        <w:spacing w:after="0" w:line="257"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Each Loan Party further agrees that Administrative Agent may make the Communications available to the Lenders by posting the Communications on Intralinks or a substantially similar electronic transmission system (the “</w:t>
      </w:r>
      <w:r>
        <w:rPr>
          <w:rFonts w:ascii="Arial" w:cs="Arial" w:eastAsia="Arial" w:hAnsi="Arial"/>
          <w:sz w:val="16"/>
          <w:szCs w:val="16"/>
          <w:b w:val="1"/>
          <w:bCs w:val="1"/>
          <w:color w:val="auto"/>
        </w:rPr>
        <w:t>Platform</w:t>
      </w:r>
      <w:r>
        <w:rPr>
          <w:rFonts w:ascii="Arial" w:cs="Arial" w:eastAsia="Arial" w:hAnsi="Arial"/>
          <w:sz w:val="16"/>
          <w:szCs w:val="16"/>
          <w:color w:val="auto"/>
        </w:rPr>
        <w:t>”). The Platform is provided “as is” and “as available.” The Agents do not warrant the accuracy or completeness of the Communications, or the adequacy of the Platform and expressly disclaim liability</w:t>
      </w:r>
    </w:p>
    <w:p>
      <w:pPr>
        <w:sectPr>
          <w:pgSz w:w="11900" w:h="16925" w:orient="portrait"/>
          <w:cols w:equalWidth="0" w:num="1">
            <w:col w:w="11420"/>
          </w:cols>
          <w:pgMar w:left="240" w:top="152" w:right="239" w:bottom="0" w:gutter="0" w:footer="0" w:header="0"/>
        </w:sectPr>
      </w:pPr>
    </w:p>
    <w:bookmarkStart w:id="128" w:name="page129"/>
    <w:bookmarkEnd w:id="128"/>
    <w:p>
      <w:pPr>
        <w:ind w:right="20"/>
        <w:spacing w:after="0" w:line="255" w:lineRule="auto"/>
        <w:rPr>
          <w:sz w:val="20"/>
          <w:szCs w:val="20"/>
          <w:color w:val="auto"/>
        </w:rPr>
      </w:pPr>
      <w:r>
        <w:rPr>
          <w:rFonts w:ascii="Arial" w:cs="Arial" w:eastAsia="Arial" w:hAnsi="Arial"/>
          <w:sz w:val="18"/>
          <w:szCs w:val="18"/>
          <w:color w:val="auto"/>
        </w:rPr>
        <w:t>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any Agent in connection with the Communications or the Platform. In no event shall the Administrative Agent or any of its Related Parties have any liability to the Loan Parties, any Lender or any other person for damages of any kind,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such person is found in a final non-appealable judgment by a court of competent jurisdiction to have resulted from such person’s gross negligence or willful misconduct.</w:t>
      </w:r>
    </w:p>
    <w:p>
      <w:pPr>
        <w:spacing w:after="0" w:line="239"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color w:val="auto"/>
        </w:rPr>
        <w:t>Section 10.02</w:t>
      </w:r>
      <w:r>
        <w:rPr>
          <w:sz w:val="20"/>
          <w:szCs w:val="20"/>
          <w:color w:val="auto"/>
        </w:rPr>
        <w:tab/>
      </w:r>
      <w:r>
        <w:rPr>
          <w:rFonts w:ascii="Arial" w:cs="Arial" w:eastAsia="Arial" w:hAnsi="Arial"/>
          <w:sz w:val="16"/>
          <w:szCs w:val="16"/>
          <w:b w:val="1"/>
          <w:bCs w:val="1"/>
          <w:u w:val="single" w:color="auto"/>
          <w:color w:val="auto"/>
        </w:rPr>
        <w:t>Waivers; Amendment</w:t>
      </w:r>
    </w:p>
    <w:p>
      <w:pPr>
        <w:spacing w:after="0" w:line="283" w:lineRule="exact"/>
        <w:rPr>
          <w:sz w:val="20"/>
          <w:szCs w:val="20"/>
          <w:color w:val="auto"/>
        </w:rPr>
      </w:pPr>
    </w:p>
    <w:p>
      <w:pPr>
        <w:ind w:right="60" w:firstLine="1953"/>
        <w:spacing w:after="0" w:line="270" w:lineRule="auto"/>
        <w:tabs>
          <w:tab w:leader="none" w:pos="2577"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No failure or delay by any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each Agent, the Issuing Bank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this </w:t>
      </w:r>
      <w:r>
        <w:rPr>
          <w:rFonts w:ascii="Arial" w:cs="Arial" w:eastAsia="Arial" w:hAnsi="Arial"/>
          <w:sz w:val="17"/>
          <w:szCs w:val="17"/>
          <w:u w:val="single" w:color="auto"/>
          <w:color w:val="auto"/>
        </w:rPr>
        <w:t>Section 10.02</w:t>
      </w:r>
      <w:r>
        <w:rPr>
          <w:rFonts w:ascii="Arial" w:cs="Arial" w:eastAsia="Arial" w:hAnsi="Arial"/>
          <w:sz w:val="17"/>
          <w:szCs w:val="17"/>
          <w:color w:val="auto"/>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any Agent, any Lender or the Issuing Bank may have had notice or knowledge of such Default at the time. No notice or demand on Borrower in any case shall entitle Borrower to any other or further notice or demand in similar or other circumstances.</w:t>
      </w:r>
    </w:p>
    <w:p>
      <w:pPr>
        <w:spacing w:after="0" w:line="200" w:lineRule="exact"/>
        <w:rPr>
          <w:rFonts w:ascii="Arial" w:cs="Arial" w:eastAsia="Arial" w:hAnsi="Arial"/>
          <w:sz w:val="17"/>
          <w:szCs w:val="17"/>
          <w:color w:val="auto"/>
        </w:rPr>
      </w:pPr>
    </w:p>
    <w:p>
      <w:pPr>
        <w:spacing w:after="0" w:line="274" w:lineRule="exact"/>
        <w:rPr>
          <w:rFonts w:ascii="Arial" w:cs="Arial" w:eastAsia="Arial" w:hAnsi="Arial"/>
          <w:sz w:val="17"/>
          <w:szCs w:val="17"/>
          <w:color w:val="auto"/>
        </w:rPr>
      </w:pPr>
    </w:p>
    <w:p>
      <w:pPr>
        <w:ind w:right="260" w:firstLine="1953"/>
        <w:spacing w:after="0" w:line="255" w:lineRule="auto"/>
        <w:tabs>
          <w:tab w:leader="none" w:pos="2587"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10.02(c)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neither this Agreement nor any other Loan Document nor any provision hereof or thereof may be waived, amended, supplemented or modified except, in the case of this Agreement, pursuant to an agreement or agreements in writing entered into by Borrower and the Required Lenders or, in the case of any other Loan Document, pursuant to an agreement or agreements in writing entered into by the Administrative Agent, the Collateral Agent (in the case of any Security Document) and the Loan Party or Loan Parties that are party thereto, in each case with the written consent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agreement shall be effective if the effect thereof would:</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660" w:right="460" w:firstLine="2913"/>
        <w:spacing w:after="0" w:line="264" w:lineRule="auto"/>
        <w:tabs>
          <w:tab w:leader="none" w:pos="4179"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increase the Commitment of any Lender without the written consent of such Lender (it being understood that no amendment, modification, termination, waiver or consent with respect to any condition precedent, covenant or Default shall constitute an increase in the Commitment of any Lender);</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660" w:right="100" w:firstLine="2913"/>
        <w:spacing w:after="0" w:line="302" w:lineRule="auto"/>
        <w:tabs>
          <w:tab w:leader="none" w:pos="4229"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reduce or forgive the principal amount of any Loan or LC Disbursement or reduce the rate of interest thereon (other than interest pursuant to </w:t>
      </w:r>
      <w:r>
        <w:rPr>
          <w:rFonts w:ascii="Arial" w:cs="Arial" w:eastAsia="Arial" w:hAnsi="Arial"/>
          <w:sz w:val="16"/>
          <w:szCs w:val="16"/>
          <w:u w:val="single" w:color="auto"/>
          <w:color w:val="auto"/>
        </w:rPr>
        <w:t>Section 2.06(d)</w:t>
      </w:r>
      <w:r>
        <w:rPr>
          <w:rFonts w:ascii="Arial" w:cs="Arial" w:eastAsia="Arial" w:hAnsi="Arial"/>
          <w:sz w:val="16"/>
          <w:szCs w:val="16"/>
          <w:color w:val="auto"/>
        </w:rPr>
        <w:t>), or reduce or forgive any Fees payable hereunder, or change the form or currency of payment of any Obligation, without the written consent of each Lender directly affected thereby (it being understood that any amendment or modification to the financial definitions in this Agreement shall not constitute a reduction in the rate of interest for purposes of this clause (ii));</w:t>
      </w:r>
    </w:p>
    <w:p>
      <w:pPr>
        <w:spacing w:after="0" w:line="200" w:lineRule="exact"/>
        <w:rPr>
          <w:rFonts w:ascii="Arial" w:cs="Arial" w:eastAsia="Arial" w:hAnsi="Arial"/>
          <w:sz w:val="16"/>
          <w:szCs w:val="16"/>
          <w:color w:val="auto"/>
        </w:rPr>
      </w:pPr>
    </w:p>
    <w:p>
      <w:pPr>
        <w:spacing w:after="0" w:line="251" w:lineRule="exact"/>
        <w:rPr>
          <w:rFonts w:ascii="Arial" w:cs="Arial" w:eastAsia="Arial" w:hAnsi="Arial"/>
          <w:sz w:val="16"/>
          <w:szCs w:val="16"/>
          <w:color w:val="auto"/>
        </w:rPr>
      </w:pPr>
    </w:p>
    <w:p>
      <w:pPr>
        <w:ind w:left="660" w:firstLine="2913"/>
        <w:spacing w:after="0" w:line="297" w:lineRule="auto"/>
        <w:tabs>
          <w:tab w:leader="none" w:pos="4279"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(A) change the scheduled final maturity of any Loan, or any scheduled date of payment of or the installment otherwise due on the principal amount of any Term Loan under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(B) postpone the date for payment of any Reimbursement Obligation or any interest or fees payable hereunder, (C) change the amount of, waive or excuse any such payment (other than waiver of any increase in the interest rate pursuant to </w:t>
      </w:r>
      <w:r>
        <w:rPr>
          <w:rFonts w:ascii="Arial" w:cs="Arial" w:eastAsia="Arial" w:hAnsi="Arial"/>
          <w:sz w:val="16"/>
          <w:szCs w:val="16"/>
          <w:u w:val="single" w:color="auto"/>
          <w:color w:val="auto"/>
        </w:rPr>
        <w:t>Section 2.06(d)</w:t>
      </w:r>
      <w:r>
        <w:rPr>
          <w:rFonts w:ascii="Arial" w:cs="Arial" w:eastAsia="Arial" w:hAnsi="Arial"/>
          <w:sz w:val="16"/>
          <w:szCs w:val="16"/>
          <w:color w:val="auto"/>
        </w:rPr>
        <w:t>), or (D) postpone the scheduled date of expiration of any Commitment or any Letter of Credit beyond the Revolving Maturity Date, in any case, without the written consent of each Lender directly affected thereby;</w:t>
      </w:r>
    </w:p>
    <w:p>
      <w:pPr>
        <w:spacing w:after="0" w:line="200" w:lineRule="exact"/>
        <w:rPr>
          <w:rFonts w:ascii="Arial" w:cs="Arial" w:eastAsia="Arial" w:hAnsi="Arial"/>
          <w:sz w:val="16"/>
          <w:szCs w:val="16"/>
          <w:color w:val="auto"/>
        </w:rPr>
      </w:pPr>
    </w:p>
    <w:p>
      <w:pPr>
        <w:spacing w:after="0" w:line="255" w:lineRule="exact"/>
        <w:rPr>
          <w:rFonts w:ascii="Arial" w:cs="Arial" w:eastAsia="Arial" w:hAnsi="Arial"/>
          <w:sz w:val="16"/>
          <w:szCs w:val="16"/>
          <w:color w:val="auto"/>
        </w:rPr>
      </w:pPr>
    </w:p>
    <w:p>
      <w:pPr>
        <w:ind w:left="4260" w:hanging="687"/>
        <w:spacing w:after="0"/>
        <w:tabs>
          <w:tab w:leader="none" w:pos="426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increase the maximum duration of Interest Periods hereunder, without the written consent of each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Lender directly affected thereby;</w:t>
      </w: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660" w:right="80" w:firstLine="2913"/>
        <w:spacing w:after="0" w:line="277" w:lineRule="auto"/>
        <w:tabs>
          <w:tab w:leader="none" w:pos="4219" w:val="left"/>
        </w:tabs>
        <w:numPr>
          <w:ilvl w:val="1"/>
          <w:numId w:val="286"/>
        </w:numPr>
        <w:rPr>
          <w:rFonts w:ascii="Arial" w:cs="Arial" w:eastAsia="Arial" w:hAnsi="Arial"/>
          <w:sz w:val="18"/>
          <w:szCs w:val="18"/>
          <w:color w:val="auto"/>
        </w:rPr>
      </w:pPr>
      <w:r>
        <w:rPr>
          <w:rFonts w:ascii="Arial" w:cs="Arial" w:eastAsia="Arial" w:hAnsi="Arial"/>
          <w:sz w:val="18"/>
          <w:szCs w:val="18"/>
          <w:color w:val="auto"/>
        </w:rPr>
        <w:t>permit the assignment or delegation by Borrower of any of its rights or obligations under any Loan Document, without the written consent of each Lender;</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4260" w:hanging="687"/>
        <w:spacing w:after="0"/>
        <w:tabs>
          <w:tab w:leader="none" w:pos="426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release all or substantially all of the Subsidiary Guarantors from their Guarantee (except as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 xml:space="preserve">expressly provided in </w:t>
      </w:r>
      <w:r>
        <w:rPr>
          <w:rFonts w:ascii="Arial" w:cs="Arial" w:eastAsia="Arial" w:hAnsi="Arial"/>
          <w:sz w:val="18"/>
          <w:szCs w:val="18"/>
          <w:u w:val="single" w:color="auto"/>
          <w:color w:val="auto"/>
        </w:rPr>
        <w:t>Article VII</w:t>
      </w:r>
      <w:r>
        <w:rPr>
          <w:rFonts w:ascii="Arial" w:cs="Arial" w:eastAsia="Arial" w:hAnsi="Arial"/>
          <w:sz w:val="18"/>
          <w:szCs w:val="18"/>
          <w:color w:val="auto"/>
        </w:rPr>
        <w:t>), or limit their liability in respect of such Guarantee, without the written consent of each Lender;</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4320" w:hanging="747"/>
        <w:spacing w:after="0"/>
        <w:tabs>
          <w:tab w:leader="none" w:pos="432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release all or a substantial portion of the Collateral from the Liens of the Security Documents or</w:t>
      </w:r>
    </w:p>
    <w:p>
      <w:pPr>
        <w:spacing w:after="0" w:line="46" w:lineRule="exact"/>
        <w:rPr>
          <w:rFonts w:ascii="Arial" w:cs="Arial" w:eastAsia="Arial" w:hAnsi="Arial"/>
          <w:sz w:val="16"/>
          <w:szCs w:val="16"/>
          <w:color w:val="auto"/>
        </w:rPr>
      </w:pPr>
    </w:p>
    <w:p>
      <w:pPr>
        <w:ind w:left="660" w:right="200"/>
        <w:spacing w:after="0" w:line="255" w:lineRule="auto"/>
        <w:rPr>
          <w:rFonts w:ascii="Arial" w:cs="Arial" w:eastAsia="Arial" w:hAnsi="Arial"/>
          <w:sz w:val="16"/>
          <w:szCs w:val="16"/>
          <w:color w:val="auto"/>
        </w:rPr>
      </w:pPr>
      <w:r>
        <w:rPr>
          <w:rFonts w:ascii="Arial" w:cs="Arial" w:eastAsia="Arial" w:hAnsi="Arial"/>
          <w:sz w:val="18"/>
          <w:szCs w:val="18"/>
          <w:color w:val="auto"/>
        </w:rPr>
        <w:t>alter the relative priorities of the Secured Obligations entitled to the Liens of the Security Documents, in each case without the written consent of each Lender (it being understood that additional Classes of Loans consented to by the Required Lenders may be equally and ratably secured by the Collateral with the then existing Secured Obligations under the Security Documents);</w:t>
      </w:r>
    </w:p>
    <w:p>
      <w:pPr>
        <w:spacing w:after="0" w:line="200" w:lineRule="exact"/>
        <w:rPr>
          <w:rFonts w:ascii="Arial" w:cs="Arial" w:eastAsia="Arial" w:hAnsi="Arial"/>
          <w:sz w:val="16"/>
          <w:szCs w:val="16"/>
          <w:color w:val="auto"/>
        </w:rPr>
      </w:pPr>
    </w:p>
    <w:p>
      <w:pPr>
        <w:spacing w:after="0" w:line="287" w:lineRule="exact"/>
        <w:rPr>
          <w:rFonts w:ascii="Arial" w:cs="Arial" w:eastAsia="Arial" w:hAnsi="Arial"/>
          <w:sz w:val="16"/>
          <w:szCs w:val="16"/>
          <w:color w:val="auto"/>
        </w:rPr>
      </w:pPr>
    </w:p>
    <w:p>
      <w:pPr>
        <w:ind w:left="4360" w:hanging="787"/>
        <w:spacing w:after="0"/>
        <w:tabs>
          <w:tab w:leader="none" w:pos="436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change </w:t>
      </w:r>
      <w:r>
        <w:rPr>
          <w:rFonts w:ascii="Arial" w:cs="Arial" w:eastAsia="Arial" w:hAnsi="Arial"/>
          <w:sz w:val="16"/>
          <w:szCs w:val="16"/>
          <w:u w:val="single" w:color="auto"/>
          <w:color w:val="auto"/>
        </w:rPr>
        <w:t>Section 2.14(b)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in a manner that would alter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sharing of payments</w:t>
      </w:r>
    </w:p>
    <w:p>
      <w:pPr>
        <w:spacing w:after="0" w:line="46" w:lineRule="exact"/>
        <w:rPr>
          <w:rFonts w:ascii="Arial" w:cs="Arial" w:eastAsia="Arial" w:hAnsi="Arial"/>
          <w:sz w:val="16"/>
          <w:szCs w:val="16"/>
          <w:color w:val="auto"/>
        </w:rPr>
      </w:pPr>
    </w:p>
    <w:p>
      <w:pPr>
        <w:ind w:left="660" w:right="340"/>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or setoffs required thereby or any other provision in a manner that would alter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among the Lenders of Loan disbursements, including the requirements of </w:t>
      </w:r>
      <w:r>
        <w:rPr>
          <w:rFonts w:ascii="Arial" w:cs="Arial" w:eastAsia="Arial" w:hAnsi="Arial"/>
          <w:sz w:val="16"/>
          <w:szCs w:val="16"/>
          <w:u w:val="single" w:color="auto"/>
          <w:color w:val="auto"/>
        </w:rPr>
        <w:t>Sections 2.02(a)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2.18(d)</w:t>
      </w:r>
      <w:r>
        <w:rPr>
          <w:rFonts w:ascii="Arial" w:cs="Arial" w:eastAsia="Arial" w:hAnsi="Arial"/>
          <w:sz w:val="16"/>
          <w:szCs w:val="16"/>
          <w:color w:val="auto"/>
        </w:rPr>
        <w:t>, without the written consent of each Lender directly affected thereby;</w:t>
      </w:r>
    </w:p>
    <w:p>
      <w:pPr>
        <w:sectPr>
          <w:pgSz w:w="11900" w:h="16838" w:orient="portrait"/>
          <w:cols w:equalWidth="0" w:num="1">
            <w:col w:w="11420"/>
          </w:cols>
          <w:pgMar w:left="240" w:top="125" w:right="239" w:bottom="324" w:gutter="0" w:footer="0" w:header="0"/>
        </w:sectPr>
      </w:pPr>
    </w:p>
    <w:bookmarkStart w:id="129" w:name="page130"/>
    <w:bookmarkEnd w:id="129"/>
    <w:p>
      <w:pPr>
        <w:ind w:left="660" w:right="200" w:firstLine="2913"/>
        <w:spacing w:after="0" w:line="264" w:lineRule="auto"/>
        <w:tabs>
          <w:tab w:leader="none" w:pos="4269"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change or waive the application of the proceeds of Collateral provided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change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in a manner that would alter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sharing of the proceeds of Collateral required thereby, without the written consent of each Lender, Issuing Bank and Agent directly affected thereby;</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660" w:right="240" w:firstLine="2913"/>
        <w:spacing w:after="0" w:line="264" w:lineRule="auto"/>
        <w:tabs>
          <w:tab w:leader="none" w:pos="4219"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change or waive any provision of this </w:t>
      </w:r>
      <w:r>
        <w:rPr>
          <w:rFonts w:ascii="Arial" w:cs="Arial" w:eastAsia="Arial" w:hAnsi="Arial"/>
          <w:sz w:val="18"/>
          <w:szCs w:val="18"/>
          <w:u w:val="single" w:color="auto"/>
          <w:color w:val="auto"/>
        </w:rPr>
        <w:t>Section 10.02(b)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10.02(c)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without the written consent of each Lender, Issuing Bank and Agent directly affected thereby (except for additional restrictions on amendments or waivers for the benefit of Lenders of additional Classes of Loans consented to by the Required Lenders);</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4260" w:hanging="687"/>
        <w:spacing w:after="0"/>
        <w:tabs>
          <w:tab w:leader="none" w:pos="42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change the percentage set forth in the definition of “Required Lenders,” “Required Class Lenders,”</w:t>
      </w:r>
    </w:p>
    <w:p>
      <w:pPr>
        <w:spacing w:after="0" w:line="46" w:lineRule="exact"/>
        <w:rPr>
          <w:rFonts w:ascii="Arial" w:cs="Arial" w:eastAsia="Arial" w:hAnsi="Arial"/>
          <w:sz w:val="16"/>
          <w:szCs w:val="16"/>
          <w:color w:val="auto"/>
        </w:rPr>
      </w:pPr>
    </w:p>
    <w:p>
      <w:pPr>
        <w:ind w:left="660" w:right="120"/>
        <w:spacing w:after="0" w:line="253" w:lineRule="auto"/>
        <w:rPr>
          <w:rFonts w:ascii="Arial" w:cs="Arial" w:eastAsia="Arial" w:hAnsi="Arial"/>
          <w:sz w:val="16"/>
          <w:szCs w:val="16"/>
          <w:color w:val="auto"/>
        </w:rPr>
      </w:pPr>
      <w:r>
        <w:rPr>
          <w:rFonts w:ascii="Arial" w:cs="Arial" w:eastAsia="Arial" w:hAnsi="Arial"/>
          <w:sz w:val="18"/>
          <w:szCs w:val="18"/>
          <w:color w:val="auto"/>
        </w:rPr>
        <w:t>“Required Revolving Lenders” or any other provision of any Loan Document (including this Section) specifying the number or percentage of Lenders (or Lenders of any Class) required to waive, amend or modify any rights thereunder or make any determination or grant any consent thereunder, without the written consent of each Lender (or each Lender of such Class, as the case may be), other than to increase such percentage or number or to give any additional Lender or group of Lenders such right to waive, amend or modify or make any such determination or grant any such consent;</w:t>
      </w:r>
    </w:p>
    <w:p>
      <w:pPr>
        <w:spacing w:after="0" w:line="200" w:lineRule="exact"/>
        <w:rPr>
          <w:rFonts w:ascii="Arial" w:cs="Arial" w:eastAsia="Arial" w:hAnsi="Arial"/>
          <w:sz w:val="16"/>
          <w:szCs w:val="16"/>
          <w:color w:val="auto"/>
        </w:rPr>
      </w:pPr>
    </w:p>
    <w:p>
      <w:pPr>
        <w:spacing w:after="0" w:line="288" w:lineRule="exact"/>
        <w:rPr>
          <w:rFonts w:ascii="Arial" w:cs="Arial" w:eastAsia="Arial" w:hAnsi="Arial"/>
          <w:sz w:val="16"/>
          <w:szCs w:val="16"/>
          <w:color w:val="auto"/>
        </w:rPr>
      </w:pPr>
    </w:p>
    <w:p>
      <w:pPr>
        <w:ind w:left="4320" w:hanging="747"/>
        <w:spacing w:after="0"/>
        <w:tabs>
          <w:tab w:leader="none" w:pos="432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change or waive the application of prepayments as among or between Classes under </w:t>
      </w:r>
      <w:r>
        <w:rPr>
          <w:rFonts w:ascii="Arial" w:cs="Arial" w:eastAsia="Arial" w:hAnsi="Arial"/>
          <w:sz w:val="17"/>
          <w:szCs w:val="17"/>
          <w:u w:val="single" w:color="auto"/>
          <w:color w:val="auto"/>
        </w:rPr>
        <w:t>Section</w:t>
      </w:r>
    </w:p>
    <w:p>
      <w:pPr>
        <w:spacing w:after="0" w:line="35" w:lineRule="exact"/>
        <w:rPr>
          <w:sz w:val="20"/>
          <w:szCs w:val="20"/>
          <w:color w:val="auto"/>
        </w:rPr>
      </w:pPr>
    </w:p>
    <w:p>
      <w:pPr>
        <w:ind w:left="660" w:right="100"/>
        <w:spacing w:after="0" w:line="253" w:lineRule="auto"/>
        <w:rPr>
          <w:sz w:val="20"/>
          <w:szCs w:val="20"/>
          <w:color w:val="auto"/>
        </w:rPr>
      </w:pPr>
      <w:r>
        <w:rPr>
          <w:rFonts w:ascii="Arial" w:cs="Arial" w:eastAsia="Arial" w:hAnsi="Arial"/>
          <w:sz w:val="18"/>
          <w:szCs w:val="18"/>
          <w:u w:val="single" w:color="auto"/>
          <w:color w:val="auto"/>
        </w:rPr>
        <w:t>2.10(g)</w:t>
      </w:r>
      <w:r>
        <w:rPr>
          <w:rFonts w:ascii="Arial" w:cs="Arial" w:eastAsia="Arial" w:hAnsi="Arial"/>
          <w:sz w:val="18"/>
          <w:szCs w:val="18"/>
          <w:color w:val="auto"/>
        </w:rPr>
        <w:t xml:space="preserve">, without the written consent of the Required Class Lenders of each Class that is being allocated a lesser prepayment as a result thereof (it being understood that the Required Lenders may waive, in whole or in part, any prepayment so long as the application, as between Classes, of any portion of such prepayment that is still required to be made is not changed and, if additional Classes of Term Loans under this Agreement consented to by the Required Lenders are made, such new Term Loans may be included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the various prepayments required pursuant to </w:t>
      </w:r>
      <w:r>
        <w:rPr>
          <w:rFonts w:ascii="Arial" w:cs="Arial" w:eastAsia="Arial" w:hAnsi="Arial"/>
          <w:sz w:val="18"/>
          <w:szCs w:val="18"/>
          <w:u w:val="single" w:color="auto"/>
          <w:color w:val="auto"/>
        </w:rPr>
        <w:t>Section 2.10(g)</w:t>
      </w:r>
      <w:r>
        <w:rPr>
          <w:rFonts w:ascii="Arial" w:cs="Arial" w:eastAsia="Arial" w:hAnsi="Arial"/>
          <w:sz w:val="18"/>
          <w:szCs w:val="18"/>
          <w:color w:val="auto"/>
        </w:rPr>
        <w:t>);</w:t>
      </w:r>
    </w:p>
    <w:p>
      <w:pPr>
        <w:spacing w:after="0" w:line="200" w:lineRule="exact"/>
        <w:rPr>
          <w:sz w:val="20"/>
          <w:szCs w:val="20"/>
          <w:color w:val="auto"/>
        </w:rPr>
      </w:pPr>
    </w:p>
    <w:p>
      <w:pPr>
        <w:spacing w:after="0" w:line="288" w:lineRule="exact"/>
        <w:rPr>
          <w:sz w:val="20"/>
          <w:szCs w:val="20"/>
          <w:color w:val="auto"/>
        </w:rPr>
      </w:pPr>
    </w:p>
    <w:p>
      <w:pPr>
        <w:ind w:left="660" w:right="80" w:firstLine="2913"/>
        <w:spacing w:after="0" w:line="264" w:lineRule="auto"/>
        <w:tabs>
          <w:tab w:leader="none" w:pos="436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change or waive the application of prepayments of Term Loans of any Class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2.10(g)</w:t>
      </w:r>
      <w:r>
        <w:rPr>
          <w:rFonts w:ascii="Arial" w:cs="Arial" w:eastAsia="Arial" w:hAnsi="Arial"/>
          <w:sz w:val="18"/>
          <w:szCs w:val="18"/>
          <w:color w:val="auto"/>
        </w:rPr>
        <w:t xml:space="preserve"> to the remaining scheduled amortization payments to be made thereon under </w:t>
      </w:r>
      <w:r>
        <w:rPr>
          <w:rFonts w:ascii="Arial" w:cs="Arial" w:eastAsia="Arial" w:hAnsi="Arial"/>
          <w:sz w:val="18"/>
          <w:szCs w:val="18"/>
          <w:u w:val="single" w:color="auto"/>
          <w:color w:val="auto"/>
        </w:rPr>
        <w:t>Section 2.09</w:t>
      </w:r>
      <w:r>
        <w:rPr>
          <w:rFonts w:ascii="Arial" w:cs="Arial" w:eastAsia="Arial" w:hAnsi="Arial"/>
          <w:sz w:val="18"/>
          <w:szCs w:val="18"/>
          <w:color w:val="auto"/>
        </w:rPr>
        <w:t>, without the written consent of the Required Class Lenders of such Class;</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4360" w:hanging="787"/>
        <w:spacing w:after="0"/>
        <w:tabs>
          <w:tab w:leader="none" w:pos="43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change or waive any provision of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as the same applies to any Agent, or any other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provision hereof as the same applies to the rights or obligations of any Agent, in each case without the written consent of such Agent;</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jc w:val="both"/>
        <w:ind w:left="660" w:right="140" w:firstLine="2913"/>
        <w:spacing w:after="0" w:line="264" w:lineRule="auto"/>
        <w:tabs>
          <w:tab w:leader="none" w:pos="430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change or waive any provision of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change or waive any obligation of the Lenders relating to the issuance of or purchase of participations in Letters of Credit, without the written consent of the Administrative Agent and the Issuing Bank;</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660" w:right="320" w:firstLine="2913"/>
        <w:spacing w:after="0" w:line="277" w:lineRule="auto"/>
        <w:tabs>
          <w:tab w:leader="none" w:pos="435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change or waive any provision hereof relating to Swingline Loans (including the definition of “Swingline Commitment”), without the written consent of the Swingline Lender; or</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660" w:right="100" w:firstLine="2913"/>
        <w:spacing w:after="0" w:line="277" w:lineRule="auto"/>
        <w:tabs>
          <w:tab w:leader="none" w:pos="440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expressly change or waive any condition precedent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to any Revolving Borrowing without the written consent of the Required Revolving Lenders;</w:t>
      </w:r>
    </w:p>
    <w:p>
      <w:pPr>
        <w:spacing w:after="0" w:line="200" w:lineRule="exact"/>
        <w:rPr>
          <w:sz w:val="20"/>
          <w:szCs w:val="20"/>
          <w:color w:val="auto"/>
        </w:rPr>
      </w:pPr>
    </w:p>
    <w:p>
      <w:pPr>
        <w:spacing w:after="0" w:line="24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provided, further</w:t>
      </w:r>
      <w:r>
        <w:rPr>
          <w:rFonts w:ascii="Arial" w:cs="Arial" w:eastAsia="Arial" w:hAnsi="Arial"/>
          <w:sz w:val="18"/>
          <w:szCs w:val="18"/>
          <w:color w:val="auto"/>
        </w:rPr>
        <w:t>, that any waiver, amendment or modification prior to the completion of the primary syndication of the Commitments and Loans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Arranger) may not be effected without the written consent of the Arranger.</w:t>
      </w:r>
    </w:p>
    <w:p>
      <w:pPr>
        <w:spacing w:after="0" w:line="200" w:lineRule="exact"/>
        <w:rPr>
          <w:sz w:val="20"/>
          <w:szCs w:val="20"/>
          <w:color w:val="auto"/>
        </w:rPr>
      </w:pPr>
    </w:p>
    <w:p>
      <w:pPr>
        <w:spacing w:after="0" w:line="268" w:lineRule="exact"/>
        <w:rPr>
          <w:sz w:val="20"/>
          <w:szCs w:val="20"/>
          <w:color w:val="auto"/>
        </w:rPr>
      </w:pPr>
    </w:p>
    <w:p>
      <w:pPr>
        <w:ind w:right="40" w:firstLine="1953"/>
        <w:spacing w:after="0" w:line="255" w:lineRule="auto"/>
        <w:tabs>
          <w:tab w:leader="none" w:pos="2577"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Without the consent of any other person, the applicable Loan Party or Parties and the Administrative Agent and/or Collateral Agent may (in its or their respective sole discretion, or shall, to the extent required by any Loan Document) enter into any amendment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firstLine="1953"/>
        <w:spacing w:after="0" w:line="289" w:lineRule="auto"/>
        <w:tabs>
          <w:tab w:leader="none" w:pos="2587"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Dissenting Lenders</w:t>
      </w:r>
      <w:r>
        <w:rPr>
          <w:rFonts w:ascii="Arial" w:cs="Arial" w:eastAsia="Arial" w:hAnsi="Arial"/>
          <w:sz w:val="16"/>
          <w:szCs w:val="16"/>
          <w:color w:val="auto"/>
        </w:rPr>
        <w:t xml:space="preserve">. If, in connection with any proposed change, waiver, discharge or termination of the provisions of this Agreement as contemplated by </w:t>
      </w:r>
      <w:r>
        <w:rPr>
          <w:rFonts w:ascii="Arial" w:cs="Arial" w:eastAsia="Arial" w:hAnsi="Arial"/>
          <w:sz w:val="16"/>
          <w:szCs w:val="16"/>
          <w:u w:val="single" w:color="auto"/>
          <w:color w:val="auto"/>
        </w:rPr>
        <w:t>Section 10.02(b)</w:t>
      </w:r>
      <w:r>
        <w:rPr>
          <w:rFonts w:ascii="Arial" w:cs="Arial" w:eastAsia="Arial" w:hAnsi="Arial"/>
          <w:sz w:val="16"/>
          <w:szCs w:val="16"/>
          <w:color w:val="auto"/>
        </w:rPr>
        <w:t xml:space="preserve">, the consent of the Required Lenders is obtained but the consent of one or more of such other Lenders whose consent is required is not obtained, then Borrower shall have the right to replace all, but not less than all, of such non-consenting Lender or Lenders (so long as all non-consenting Lenders are so replaced) with one or more persons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so long as at the time of such replacement each such new Lender consents to the proposed change, waiver, discharge or termination. Each Lender agrees that, if Borrower elects to replace such Lender in accordance with this Section, it shall promptly execute and deliver to the Administrative Agent an Assignment and Assumption to evidence such sale and purchase and shall deliver to the Administrative Agent any Note (if Notes have been issued in respect of such Lender’s Loans) subject to such Assignment and Assumption;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of any such non-consenting Lender to execute an Assignment and Assumption shall not render such sale and purchase (and the corresponding assignment) invalid and such assignment shall be recorded in the Register.</w:t>
      </w:r>
    </w:p>
    <w:p>
      <w:pPr>
        <w:spacing w:after="0" w:line="21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color w:val="auto"/>
        </w:rPr>
        <w:t>Section 10.03</w:t>
      </w:r>
      <w:r>
        <w:rPr>
          <w:sz w:val="20"/>
          <w:szCs w:val="20"/>
          <w:color w:val="auto"/>
        </w:rPr>
        <w:tab/>
      </w:r>
      <w:r>
        <w:rPr>
          <w:rFonts w:ascii="Arial" w:cs="Arial" w:eastAsia="Arial" w:hAnsi="Arial"/>
          <w:sz w:val="16"/>
          <w:szCs w:val="16"/>
          <w:b w:val="1"/>
          <w:bCs w:val="1"/>
          <w:u w:val="single" w:color="auto"/>
          <w:color w:val="auto"/>
        </w:rPr>
        <w:t>Expenses; Indemnity; Damage Waiver</w:t>
      </w:r>
    </w:p>
    <w:p>
      <w:pPr>
        <w:sectPr>
          <w:pgSz w:w="11900" w:h="16838" w:orient="portrait"/>
          <w:cols w:equalWidth="0" w:num="1">
            <w:col w:w="11420"/>
          </w:cols>
          <w:pgMar w:left="240" w:top="152" w:right="239" w:bottom="0" w:gutter="0" w:footer="0" w:header="0"/>
        </w:sectPr>
      </w:pPr>
    </w:p>
    <w:bookmarkStart w:id="130" w:name="page131"/>
    <w:bookmarkEnd w:id="130"/>
    <w:p>
      <w:pPr>
        <w:ind w:left="-8" w:right="60" w:firstLine="1953"/>
        <w:spacing w:after="0" w:line="283" w:lineRule="auto"/>
        <w:tabs>
          <w:tab w:leader="none" w:pos="2569"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Borrower shall pay (i) all reasonable out of pocket expenses incurred by the Arranger, the Administrative Agent (and any sub-agent thereof), the Collateral Agent and their respective Affiliates (including the reasonable fees, charges and disbursements of counsel for the Administrative Agent and/or the Collateral Agent) in connection with the syndication of the credit facilities provided for herein (including the obtaining and maintaining of CUSIP numbers for the Loans), the preparation, negotiation, execution, delivery and administration of this Agreement and the other Loan Documents or any amendment, amendment and restatement, modification or waiver of the provisions hereof or thereof (whether or not the transactions contemplated hereby or thereby shall be consummated), including in connection with post-closing searches to confirm that security filings and recordations have been properly made, (ii) all reasonable out of pocket expenses incurred by the Issuing Bank in connection with the issuance, amendment, renewal or extension of any Letter of Credit or any demand for payment thereunder, (iii) all out of pocket expenses incurred by the Arranger, the Administrative Agent, the Collateral Agent, any Lender or the Issuing Bank (including the fees, charges and disbursements of any counsel for the Arranger, the Administrative Agent, the Collateral Agent, any Lender or the Issuing Bank), in connection with the enforcement or protection of its rights</w:t>
      </w:r>
    </w:p>
    <w:p>
      <w:pPr>
        <w:spacing w:after="0" w:line="5" w:lineRule="exact"/>
        <w:rPr>
          <w:rFonts w:ascii="Arial" w:cs="Arial" w:eastAsia="Arial" w:hAnsi="Arial"/>
          <w:sz w:val="16"/>
          <w:szCs w:val="16"/>
          <w:color w:val="auto"/>
        </w:rPr>
      </w:pPr>
    </w:p>
    <w:p>
      <w:pPr>
        <w:ind w:left="-8" w:right="40" w:firstLine="8"/>
        <w:spacing w:after="0" w:line="277" w:lineRule="auto"/>
        <w:tabs>
          <w:tab w:leader="none" w:pos="287" w:val="left"/>
        </w:tabs>
        <w:numPr>
          <w:ilvl w:val="0"/>
          <w:numId w:val="291"/>
        </w:numPr>
        <w:rPr>
          <w:rFonts w:ascii="Arial" w:cs="Arial" w:eastAsia="Arial" w:hAnsi="Arial"/>
          <w:sz w:val="17"/>
          <w:szCs w:val="17"/>
          <w:color w:val="auto"/>
        </w:rPr>
      </w:pPr>
      <w:r>
        <w:rPr>
          <w:rFonts w:ascii="Arial" w:cs="Arial" w:eastAsia="Arial" w:hAnsi="Arial"/>
          <w:sz w:val="17"/>
          <w:szCs w:val="17"/>
          <w:color w:val="auto"/>
        </w:rPr>
        <w:t xml:space="preserve">in connection with this Agreement and the other Loan Documents, including its rights under this </w:t>
      </w:r>
      <w:r>
        <w:rPr>
          <w:rFonts w:ascii="Arial" w:cs="Arial" w:eastAsia="Arial" w:hAnsi="Arial"/>
          <w:sz w:val="17"/>
          <w:szCs w:val="17"/>
          <w:u w:val="single" w:color="auto"/>
          <w:color w:val="auto"/>
        </w:rPr>
        <w:t>Section 10.03</w:t>
      </w:r>
      <w:r>
        <w:rPr>
          <w:rFonts w:ascii="Arial" w:cs="Arial" w:eastAsia="Arial" w:hAnsi="Arial"/>
          <w:sz w:val="17"/>
          <w:szCs w:val="17"/>
          <w:color w:val="auto"/>
        </w:rPr>
        <w:t>, or (B) in connection with the Loans made or Letters of Credit issued hereunder, including all such out of pocket expenses incurred during any workout, restructuring or negotiations in respect of such Loans or Letters of Credit and (iv) all documentary and similar taxes and charges in respect of the Loan Documents.</w:t>
      </w: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left="-8" w:firstLine="1953"/>
        <w:spacing w:after="0" w:line="285" w:lineRule="auto"/>
        <w:tabs>
          <w:tab w:leader="none" w:pos="2579" w:val="left"/>
        </w:tabs>
        <w:numPr>
          <w:ilvl w:val="1"/>
          <w:numId w:val="291"/>
        </w:numPr>
        <w:rPr>
          <w:rFonts w:ascii="Arial" w:cs="Arial" w:eastAsia="Arial" w:hAnsi="Arial"/>
          <w:sz w:val="16"/>
          <w:szCs w:val="16"/>
          <w:color w:val="auto"/>
        </w:rPr>
      </w:pPr>
      <w:r>
        <w:rPr>
          <w:rFonts w:ascii="Arial" w:cs="Arial" w:eastAsia="Arial" w:hAnsi="Arial"/>
          <w:sz w:val="16"/>
          <w:szCs w:val="16"/>
          <w:u w:val="single" w:color="auto"/>
          <w:color w:val="auto"/>
        </w:rPr>
        <w:t>Indemnification by Borrower</w:t>
      </w:r>
      <w:r>
        <w:rPr>
          <w:rFonts w:ascii="Arial" w:cs="Arial" w:eastAsia="Arial" w:hAnsi="Arial"/>
          <w:sz w:val="16"/>
          <w:szCs w:val="16"/>
          <w:color w:val="auto"/>
        </w:rPr>
        <w:t>. Borrower shall indemnify the Arranger, the Administrative Agent (and any sub-agent thereof), the Collateral Agent (and any sub-agent thereof) each Lender and the Issuing Bank, and each Related Party of any of the foregoing persons (each such person being called an “</w:t>
      </w:r>
      <w:r>
        <w:rPr>
          <w:rFonts w:ascii="Arial" w:cs="Arial" w:eastAsia="Arial" w:hAnsi="Arial"/>
          <w:sz w:val="16"/>
          <w:szCs w:val="16"/>
          <w:b w:val="1"/>
          <w:bCs w:val="1"/>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Borrower or any other Loan Party arising out of, in connection with, or as a result of (i) the execution or delivery of this Agreement, any other Loan Document, or any amendment, amendment and restatement, modification or waiver of the provisions hereof or thereof,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or threatened Release of Hazardous Materials on, at, under or from any property owned, leased or operated by any Company at any time, or any Environmental Claim related in any way to any Company, or (iv) any actual or prospective claim, litigation, investigation or proceeding relating to any of the foregoing, whether based on contract, tort or any other theory, whether brought by a third party or by Borrower or any other Loan Party, and regardless of whether any Indemnitee is a party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primarily from the gross negligence or willful misconduct of such Indemnitee or solely from the material breach of a Loan Document by such Indemnitee or (y) result from a claim brought by Borrower or any other Loan Party against an Indemnitee for breach in bad faith of such Indemnitee’s obligations hereunder or under any other Loan Document, if Borrower or such Loan Party has obtained a final and nonappealable judgment in its favor on such claim as determined by a court of competent jurisdiction.</w:t>
      </w:r>
    </w:p>
    <w:p>
      <w:pPr>
        <w:spacing w:after="0" w:line="200" w:lineRule="exact"/>
        <w:rPr>
          <w:rFonts w:ascii="Arial" w:cs="Arial" w:eastAsia="Arial" w:hAnsi="Arial"/>
          <w:sz w:val="16"/>
          <w:szCs w:val="16"/>
          <w:color w:val="auto"/>
        </w:rPr>
      </w:pPr>
    </w:p>
    <w:p>
      <w:pPr>
        <w:spacing w:after="0" w:line="270" w:lineRule="exact"/>
        <w:rPr>
          <w:rFonts w:ascii="Arial" w:cs="Arial" w:eastAsia="Arial" w:hAnsi="Arial"/>
          <w:sz w:val="16"/>
          <w:szCs w:val="16"/>
          <w:color w:val="auto"/>
        </w:rPr>
      </w:pPr>
    </w:p>
    <w:p>
      <w:pPr>
        <w:ind w:left="-8" w:firstLine="1953"/>
        <w:spacing w:after="0" w:line="269" w:lineRule="auto"/>
        <w:tabs>
          <w:tab w:leader="none" w:pos="2569" w:val="left"/>
        </w:tabs>
        <w:numPr>
          <w:ilvl w:val="1"/>
          <w:numId w:val="291"/>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Borrower for any reason fails to indefeasibly pay any amount required under paragraph (a) or (b) of this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to be paid by it to the Arranger, the Administrative Agent (or any sub-agent thereof), the Collateral Agent, the Issuing Bank, the Swingline Lender or any Related Party of any of the foregoing (and without limiting Borrower’s obligation to do so), each Lender severally agrees to pay to the Arranger, the Administrative Agent (or any such sub-agent), the Collateral Agent (or any sub-agent thereof), the Issuing Bank, the Swingline Lender or such Related Party, as the case may be, such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(determined as of the time that the applicable unreimbursed expense or indemnity payment is sought) of such unpaid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Arranger, the Administrative Agent (or any such sub-agent), the Collateral Agent (or any sub-agent thereof), the Swingline Lender or the Issuing Bank in its capacity as such, or against any Related Party of any of the foregoing acting for the Arranger, the Administrative Agent (or any such sub-agent), the Collateral Agent (or any sub-agent thereof), the Swingline Lender or Issuing Bank in connection with such capacity. The obligations of the Lenders under this paragraph (c) are subject to the provisions of </w:t>
      </w:r>
      <w:r>
        <w:rPr>
          <w:rFonts w:ascii="Arial" w:cs="Arial" w:eastAsia="Arial" w:hAnsi="Arial"/>
          <w:sz w:val="17"/>
          <w:szCs w:val="17"/>
          <w:u w:val="single" w:color="auto"/>
          <w:color w:val="auto"/>
        </w:rPr>
        <w:t>Section 2.14</w:t>
      </w:r>
      <w:r>
        <w:rPr>
          <w:rFonts w:ascii="Arial" w:cs="Arial" w:eastAsia="Arial" w:hAnsi="Arial"/>
          <w:sz w:val="17"/>
          <w:szCs w:val="17"/>
          <w:color w:val="auto"/>
        </w:rPr>
        <w:t>. For purposes hereof, a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shall be determined based upon its share of the sum of the total Revolving Exposure, outstanding Term Loans and unused Commitments at the time.</w:t>
      </w:r>
    </w:p>
    <w:p>
      <w:pPr>
        <w:spacing w:after="0" w:line="200" w:lineRule="exact"/>
        <w:rPr>
          <w:rFonts w:ascii="Arial" w:cs="Arial" w:eastAsia="Arial" w:hAnsi="Arial"/>
          <w:sz w:val="17"/>
          <w:szCs w:val="17"/>
          <w:color w:val="auto"/>
        </w:rPr>
      </w:pPr>
    </w:p>
    <w:p>
      <w:pPr>
        <w:spacing w:after="0" w:line="277" w:lineRule="exact"/>
        <w:rPr>
          <w:rFonts w:ascii="Arial" w:cs="Arial" w:eastAsia="Arial" w:hAnsi="Arial"/>
          <w:sz w:val="17"/>
          <w:szCs w:val="17"/>
          <w:color w:val="auto"/>
        </w:rPr>
      </w:pPr>
    </w:p>
    <w:p>
      <w:pPr>
        <w:ind w:left="-8" w:right="60" w:firstLine="1953"/>
        <w:spacing w:after="0" w:line="272" w:lineRule="auto"/>
        <w:tabs>
          <w:tab w:leader="none" w:pos="2579" w:val="left"/>
        </w:tabs>
        <w:numPr>
          <w:ilvl w:val="1"/>
          <w:numId w:val="291"/>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To the fullest extent permitted by applicable Requirements of Law, no Loan Party shall assert, and each Loan Party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00" w:lineRule="exact"/>
        <w:rPr>
          <w:rFonts w:ascii="Arial" w:cs="Arial" w:eastAsia="Arial" w:hAnsi="Arial"/>
          <w:sz w:val="17"/>
          <w:szCs w:val="17"/>
          <w:color w:val="auto"/>
        </w:rPr>
      </w:pPr>
    </w:p>
    <w:p>
      <w:pPr>
        <w:spacing w:after="0" w:line="275" w:lineRule="exact"/>
        <w:rPr>
          <w:rFonts w:ascii="Arial" w:cs="Arial" w:eastAsia="Arial" w:hAnsi="Arial"/>
          <w:sz w:val="17"/>
          <w:szCs w:val="17"/>
          <w:color w:val="auto"/>
        </w:rPr>
      </w:pPr>
    </w:p>
    <w:p>
      <w:pPr>
        <w:ind w:left="2572" w:hanging="627"/>
        <w:spacing w:after="0"/>
        <w:tabs>
          <w:tab w:leader="none" w:pos="2572" w:val="left"/>
        </w:tabs>
        <w:numPr>
          <w:ilvl w:val="1"/>
          <w:numId w:val="291"/>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shall be payable not later than 3 Business Days after demand therefor.</w:t>
      </w:r>
    </w:p>
    <w:p>
      <w:pPr>
        <w:spacing w:after="0" w:line="287" w:lineRule="exact"/>
        <w:rPr>
          <w:sz w:val="20"/>
          <w:szCs w:val="20"/>
          <w:color w:val="auto"/>
        </w:rPr>
      </w:pPr>
    </w:p>
    <w:p>
      <w:pPr>
        <w:ind w:left="1292"/>
        <w:spacing w:after="0"/>
        <w:tabs>
          <w:tab w:leader="none" w:pos="2712" w:val="left"/>
        </w:tabs>
        <w:rPr>
          <w:sz w:val="20"/>
          <w:szCs w:val="20"/>
          <w:color w:val="auto"/>
        </w:rPr>
      </w:pPr>
      <w:r>
        <w:rPr>
          <w:rFonts w:ascii="Arial" w:cs="Arial" w:eastAsia="Arial" w:hAnsi="Arial"/>
          <w:sz w:val="18"/>
          <w:szCs w:val="18"/>
          <w:b w:val="1"/>
          <w:bCs w:val="1"/>
          <w:color w:val="auto"/>
        </w:rPr>
        <w:t>Section 10.04</w:t>
      </w:r>
      <w:r>
        <w:rPr>
          <w:sz w:val="20"/>
          <w:szCs w:val="20"/>
          <w:color w:val="auto"/>
        </w:rPr>
        <w:tab/>
      </w:r>
      <w:r>
        <w:rPr>
          <w:rFonts w:ascii="Arial" w:cs="Arial" w:eastAsia="Arial" w:hAnsi="Arial"/>
          <w:sz w:val="15"/>
          <w:szCs w:val="15"/>
          <w:b w:val="1"/>
          <w:bCs w:val="1"/>
          <w:u w:val="single" w:color="auto"/>
          <w:color w:val="auto"/>
        </w:rPr>
        <w:t>Successors and Assigns</w:t>
      </w:r>
    </w:p>
    <w:p>
      <w:pPr>
        <w:spacing w:after="0" w:line="283" w:lineRule="exact"/>
        <w:rPr>
          <w:sz w:val="20"/>
          <w:szCs w:val="20"/>
          <w:color w:val="auto"/>
        </w:rPr>
      </w:pPr>
    </w:p>
    <w:p>
      <w:pPr>
        <w:ind w:left="-8" w:firstLine="1953"/>
        <w:spacing w:after="0" w:line="289" w:lineRule="auto"/>
        <w:tabs>
          <w:tab w:leader="none" w:pos="2569"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Borrower may not assign or otherwise transfer any of its rights or obligations hereunder without the prior written consent of the Administrative Agent, the Collateral Agent, the Issuing Lender, the Swingline Lender and each Lender and no Lender may assign or otherwise transfer any of its rights or obligations hereunder except (i) to an Eligible Assignee in accordance with the provisions of paragraph (b) of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(ii) by way of participation in accordance with the provisions of paragraph (d) of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or (iii) by way of pledge or assignment of a security interest subject to the restrictions of paragraph (f) of this Section (and any other attempted assignment or transfer by Borrower or any Lender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other Indemnitees) any legal or equitable right, remedy or claim under or by reason of this Agreement.</w:t>
      </w:r>
    </w:p>
    <w:p>
      <w:pPr>
        <w:sectPr>
          <w:pgSz w:w="11900" w:h="16838" w:orient="portrait"/>
          <w:cols w:equalWidth="0" w:num="1">
            <w:col w:w="11412"/>
          </w:cols>
          <w:pgMar w:left="248" w:top="152" w:right="239" w:bottom="298" w:gutter="0" w:footer="0" w:header="0"/>
        </w:sectPr>
      </w:pPr>
    </w:p>
    <w:bookmarkStart w:id="131" w:name="page132"/>
    <w:bookmarkEnd w:id="131"/>
    <w:p>
      <w:pPr>
        <w:ind w:right="360" w:firstLine="1953"/>
        <w:spacing w:after="0" w:line="308" w:lineRule="auto"/>
        <w:tabs>
          <w:tab w:leader="none" w:pos="2587"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Assignments by Lenders</w:t>
      </w:r>
      <w:r>
        <w:rPr>
          <w:rFonts w:ascii="Arial" w:cs="Arial" w:eastAsia="Arial" w:hAnsi="Arial"/>
          <w:sz w:val="17"/>
          <w:szCs w:val="17"/>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ind w:left="660" w:firstLine="2913"/>
        <w:spacing w:after="0" w:line="287" w:lineRule="auto"/>
        <w:tabs>
          <w:tab w:leader="none" w:pos="4179" w:val="left"/>
        </w:tabs>
        <w:numPr>
          <w:ilvl w:val="1"/>
          <w:numId w:val="293"/>
        </w:numPr>
        <w:rPr>
          <w:rFonts w:ascii="Arial" w:cs="Arial" w:eastAsia="Arial" w:hAnsi="Arial"/>
          <w:sz w:val="16"/>
          <w:szCs w:val="16"/>
          <w:color w:val="auto"/>
        </w:rPr>
      </w:pPr>
      <w:r>
        <w:rPr>
          <w:rFonts w:ascii="Arial" w:cs="Arial" w:eastAsia="Arial" w:hAnsi="Arial"/>
          <w:sz w:val="16"/>
          <w:szCs w:val="16"/>
          <w:color w:val="auto"/>
        </w:rPr>
        <w:t>except in the case of any assignment made in connection with the primary syndication of the Commitment and Loans by the Arranger or an assignment of the entire remaining amount of the assigning Lender’s Commitment and the Loans at the time owing to it or in the case of an assignment to a Lender or an Affiliate of a Lender or an Approved Fund with respect to a Lender,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 million (for such purposes, using the Alternate Currency Equivalent of such amount for any such Alternate Currency Loans), in the case of any assignment in respect of Revolving Loans and/or Revolving Commitments, or $1.0 million (for such purposes, using the Alternate Currency Equivalent of such amount for any such Alternate Currency Loans), in the case of any assignment in respect of Term Loans and/or Term Loan Commitments, unless each of the Administrative Agent and, so long as no Default has occurred and is continuing, Borrower otherwise consent (each such consent not to be unreasonably withheld or delayed);</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660" w:right="140" w:firstLine="2913"/>
        <w:spacing w:after="0" w:line="312" w:lineRule="auto"/>
        <w:tabs>
          <w:tab w:leader="none" w:pos="4229" w:val="left"/>
        </w:tabs>
        <w:numPr>
          <w:ilvl w:val="1"/>
          <w:numId w:val="293"/>
        </w:numPr>
        <w:rPr>
          <w:rFonts w:ascii="Arial" w:cs="Arial" w:eastAsia="Arial" w:hAnsi="Arial"/>
          <w:sz w:val="16"/>
          <w:szCs w:val="16"/>
          <w:color w:val="auto"/>
        </w:rPr>
      </w:pPr>
      <w:r>
        <w:rPr>
          <w:rFonts w:ascii="Arial" w:cs="Arial" w:eastAsia="Arial" w:hAnsi="Arial"/>
          <w:sz w:val="16"/>
          <w:szCs w:val="16"/>
          <w:color w:val="auto"/>
        </w:rPr>
        <w:t>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tranches on a non-</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and</w:t>
      </w: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ind w:left="660" w:right="80" w:firstLine="2913"/>
        <w:spacing w:after="0" w:line="257" w:lineRule="auto"/>
        <w:tabs>
          <w:tab w:leader="none" w:pos="4279"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(except in the case of any such assignments by the Arranger or its Affiliates) a processing and recordation fee of $3,500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only one such fee shall be imposed in the case of simultaneous assignments by related Approved Funds or Affiliates of the assigning Lender), and the Eligible Assignee, if it shall not be a Lender, shall deliver to the Administrative Agent an Administrative Questionnaire.</w:t>
      </w:r>
    </w:p>
    <w:p>
      <w:pPr>
        <w:spacing w:after="0" w:line="200" w:lineRule="exact"/>
        <w:rPr>
          <w:sz w:val="20"/>
          <w:szCs w:val="20"/>
          <w:color w:val="auto"/>
        </w:rPr>
      </w:pPr>
    </w:p>
    <w:p>
      <w:pPr>
        <w:spacing w:after="0" w:line="2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paragraph (c) of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10.03</w:t>
      </w:r>
      <w:r>
        <w:rPr>
          <w:rFonts w:ascii="Arial" w:cs="Arial" w:eastAsia="Arial" w:hAnsi="Arial"/>
          <w:sz w:val="18"/>
          <w:szCs w:val="18"/>
          <w:color w:val="auto"/>
        </w:rPr>
        <w:t xml:space="preserve">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w:t>
      </w:r>
      <w:r>
        <w:rPr>
          <w:rFonts w:ascii="Arial" w:cs="Arial" w:eastAsia="Arial" w:hAnsi="Arial"/>
          <w:sz w:val="18"/>
          <w:szCs w:val="18"/>
          <w:u w:val="single" w:color="auto"/>
          <w:color w:val="auto"/>
        </w:rPr>
        <w:t>Section 10.04</w:t>
      </w:r>
      <w:r>
        <w:rPr>
          <w:rFonts w:ascii="Arial" w:cs="Arial" w:eastAsia="Arial" w:hAnsi="Arial"/>
          <w:sz w:val="18"/>
          <w:szCs w:val="18"/>
          <w:color w:val="auto"/>
        </w:rPr>
        <w:t>.</w:t>
      </w:r>
    </w:p>
    <w:p>
      <w:pPr>
        <w:spacing w:after="0" w:line="200" w:lineRule="exact"/>
        <w:rPr>
          <w:sz w:val="20"/>
          <w:szCs w:val="20"/>
          <w:color w:val="auto"/>
        </w:rPr>
      </w:pPr>
    </w:p>
    <w:p>
      <w:pPr>
        <w:spacing w:after="0" w:line="294" w:lineRule="exact"/>
        <w:rPr>
          <w:sz w:val="20"/>
          <w:szCs w:val="20"/>
          <w:color w:val="auto"/>
        </w:rPr>
      </w:pPr>
    </w:p>
    <w:p>
      <w:pPr>
        <w:ind w:right="40" w:firstLine="1953"/>
        <w:spacing w:after="0" w:line="291" w:lineRule="auto"/>
        <w:tabs>
          <w:tab w:leader="none" w:pos="2577" w:val="left"/>
        </w:tabs>
        <w:numPr>
          <w:ilvl w:val="0"/>
          <w:numId w:val="294"/>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Borrower, shall maintain at one of its offices in Syndication Operations, Denver Colorado a copy of each Assignment and Assumption delivered to it and a register for the recordation of the names and addresses of the Lenders, and the Commitments of, and principal amounts of the Loans and LC Disbursements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and Borrower, the Administrative Agent, the Issuing Bank and the Lenders may treat each person whose name is recorded in the Register pursuant to the terms hereof as a Lender hereunder for all purposes of this Agreement, notwithstanding notice to the contrary. The Register shall be available for inspection by Borrower, the Issuing Bank, the Collateral Agent, the Swingline Lender and any Lender (with respect to its own interest only), at any reasonable time and from time to time upon reasonable prior notice.</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right="40" w:firstLine="1953"/>
        <w:spacing w:after="0" w:line="293" w:lineRule="auto"/>
        <w:tabs>
          <w:tab w:leader="none" w:pos="2587" w:val="left"/>
        </w:tabs>
        <w:numPr>
          <w:ilvl w:val="0"/>
          <w:numId w:val="294"/>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Borrower, the Administrative Agent, the Issuing Bank or the Swingline Lender sell participations to any person (other than a natural person or Borrower or any of Borrower’s Affiliates or Subsidiaries) (each, a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Borrower, the Administrative Agent and the Lenders and Issuing Bank shall continue to deal solely and directly with such Lender in connection with such Lender’s rights and obligations under this Agreement.</w:t>
      </w:r>
    </w:p>
    <w:p>
      <w:pPr>
        <w:spacing w:after="0" w:line="200" w:lineRule="exact"/>
        <w:rPr>
          <w:sz w:val="20"/>
          <w:szCs w:val="20"/>
          <w:color w:val="auto"/>
        </w:rPr>
      </w:pPr>
    </w:p>
    <w:p>
      <w:pPr>
        <w:spacing w:after="0" w:line="235" w:lineRule="exact"/>
        <w:rPr>
          <w:sz w:val="20"/>
          <w:szCs w:val="20"/>
          <w:color w:val="auto"/>
        </w:rPr>
      </w:pPr>
    </w:p>
    <w:p>
      <w:pPr>
        <w:ind w:right="120" w:firstLine="1297"/>
        <w:spacing w:after="0" w:line="254"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clause (i), (ii) or (iii) of the first proviso to </w:t>
      </w:r>
      <w:r>
        <w:rPr>
          <w:rFonts w:ascii="Arial" w:cs="Arial" w:eastAsia="Arial" w:hAnsi="Arial"/>
          <w:sz w:val="18"/>
          <w:szCs w:val="18"/>
          <w:u w:val="single" w:color="auto"/>
          <w:color w:val="auto"/>
        </w:rPr>
        <w:t>Section 10.02(b)</w:t>
      </w:r>
      <w:r>
        <w:rPr>
          <w:rFonts w:ascii="Arial" w:cs="Arial" w:eastAsia="Arial" w:hAnsi="Arial"/>
          <w:sz w:val="18"/>
          <w:szCs w:val="18"/>
          <w:color w:val="auto"/>
        </w:rPr>
        <w:t xml:space="preserve"> that affects such Participant. Subject to paragraph (e) of this Section, Borrower agrees that each Participant shall be entitled to the benefits of Sections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(subject to the requirements of those Sections)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as though it were a Lender, provided such Participant agrees to be subject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as though it were a Lender.</w:t>
      </w:r>
    </w:p>
    <w:p>
      <w:pPr>
        <w:spacing w:after="0" w:line="200" w:lineRule="exact"/>
        <w:rPr>
          <w:sz w:val="20"/>
          <w:szCs w:val="20"/>
          <w:color w:val="auto"/>
        </w:rPr>
      </w:pPr>
    </w:p>
    <w:p>
      <w:pPr>
        <w:spacing w:after="0" w:line="289" w:lineRule="exact"/>
        <w:rPr>
          <w:sz w:val="20"/>
          <w:szCs w:val="20"/>
          <w:color w:val="auto"/>
        </w:rPr>
      </w:pPr>
    </w:p>
    <w:p>
      <w:pPr>
        <w:ind w:right="120" w:firstLine="1953"/>
        <w:spacing w:after="0" w:line="264" w:lineRule="auto"/>
        <w:tabs>
          <w:tab w:leader="none" w:pos="2577"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Limitations 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Borrower’s prior written consent.</w:t>
      </w:r>
    </w:p>
    <w:p>
      <w:pPr>
        <w:sectPr>
          <w:pgSz w:w="11900" w:h="16838" w:orient="portrait"/>
          <w:cols w:equalWidth="0" w:num="1">
            <w:col w:w="11420"/>
          </w:cols>
          <w:pgMar w:left="240" w:top="152" w:right="239" w:bottom="366" w:gutter="0" w:footer="0" w:header="0"/>
        </w:sectPr>
      </w:pPr>
    </w:p>
    <w:bookmarkStart w:id="132" w:name="page133"/>
    <w:bookmarkEnd w:id="132"/>
    <w:p>
      <w:pPr>
        <w:ind w:left="-8" w:right="20" w:firstLine="1953"/>
        <w:spacing w:after="0" w:line="272" w:lineRule="auto"/>
        <w:tabs>
          <w:tab w:leader="none" w:pos="2549"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Certain Pledges</w:t>
      </w:r>
      <w:r>
        <w:rPr>
          <w:rFonts w:ascii="Arial" w:cs="Arial" w:eastAsia="Arial" w:hAnsi="Arial"/>
          <w:sz w:val="17"/>
          <w:szCs w:val="17"/>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pledge or assignment shall release such Lender from any of its obligations hereunder or substitute any such pledgee or assignee for such Lender as a party hereto. In the case of any Lender that is a fund that invests in bank loans, such Lender may, without the consent of Borrower or the Administrative Agent, collaterally assign or pledge all or any portion of its rights under this Agreement, including the Loans and Notes or any other instrument evidencing its rights as a Lender under this Agreement, to any holder of, trustee for, or any other representative of holders of, obligations owed or securities issued, by such fund, as security for such obligations or securities.</w:t>
      </w:r>
    </w:p>
    <w:p>
      <w:pPr>
        <w:spacing w:after="0" w:line="200" w:lineRule="exact"/>
        <w:rPr>
          <w:rFonts w:ascii="Arial" w:cs="Arial" w:eastAsia="Arial" w:hAnsi="Arial"/>
          <w:sz w:val="17"/>
          <w:szCs w:val="17"/>
          <w:color w:val="auto"/>
        </w:rPr>
      </w:pPr>
    </w:p>
    <w:p>
      <w:pPr>
        <w:spacing w:after="0" w:line="275" w:lineRule="exact"/>
        <w:rPr>
          <w:rFonts w:ascii="Arial" w:cs="Arial" w:eastAsia="Arial" w:hAnsi="Arial"/>
          <w:sz w:val="17"/>
          <w:szCs w:val="17"/>
          <w:color w:val="auto"/>
        </w:rPr>
      </w:pPr>
    </w:p>
    <w:p>
      <w:pPr>
        <w:ind w:left="-8" w:right="80" w:firstLine="1953"/>
        <w:spacing w:after="0" w:line="276" w:lineRule="auto"/>
        <w:tabs>
          <w:tab w:leader="none" w:pos="2579"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Electronic Execution of Assignments</w:t>
      </w:r>
      <w:r>
        <w:rPr>
          <w:rFonts w:ascii="Arial" w:cs="Arial" w:eastAsia="Arial" w:hAnsi="Arial"/>
          <w:sz w:val="17"/>
          <w:szCs w:val="17"/>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Requirement of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rFonts w:ascii="Arial" w:cs="Arial" w:eastAsia="Arial" w:hAnsi="Arial"/>
          <w:sz w:val="17"/>
          <w:szCs w:val="17"/>
          <w:color w:val="auto"/>
        </w:rPr>
      </w:pPr>
    </w:p>
    <w:p>
      <w:pPr>
        <w:spacing w:after="0" w:line="269" w:lineRule="exact"/>
        <w:rPr>
          <w:rFonts w:ascii="Arial" w:cs="Arial" w:eastAsia="Arial" w:hAnsi="Arial"/>
          <w:sz w:val="17"/>
          <w:szCs w:val="17"/>
          <w:color w:val="auto"/>
        </w:rPr>
      </w:pPr>
    </w:p>
    <w:p>
      <w:pPr>
        <w:ind w:left="-8" w:right="120" w:firstLine="1953"/>
        <w:spacing w:after="0" w:line="255" w:lineRule="auto"/>
        <w:tabs>
          <w:tab w:leader="none" w:pos="2579"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Representations of Lenders</w:t>
      </w:r>
      <w:r>
        <w:rPr>
          <w:rFonts w:ascii="Arial" w:cs="Arial" w:eastAsia="Arial" w:hAnsi="Arial"/>
          <w:sz w:val="18"/>
          <w:szCs w:val="18"/>
          <w:color w:val="auto"/>
        </w:rPr>
        <w:t xml:space="preserve">. Each Lender, upon execution and delivery hereof or upon succeeding to an interest in Commitments or Loans, as the case may be, represents and warrants as of the Closing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and without a view to distribution of such Commitments and Loans within the meaning of the Securities Act or the Exchange Act, or other federal securities laws (it being understood that, subject to the provisions of this </w:t>
      </w:r>
      <w:r>
        <w:rPr>
          <w:rFonts w:ascii="Arial" w:cs="Arial" w:eastAsia="Arial" w:hAnsi="Arial"/>
          <w:sz w:val="18"/>
          <w:szCs w:val="18"/>
          <w:u w:val="single" w:color="auto"/>
          <w:color w:val="auto"/>
        </w:rPr>
        <w:t>Section 10.04</w:t>
      </w:r>
      <w:r>
        <w:rPr>
          <w:rFonts w:ascii="Arial" w:cs="Arial" w:eastAsia="Arial" w:hAnsi="Arial"/>
          <w:sz w:val="18"/>
          <w:szCs w:val="18"/>
          <w:color w:val="auto"/>
        </w:rPr>
        <w:t>, the disposition of such Commitments and Loans or any interests therein shall at all times remain within its exclusive control).</w:t>
      </w: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8" w:right="20" w:firstLine="1953"/>
        <w:spacing w:after="0" w:line="264" w:lineRule="auto"/>
        <w:tabs>
          <w:tab w:leader="none" w:pos="2539"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No Discharge, etc.</w:t>
      </w:r>
      <w:r>
        <w:rPr>
          <w:rFonts w:ascii="Arial" w:cs="Arial" w:eastAsia="Arial" w:hAnsi="Arial"/>
          <w:sz w:val="18"/>
          <w:szCs w:val="18"/>
          <w:color w:val="auto"/>
        </w:rPr>
        <w:t xml:space="preserve"> For greater certainty, and notwithstanding any of the foregoing, no assignment hereunder shall be or be deemed to be a discharge, rescission, extinguishment, novation, issue, repayment, advance, disposition or substitution of any Loan and any Loan so assumed shall continue to be the same obligation and not a new obligation.</w:t>
      </w:r>
    </w:p>
    <w:p>
      <w:pPr>
        <w:spacing w:after="0" w:line="231" w:lineRule="exact"/>
        <w:rPr>
          <w:sz w:val="20"/>
          <w:szCs w:val="20"/>
          <w:color w:val="auto"/>
        </w:rPr>
      </w:pPr>
    </w:p>
    <w:p>
      <w:pPr>
        <w:ind w:left="1292"/>
        <w:spacing w:after="0"/>
        <w:tabs>
          <w:tab w:leader="none" w:pos="2712" w:val="left"/>
        </w:tabs>
        <w:rPr>
          <w:sz w:val="20"/>
          <w:szCs w:val="20"/>
          <w:color w:val="auto"/>
        </w:rPr>
      </w:pPr>
      <w:r>
        <w:rPr>
          <w:rFonts w:ascii="Arial" w:cs="Arial" w:eastAsia="Arial" w:hAnsi="Arial"/>
          <w:sz w:val="18"/>
          <w:szCs w:val="18"/>
          <w:b w:val="1"/>
          <w:bCs w:val="1"/>
          <w:color w:val="auto"/>
        </w:rPr>
        <w:t>Section 10.05</w:t>
      </w:r>
      <w:r>
        <w:rPr>
          <w:sz w:val="20"/>
          <w:szCs w:val="20"/>
          <w:color w:val="auto"/>
        </w:rPr>
        <w:tab/>
      </w:r>
      <w:r>
        <w:rPr>
          <w:rFonts w:ascii="Arial" w:cs="Arial" w:eastAsia="Arial" w:hAnsi="Arial"/>
          <w:sz w:val="16"/>
          <w:szCs w:val="16"/>
          <w:b w:val="1"/>
          <w:bCs w:val="1"/>
          <w:u w:val="single" w:color="auto"/>
          <w:color w:val="auto"/>
        </w:rPr>
        <w:t>Survival of Agreement</w:t>
      </w:r>
    </w:p>
    <w:p>
      <w:pPr>
        <w:spacing w:after="0" w:line="256" w:lineRule="exact"/>
        <w:rPr>
          <w:sz w:val="20"/>
          <w:szCs w:val="20"/>
          <w:color w:val="auto"/>
        </w:rPr>
      </w:pPr>
    </w:p>
    <w:p>
      <w:pPr>
        <w:ind w:left="-8" w:right="160" w:firstLine="8"/>
        <w:spacing w:after="0" w:line="270" w:lineRule="auto"/>
        <w:tabs>
          <w:tab w:leader="none" w:pos="117"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Agents,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7"/>
          <w:szCs w:val="17"/>
          <w:u w:val="single" w:color="auto"/>
          <w:color w:val="auto"/>
        </w:rPr>
        <w:t>Sections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10.12</w:t>
      </w:r>
      <w:r>
        <w:rPr>
          <w:rFonts w:ascii="Arial" w:cs="Arial" w:eastAsia="Arial" w:hAnsi="Arial"/>
          <w:sz w:val="17"/>
          <w:szCs w:val="17"/>
          <w:color w:val="auto"/>
        </w:rPr>
        <w:t>) shall survive and remain in full force and effect regardless of the consummation of the transactions contemplated hereby, the repayment of the Loans, the payment of the Reimbursement Obligations, the expiration or termination of the Letters of Credit and the Commitments or the termination of this Agreement or any provision hereof.</w:t>
      </w:r>
    </w:p>
    <w:p>
      <w:pPr>
        <w:spacing w:after="0" w:line="228" w:lineRule="exact"/>
        <w:rPr>
          <w:sz w:val="20"/>
          <w:szCs w:val="20"/>
          <w:color w:val="auto"/>
        </w:rPr>
      </w:pPr>
    </w:p>
    <w:p>
      <w:pPr>
        <w:ind w:left="1292"/>
        <w:spacing w:after="0"/>
        <w:tabs>
          <w:tab w:leader="none" w:pos="2712" w:val="left"/>
        </w:tabs>
        <w:rPr>
          <w:sz w:val="20"/>
          <w:szCs w:val="20"/>
          <w:color w:val="auto"/>
        </w:rPr>
      </w:pPr>
      <w:r>
        <w:rPr>
          <w:rFonts w:ascii="Arial" w:cs="Arial" w:eastAsia="Arial" w:hAnsi="Arial"/>
          <w:sz w:val="18"/>
          <w:szCs w:val="18"/>
          <w:b w:val="1"/>
          <w:bCs w:val="1"/>
          <w:color w:val="auto"/>
        </w:rPr>
        <w:t>Section 10.06</w:t>
      </w:r>
      <w:r>
        <w:rPr>
          <w:sz w:val="20"/>
          <w:szCs w:val="20"/>
          <w:color w:val="auto"/>
        </w:rPr>
        <w:tab/>
      </w:r>
      <w:r>
        <w:rPr>
          <w:rFonts w:ascii="Arial" w:cs="Arial" w:eastAsia="Arial" w:hAnsi="Arial"/>
          <w:sz w:val="16"/>
          <w:szCs w:val="16"/>
          <w:b w:val="1"/>
          <w:bCs w:val="1"/>
          <w:u w:val="single" w:color="auto"/>
          <w:color w:val="auto"/>
        </w:rPr>
        <w:t>Counterparts; Integration; Effectiveness</w:t>
      </w:r>
    </w:p>
    <w:p>
      <w:pPr>
        <w:spacing w:after="0" w:line="256" w:lineRule="exact"/>
        <w:rPr>
          <w:sz w:val="20"/>
          <w:szCs w:val="20"/>
          <w:color w:val="auto"/>
        </w:rPr>
      </w:pPr>
    </w:p>
    <w:p>
      <w:pPr>
        <w:ind w:left="-8" w:right="40" w:firstLine="8"/>
        <w:spacing w:after="0" w:line="272" w:lineRule="auto"/>
        <w:tabs>
          <w:tab w:leader="none" w:pos="124" w:val="left"/>
        </w:tabs>
        <w:numPr>
          <w:ilvl w:val="0"/>
          <w:numId w:val="298"/>
        </w:numPr>
        <w:rPr>
          <w:rFonts w:ascii="Arial" w:cs="Arial" w:eastAsia="Arial" w:hAnsi="Arial"/>
          <w:sz w:val="17"/>
          <w:szCs w:val="17"/>
          <w:color w:val="auto"/>
        </w:rPr>
      </w:pPr>
      <w:r>
        <w:rPr>
          <w:rFonts w:ascii="Arial" w:cs="Arial" w:eastAsia="Arial" w:hAnsi="Arial"/>
          <w:sz w:val="17"/>
          <w:szCs w:val="17"/>
          <w:color w:val="auto"/>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telecopier shall be effective as delivery of a manually executed counterpart of this Agreement.</w:t>
      </w:r>
    </w:p>
    <w:p>
      <w:pPr>
        <w:spacing w:after="0" w:line="228" w:lineRule="exact"/>
        <w:rPr>
          <w:sz w:val="20"/>
          <w:szCs w:val="20"/>
          <w:color w:val="auto"/>
        </w:rPr>
      </w:pPr>
    </w:p>
    <w:p>
      <w:pPr>
        <w:ind w:left="1292"/>
        <w:spacing w:after="0"/>
        <w:tabs>
          <w:tab w:leader="none" w:pos="2712" w:val="left"/>
        </w:tabs>
        <w:rPr>
          <w:sz w:val="20"/>
          <w:szCs w:val="20"/>
          <w:color w:val="auto"/>
        </w:rPr>
      </w:pPr>
      <w:r>
        <w:rPr>
          <w:rFonts w:ascii="Arial" w:cs="Arial" w:eastAsia="Arial" w:hAnsi="Arial"/>
          <w:sz w:val="18"/>
          <w:szCs w:val="18"/>
          <w:b w:val="1"/>
          <w:bCs w:val="1"/>
          <w:color w:val="auto"/>
        </w:rPr>
        <w:t>Section 10.07</w:t>
      </w:r>
      <w:r>
        <w:rPr>
          <w:sz w:val="20"/>
          <w:szCs w:val="20"/>
          <w:color w:val="auto"/>
        </w:rPr>
        <w:tab/>
      </w:r>
      <w:r>
        <w:rPr>
          <w:rFonts w:ascii="Arial" w:cs="Arial" w:eastAsia="Arial" w:hAnsi="Arial"/>
          <w:sz w:val="16"/>
          <w:szCs w:val="16"/>
          <w:b w:val="1"/>
          <w:bCs w:val="1"/>
          <w:u w:val="single" w:color="auto"/>
          <w:color w:val="auto"/>
        </w:rPr>
        <w:t>Severability</w:t>
      </w:r>
    </w:p>
    <w:p>
      <w:pPr>
        <w:spacing w:after="0" w:line="256" w:lineRule="exact"/>
        <w:rPr>
          <w:sz w:val="20"/>
          <w:szCs w:val="20"/>
          <w:color w:val="auto"/>
        </w:rPr>
      </w:pPr>
    </w:p>
    <w:p>
      <w:pPr>
        <w:ind w:left="-8" w:right="20" w:firstLine="8"/>
        <w:spacing w:after="0" w:line="264" w:lineRule="auto"/>
        <w:tabs>
          <w:tab w:leader="none" w:pos="11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31" w:lineRule="exact"/>
        <w:rPr>
          <w:sz w:val="20"/>
          <w:szCs w:val="20"/>
          <w:color w:val="auto"/>
        </w:rPr>
      </w:pPr>
    </w:p>
    <w:p>
      <w:pPr>
        <w:ind w:left="1292"/>
        <w:spacing w:after="0"/>
        <w:tabs>
          <w:tab w:leader="none" w:pos="2712" w:val="left"/>
        </w:tabs>
        <w:rPr>
          <w:sz w:val="20"/>
          <w:szCs w:val="20"/>
          <w:color w:val="auto"/>
        </w:rPr>
      </w:pPr>
      <w:r>
        <w:rPr>
          <w:rFonts w:ascii="Arial" w:cs="Arial" w:eastAsia="Arial" w:hAnsi="Arial"/>
          <w:sz w:val="18"/>
          <w:szCs w:val="18"/>
          <w:b w:val="1"/>
          <w:bCs w:val="1"/>
          <w:color w:val="auto"/>
        </w:rPr>
        <w:t>Section 10.08</w:t>
      </w:r>
      <w:r>
        <w:rPr>
          <w:sz w:val="20"/>
          <w:szCs w:val="20"/>
          <w:color w:val="auto"/>
        </w:rPr>
        <w:tab/>
      </w:r>
      <w:r>
        <w:rPr>
          <w:rFonts w:ascii="Arial" w:cs="Arial" w:eastAsia="Arial" w:hAnsi="Arial"/>
          <w:sz w:val="16"/>
          <w:szCs w:val="16"/>
          <w:b w:val="1"/>
          <w:bCs w:val="1"/>
          <w:u w:val="single" w:color="auto"/>
          <w:color w:val="auto"/>
        </w:rPr>
        <w:t>Right of Setoff</w:t>
      </w:r>
    </w:p>
    <w:p>
      <w:pPr>
        <w:spacing w:after="0" w:line="256" w:lineRule="exact"/>
        <w:rPr>
          <w:sz w:val="20"/>
          <w:szCs w:val="20"/>
          <w:color w:val="auto"/>
        </w:rPr>
      </w:pPr>
    </w:p>
    <w:p>
      <w:pPr>
        <w:ind w:left="-8" w:firstLine="8"/>
        <w:spacing w:after="0" w:line="287" w:lineRule="auto"/>
        <w:tabs>
          <w:tab w:leader="none" w:pos="127"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If an Event of Default shall have occurred and be continuing, each Lender, the Issuing Bank, and each of their respective Affiliates is hereby authorized at any time and from time to time, to the fullest extent permitted by applicable Requirements of Law, to set off and apply any and all deposits (general or special, time or demand, provisional or final, in whatever currency) at any time held and other obligations (in whatever currency) at any time owing by such Lender, the Issuing Bank or any such Affiliate to or for the credit or the account of Borrower or any other Loan Party against any and all of the obligations of Borrower or such Loan Party now or hereafter existing under this Agreement or any other Loan Document to such Lender or the Issuing Bank, irrespective of whether or not such Lender or the Issuing Bank shall have made any demand under this Agreement or any other Loan Document and although such obligations of Borrower or such Loan Party may be contingent or unmatured or are owed to a branch or office of such Lender or the Issuing Bank different from the branch or office holding such deposit or obligated on such indebtedness. The rights of each Lender, the Issuing Bank and their respective Affiliates under this Section are in addition to other rights and remedies (including other rights of setoff) that such Lender, the Issuing Bank or their respective Affiliates may have. Each Lender and the Issuing Bank agrees to notify Borrower and the Administrative Agent promptly after any such setoff and application;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failure to give such notice shall not affect the validity of such setoff and application.</w:t>
      </w:r>
    </w:p>
    <w:p>
      <w:pPr>
        <w:spacing w:after="0" w:line="223" w:lineRule="exact"/>
        <w:rPr>
          <w:sz w:val="20"/>
          <w:szCs w:val="20"/>
          <w:color w:val="auto"/>
        </w:rPr>
      </w:pPr>
    </w:p>
    <w:p>
      <w:pPr>
        <w:ind w:left="1292"/>
        <w:spacing w:after="0"/>
        <w:tabs>
          <w:tab w:leader="none" w:pos="2712" w:val="left"/>
        </w:tabs>
        <w:rPr>
          <w:sz w:val="20"/>
          <w:szCs w:val="20"/>
          <w:color w:val="auto"/>
        </w:rPr>
      </w:pPr>
      <w:r>
        <w:rPr>
          <w:rFonts w:ascii="Arial" w:cs="Arial" w:eastAsia="Arial" w:hAnsi="Arial"/>
          <w:sz w:val="18"/>
          <w:szCs w:val="18"/>
          <w:b w:val="1"/>
          <w:bCs w:val="1"/>
          <w:color w:val="auto"/>
        </w:rPr>
        <w:t>Section 10.09</w:t>
      </w:r>
      <w:r>
        <w:rPr>
          <w:sz w:val="20"/>
          <w:szCs w:val="20"/>
          <w:color w:val="auto"/>
        </w:rPr>
        <w:tab/>
      </w:r>
      <w:r>
        <w:rPr>
          <w:rFonts w:ascii="Arial" w:cs="Arial" w:eastAsia="Arial" w:hAnsi="Arial"/>
          <w:sz w:val="16"/>
          <w:szCs w:val="16"/>
          <w:b w:val="1"/>
          <w:bCs w:val="1"/>
          <w:u w:val="single" w:color="auto"/>
          <w:color w:val="auto"/>
        </w:rPr>
        <w:t>Governing Law; Jurisdiction; Consent to Service of Process</w:t>
      </w:r>
    </w:p>
    <w:p>
      <w:pPr>
        <w:sectPr>
          <w:pgSz w:w="11900" w:h="16838" w:orient="portrait"/>
          <w:cols w:equalWidth="0" w:num="1">
            <w:col w:w="11412"/>
          </w:cols>
          <w:pgMar w:left="248" w:top="152" w:right="239" w:bottom="0" w:gutter="0" w:footer="0" w:header="0"/>
        </w:sectPr>
      </w:pPr>
    </w:p>
    <w:bookmarkStart w:id="133" w:name="page134"/>
    <w:bookmarkEnd w:id="133"/>
    <w:p>
      <w:pPr>
        <w:ind w:right="400" w:firstLine="1953"/>
        <w:spacing w:after="0" w:line="277" w:lineRule="auto"/>
        <w:tabs>
          <w:tab w:leader="none" w:pos="2577"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 of the State of New York, without regard to conflicts of law principles that would require the application of the laws of another jurisdiction.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right="140" w:firstLine="1953"/>
        <w:spacing w:after="0" w:line="270" w:lineRule="auto"/>
        <w:tabs>
          <w:tab w:leader="none" w:pos="2587"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Loan Party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200" w:lineRule="exact"/>
        <w:rPr>
          <w:rFonts w:ascii="Arial" w:cs="Arial" w:eastAsia="Arial" w:hAnsi="Arial"/>
          <w:sz w:val="17"/>
          <w:szCs w:val="17"/>
          <w:color w:val="auto"/>
        </w:rPr>
      </w:pPr>
    </w:p>
    <w:p>
      <w:pPr>
        <w:spacing w:after="0" w:line="278" w:lineRule="exact"/>
        <w:rPr>
          <w:rFonts w:ascii="Arial" w:cs="Arial" w:eastAsia="Arial" w:hAnsi="Arial"/>
          <w:sz w:val="17"/>
          <w:szCs w:val="17"/>
          <w:color w:val="auto"/>
        </w:rPr>
      </w:pPr>
    </w:p>
    <w:p>
      <w:pPr>
        <w:ind w:right="120" w:firstLine="1953"/>
        <w:spacing w:after="0" w:line="257" w:lineRule="auto"/>
        <w:tabs>
          <w:tab w:leader="none" w:pos="2577"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Each Loan Party hereby irrevocably and unconditionally waives, to the fullest extent permitted by applicable Requirements of Law,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8"/>
          <w:szCs w:val="18"/>
          <w:u w:val="single" w:color="auto"/>
          <w:color w:val="auto"/>
        </w:rPr>
        <w:t>Section 10.09(b)</w:t>
      </w:r>
      <w:r>
        <w:rPr>
          <w:rFonts w:ascii="Arial" w:cs="Arial" w:eastAsia="Arial" w:hAnsi="Arial"/>
          <w:sz w:val="18"/>
          <w:szCs w:val="18"/>
          <w:color w:val="auto"/>
        </w:rPr>
        <w:t>. Each of the parties hereto hereby irrevocably waives, to the fullest extent permitted by applicable Requirements of Law, the defense of an inconvenient forum to the maintenance of such action or proceeding in any such court.</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jc w:val="both"/>
        <w:ind w:firstLine="1953"/>
        <w:spacing w:after="0" w:line="259" w:lineRule="auto"/>
        <w:tabs>
          <w:tab w:leader="none" w:pos="2587"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any action or proceeding arising out of or relating to any Loan Document, in the manner provided for notices (other than telecopier, email or other electronic transmission) in </w:t>
      </w:r>
      <w:r>
        <w:rPr>
          <w:rFonts w:ascii="Arial" w:cs="Arial" w:eastAsia="Arial" w:hAnsi="Arial"/>
          <w:sz w:val="18"/>
          <w:szCs w:val="18"/>
          <w:u w:val="single" w:color="auto"/>
          <w:color w:val="auto"/>
        </w:rPr>
        <w:t>Section 10.01</w:t>
      </w:r>
      <w:r>
        <w:rPr>
          <w:rFonts w:ascii="Arial" w:cs="Arial" w:eastAsia="Arial" w:hAnsi="Arial"/>
          <w:sz w:val="18"/>
          <w:szCs w:val="18"/>
          <w:color w:val="auto"/>
        </w:rPr>
        <w:t>. Nothing in this Agreement or any other Loan Document will affect the right of any party hereto to serve process in any other manner permitted by applicable Requirements of Law.</w:t>
      </w:r>
    </w:p>
    <w:p>
      <w:pPr>
        <w:spacing w:after="0" w:line="23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color w:val="auto"/>
        </w:rPr>
        <w:t>Section 10.10</w:t>
      </w:r>
      <w:r>
        <w:rPr>
          <w:sz w:val="20"/>
          <w:szCs w:val="20"/>
          <w:color w:val="auto"/>
        </w:rPr>
        <w:tab/>
      </w:r>
      <w:r>
        <w:rPr>
          <w:rFonts w:ascii="Arial" w:cs="Arial" w:eastAsia="Arial" w:hAnsi="Arial"/>
          <w:sz w:val="17"/>
          <w:szCs w:val="17"/>
          <w:b w:val="1"/>
          <w:bCs w:val="1"/>
          <w:u w:val="single" w:color="auto"/>
          <w:color w:val="auto"/>
        </w:rPr>
        <w:t>Waiver of Jury Trial</w:t>
      </w:r>
    </w:p>
    <w:p>
      <w:pPr>
        <w:spacing w:after="0" w:line="256" w:lineRule="exact"/>
        <w:rPr>
          <w:sz w:val="20"/>
          <w:szCs w:val="20"/>
          <w:color w:val="auto"/>
        </w:rPr>
      </w:pPr>
    </w:p>
    <w:p>
      <w:pPr>
        <w:ind w:right="260" w:firstLine="8"/>
        <w:spacing w:after="0" w:line="297" w:lineRule="auto"/>
        <w:tabs>
          <w:tab w:leader="none" w:pos="13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Each Loan Party hereby waives, to the fullest extent permitted by applicable Requirements of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0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color w:val="auto"/>
        </w:rPr>
        <w:t>Section 10.11</w:t>
      </w:r>
      <w:r>
        <w:rPr>
          <w:sz w:val="20"/>
          <w:szCs w:val="20"/>
          <w:color w:val="auto"/>
        </w:rPr>
        <w:tab/>
      </w:r>
      <w:r>
        <w:rPr>
          <w:rFonts w:ascii="Arial" w:cs="Arial" w:eastAsia="Arial" w:hAnsi="Arial"/>
          <w:sz w:val="15"/>
          <w:szCs w:val="15"/>
          <w:b w:val="1"/>
          <w:bCs w:val="1"/>
          <w:u w:val="single" w:color="auto"/>
          <w:color w:val="auto"/>
        </w:rPr>
        <w:t>Headings</w:t>
      </w:r>
    </w:p>
    <w:p>
      <w:pPr>
        <w:spacing w:after="0" w:line="256" w:lineRule="exact"/>
        <w:rPr>
          <w:sz w:val="20"/>
          <w:szCs w:val="20"/>
          <w:color w:val="auto"/>
        </w:rPr>
      </w:pPr>
    </w:p>
    <w:p>
      <w:pPr>
        <w:ind w:right="60" w:firstLine="8"/>
        <w:spacing w:after="0" w:line="277" w:lineRule="auto"/>
        <w:tabs>
          <w:tab w:leader="none" w:pos="12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220"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color w:val="auto"/>
        </w:rPr>
        <w:t>Section 10.12</w:t>
      </w:r>
      <w:r>
        <w:rPr>
          <w:sz w:val="20"/>
          <w:szCs w:val="20"/>
          <w:color w:val="auto"/>
        </w:rPr>
        <w:tab/>
      </w:r>
      <w:r>
        <w:rPr>
          <w:rFonts w:ascii="Arial" w:cs="Arial" w:eastAsia="Arial" w:hAnsi="Arial"/>
          <w:sz w:val="16"/>
          <w:szCs w:val="16"/>
          <w:b w:val="1"/>
          <w:bCs w:val="1"/>
          <w:u w:val="single" w:color="auto"/>
          <w:color w:val="auto"/>
        </w:rPr>
        <w:t>Treatment of Certain Information; Confidentiality</w:t>
      </w:r>
    </w:p>
    <w:p>
      <w:pPr>
        <w:spacing w:after="0" w:line="256" w:lineRule="exact"/>
        <w:rPr>
          <w:sz w:val="20"/>
          <w:szCs w:val="20"/>
          <w:color w:val="auto"/>
        </w:rPr>
      </w:pPr>
    </w:p>
    <w:p>
      <w:pPr>
        <w:ind w:firstLine="8"/>
        <w:spacing w:after="0" w:line="283" w:lineRule="auto"/>
        <w:tabs>
          <w:tab w:leader="none" w:pos="13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Each of the Administrative Agent, the Lenders and the Issuing Bank agrees to maintain the confidentiality of the Information (as defined below), except that Information may be disclosed (a) to its Affiliates and to its and its Affiliates’ respective partners, trustees, directors, officers, employees, agents, advisors and other representatives (it being understood that the persons to whom such disclosure is made will be informed of the confidential nature of such Information and instructed to keep such Information confidential), (b) to the extent requested by any Governmental Authority or regulatory authority (including any self-regulatory authority, such as the National Association of Insurance Commissioners), (c) to the extent required by applicable Requirements of Law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16"/>
          <w:szCs w:val="16"/>
          <w:u w:val="single" w:color="auto"/>
          <w:color w:val="auto"/>
        </w:rPr>
        <w:t>Section 10.12</w:t>
      </w:r>
      <w:r>
        <w:rPr>
          <w:rFonts w:ascii="Arial" w:cs="Arial" w:eastAsia="Arial" w:hAnsi="Arial"/>
          <w:sz w:val="16"/>
          <w:szCs w:val="16"/>
          <w:color w:val="auto"/>
        </w:rPr>
        <w:t>, to (i) any assignee of or Participant in, or any prospective assignee of or Participant in, any of its rights or obligations under this Agreement, (ii) any actual or prospective counterparty (or its advisors) to any swap or derivative transaction relating to Borrower and its obligations or (iii) any rating agency for the purpose of obtaining a credit rating applicable to any Lender,</w:t>
      </w:r>
    </w:p>
    <w:p>
      <w:pPr>
        <w:spacing w:after="0" w:line="5" w:lineRule="exact"/>
        <w:rPr>
          <w:rFonts w:ascii="Arial" w:cs="Arial" w:eastAsia="Arial" w:hAnsi="Arial"/>
          <w:sz w:val="16"/>
          <w:szCs w:val="16"/>
          <w:color w:val="auto"/>
        </w:rPr>
      </w:pPr>
    </w:p>
    <w:p>
      <w:pPr>
        <w:ind w:right="180"/>
        <w:spacing w:after="0" w:line="251" w:lineRule="auto"/>
        <w:rPr>
          <w:rFonts w:ascii="Arial" w:cs="Arial" w:eastAsia="Arial" w:hAnsi="Arial"/>
          <w:sz w:val="16"/>
          <w:szCs w:val="16"/>
          <w:color w:val="auto"/>
        </w:rPr>
      </w:pPr>
      <w:r>
        <w:rPr>
          <w:rFonts w:ascii="Arial" w:cs="Arial" w:eastAsia="Arial" w:hAnsi="Arial"/>
          <w:sz w:val="18"/>
          <w:szCs w:val="18"/>
          <w:color w:val="auto"/>
        </w:rPr>
        <w:t>(g) with the consent of Borrower or (h)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Borrower. For purposes of this Section,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means all information received from Borrower or any of its Subsidiaries relating to Borrower or any of its Subsidiaries or any of their respective businesses, other than any such information that is available to the Administrative Agent, any Lender or the Issuing Bank on a nonconfidential basis prior to disclosure by Borrower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information received from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4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color w:val="auto"/>
        </w:rPr>
        <w:t>Section 10.13</w:t>
      </w:r>
      <w:r>
        <w:rPr>
          <w:sz w:val="20"/>
          <w:szCs w:val="20"/>
          <w:color w:val="auto"/>
        </w:rPr>
        <w:tab/>
      </w:r>
      <w:r>
        <w:rPr>
          <w:rFonts w:ascii="Arial" w:cs="Arial" w:eastAsia="Arial" w:hAnsi="Arial"/>
          <w:sz w:val="17"/>
          <w:szCs w:val="17"/>
          <w:b w:val="1"/>
          <w:bCs w:val="1"/>
          <w:u w:val="single" w:color="auto"/>
          <w:color w:val="auto"/>
        </w:rPr>
        <w:t>USA PATRIOT Act Notice</w:t>
      </w:r>
    </w:p>
    <w:p>
      <w:pPr>
        <w:spacing w:after="0" w:line="256" w:lineRule="exact"/>
        <w:rPr>
          <w:sz w:val="20"/>
          <w:szCs w:val="20"/>
          <w:color w:val="auto"/>
        </w:rPr>
      </w:pPr>
    </w:p>
    <w:p>
      <w:pPr>
        <w:ind w:right="60" w:firstLine="8"/>
        <w:spacing w:after="0" w:line="297" w:lineRule="auto"/>
        <w:tabs>
          <w:tab w:leader="none" w:pos="13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Each Lender that is subject to the Act (as hereinafter defined) and the Administrative Agent (for itself and not on behalf of any Lender) hereby notifies Borrower that pursuant to the requirements of the USA PATRIOT Act (Title III of Pub. L. 107-56 (signed into law October 26, 2001)) (the “</w:t>
      </w:r>
      <w:r>
        <w:rPr>
          <w:rFonts w:ascii="Arial" w:cs="Arial" w:eastAsia="Arial" w:hAnsi="Arial"/>
          <w:sz w:val="16"/>
          <w:szCs w:val="16"/>
          <w:b w:val="1"/>
          <w:bCs w:val="1"/>
          <w:color w:val="auto"/>
        </w:rPr>
        <w:t>Act</w:t>
      </w:r>
      <w:r>
        <w:rPr>
          <w:rFonts w:ascii="Arial" w:cs="Arial" w:eastAsia="Arial" w:hAnsi="Arial"/>
          <w:sz w:val="16"/>
          <w:szCs w:val="16"/>
          <w:color w:val="auto"/>
        </w:rPr>
        <w:t>”), it is required to obtain, verify and record information that identifies Borrower, which information includes the name, address and tax identification number of Borrower and other information regarding Borrower that will allow such Lender or the Administrative Agent, as applicable, to identify Borrower in accordance with the Act. This notice is given in accordance with the requirements of the Act and is effective as to the Lenders and the Administrative Agent.</w:t>
      </w:r>
    </w:p>
    <w:p>
      <w:pPr>
        <w:spacing w:after="0" w:line="20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color w:val="auto"/>
        </w:rPr>
        <w:t>Section 10.14</w:t>
      </w:r>
      <w:r>
        <w:rPr>
          <w:sz w:val="20"/>
          <w:szCs w:val="20"/>
          <w:color w:val="auto"/>
        </w:rPr>
        <w:tab/>
      </w:r>
      <w:r>
        <w:rPr>
          <w:rFonts w:ascii="Arial" w:cs="Arial" w:eastAsia="Arial" w:hAnsi="Arial"/>
          <w:sz w:val="16"/>
          <w:szCs w:val="16"/>
          <w:b w:val="1"/>
          <w:bCs w:val="1"/>
          <w:u w:val="single" w:color="auto"/>
          <w:color w:val="auto"/>
        </w:rPr>
        <w:t>Interest Rate Limitation</w:t>
      </w:r>
    </w:p>
    <w:p>
      <w:pPr>
        <w:sectPr>
          <w:pgSz w:w="11900" w:h="16838" w:orient="portrait"/>
          <w:cols w:equalWidth="0" w:num="1">
            <w:col w:w="11420"/>
          </w:cols>
          <w:pgMar w:left="240" w:top="395" w:right="239" w:bottom="0" w:gutter="0" w:footer="0" w:header="0"/>
        </w:sectPr>
      </w:pPr>
    </w:p>
    <w:bookmarkStart w:id="134" w:name="page135"/>
    <w:bookmarkEnd w:id="134"/>
    <w:p>
      <w:pPr>
        <w:ind w:right="60" w:firstLine="8"/>
        <w:spacing w:after="0" w:line="271" w:lineRule="auto"/>
        <w:tabs>
          <w:tab w:leader="none" w:pos="135" w:val="left"/>
        </w:tabs>
        <w:numPr>
          <w:ilvl w:val="0"/>
          <w:numId w:val="306"/>
        </w:numPr>
        <w:rPr>
          <w:rFonts w:ascii="Arial" w:cs="Arial" w:eastAsia="Arial" w:hAnsi="Arial"/>
          <w:sz w:val="17"/>
          <w:szCs w:val="17"/>
          <w:color w:val="auto"/>
        </w:rPr>
      </w:pPr>
      <w:r>
        <w:rPr>
          <w:rFonts w:ascii="Arial" w:cs="Arial" w:eastAsia="Arial" w:hAnsi="Arial"/>
          <w:sz w:val="17"/>
          <w:szCs w:val="17"/>
          <w:color w:val="auto"/>
        </w:rPr>
        <w:t>Notwithstanding anything herein to the contrary, if at any time the interest rate applicable to any Loan, together with all fees, charges and other amounts which are treated as interest on such Loan under applicable Requirements of Law (collectively, the “</w:t>
      </w:r>
      <w:r>
        <w:rPr>
          <w:rFonts w:ascii="Arial" w:cs="Arial" w:eastAsia="Arial" w:hAnsi="Arial"/>
          <w:sz w:val="17"/>
          <w:szCs w:val="17"/>
          <w:b w:val="1"/>
          <w:bCs w:val="1"/>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b w:val="1"/>
          <w:bCs w:val="1"/>
          <w:color w:val="auto"/>
        </w:rPr>
        <w:t>Maximum Rate</w:t>
      </w:r>
      <w:r>
        <w:rPr>
          <w:rFonts w:ascii="Arial" w:cs="Arial" w:eastAsia="Arial" w:hAnsi="Arial"/>
          <w:sz w:val="17"/>
          <w:szCs w:val="17"/>
          <w:color w:val="auto"/>
        </w:rPr>
        <w:t>”) which may be contracted for, charged, taken, received or reserved by the Lender holding such Loan in accordance with applicable Requirements of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229"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color w:val="auto"/>
        </w:rPr>
        <w:t>Section 10.15</w:t>
      </w:r>
      <w:r>
        <w:rPr>
          <w:sz w:val="20"/>
          <w:szCs w:val="20"/>
          <w:color w:val="auto"/>
        </w:rPr>
        <w:tab/>
      </w:r>
      <w:r>
        <w:rPr>
          <w:rFonts w:ascii="Arial" w:cs="Arial" w:eastAsia="Arial" w:hAnsi="Arial"/>
          <w:sz w:val="16"/>
          <w:szCs w:val="16"/>
          <w:b w:val="1"/>
          <w:bCs w:val="1"/>
          <w:u w:val="single" w:color="auto"/>
          <w:color w:val="auto"/>
        </w:rPr>
        <w:t>Lender Addendum</w:t>
      </w:r>
    </w:p>
    <w:p>
      <w:pPr>
        <w:spacing w:after="0" w:line="256" w:lineRule="exact"/>
        <w:rPr>
          <w:sz w:val="20"/>
          <w:szCs w:val="20"/>
          <w:color w:val="auto"/>
        </w:rPr>
      </w:pPr>
    </w:p>
    <w:p>
      <w:pPr>
        <w:ind w:right="600" w:firstLine="8"/>
        <w:spacing w:after="0" w:line="277" w:lineRule="auto"/>
        <w:tabs>
          <w:tab w:leader="none" w:pos="13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Each Lender to become a party to this Agreement on the date hereof shall do so by delivering to the Administrative Agent a Lender Addendum duly executed by such Lender, Borrower and the Administrative Agent.</w:t>
      </w:r>
    </w:p>
    <w:p>
      <w:pPr>
        <w:spacing w:after="0" w:line="220"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color w:val="auto"/>
        </w:rPr>
        <w:t>Section 10.16</w:t>
      </w:r>
      <w:r>
        <w:rPr>
          <w:sz w:val="20"/>
          <w:szCs w:val="20"/>
          <w:color w:val="auto"/>
        </w:rPr>
        <w:tab/>
      </w:r>
      <w:r>
        <w:rPr>
          <w:rFonts w:ascii="Arial" w:cs="Arial" w:eastAsia="Arial" w:hAnsi="Arial"/>
          <w:sz w:val="16"/>
          <w:szCs w:val="16"/>
          <w:b w:val="1"/>
          <w:bCs w:val="1"/>
          <w:u w:val="single" w:color="auto"/>
          <w:color w:val="auto"/>
        </w:rPr>
        <w:t>Obligations Absolute</w:t>
      </w:r>
    </w:p>
    <w:p>
      <w:pPr>
        <w:spacing w:after="0" w:line="256" w:lineRule="exact"/>
        <w:rPr>
          <w:sz w:val="20"/>
          <w:szCs w:val="20"/>
          <w:color w:val="auto"/>
        </w:rPr>
      </w:pPr>
    </w:p>
    <w:p>
      <w:pPr>
        <w:ind w:right="640" w:firstLine="8"/>
        <w:spacing w:after="0" w:line="277" w:lineRule="auto"/>
        <w:tabs>
          <w:tab w:leader="none" w:pos="13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To the fullest extent permitted by applicable Requirements of Law, all obligations of the Loan Parties hereunder shall be absolute and unconditional irrespective of:</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580" w:hanging="627"/>
        <w:spacing w:after="0"/>
        <w:tabs>
          <w:tab w:leader="none" w:pos="258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any bankruptcy, insolvency, reorganization, arrangement, readjustment, composition, liquidation or the like of any Loan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2600" w:hanging="647"/>
        <w:spacing w:after="0"/>
        <w:tabs>
          <w:tab w:leader="none" w:pos="260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any lack of validity or enforceability of any Loan Document or any other agreement or instrument relating thereto against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Loan Party;</w:t>
      </w: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right="120" w:firstLine="1953"/>
        <w:spacing w:after="0" w:line="308" w:lineRule="auto"/>
        <w:tabs>
          <w:tab w:leader="none" w:pos="2577" w:val="left"/>
        </w:tabs>
        <w:numPr>
          <w:ilvl w:val="1"/>
          <w:numId w:val="308"/>
        </w:numPr>
        <w:rPr>
          <w:rFonts w:ascii="Arial" w:cs="Arial" w:eastAsia="Arial" w:hAnsi="Arial"/>
          <w:sz w:val="17"/>
          <w:szCs w:val="17"/>
          <w:color w:val="auto"/>
        </w:rPr>
      </w:pPr>
      <w:r>
        <w:rPr>
          <w:rFonts w:ascii="Arial" w:cs="Arial" w:eastAsia="Arial" w:hAnsi="Arial"/>
          <w:sz w:val="17"/>
          <w:szCs w:val="17"/>
          <w:color w:val="auto"/>
        </w:rPr>
        <w:t>any change in the time, manner or place of payment of, or in any other term of, all or any of the Obligations, or any other amendment or waiver of or any consent to any departure from any Loan Document or any other agreement or instrument relating thereto;</w:t>
      </w: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ind w:right="220" w:firstLine="1953"/>
        <w:spacing w:after="0" w:line="277" w:lineRule="auto"/>
        <w:tabs>
          <w:tab w:leader="none" w:pos="258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any exchange, release or non-perfection of any other Collateral, or any release or amendment or waiver of or consent to any departure from any guarantee, for all or any of the Obligations;</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580" w:hanging="627"/>
        <w:spacing w:after="0"/>
        <w:tabs>
          <w:tab w:leader="none" w:pos="258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any exercise or non-exercise, or any waiver of any right, remedy, power or privilege under or in respect hereof or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Loan Document; or</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2560" w:hanging="607"/>
        <w:spacing w:after="0"/>
        <w:tabs>
          <w:tab w:leader="none" w:pos="256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any other circumstances which might otherwise constitute a defense available to, or a discharge of, the Loan Parties.</w:t>
      </w:r>
    </w:p>
    <w:p>
      <w:pPr>
        <w:spacing w:after="0" w:line="28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color w:val="auto"/>
        </w:rPr>
        <w:t>Section 10.17</w:t>
      </w:r>
      <w:r>
        <w:rPr>
          <w:sz w:val="20"/>
          <w:szCs w:val="20"/>
          <w:color w:val="auto"/>
        </w:rPr>
        <w:tab/>
      </w:r>
      <w:r>
        <w:rPr>
          <w:rFonts w:ascii="Arial" w:cs="Arial" w:eastAsia="Arial" w:hAnsi="Arial"/>
          <w:sz w:val="16"/>
          <w:szCs w:val="16"/>
          <w:b w:val="1"/>
          <w:bCs w:val="1"/>
          <w:u w:val="single" w:color="auto"/>
          <w:color w:val="auto"/>
        </w:rPr>
        <w:t>Dollar Equivalent Calculations</w:t>
      </w:r>
    </w:p>
    <w:p>
      <w:pPr>
        <w:spacing w:after="0" w:line="256" w:lineRule="exact"/>
        <w:rPr>
          <w:sz w:val="20"/>
          <w:szCs w:val="20"/>
          <w:color w:val="auto"/>
        </w:rPr>
      </w:pPr>
    </w:p>
    <w:p>
      <w:pPr>
        <w:ind w:firstLine="8"/>
        <w:spacing w:after="0" w:line="293" w:lineRule="auto"/>
        <w:tabs>
          <w:tab w:leader="none" w:pos="13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For purposes of this Agreement, the Dollar Equivalent of each Loan that is an Alternate Currency Loan and the Dollar Equivalent of the stated amount of each Letter of Credit that is an Alternate Currency Letter of Credit shall be calculated on the date when any such Loan is made, such Letter of Credit is issued, on the first Business Day of each month and at such other times as designated by the Administrative Agent. Such Dollar Equivalent shall remain in effect until the same is recalculated by the Administrative Agent as provided above and notice of such recalculation is received by Borrower, it being understood that until such notice of such recalculation is received, the Dollar Equivalent shall be that Dollar Equivalent as last reported to Borrower by the Administrative Agent. The Administrative Agent shall promptly notify Borrower and the Lenders of each such determination of the Dollar Equivalent.</w:t>
      </w:r>
    </w:p>
    <w:p>
      <w:pPr>
        <w:spacing w:after="0" w:line="215"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color w:val="auto"/>
        </w:rPr>
        <w:t>Section 10.18</w:t>
      </w:r>
      <w:r>
        <w:rPr>
          <w:sz w:val="20"/>
          <w:szCs w:val="20"/>
          <w:color w:val="auto"/>
        </w:rPr>
        <w:tab/>
      </w:r>
      <w:r>
        <w:rPr>
          <w:rFonts w:ascii="Arial" w:cs="Arial" w:eastAsia="Arial" w:hAnsi="Arial"/>
          <w:sz w:val="16"/>
          <w:szCs w:val="16"/>
          <w:b w:val="1"/>
          <w:bCs w:val="1"/>
          <w:u w:val="single" w:color="auto"/>
          <w:color w:val="auto"/>
        </w:rPr>
        <w:t>Judgment Currency</w:t>
      </w:r>
    </w:p>
    <w:p>
      <w:pPr>
        <w:spacing w:after="0" w:line="283" w:lineRule="exact"/>
        <w:rPr>
          <w:sz w:val="20"/>
          <w:szCs w:val="20"/>
          <w:color w:val="auto"/>
        </w:rPr>
      </w:pPr>
    </w:p>
    <w:p>
      <w:pPr>
        <w:ind w:right="140" w:firstLine="1953"/>
        <w:spacing w:after="0" w:line="269" w:lineRule="auto"/>
        <w:tabs>
          <w:tab w:leader="none" w:pos="2577" w:val="left"/>
        </w:tabs>
        <w:numPr>
          <w:ilvl w:val="0"/>
          <w:numId w:val="310"/>
        </w:numPr>
        <w:rPr>
          <w:rFonts w:ascii="Arial" w:cs="Arial" w:eastAsia="Arial" w:hAnsi="Arial"/>
          <w:sz w:val="17"/>
          <w:szCs w:val="17"/>
          <w:color w:val="auto"/>
        </w:rPr>
      </w:pPr>
      <w:r>
        <w:rPr>
          <w:rFonts w:ascii="Arial" w:cs="Arial" w:eastAsia="Arial" w:hAnsi="Arial"/>
          <w:sz w:val="17"/>
          <w:szCs w:val="17"/>
          <w:color w:val="auto"/>
        </w:rPr>
        <w:t>Borrower’s obligation hereunder and under the other Loan Documents to make payments in the applicable Approved Currency (pursuant to such obligation, the “</w:t>
      </w:r>
      <w:r>
        <w:rPr>
          <w:rFonts w:ascii="Arial" w:cs="Arial" w:eastAsia="Arial" w:hAnsi="Arial"/>
          <w:sz w:val="17"/>
          <w:szCs w:val="17"/>
          <w:b w:val="1"/>
          <w:bCs w:val="1"/>
          <w:color w:val="auto"/>
        </w:rPr>
        <w:t>Obligation Currency</w:t>
      </w:r>
      <w:r>
        <w:rPr>
          <w:rFonts w:ascii="Arial" w:cs="Arial" w:eastAsia="Arial" w:hAnsi="Arial"/>
          <w:sz w:val="17"/>
          <w:szCs w:val="17"/>
          <w:color w:val="auto"/>
        </w:rPr>
        <w:t>”) shall not be discharged or satisfied by any tender or recovery pursuant to any judgment expressed in or converted into any currency other than the Obligation Currency, except to the extent that such tender or recovery results in the effective receipt by the Administrative Agent or the respective Lender of the full amount of the Obligation Currency expressed to be payable to the Administrative Agent or such Lender under this Agreement or the other Loan Documents. If, for the purpose of obtaining or enforcing judgment against Borrower in any court or in any jurisdiction, it becomes necessary to convert into or from any currency other than the Obligation Currency (such other currency being hereinafter referred to as the “</w:t>
      </w:r>
      <w:r>
        <w:rPr>
          <w:rFonts w:ascii="Arial" w:cs="Arial" w:eastAsia="Arial" w:hAnsi="Arial"/>
          <w:sz w:val="17"/>
          <w:szCs w:val="17"/>
          <w:b w:val="1"/>
          <w:bCs w:val="1"/>
          <w:color w:val="auto"/>
        </w:rPr>
        <w:t>Judgment Currency</w:t>
      </w:r>
      <w:r>
        <w:rPr>
          <w:rFonts w:ascii="Arial" w:cs="Arial" w:eastAsia="Arial" w:hAnsi="Arial"/>
          <w:sz w:val="17"/>
          <w:szCs w:val="17"/>
          <w:color w:val="auto"/>
        </w:rPr>
        <w:t>”) an amount due in the Obligation Currency, the conversion shall be made at the Relevant Currency Equivalent, and in the case of other currencies, the rate of exchange (as quoted by the Administrative Agent or if the Administrative Agent does not quote a rate of exchange on such currency, by a known dealer in such currency designated by the Administrative Agent) determined, in each case, as of the Business Day immediately preceding the day on which the judgment is given (such Business Day being hereinafter referred to as the “</w:t>
      </w:r>
      <w:r>
        <w:rPr>
          <w:rFonts w:ascii="Arial" w:cs="Arial" w:eastAsia="Arial" w:hAnsi="Arial"/>
          <w:sz w:val="17"/>
          <w:szCs w:val="17"/>
          <w:b w:val="1"/>
          <w:bCs w:val="1"/>
          <w:color w:val="auto"/>
        </w:rPr>
        <w:t>Judgment Currency</w:t>
      </w:r>
      <w:r>
        <w:rPr>
          <w:rFonts w:ascii="Arial" w:cs="Arial" w:eastAsia="Arial" w:hAnsi="Arial"/>
          <w:sz w:val="17"/>
          <w:szCs w:val="17"/>
          <w:color w:val="auto"/>
        </w:rPr>
        <w:t xml:space="preserve"> </w:t>
      </w:r>
      <w:r>
        <w:rPr>
          <w:rFonts w:ascii="Arial" w:cs="Arial" w:eastAsia="Arial" w:hAnsi="Arial"/>
          <w:sz w:val="17"/>
          <w:szCs w:val="17"/>
          <w:b w:val="1"/>
          <w:bCs w:val="1"/>
          <w:color w:val="auto"/>
        </w:rPr>
        <w:t>Conversion Date</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jc w:val="both"/>
        <w:ind w:right="240" w:firstLine="1953"/>
        <w:spacing w:after="0" w:line="276" w:lineRule="auto"/>
        <w:tabs>
          <w:tab w:leader="none" w:pos="2587" w:val="left"/>
        </w:tabs>
        <w:numPr>
          <w:ilvl w:val="0"/>
          <w:numId w:val="310"/>
        </w:numPr>
        <w:rPr>
          <w:rFonts w:ascii="Arial" w:cs="Arial" w:eastAsia="Arial" w:hAnsi="Arial"/>
          <w:sz w:val="17"/>
          <w:szCs w:val="17"/>
          <w:color w:val="auto"/>
        </w:rPr>
      </w:pPr>
      <w:r>
        <w:rPr>
          <w:rFonts w:ascii="Arial" w:cs="Arial" w:eastAsia="Arial" w:hAnsi="Arial"/>
          <w:sz w:val="17"/>
          <w:szCs w:val="17"/>
          <w:color w:val="auto"/>
        </w:rPr>
        <w:t>If there is a change in the rate of exchange prevailing between the Judgment Currency Conversion Date and the date of actual payment of the amount due, Borrower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ectPr>
          <w:pgSz w:w="11900" w:h="16838" w:orient="portrait"/>
          <w:cols w:equalWidth="0" w:num="1">
            <w:col w:w="11420"/>
          </w:cols>
          <w:pgMar w:left="240" w:top="125" w:right="239" w:bottom="0" w:gutter="0" w:footer="0" w:header="0"/>
        </w:sectPr>
      </w:pPr>
    </w:p>
    <w:bookmarkStart w:id="135" w:name="page136"/>
    <w:bookmarkEnd w:id="135"/>
    <w:p>
      <w:pPr>
        <w:ind w:left="-40" w:right="100" w:firstLine="1953"/>
        <w:spacing w:after="0" w:line="277" w:lineRule="auto"/>
        <w:tabs>
          <w:tab w:leader="none" w:pos="253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For purposes of determining the Relevant Currency Equivalent or any other rate of exchange for this </w:t>
      </w:r>
      <w:r>
        <w:rPr>
          <w:rFonts w:ascii="Arial" w:cs="Arial" w:eastAsia="Arial" w:hAnsi="Arial"/>
          <w:sz w:val="18"/>
          <w:szCs w:val="18"/>
          <w:u w:val="single" w:color="auto"/>
          <w:color w:val="auto"/>
        </w:rPr>
        <w:t>Section 10.18</w:t>
      </w:r>
      <w:r>
        <w:rPr>
          <w:rFonts w:ascii="Arial" w:cs="Arial" w:eastAsia="Arial" w:hAnsi="Arial"/>
          <w:sz w:val="18"/>
          <w:szCs w:val="18"/>
          <w:color w:val="auto"/>
        </w:rPr>
        <w:t>, such amounts shall include any premium and costs payable in connection with the purchase of the Obligation Currency.</w:t>
      </w:r>
    </w:p>
    <w:p>
      <w:pPr>
        <w:spacing w:after="0" w:line="220" w:lineRule="exact"/>
        <w:rPr>
          <w:sz w:val="20"/>
          <w:szCs w:val="20"/>
          <w:color w:val="auto"/>
        </w:rPr>
      </w:pPr>
    </w:p>
    <w:p>
      <w:pPr>
        <w:ind w:left="1260"/>
        <w:spacing w:after="0"/>
        <w:tabs>
          <w:tab w:leader="none" w:pos="2680" w:val="left"/>
        </w:tabs>
        <w:rPr>
          <w:sz w:val="20"/>
          <w:szCs w:val="20"/>
          <w:color w:val="auto"/>
        </w:rPr>
      </w:pPr>
      <w:r>
        <w:rPr>
          <w:rFonts w:ascii="Arial" w:cs="Arial" w:eastAsia="Arial" w:hAnsi="Arial"/>
          <w:sz w:val="18"/>
          <w:szCs w:val="18"/>
          <w:b w:val="1"/>
          <w:bCs w:val="1"/>
          <w:color w:val="auto"/>
        </w:rPr>
        <w:t>Section 10.19</w:t>
      </w:r>
      <w:r>
        <w:rPr>
          <w:sz w:val="20"/>
          <w:szCs w:val="20"/>
          <w:color w:val="auto"/>
        </w:rPr>
        <w:tab/>
      </w:r>
      <w:r>
        <w:rPr>
          <w:rFonts w:ascii="Arial" w:cs="Arial" w:eastAsia="Arial" w:hAnsi="Arial"/>
          <w:sz w:val="17"/>
          <w:szCs w:val="17"/>
          <w:b w:val="1"/>
          <w:bCs w:val="1"/>
          <w:u w:val="single" w:color="auto"/>
          <w:color w:val="auto"/>
        </w:rPr>
        <w:t>Euro</w:t>
      </w:r>
    </w:p>
    <w:p>
      <w:pPr>
        <w:spacing w:after="0" w:line="283" w:lineRule="exact"/>
        <w:rPr>
          <w:sz w:val="20"/>
          <w:szCs w:val="20"/>
          <w:color w:val="auto"/>
        </w:rPr>
      </w:pPr>
    </w:p>
    <w:p>
      <w:pPr>
        <w:ind w:left="-40" w:right="240" w:firstLine="1953"/>
        <w:spacing w:after="0" w:line="259" w:lineRule="auto"/>
        <w:tabs>
          <w:tab w:leader="none" w:pos="253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If at any time that a GBP Loan is outstanding, the GBP is fully replaced as the lawful currency of the United Kingdom (the “</w:t>
      </w:r>
      <w:r>
        <w:rPr>
          <w:rFonts w:ascii="Arial" w:cs="Arial" w:eastAsia="Arial" w:hAnsi="Arial"/>
          <w:sz w:val="18"/>
          <w:szCs w:val="18"/>
          <w:b w:val="1"/>
          <w:bCs w:val="1"/>
          <w:color w:val="auto"/>
        </w:rPr>
        <w:t>Issuing Country</w:t>
      </w:r>
      <w:r>
        <w:rPr>
          <w:rFonts w:ascii="Arial" w:cs="Arial" w:eastAsia="Arial" w:hAnsi="Arial"/>
          <w:sz w:val="18"/>
          <w:szCs w:val="18"/>
          <w:color w:val="auto"/>
        </w:rPr>
        <w:t>”) by the Euro so that all payments are to be made in the Issuing Country in Euros and not in GBP, then such GBP Loan shall be automatically converted into a Euro Loan in a principal amount equal to the amount of Euros into which the principal amount of such GBP Loan would be converted pursuant to law and thereafter no further GBP Loans will be available.</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0" w:right="180" w:firstLine="1953"/>
        <w:spacing w:after="0" w:line="279" w:lineRule="auto"/>
        <w:tabs>
          <w:tab w:leader="none" w:pos="2547" w:val="left"/>
        </w:tabs>
        <w:numPr>
          <w:ilvl w:val="0"/>
          <w:numId w:val="312"/>
        </w:numPr>
        <w:rPr>
          <w:rFonts w:ascii="Arial" w:cs="Arial" w:eastAsia="Arial" w:hAnsi="Arial"/>
          <w:sz w:val="17"/>
          <w:szCs w:val="17"/>
          <w:color w:val="auto"/>
        </w:rPr>
      </w:pPr>
      <w:r>
        <w:rPr>
          <w:rFonts w:ascii="Arial" w:cs="Arial" w:eastAsia="Arial" w:hAnsi="Arial"/>
          <w:sz w:val="17"/>
          <w:szCs w:val="17"/>
          <w:color w:val="auto"/>
        </w:rPr>
        <w:t>Borrower shall from time to time, at the request of any Lender, pay to such Lender the amount of any losses, damages, liabilities, claims, reduction in yield, additional expense, increased cost, reduction in any amount payable, reduction in the effective return of its capital, the decrease or delay in the payment of interest or any other return forgone by such Lender or its Affiliates as a result of the tax or currency exchange resulting from the introduction of, changeover to or operation of the Euro in any applicable nation or Eurocurrency market.</w:t>
      </w:r>
    </w:p>
    <w:p>
      <w:pPr>
        <w:spacing w:after="0" w:line="221" w:lineRule="exact"/>
        <w:rPr>
          <w:sz w:val="20"/>
          <w:szCs w:val="20"/>
          <w:color w:val="auto"/>
        </w:rPr>
      </w:pPr>
    </w:p>
    <w:p>
      <w:pPr>
        <w:ind w:left="1260"/>
        <w:spacing w:after="0"/>
        <w:tabs>
          <w:tab w:leader="none" w:pos="2680" w:val="left"/>
        </w:tabs>
        <w:rPr>
          <w:sz w:val="20"/>
          <w:szCs w:val="20"/>
          <w:color w:val="auto"/>
        </w:rPr>
      </w:pPr>
      <w:r>
        <w:rPr>
          <w:rFonts w:ascii="Arial" w:cs="Arial" w:eastAsia="Arial" w:hAnsi="Arial"/>
          <w:sz w:val="18"/>
          <w:szCs w:val="18"/>
          <w:b w:val="1"/>
          <w:bCs w:val="1"/>
          <w:color w:val="auto"/>
        </w:rPr>
        <w:t>Section 10.20</w:t>
      </w:r>
      <w:r>
        <w:rPr>
          <w:sz w:val="20"/>
          <w:szCs w:val="20"/>
          <w:color w:val="auto"/>
        </w:rPr>
        <w:tab/>
      </w:r>
      <w:r>
        <w:rPr>
          <w:rFonts w:ascii="Arial" w:cs="Arial" w:eastAsia="Arial" w:hAnsi="Arial"/>
          <w:sz w:val="16"/>
          <w:szCs w:val="16"/>
          <w:b w:val="1"/>
          <w:bCs w:val="1"/>
          <w:u w:val="single" w:color="auto"/>
          <w:color w:val="auto"/>
        </w:rPr>
        <w:t>Special Provisions Relating to Currencies Other Than Dollars</w:t>
      </w:r>
    </w:p>
    <w:p>
      <w:pPr>
        <w:spacing w:after="0" w:line="283" w:lineRule="exact"/>
        <w:rPr>
          <w:sz w:val="20"/>
          <w:szCs w:val="20"/>
          <w:color w:val="auto"/>
        </w:rPr>
      </w:pPr>
    </w:p>
    <w:p>
      <w:pPr>
        <w:ind w:left="-40" w:right="420" w:firstLine="1953"/>
        <w:spacing w:after="0" w:line="312" w:lineRule="auto"/>
        <w:tabs>
          <w:tab w:leader="none" w:pos="253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All funds to be made available to Administrative Agent pursuant to this Agreement in Euros or GBP shall be made available to Administrative Agent in immediately available, freely transferable, cleared funds to such account with such bank in such principal financial center in such Participating Member State (or in London) as Administrative Agent shall from time to time nominate for this purpose.</w:t>
      </w:r>
    </w:p>
    <w:p>
      <w:pPr>
        <w:spacing w:after="0" w:line="200" w:lineRule="exact"/>
        <w:rPr>
          <w:rFonts w:ascii="Arial" w:cs="Arial" w:eastAsia="Arial" w:hAnsi="Arial"/>
          <w:sz w:val="16"/>
          <w:szCs w:val="16"/>
          <w:color w:val="auto"/>
        </w:rPr>
      </w:pPr>
    </w:p>
    <w:p>
      <w:pPr>
        <w:spacing w:after="0" w:line="243" w:lineRule="exact"/>
        <w:rPr>
          <w:rFonts w:ascii="Arial" w:cs="Arial" w:eastAsia="Arial" w:hAnsi="Arial"/>
          <w:sz w:val="16"/>
          <w:szCs w:val="16"/>
          <w:color w:val="auto"/>
        </w:rPr>
      </w:pPr>
    </w:p>
    <w:p>
      <w:pPr>
        <w:ind w:left="-40" w:firstLine="1953"/>
        <w:spacing w:after="0" w:line="270" w:lineRule="auto"/>
        <w:tabs>
          <w:tab w:leader="none" w:pos="2547"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In relation to the payment of any amount denominated in Euros or GBP, Administrative Agent shall not be liable to Borrower or any of the Lenders for any delay, or the consequences of any delay, in the crediting to any account of any amount required by this Agreement to be paid by Administrative Agent if Administrative Agent shall have taken all relevant and necessary steps to achieve, on the date required by this Agreement, the payment of such amount in immediately available, freely transferable, cleared funds (in Euros or GBP) to the account with the bank in the principal financial center in the Participating Member State which Borrower or, as the case may be, any Lender shall have specified for such purpose.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10.20(b)</w:t>
      </w:r>
      <w:r>
        <w:rPr>
          <w:rFonts w:ascii="Arial" w:cs="Arial" w:eastAsia="Arial" w:hAnsi="Arial"/>
          <w:sz w:val="17"/>
          <w:szCs w:val="17"/>
          <w:color w:val="auto"/>
        </w:rPr>
        <w:t>, “</w:t>
      </w:r>
      <w:r>
        <w:rPr>
          <w:rFonts w:ascii="Arial" w:cs="Arial" w:eastAsia="Arial" w:hAnsi="Arial"/>
          <w:sz w:val="17"/>
          <w:szCs w:val="17"/>
          <w:b w:val="1"/>
          <w:bCs w:val="1"/>
          <w:color w:val="auto"/>
        </w:rPr>
        <w:t>all relevant steps</w:t>
      </w:r>
      <w:r>
        <w:rPr>
          <w:rFonts w:ascii="Arial" w:cs="Arial" w:eastAsia="Arial" w:hAnsi="Arial"/>
          <w:sz w:val="17"/>
          <w:szCs w:val="17"/>
          <w:color w:val="auto"/>
        </w:rPr>
        <w:t>” means all such steps as may be prescribed from time to time by the regulations or operating procedures of such clearing or settlement system as Administrative Agent may from time to time determine for the purpose of clearing or settling payments of Euros or GBP. Furthermore, and without limiting the foregoing, Administrative Agent shall not be liable to Borrower or any of the Lenders with respect to the foregoing matters in the absence of its gross negligence or willful misconduct (as determined by a court of competent jurisdiction in a final and non-appealable decision or pursuant to a binding arbitration award or as otherwise agreed in writing by the affected parties).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389890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395" w:right="279" w:bottom="1440" w:gutter="0" w:footer="0" w:header="0"/>
        </w:sectPr>
      </w:pPr>
    </w:p>
    <w:bookmarkStart w:id="136" w:name="page137"/>
    <w:bookmarkEnd w:id="136"/>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ITRON, INC.</w:t>
      </w:r>
    </w:p>
    <w:p>
      <w:pPr>
        <w:spacing w:after="0" w:line="252" w:lineRule="exact"/>
        <w:rPr>
          <w:sz w:val="20"/>
          <w:szCs w:val="20"/>
          <w:color w:val="auto"/>
        </w:rPr>
      </w:pPr>
    </w:p>
    <w:p>
      <w:pPr>
        <w:ind w:left="454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M. Helmbrecht</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Steven M. Helmbrecht</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ITRON INTERNATIONAL, INC.</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M. Helmbrecht</w:t>
      </w:r>
    </w:p>
    <w:p>
      <w:pPr>
        <w:spacing w:after="0" w:line="25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Steven M. Helmbrecht</w:t>
      </w:r>
    </w:p>
    <w:p>
      <w:pPr>
        <w:spacing w:after="0" w:line="25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President and Treasurer</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ITRON ENGINEERING SERVICES, INC.</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M. Helmbrecht</w:t>
      </w:r>
    </w:p>
    <w:p>
      <w:pPr>
        <w:spacing w:after="0" w:line="25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 Vice President</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ITRON BRAZIL I, LLC</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P. Ball</w:t>
      </w:r>
    </w:p>
    <w:p>
      <w:pPr>
        <w:spacing w:after="0" w:line="25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Joseph P. Ball</w:t>
      </w:r>
    </w:p>
    <w:p>
      <w:pPr>
        <w:spacing w:after="0" w:line="25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Title: Manager</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ITRON BRAZIL II, LLC</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P. Ball</w:t>
      </w:r>
    </w:p>
    <w:p>
      <w:pPr>
        <w:spacing w:after="0" w:line="25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Joseph P. Ball</w:t>
      </w:r>
    </w:p>
    <w:p>
      <w:pPr>
        <w:spacing w:after="0" w:line="25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853440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855" w:right="439" w:bottom="1440" w:gutter="0" w:footer="0" w:header="0"/>
        </w:sectPr>
      </w:pPr>
    </w:p>
    <w:bookmarkStart w:id="137" w:name="page138"/>
    <w:bookmarkEnd w:id="137"/>
    <w:p>
      <w:pPr>
        <w:ind w:left="3340"/>
        <w:spacing w:after="0"/>
        <w:rPr>
          <w:sz w:val="20"/>
          <w:szCs w:val="20"/>
          <w:color w:val="auto"/>
        </w:rPr>
      </w:pPr>
      <w:r>
        <w:rPr>
          <w:rFonts w:ascii="Arial" w:cs="Arial" w:eastAsia="Arial" w:hAnsi="Arial"/>
          <w:sz w:val="18"/>
          <w:szCs w:val="18"/>
          <w:color w:val="auto"/>
        </w:rPr>
        <w:t>UBS SECURITIES LLC, as Arranger and Syndication Agent</w:t>
      </w:r>
    </w:p>
    <w:p>
      <w:pPr>
        <w:spacing w:after="0" w:line="235" w:lineRule="exact"/>
        <w:rPr>
          <w:sz w:val="20"/>
          <w:szCs w:val="20"/>
          <w:color w:val="auto"/>
        </w:rPr>
      </w:pPr>
    </w:p>
    <w:tbl>
      <w:tblPr>
        <w:tblLayout w:type="fixed"/>
        <w:tblInd w:w="334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2220" w:type="dxa"/>
            <w:vAlign w:val="bottom"/>
            <w:gridSpan w:val="4"/>
          </w:tcPr>
          <w:p>
            <w:pPr>
              <w:spacing w:after="0"/>
              <w:rPr>
                <w:sz w:val="20"/>
                <w:szCs w:val="20"/>
                <w:color w:val="auto"/>
              </w:rPr>
            </w:pPr>
            <w:r>
              <w:rPr>
                <w:rFonts w:ascii="Arial" w:cs="Arial" w:eastAsia="Arial" w:hAnsi="Arial"/>
                <w:sz w:val="18"/>
                <w:szCs w:val="18"/>
                <w:color w:val="auto"/>
              </w:rPr>
              <w:t>/s/ Richard L. Tavrow</w:t>
            </w:r>
          </w:p>
        </w:tc>
      </w:tr>
      <w:tr>
        <w:trPr>
          <w:trHeight w:val="20"/>
        </w:trPr>
        <w:tc>
          <w:tcPr>
            <w:tcW w:w="1140" w:type="dxa"/>
            <w:vAlign w:val="bottom"/>
            <w:gridSpan w:val="2"/>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80"/>
        </w:trPr>
        <w:tc>
          <w:tcPr>
            <w:tcW w:w="3340" w:type="dxa"/>
            <w:vAlign w:val="bottom"/>
            <w:gridSpan w:val="5"/>
          </w:tcPr>
          <w:p>
            <w:pPr>
              <w:spacing w:after="0"/>
              <w:rPr>
                <w:sz w:val="20"/>
                <w:szCs w:val="20"/>
                <w:color w:val="auto"/>
              </w:rPr>
            </w:pPr>
            <w:r>
              <w:rPr>
                <w:rFonts w:ascii="Arial" w:cs="Arial" w:eastAsia="Arial" w:hAnsi="Arial"/>
                <w:sz w:val="18"/>
                <w:szCs w:val="18"/>
                <w:color w:val="auto"/>
              </w:rPr>
              <w:t>Name: Richard L. Tavrow</w:t>
            </w:r>
          </w:p>
        </w:tc>
      </w:tr>
      <w:tr>
        <w:trPr>
          <w:trHeight w:val="459"/>
        </w:trPr>
        <w:tc>
          <w:tcPr>
            <w:tcW w:w="3340" w:type="dxa"/>
            <w:vAlign w:val="bottom"/>
            <w:gridSpan w:val="5"/>
          </w:tcPr>
          <w:p>
            <w:pPr>
              <w:spacing w:after="0"/>
              <w:rPr>
                <w:sz w:val="20"/>
                <w:szCs w:val="20"/>
                <w:color w:val="auto"/>
              </w:rPr>
            </w:pPr>
            <w:r>
              <w:rPr>
                <w:rFonts w:ascii="Arial" w:cs="Arial" w:eastAsia="Arial" w:hAnsi="Arial"/>
                <w:sz w:val="18"/>
                <w:szCs w:val="18"/>
                <w:color w:val="auto"/>
                <w:w w:val="91"/>
              </w:rPr>
              <w:t>Title: Director Banking Products Services, US</w:t>
            </w: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/s/ Mary E. Evans</w:t>
            </w:r>
          </w:p>
        </w:tc>
        <w:tc>
          <w:tcPr>
            <w:tcW w:w="920" w:type="dxa"/>
            <w:vAlign w:val="bottom"/>
            <w:gridSpan w:val="2"/>
          </w:tcPr>
          <w:p>
            <w:pPr>
              <w:spacing w:after="0"/>
              <w:rPr>
                <w:sz w:val="24"/>
                <w:szCs w:val="24"/>
                <w:color w:val="auto"/>
              </w:rPr>
            </w:pPr>
          </w:p>
        </w:tc>
      </w:tr>
    </w:tbl>
    <w:p>
      <w:pPr>
        <w:spacing w:after="0" w:line="256"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Mary E. Evans</w:t>
      </w: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Associate Director Banking Products Services,US</w:t>
      </w:r>
    </w:p>
    <w:p>
      <w:pPr>
        <w:spacing w:after="0" w:line="252" w:lineRule="exact"/>
        <w:rPr>
          <w:sz w:val="20"/>
          <w:szCs w:val="20"/>
          <w:color w:val="auto"/>
        </w:rPr>
      </w:pPr>
    </w:p>
    <w:p>
      <w:pPr>
        <w:ind w:left="3340"/>
        <w:spacing w:after="0" w:line="277" w:lineRule="auto"/>
        <w:rPr>
          <w:sz w:val="20"/>
          <w:szCs w:val="20"/>
          <w:color w:val="auto"/>
        </w:rPr>
      </w:pPr>
      <w:r>
        <w:rPr>
          <w:rFonts w:ascii="Arial" w:cs="Arial" w:eastAsia="Arial" w:hAnsi="Arial"/>
          <w:sz w:val="18"/>
          <w:szCs w:val="18"/>
          <w:color w:val="auto"/>
        </w:rPr>
        <w:t>WELLS FARGO BANK, NATIONAL ASSOCIATION, as an Issuing Bank and as Swingline Lender, Administrative Agent and Collateral Agent</w:t>
      </w:r>
    </w:p>
    <w:p>
      <w:pPr>
        <w:spacing w:after="0" w:line="197" w:lineRule="exact"/>
        <w:rPr>
          <w:sz w:val="20"/>
          <w:szCs w:val="20"/>
          <w:color w:val="auto"/>
        </w:rPr>
      </w:pPr>
    </w:p>
    <w:p>
      <w:pPr>
        <w:ind w:left="334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Tom Beil</w:t>
      </w: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Tom Beil</w:t>
      </w: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Vice President</w:t>
      </w: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MIZUHO CORPORATE BANK, LTD., as an Issuing Bank and Documentation Agent</w:t>
      </w:r>
    </w:p>
    <w:p>
      <w:pPr>
        <w:spacing w:after="0" w:line="252" w:lineRule="exact"/>
        <w:rPr>
          <w:sz w:val="20"/>
          <w:szCs w:val="20"/>
          <w:color w:val="auto"/>
        </w:rPr>
      </w:pPr>
    </w:p>
    <w:p>
      <w:pPr>
        <w:ind w:left="334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K. Andrews</w:t>
      </w: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K. Andrews</w:t>
      </w: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80"/>
          </w:cols>
          <w:pgMar w:left="1440" w:top="611" w:right="379" w:bottom="1440" w:gutter="0" w:footer="0" w:header="0"/>
        </w:sectPr>
      </w:pPr>
    </w:p>
    <w:bookmarkStart w:id="138" w:name="page139"/>
    <w:bookmarkEnd w:id="138"/>
    <w:p>
      <w:pPr>
        <w:ind w:left="10060"/>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ind w:left="360"/>
              <w:spacing w:after="0"/>
              <w:rPr>
                <w:sz w:val="20"/>
                <w:szCs w:val="20"/>
                <w:color w:val="auto"/>
              </w:rPr>
            </w:pPr>
            <w:r>
              <w:rPr>
                <w:rFonts w:ascii="Arial" w:cs="Arial" w:eastAsia="Arial" w:hAnsi="Arial"/>
                <w:sz w:val="18"/>
                <w:szCs w:val="18"/>
                <w:b w:val="1"/>
                <w:bCs w:val="1"/>
                <w:color w:val="auto"/>
                <w:w w:val="92"/>
              </w:rPr>
              <w:t>Annex I</w:t>
            </w:r>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4"/>
              </w:rPr>
              <w:t>Applicable Margin</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Euro</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Revolving</w:t>
            </w:r>
          </w:p>
        </w:tc>
        <w:tc>
          <w:tcPr>
            <w:tcW w:w="2440" w:type="dxa"/>
            <w:vAlign w:val="bottom"/>
            <w:gridSpan w:val="2"/>
          </w:tcPr>
          <w:p>
            <w:pPr>
              <w:jc w:val="center"/>
              <w:ind w:right="990"/>
              <w:spacing w:after="0"/>
              <w:rPr>
                <w:sz w:val="20"/>
                <w:szCs w:val="20"/>
                <w:color w:val="auto"/>
              </w:rPr>
            </w:pPr>
            <w:r>
              <w:rPr>
                <w:rFonts w:ascii="Arial" w:cs="Arial" w:eastAsia="Arial" w:hAnsi="Arial"/>
                <w:sz w:val="18"/>
                <w:szCs w:val="18"/>
                <w:b w:val="1"/>
                <w:bCs w:val="1"/>
                <w:color w:val="auto"/>
                <w:w w:val="92"/>
              </w:rPr>
              <w:t>GBP Revolving</w:t>
            </w:r>
          </w:p>
        </w:tc>
        <w:tc>
          <w:tcPr>
            <w:tcW w:w="6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Euro Term</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GBP Term</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Swingline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Total</w:t>
            </w:r>
          </w:p>
        </w:tc>
        <w:tc>
          <w:tcPr>
            <w:tcW w:w="196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Dollar Revolving Loans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6"/>
              </w:rPr>
              <w:t>Loans</w:t>
            </w:r>
          </w:p>
        </w:tc>
        <w:tc>
          <w:tcPr>
            <w:tcW w:w="102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Loans</w:t>
            </w:r>
          </w:p>
        </w:tc>
        <w:tc>
          <w:tcPr>
            <w:tcW w:w="2040" w:type="dxa"/>
            <w:vAlign w:val="bottom"/>
            <w:gridSpan w:val="2"/>
          </w:tcPr>
          <w:p>
            <w:pPr>
              <w:ind w:left="440"/>
              <w:spacing w:after="0"/>
              <w:rPr>
                <w:sz w:val="20"/>
                <w:szCs w:val="20"/>
                <w:color w:val="auto"/>
              </w:rPr>
            </w:pPr>
            <w:r>
              <w:rPr>
                <w:rFonts w:ascii="Arial" w:cs="Arial" w:eastAsia="Arial" w:hAnsi="Arial"/>
                <w:sz w:val="18"/>
                <w:szCs w:val="18"/>
                <w:b w:val="1"/>
                <w:bCs w:val="1"/>
                <w:color w:val="auto"/>
                <w:w w:val="99"/>
              </w:rPr>
              <w:t>Dollar Term Loans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Loans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Loans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Loans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Leverage</w:t>
            </w: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Applicable</w:t>
            </w:r>
          </w:p>
        </w:tc>
        <w:tc>
          <w:tcPr>
            <w:tcW w:w="0" w:type="dxa"/>
            <w:vAlign w:val="bottom"/>
          </w:tcPr>
          <w:p>
            <w:pPr>
              <w:spacing w:after="0"/>
              <w:rPr>
                <w:sz w:val="1"/>
                <w:szCs w:val="1"/>
                <w:color w:val="auto"/>
              </w:rPr>
            </w:pPr>
          </w:p>
        </w:tc>
      </w:tr>
      <w:tr>
        <w:trPr>
          <w:trHeight w:val="234"/>
        </w:trPr>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Ratio</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Eurocurrency</w:t>
            </w:r>
          </w:p>
        </w:tc>
        <w:tc>
          <w:tcPr>
            <w:tcW w:w="74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ABR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rPr>
              <w:t>EURIBOR</w:t>
            </w:r>
          </w:p>
        </w:tc>
        <w:tc>
          <w:tcPr>
            <w:tcW w:w="2440" w:type="dxa"/>
            <w:vAlign w:val="bottom"/>
            <w:gridSpan w:val="2"/>
          </w:tcPr>
          <w:p>
            <w:pPr>
              <w:ind w:left="140"/>
              <w:spacing w:after="0"/>
              <w:rPr>
                <w:sz w:val="20"/>
                <w:szCs w:val="20"/>
                <w:color w:val="auto"/>
              </w:rPr>
            </w:pPr>
            <w:r>
              <w:rPr>
                <w:rFonts w:ascii="Arial" w:cs="Arial" w:eastAsia="Arial" w:hAnsi="Arial"/>
                <w:sz w:val="18"/>
                <w:szCs w:val="18"/>
                <w:b w:val="1"/>
                <w:bCs w:val="1"/>
                <w:color w:val="auto"/>
                <w:w w:val="95"/>
              </w:rPr>
              <w:t>Eurocurrency Eurocurrency</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7"/>
              </w:rPr>
              <w:t>ABR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Eurocurrency</w:t>
            </w: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rPr>
              <w:t>EURIBOR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7"/>
              </w:rPr>
              <w:t>ABR</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414"/>
        </w:trPr>
        <w:tc>
          <w:tcPr>
            <w:tcW w:w="900" w:type="dxa"/>
            <w:vAlign w:val="bottom"/>
          </w:tcPr>
          <w:p>
            <w:pPr>
              <w:spacing w:after="0"/>
              <w:rPr>
                <w:sz w:val="20"/>
                <w:szCs w:val="20"/>
                <w:color w:val="auto"/>
              </w:rPr>
            </w:pPr>
            <w:r>
              <w:rPr>
                <w:rFonts w:ascii="Arial" w:cs="Arial" w:eastAsia="Arial" w:hAnsi="Arial"/>
                <w:sz w:val="18"/>
                <w:szCs w:val="18"/>
                <w:b w:val="1"/>
                <w:bCs w:val="1"/>
                <w:color w:val="auto"/>
              </w:rPr>
              <w:t>Level I</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0"/>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020" w:type="dxa"/>
            <w:vAlign w:val="bottom"/>
          </w:tcPr>
          <w:p>
            <w:pPr>
              <w:jc w:val="center"/>
              <w:ind w:left="250"/>
              <w:spacing w:after="0"/>
              <w:rPr>
                <w:sz w:val="20"/>
                <w:szCs w:val="20"/>
                <w:color w:val="auto"/>
              </w:rPr>
            </w:pPr>
            <w:r>
              <w:rPr>
                <w:rFonts w:ascii="Arial" w:cs="Arial" w:eastAsia="Arial" w:hAnsi="Arial"/>
                <w:sz w:val="18"/>
                <w:szCs w:val="18"/>
                <w:color w:val="auto"/>
                <w:w w:val="93"/>
              </w:rPr>
              <w:t>2.00%</w:t>
            </w: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90"/>
              </w:rPr>
              <w:t>2.00%</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&gt; 4.50:1.0</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 w:type="dxa"/>
            <w:vAlign w:val="bottom"/>
          </w:tcPr>
          <w:p>
            <w:pPr>
              <w:spacing w:after="0"/>
              <w:rPr>
                <w:sz w:val="20"/>
                <w:szCs w:val="20"/>
                <w:color w:val="auto"/>
              </w:rPr>
            </w:pPr>
            <w:r>
              <w:rPr>
                <w:rFonts w:ascii="Arial" w:cs="Arial" w:eastAsia="Arial" w:hAnsi="Arial"/>
                <w:sz w:val="18"/>
                <w:szCs w:val="18"/>
                <w:b w:val="1"/>
                <w:bCs w:val="1"/>
                <w:color w:val="auto"/>
              </w:rPr>
              <w:t>Level II</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0"/>
              </w:rPr>
              <w:t>0.75%</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1020" w:type="dxa"/>
            <w:vAlign w:val="bottom"/>
          </w:tcPr>
          <w:p>
            <w:pPr>
              <w:jc w:val="center"/>
              <w:ind w:left="250"/>
              <w:spacing w:after="0"/>
              <w:rPr>
                <w:sz w:val="20"/>
                <w:szCs w:val="20"/>
                <w:color w:val="auto"/>
              </w:rPr>
            </w:pPr>
            <w:r>
              <w:rPr>
                <w:rFonts w:ascii="Arial" w:cs="Arial" w:eastAsia="Arial" w:hAnsi="Arial"/>
                <w:sz w:val="18"/>
                <w:szCs w:val="18"/>
                <w:color w:val="auto"/>
                <w:w w:val="93"/>
              </w:rPr>
              <w:t>1.75%</w:t>
            </w: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90"/>
              </w:rPr>
              <w:t>1.75%</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0.75%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0.75%</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1"/>
              </w:rPr>
              <w:t>0.375%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b w:val="1"/>
                <w:bCs w:val="1"/>
                <w:color w:val="auto"/>
              </w:rPr>
              <w:t>≤ 4.50:1.0</w:t>
            </w: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b w:val="1"/>
                <w:bCs w:val="1"/>
                <w:color w:val="auto"/>
              </w:rPr>
              <w:t>but</w:t>
            </w: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 3.75:1.0</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 w:type="dxa"/>
            <w:vAlign w:val="bottom"/>
          </w:tcPr>
          <w:p>
            <w:pPr>
              <w:spacing w:after="0"/>
              <w:rPr>
                <w:sz w:val="20"/>
                <w:szCs w:val="20"/>
                <w:color w:val="auto"/>
              </w:rPr>
            </w:pPr>
            <w:r>
              <w:rPr>
                <w:rFonts w:ascii="Arial" w:cs="Arial" w:eastAsia="Arial" w:hAnsi="Arial"/>
                <w:sz w:val="18"/>
                <w:szCs w:val="18"/>
                <w:b w:val="1"/>
                <w:bCs w:val="1"/>
                <w:color w:val="auto"/>
              </w:rPr>
              <w:t>Level III</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0"/>
              </w:rPr>
              <w:t>0.50%</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1020" w:type="dxa"/>
            <w:vAlign w:val="bottom"/>
          </w:tcPr>
          <w:p>
            <w:pPr>
              <w:jc w:val="center"/>
              <w:ind w:left="250"/>
              <w:spacing w:after="0"/>
              <w:rPr>
                <w:sz w:val="20"/>
                <w:szCs w:val="20"/>
                <w:color w:val="auto"/>
              </w:rPr>
            </w:pPr>
            <w:r>
              <w:rPr>
                <w:rFonts w:ascii="Arial" w:cs="Arial" w:eastAsia="Arial" w:hAnsi="Arial"/>
                <w:sz w:val="18"/>
                <w:szCs w:val="18"/>
                <w:color w:val="auto"/>
                <w:w w:val="93"/>
              </w:rPr>
              <w:t>1.50%</w:t>
            </w: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90"/>
              </w:rPr>
              <w:t>1.75%</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0.75%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0.50%</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1"/>
              </w:rPr>
              <w:t>0.375%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b w:val="1"/>
                <w:bCs w:val="1"/>
                <w:color w:val="auto"/>
              </w:rPr>
              <w:t>&lt; 3.75:1.0</w:t>
            </w: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b w:val="1"/>
                <w:bCs w:val="1"/>
                <w:color w:val="auto"/>
              </w:rPr>
              <w:t>but</w:t>
            </w: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 2.75:1.0</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 w:type="dxa"/>
            <w:vAlign w:val="bottom"/>
          </w:tcPr>
          <w:p>
            <w:pPr>
              <w:spacing w:after="0"/>
              <w:rPr>
                <w:sz w:val="20"/>
                <w:szCs w:val="20"/>
                <w:color w:val="auto"/>
              </w:rPr>
            </w:pPr>
            <w:r>
              <w:rPr>
                <w:rFonts w:ascii="Arial" w:cs="Arial" w:eastAsia="Arial" w:hAnsi="Arial"/>
                <w:sz w:val="18"/>
                <w:szCs w:val="18"/>
                <w:b w:val="1"/>
                <w:bCs w:val="1"/>
                <w:color w:val="auto"/>
              </w:rPr>
              <w:t>Level IV</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740" w:type="dxa"/>
            <w:vAlign w:val="bottom"/>
          </w:tcPr>
          <w:p>
            <w:pPr>
              <w:jc w:val="center"/>
              <w:ind w:right="30"/>
              <w:spacing w:after="0"/>
              <w:rPr>
                <w:sz w:val="20"/>
                <w:szCs w:val="20"/>
                <w:color w:val="auto"/>
              </w:rPr>
            </w:pPr>
            <w:r>
              <w:rPr>
                <w:rFonts w:ascii="Arial" w:cs="Arial" w:eastAsia="Arial" w:hAnsi="Arial"/>
                <w:sz w:val="18"/>
                <w:szCs w:val="18"/>
                <w:color w:val="auto"/>
                <w:w w:val="90"/>
              </w:rPr>
              <w:t>0.25%</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1020" w:type="dxa"/>
            <w:vAlign w:val="bottom"/>
          </w:tcPr>
          <w:p>
            <w:pPr>
              <w:jc w:val="center"/>
              <w:ind w:left="250"/>
              <w:spacing w:after="0"/>
              <w:rPr>
                <w:sz w:val="20"/>
                <w:szCs w:val="20"/>
                <w:color w:val="auto"/>
              </w:rPr>
            </w:pPr>
            <w:r>
              <w:rPr>
                <w:rFonts w:ascii="Arial" w:cs="Arial" w:eastAsia="Arial" w:hAnsi="Arial"/>
                <w:sz w:val="18"/>
                <w:szCs w:val="18"/>
                <w:color w:val="auto"/>
                <w:w w:val="93"/>
              </w:rPr>
              <w:t>1.25%</w:t>
            </w:r>
          </w:p>
        </w:tc>
        <w:tc>
          <w:tcPr>
            <w:tcW w:w="1420" w:type="dxa"/>
            <w:vAlign w:val="bottom"/>
          </w:tcPr>
          <w:p>
            <w:pPr>
              <w:jc w:val="center"/>
              <w:ind w:left="110"/>
              <w:spacing w:after="0"/>
              <w:rPr>
                <w:sz w:val="20"/>
                <w:szCs w:val="20"/>
                <w:color w:val="auto"/>
              </w:rPr>
            </w:pPr>
            <w:r>
              <w:rPr>
                <w:rFonts w:ascii="Arial" w:cs="Arial" w:eastAsia="Arial" w:hAnsi="Arial"/>
                <w:sz w:val="18"/>
                <w:szCs w:val="18"/>
                <w:color w:val="auto"/>
                <w:w w:val="90"/>
              </w:rPr>
              <w:t>1.75%</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0.75%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1.75%</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0.25%</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91"/>
              </w:rPr>
              <w:t>0.375%</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&lt; 2.75:1.0</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 xml:space="preserve">Each change in the Applicable Margin or Applicable Fee resulting from a change in the Total Leverage Ratio shall be effective with respect to all Revolving Loans and Letters of Credit outstanding on and after the date of delivery to the Administrative Agent of the financial statements and certificates required by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5.01(c)</w:t>
      </w:r>
      <w:r>
        <w:rPr>
          <w:rFonts w:ascii="Arial" w:cs="Arial" w:eastAsia="Arial" w:hAnsi="Arial"/>
          <w:sz w:val="17"/>
          <w:szCs w:val="17"/>
          <w:color w:val="auto"/>
        </w:rPr>
        <w:t xml:space="preserve">, respectively, indicating such change until the date immediately preceding the next date of delivery of such financial statements and certificates indicating another such change. Notwithstanding the foregoing, the Leverage Ratio shall be deemed to be in Level I (i) at any time during which Borrower has failed to deliver the financial statements and certificates required by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5.01(c)</w:t>
      </w:r>
      <w:r>
        <w:rPr>
          <w:rFonts w:ascii="Arial" w:cs="Arial" w:eastAsia="Arial" w:hAnsi="Arial"/>
          <w:sz w:val="17"/>
          <w:szCs w:val="17"/>
          <w:color w:val="auto"/>
        </w:rPr>
        <w:t>, respectively, and (ii) at any time during the existence of an Event of Default.</w:t>
      </w:r>
    </w:p>
    <w:p>
      <w:pPr>
        <w:spacing w:after="0" w:line="200" w:lineRule="exact"/>
        <w:rPr>
          <w:sz w:val="20"/>
          <w:szCs w:val="20"/>
          <w:color w:val="auto"/>
        </w:rPr>
      </w:pPr>
    </w:p>
    <w:p>
      <w:pPr>
        <w:spacing w:after="0" w:line="249"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In the event that any financial statement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any Compliance Certificate is inaccurate (regardless of whether this Agreement or the Commitments are in effect when such inaccuracy is discovered), and such inaccuracy, if corrected, would have led to the application of a higher Applicable Margin for any period (an “</w:t>
      </w:r>
      <w:r>
        <w:rPr>
          <w:rFonts w:ascii="Arial" w:cs="Arial" w:eastAsia="Arial" w:hAnsi="Arial"/>
          <w:sz w:val="17"/>
          <w:szCs w:val="17"/>
          <w:b w:val="1"/>
          <w:bCs w:val="1"/>
          <w:color w:val="auto"/>
        </w:rPr>
        <w:t>Applicable Period</w:t>
      </w:r>
      <w:r>
        <w:rPr>
          <w:rFonts w:ascii="Arial" w:cs="Arial" w:eastAsia="Arial" w:hAnsi="Arial"/>
          <w:sz w:val="17"/>
          <w:szCs w:val="17"/>
          <w:color w:val="auto"/>
        </w:rPr>
        <w:t xml:space="preserve">”) than the Applicable Margin applied for such Applicable Period, then (i) Borrower shall immediately deliver to the Administrative Agent a corrected financial statement and a corrected Compliance Certificate for such Applicable Period, (ii) the Applicable Margin shall be determined based on the corrected Compliance Certificate for such Applicable Period, and (iii) Borrower shall immediately pay to the Administrative Agent the accrued additional interest owing as a result of such increased Applicable Margin for such Applicable Period, which payment shall be promptly applied by the Administrative Agent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None of the foregoing shall limit the rights of the Administrative Agent or the Lenders with respect to </w:t>
      </w:r>
      <w:r>
        <w:rPr>
          <w:rFonts w:ascii="Arial" w:cs="Arial" w:eastAsia="Arial" w:hAnsi="Arial"/>
          <w:sz w:val="17"/>
          <w:szCs w:val="17"/>
          <w:u w:val="single" w:color="auto"/>
          <w:color w:val="auto"/>
        </w:rPr>
        <w:t>Section 2.06(d)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9" w:name="page140"/>
    <w:bookmarkEnd w:id="139"/>
    <w:p>
      <w:pPr>
        <w:ind w:left="10060"/>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80" w:type="dxa"/>
            <w:vAlign w:val="bottom"/>
            <w:gridSpan w:val="2"/>
          </w:tcPr>
          <w:p>
            <w:pPr>
              <w:ind w:left="2180"/>
              <w:spacing w:after="0"/>
              <w:rPr>
                <w:sz w:val="20"/>
                <w:szCs w:val="20"/>
                <w:color w:val="auto"/>
              </w:rPr>
            </w:pPr>
            <w:r>
              <w:rPr>
                <w:rFonts w:ascii="Arial" w:cs="Arial" w:eastAsia="Arial" w:hAnsi="Arial"/>
                <w:sz w:val="18"/>
                <w:szCs w:val="18"/>
                <w:b w:val="1"/>
                <w:bCs w:val="1"/>
                <w:color w:val="auto"/>
                <w:w w:val="97"/>
              </w:rPr>
              <w:t>Annex II</w:t>
            </w:r>
          </w:p>
        </w:tc>
        <w:tc>
          <w:tcPr>
            <w:tcW w:w="0" w:type="dxa"/>
            <w:vAlign w:val="bottom"/>
          </w:tcPr>
          <w:p>
            <w:pPr>
              <w:spacing w:after="0"/>
              <w:rPr>
                <w:sz w:val="1"/>
                <w:szCs w:val="1"/>
                <w:color w:val="auto"/>
              </w:rPr>
            </w:pPr>
          </w:p>
        </w:tc>
      </w:tr>
      <w:tr>
        <w:trPr>
          <w:trHeight w:val="702"/>
        </w:trPr>
        <w:tc>
          <w:tcPr>
            <w:tcW w:w="2700" w:type="dxa"/>
            <w:vAlign w:val="bottom"/>
          </w:tcPr>
          <w:p>
            <w:pPr>
              <w:spacing w:after="0"/>
              <w:rPr>
                <w:sz w:val="24"/>
                <w:szCs w:val="24"/>
                <w:color w:val="auto"/>
              </w:rPr>
            </w:pPr>
          </w:p>
        </w:tc>
        <w:tc>
          <w:tcPr>
            <w:tcW w:w="5860" w:type="dxa"/>
            <w:vAlign w:val="bottom"/>
            <w:gridSpan w:val="2"/>
          </w:tcPr>
          <w:p>
            <w:pPr>
              <w:ind w:left="2260"/>
              <w:spacing w:after="0"/>
              <w:rPr>
                <w:sz w:val="20"/>
                <w:szCs w:val="20"/>
                <w:color w:val="auto"/>
              </w:rPr>
            </w:pPr>
            <w:r>
              <w:rPr>
                <w:rFonts w:ascii="Arial" w:cs="Arial" w:eastAsia="Arial" w:hAnsi="Arial"/>
                <w:sz w:val="18"/>
                <w:szCs w:val="18"/>
                <w:b w:val="1"/>
                <w:bCs w:val="1"/>
                <w:color w:val="auto"/>
              </w:rPr>
              <w:t>Amortization Table</w:t>
            </w: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2"/>
              </w:rPr>
              <w:t>Date</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4"/>
              </w:rPr>
              <w:t>Dollar Term Loan Amount</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Euro Term Loan Amount</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GBP Term Loan Amount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7"/>
              </w:rPr>
              <w:t>June 30, 2007</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September 30, 2007</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December 31, 2007</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March 31, 2008</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7"/>
              </w:rPr>
              <w:t>June 30, 2008</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September 30, 2008</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December 31, 2008</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March 31, 2009</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7"/>
              </w:rPr>
              <w:t>June 30, 2009</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September 30, 2009</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December 31, 2009</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March 31, 2010</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7"/>
              </w:rPr>
              <w:t>June 30, 2010</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September 30, 2010</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December 31, 2010</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March 31, 2011</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7"/>
              </w:rPr>
              <w:t>June 30, 2011</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September 30, 2011</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December 31, 2011</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March 31, 2012</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7"/>
              </w:rPr>
              <w:t>June 30, 2012</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September 30, 2012</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December 31, 2012</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March 31, 2013</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7"/>
              </w:rPr>
              <w:t>June 30, 2013</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September 30, 2013</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December 31, 2013</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March 31, 2014</w:t>
            </w:r>
          </w:p>
        </w:tc>
        <w:tc>
          <w:tcPr>
            <w:tcW w:w="3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$1,512,750</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€837,500</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0" w:gutter="0" w:footer="0" w:header="0"/>
        </w:sectPr>
      </w:pPr>
    </w:p>
    <w:bookmarkStart w:id="140" w:name="page141"/>
    <w:bookmarkEnd w:id="140"/>
    <w:p>
      <w:pPr>
        <w:spacing w:after="0"/>
        <w:tabs>
          <w:tab w:leader="none" w:pos="2580" w:val="left"/>
          <w:tab w:leader="none" w:pos="5440" w:val="left"/>
          <w:tab w:leader="none" w:pos="8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Term Loan Maturity Date</w:t>
      </w:r>
      <w:r>
        <w:rPr>
          <w:sz w:val="20"/>
          <w:szCs w:val="20"/>
          <w:color w:val="auto"/>
        </w:rPr>
        <w:tab/>
      </w:r>
      <w:r>
        <w:rPr>
          <w:rFonts w:ascii="Arial" w:cs="Arial" w:eastAsia="Arial" w:hAnsi="Arial"/>
          <w:sz w:val="18"/>
          <w:szCs w:val="18"/>
          <w:color w:val="auto"/>
        </w:rPr>
        <w:t>Remaining outstanding principal</w:t>
      </w:r>
      <w:r>
        <w:rPr>
          <w:sz w:val="20"/>
          <w:szCs w:val="20"/>
          <w:color w:val="auto"/>
        </w:rPr>
        <w:tab/>
      </w:r>
      <w:r>
        <w:rPr>
          <w:rFonts w:ascii="Arial" w:cs="Arial" w:eastAsia="Arial" w:hAnsi="Arial"/>
          <w:sz w:val="18"/>
          <w:szCs w:val="18"/>
          <w:color w:val="auto"/>
        </w:rPr>
        <w:t>Remaining outstanding principal</w:t>
      </w:r>
      <w:r>
        <w:rPr>
          <w:sz w:val="20"/>
          <w:szCs w:val="20"/>
          <w:color w:val="auto"/>
        </w:rPr>
        <w:tab/>
      </w:r>
      <w:r>
        <w:rPr>
          <w:rFonts w:ascii="Arial" w:cs="Arial" w:eastAsia="Arial" w:hAnsi="Arial"/>
          <w:sz w:val="16"/>
          <w:szCs w:val="16"/>
          <w:color w:val="auto"/>
        </w:rPr>
        <w:t>Remaining outstanding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252730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740" w:top="368" w:right="49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Annex III</w:t>
      </w:r>
    </w:p>
    <w:p>
      <w:pPr>
        <w:spacing w:after="0" w:line="200" w:lineRule="exact"/>
        <w:rPr>
          <w:sz w:val="20"/>
          <w:szCs w:val="20"/>
          <w:color w:val="auto"/>
        </w:rPr>
      </w:pPr>
    </w:p>
    <w:p>
      <w:pPr>
        <w:spacing w:after="0" w:line="295" w:lineRule="exact"/>
        <w:rPr>
          <w:sz w:val="20"/>
          <w:szCs w:val="20"/>
          <w:color w:val="auto"/>
        </w:rPr>
      </w:pPr>
    </w:p>
    <w:p>
      <w:pPr>
        <w:jc w:val="center"/>
        <w:ind w:right="411"/>
        <w:spacing w:after="0"/>
        <w:rPr>
          <w:sz w:val="20"/>
          <w:szCs w:val="20"/>
          <w:color w:val="auto"/>
        </w:rPr>
      </w:pPr>
      <w:r>
        <w:rPr>
          <w:rFonts w:ascii="Arial" w:cs="Arial" w:eastAsia="Arial" w:hAnsi="Arial"/>
          <w:sz w:val="18"/>
          <w:szCs w:val="18"/>
          <w:b w:val="1"/>
          <w:bCs w:val="1"/>
          <w:color w:val="auto"/>
        </w:rPr>
        <w:t>Mandatory Cost Formula</w:t>
      </w:r>
    </w:p>
    <w:p>
      <w:pPr>
        <w:spacing w:after="0" w:line="256" w:lineRule="exact"/>
        <w:rPr>
          <w:sz w:val="20"/>
          <w:szCs w:val="20"/>
          <w:color w:val="auto"/>
        </w:rPr>
      </w:pPr>
    </w:p>
    <w:p>
      <w:pPr>
        <w:jc w:val="both"/>
        <w:ind w:left="229" w:hanging="229"/>
        <w:spacing w:after="0" w:line="264" w:lineRule="auto"/>
        <w:tabs>
          <w:tab w:leader="none" w:pos="22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Mandatory Cost is an addition to the interest rate to compensate Lenders for the cost of compliance with (a) the requirements of the Bank of England and/or the Financial Services Authority (or, in either case, any other authority which replaces all or any of its functions) or (b) the requirements of the European Central Bank.</w:t>
      </w:r>
    </w:p>
    <w:p>
      <w:pPr>
        <w:spacing w:after="0" w:line="208" w:lineRule="exact"/>
        <w:rPr>
          <w:rFonts w:ascii="Arial" w:cs="Arial" w:eastAsia="Arial" w:hAnsi="Arial"/>
          <w:sz w:val="18"/>
          <w:szCs w:val="18"/>
          <w:color w:val="auto"/>
        </w:rPr>
      </w:pPr>
    </w:p>
    <w:p>
      <w:pPr>
        <w:jc w:val="both"/>
        <w:ind w:left="229" w:hanging="229"/>
        <w:spacing w:after="0" w:line="259" w:lineRule="auto"/>
        <w:tabs>
          <w:tab w:leader="none" w:pos="22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On the first day of each Interest Period (or as soon as possible thereafter) the Administrative Agent shall calculate, as a percentage rate, a rate (the “</w:t>
      </w:r>
      <w:r>
        <w:rPr>
          <w:rFonts w:ascii="Arial" w:cs="Arial" w:eastAsia="Arial" w:hAnsi="Arial"/>
          <w:sz w:val="18"/>
          <w:szCs w:val="18"/>
          <w:b w:val="1"/>
          <w:bCs w:val="1"/>
          <w:color w:val="auto"/>
        </w:rPr>
        <w:t>Additional Cost Rate</w:t>
      </w:r>
      <w:r>
        <w:rPr>
          <w:rFonts w:ascii="Arial" w:cs="Arial" w:eastAsia="Arial" w:hAnsi="Arial"/>
          <w:sz w:val="18"/>
          <w:szCs w:val="18"/>
          <w:color w:val="auto"/>
        </w:rPr>
        <w:t>”) for each Lender, in accordance with the paragraphs set out below. The Mandatory Cost will be calculated by the Administrative Agent as a weighted average of the Lenders’ Additional Cost Rates (weighted in proportion to the percentage participation of each Lender in the relevant Loan) and will be expressed as a percentage rate per annum.</w:t>
      </w:r>
    </w:p>
    <w:p>
      <w:pPr>
        <w:spacing w:after="0" w:line="213" w:lineRule="exact"/>
        <w:rPr>
          <w:rFonts w:ascii="Arial" w:cs="Arial" w:eastAsia="Arial" w:hAnsi="Arial"/>
          <w:sz w:val="18"/>
          <w:szCs w:val="18"/>
          <w:color w:val="auto"/>
        </w:rPr>
      </w:pPr>
    </w:p>
    <w:p>
      <w:pPr>
        <w:jc w:val="both"/>
        <w:ind w:left="229" w:hanging="229"/>
        <w:spacing w:after="0" w:line="279" w:lineRule="auto"/>
        <w:tabs>
          <w:tab w:leader="none" w:pos="229"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Additional Cost Rate for any Lender lending from a Facility Office in a Participating Member State will be the percentage notified by that Lender to the Administrative Agent. This percentage will be certified by that Lender in its notice to the Administrative Agent to be its reasonable determination of the cost (expressed as a percentage of that Lender’s participation in all Loans made from that Facility Office) of complying with the minimum reserve requirements of the European Central Bank in respect of loans made from that Facility Office.</w:t>
      </w:r>
    </w:p>
    <w:p>
      <w:pPr>
        <w:spacing w:after="0" w:line="198" w:lineRule="exact"/>
        <w:rPr>
          <w:rFonts w:ascii="Arial" w:cs="Arial" w:eastAsia="Arial" w:hAnsi="Arial"/>
          <w:sz w:val="17"/>
          <w:szCs w:val="17"/>
          <w:color w:val="auto"/>
        </w:rPr>
      </w:pPr>
    </w:p>
    <w:p>
      <w:pPr>
        <w:ind w:left="229" w:hanging="229"/>
        <w:spacing w:after="0" w:line="277" w:lineRule="auto"/>
        <w:tabs>
          <w:tab w:leader="none" w:pos="22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Additional Cost Rate for any Lender lending from a Facility Office in the United Kingdom will be calculated by the Administrative Agent as follows:</w:t>
      </w:r>
    </w:p>
    <w:p>
      <w:pPr>
        <w:spacing w:after="0" w:line="197" w:lineRule="exact"/>
        <w:rPr>
          <w:rFonts w:ascii="Arial" w:cs="Arial" w:eastAsia="Arial" w:hAnsi="Arial"/>
          <w:sz w:val="18"/>
          <w:szCs w:val="18"/>
          <w:color w:val="auto"/>
        </w:rPr>
      </w:pPr>
    </w:p>
    <w:p>
      <w:pPr>
        <w:ind w:left="1029" w:hanging="283"/>
        <w:spacing w:after="0"/>
        <w:tabs>
          <w:tab w:leader="none" w:pos="1029"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in relation to a GBP Loan:</w:t>
      </w:r>
    </w:p>
    <w:p>
      <w:pPr>
        <w:spacing w:after="0" w:line="252" w:lineRule="exact"/>
        <w:rPr>
          <w:sz w:val="20"/>
          <w:szCs w:val="20"/>
          <w:color w:val="auto"/>
        </w:rPr>
      </w:pPr>
    </w:p>
    <w:p>
      <w:pPr>
        <w:ind w:left="869"/>
        <w:spacing w:after="0"/>
        <w:rPr>
          <w:sz w:val="20"/>
          <w:szCs w:val="20"/>
          <w:color w:val="auto"/>
        </w:rPr>
      </w:pPr>
      <w:r>
        <w:rPr>
          <w:rFonts w:ascii="Arial" w:cs="Arial" w:eastAsia="Arial" w:hAnsi="Arial"/>
          <w:sz w:val="18"/>
          <w:szCs w:val="18"/>
          <w:color w:val="auto"/>
        </w:rPr>
        <w:t>[Missing Graphic Reference] per cent. per annum</w:t>
      </w:r>
    </w:p>
    <w:p>
      <w:pPr>
        <w:spacing w:after="0" w:line="23" w:lineRule="exact"/>
        <w:rPr>
          <w:sz w:val="20"/>
          <w:szCs w:val="20"/>
          <w:color w:val="auto"/>
        </w:rPr>
      </w:pPr>
    </w:p>
    <w:p>
      <w:pPr>
        <w:ind w:left="729"/>
        <w:spacing w:after="0"/>
        <w:rPr>
          <w:sz w:val="20"/>
          <w:szCs w:val="20"/>
          <w:color w:val="auto"/>
        </w:rPr>
      </w:pPr>
      <w:r>
        <w:rPr>
          <w:rFonts w:ascii="Arial" w:cs="Arial" w:eastAsia="Arial" w:hAnsi="Arial"/>
          <w:sz w:val="18"/>
          <w:szCs w:val="18"/>
          <w:color w:val="auto"/>
        </w:rPr>
        <w:t>(b) in relation to a Loan in any currency other than GBP:</w:t>
      </w:r>
    </w:p>
    <w:p>
      <w:pPr>
        <w:spacing w:after="0" w:line="238" w:lineRule="exact"/>
        <w:rPr>
          <w:sz w:val="20"/>
          <w:szCs w:val="20"/>
          <w:color w:val="auto"/>
        </w:rPr>
      </w:pPr>
    </w:p>
    <w:p>
      <w:pPr>
        <w:ind w:left="869"/>
        <w:spacing w:after="0"/>
        <w:rPr>
          <w:sz w:val="20"/>
          <w:szCs w:val="20"/>
          <w:color w:val="auto"/>
        </w:rPr>
      </w:pPr>
      <w:r>
        <w:rPr>
          <w:rFonts w:ascii="Arial" w:cs="Arial" w:eastAsia="Arial" w:hAnsi="Arial"/>
          <w:sz w:val="18"/>
          <w:szCs w:val="18"/>
          <w:color w:val="auto"/>
        </w:rPr>
        <w:t>[Missing Graphic Reference] per cent. per annum.</w:t>
      </w:r>
    </w:p>
    <w:p>
      <w:pPr>
        <w:spacing w:after="0" w:line="23" w:lineRule="exact"/>
        <w:rPr>
          <w:sz w:val="20"/>
          <w:szCs w:val="20"/>
          <w:color w:val="auto"/>
        </w:rPr>
      </w:pPr>
    </w:p>
    <w:p>
      <w:pPr>
        <w:ind w:left="229"/>
        <w:spacing w:after="0"/>
        <w:rPr>
          <w:sz w:val="20"/>
          <w:szCs w:val="20"/>
          <w:color w:val="auto"/>
        </w:rPr>
      </w:pPr>
      <w:r>
        <w:rPr>
          <w:rFonts w:ascii="Arial" w:cs="Arial" w:eastAsia="Arial" w:hAnsi="Arial"/>
          <w:sz w:val="18"/>
          <w:szCs w:val="18"/>
          <w:color w:val="auto"/>
        </w:rPr>
        <w:t>Where:</w:t>
      </w:r>
    </w:p>
    <w:p>
      <w:pPr>
        <w:spacing w:after="0" w:line="238" w:lineRule="exact"/>
        <w:rPr>
          <w:sz w:val="20"/>
          <w:szCs w:val="20"/>
          <w:color w:val="auto"/>
        </w:rPr>
      </w:pPr>
    </w:p>
    <w:p>
      <w:pPr>
        <w:ind w:left="789" w:hanging="658"/>
        <w:spacing w:after="0" w:line="277" w:lineRule="auto"/>
        <w:tabs>
          <w:tab w:leader="none" w:pos="78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is the percentage of Eligible Liabilities (assuming these to be in excess of any stated minimum) which that Lender is from time to time required to maintain as an interest free cash ratio deposit with the Bank of England to comply with cash ratio requirements.</w:t>
      </w:r>
    </w:p>
    <w:p>
      <w:pPr>
        <w:spacing w:after="0" w:line="197" w:lineRule="exact"/>
        <w:rPr>
          <w:sz w:val="20"/>
          <w:szCs w:val="20"/>
          <w:color w:val="auto"/>
        </w:rPr>
      </w:pPr>
    </w:p>
    <w:p>
      <w:pPr>
        <w:ind w:left="789" w:hanging="658"/>
        <w:spacing w:after="0" w:line="277" w:lineRule="auto"/>
        <w:tabs>
          <w:tab w:leader="none" w:pos="78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is the percentage rate of interest (excluding the Applicable Margin and the Mandatory Cost and, if the Loan is an Unpaid Sum, the additional rate of interest specified in </w:t>
      </w:r>
      <w:r>
        <w:rPr>
          <w:rFonts w:ascii="Arial" w:cs="Arial" w:eastAsia="Arial" w:hAnsi="Arial"/>
          <w:sz w:val="18"/>
          <w:szCs w:val="18"/>
          <w:u w:val="single" w:color="auto"/>
          <w:color w:val="auto"/>
        </w:rPr>
        <w:t>Section 2.06(d)</w:t>
      </w:r>
      <w:r>
        <w:rPr>
          <w:rFonts w:ascii="Arial" w:cs="Arial" w:eastAsia="Arial" w:hAnsi="Arial"/>
          <w:sz w:val="18"/>
          <w:szCs w:val="18"/>
          <w:color w:val="auto"/>
        </w:rPr>
        <w:t>) payable for the relevant Interest Period on the Loan.</w:t>
      </w:r>
    </w:p>
    <w:p>
      <w:pPr>
        <w:spacing w:after="0" w:line="197" w:lineRule="exact"/>
        <w:rPr>
          <w:sz w:val="20"/>
          <w:szCs w:val="20"/>
          <w:color w:val="auto"/>
        </w:rPr>
      </w:pPr>
    </w:p>
    <w:p>
      <w:pPr>
        <w:ind w:left="789" w:hanging="658"/>
        <w:spacing w:after="0" w:line="277" w:lineRule="auto"/>
        <w:tabs>
          <w:tab w:leader="none" w:pos="78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is the percentage (if any) of Eligible Liabilities which that Lender is required from time to time to maintain as interest bearing Special Deposits with the Bank of England.</w:t>
      </w:r>
    </w:p>
    <w:p>
      <w:pPr>
        <w:spacing w:after="0" w:line="197" w:lineRule="exact"/>
        <w:rPr>
          <w:sz w:val="20"/>
          <w:szCs w:val="20"/>
          <w:color w:val="auto"/>
        </w:rPr>
      </w:pPr>
    </w:p>
    <w:p>
      <w:pPr>
        <w:ind w:left="789" w:right="20" w:hanging="658"/>
        <w:spacing w:after="0" w:line="277" w:lineRule="auto"/>
        <w:tabs>
          <w:tab w:leader="none" w:pos="789"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is the percentage rate per annum payable by the Bank of England to the Administrative Agent (or such other bank as may be designated by the Administrative Agent in consultation with Borrower) on interest bearing Special Deposits.</w:t>
      </w:r>
    </w:p>
    <w:p>
      <w:pPr>
        <w:spacing w:after="0" w:line="197" w:lineRule="exact"/>
        <w:rPr>
          <w:sz w:val="20"/>
          <w:szCs w:val="20"/>
          <w:color w:val="auto"/>
        </w:rPr>
      </w:pPr>
    </w:p>
    <w:p>
      <w:pPr>
        <w:jc w:val="both"/>
        <w:ind w:left="789" w:hanging="658"/>
        <w:spacing w:after="0" w:line="264" w:lineRule="auto"/>
        <w:tabs>
          <w:tab w:leader="none" w:pos="789" w:val="left"/>
        </w:tabs>
        <w:numPr>
          <w:ilvl w:val="1"/>
          <w:numId w:val="319"/>
        </w:numPr>
        <w:rPr>
          <w:rFonts w:ascii="Arial" w:cs="Arial" w:eastAsia="Arial" w:hAnsi="Arial"/>
          <w:sz w:val="18"/>
          <w:szCs w:val="18"/>
          <w:color w:val="auto"/>
        </w:rPr>
      </w:pPr>
      <w:r>
        <w:rPr>
          <w:rFonts w:ascii="Arial" w:cs="Arial" w:eastAsia="Arial" w:hAnsi="Arial"/>
          <w:sz w:val="18"/>
          <w:szCs w:val="18"/>
          <w:color w:val="auto"/>
        </w:rPr>
        <w:t>is designed to compensate Lenders for amounts payable under the Fees Rules and is calculated by the Administrative Agent as being the average of the most recent rates of charge supplied by the Reference Banks to the Administrative Agent pursuant to paragraph 7 below and expressed in GBP per £1,000,000.</w:t>
      </w:r>
    </w:p>
    <w:p>
      <w:pPr>
        <w:spacing w:after="0" w:line="208" w:lineRule="exact"/>
        <w:rPr>
          <w:rFonts w:ascii="Arial" w:cs="Arial" w:eastAsia="Arial" w:hAnsi="Arial"/>
          <w:sz w:val="18"/>
          <w:szCs w:val="18"/>
          <w:color w:val="auto"/>
        </w:rPr>
      </w:pPr>
    </w:p>
    <w:p>
      <w:pPr>
        <w:ind w:left="229" w:hanging="229"/>
        <w:spacing w:after="0"/>
        <w:tabs>
          <w:tab w:leader="none" w:pos="22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For the purposes of this Schedule:</w:t>
      </w:r>
    </w:p>
    <w:p>
      <w:pPr>
        <w:spacing w:after="0" w:line="248" w:lineRule="exact"/>
        <w:rPr>
          <w:rFonts w:ascii="Arial" w:cs="Arial" w:eastAsia="Arial" w:hAnsi="Arial"/>
          <w:sz w:val="18"/>
          <w:szCs w:val="18"/>
          <w:color w:val="auto"/>
        </w:rPr>
      </w:pPr>
    </w:p>
    <w:p>
      <w:pPr>
        <w:ind w:left="1029" w:hanging="283"/>
        <w:spacing w:after="0" w:line="282" w:lineRule="auto"/>
        <w:tabs>
          <w:tab w:leader="none" w:pos="1029" w:val="left"/>
        </w:tabs>
        <w:numPr>
          <w:ilvl w:val="2"/>
          <w:numId w:val="3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Liabilities</w:t>
      </w:r>
      <w:r>
        <w:rPr>
          <w:rFonts w:ascii="Arial" w:cs="Arial" w:eastAsia="Arial" w:hAnsi="Arial"/>
          <w:sz w:val="18"/>
          <w:szCs w:val="18"/>
          <w:color w:val="auto"/>
        </w:rPr>
        <w:t>” and “</w:t>
      </w:r>
      <w:r>
        <w:rPr>
          <w:rFonts w:ascii="Arial" w:cs="Arial" w:eastAsia="Arial" w:hAnsi="Arial"/>
          <w:sz w:val="18"/>
          <w:szCs w:val="18"/>
          <w:b w:val="1"/>
          <w:bCs w:val="1"/>
          <w:color w:val="auto"/>
        </w:rPr>
        <w:t>Special Deposits</w:t>
      </w:r>
      <w:r>
        <w:rPr>
          <w:rFonts w:ascii="Arial" w:cs="Arial" w:eastAsia="Arial" w:hAnsi="Arial"/>
          <w:sz w:val="18"/>
          <w:szCs w:val="18"/>
          <w:color w:val="auto"/>
        </w:rPr>
        <w:t>” have the meanings given to them from time to time under or pursuant to the Bank of England Act 1998 or (as may be appropriate) by the Bank of England;</w:t>
      </w:r>
    </w:p>
    <w:p>
      <w:pPr>
        <w:spacing w:after="0" w:line="188" w:lineRule="exact"/>
        <w:rPr>
          <w:rFonts w:ascii="Arial" w:cs="Arial" w:eastAsia="Arial" w:hAnsi="Arial"/>
          <w:sz w:val="18"/>
          <w:szCs w:val="18"/>
          <w:color w:val="auto"/>
        </w:rPr>
      </w:pPr>
    </w:p>
    <w:p>
      <w:pPr>
        <w:jc w:val="both"/>
        <w:ind w:left="1029" w:hanging="293"/>
        <w:spacing w:after="0" w:line="266" w:lineRule="auto"/>
        <w:tabs>
          <w:tab w:leader="none" w:pos="1029" w:val="left"/>
        </w:tabs>
        <w:numPr>
          <w:ilvl w:val="2"/>
          <w:numId w:val="3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the office or offices notified by a Lender to the Administrative Agent in writing on or before the date it becomes a Lender (or, following that date, by not less than five Business Days’ written notice) as the office or offices through which it will perform its obligations under this Agreement;</w:t>
      </w:r>
    </w:p>
    <w:p>
      <w:pPr>
        <w:spacing w:after="0" w:line="203" w:lineRule="exact"/>
        <w:rPr>
          <w:rFonts w:ascii="Arial" w:cs="Arial" w:eastAsia="Arial" w:hAnsi="Arial"/>
          <w:sz w:val="18"/>
          <w:szCs w:val="18"/>
          <w:color w:val="auto"/>
        </w:rPr>
      </w:pPr>
    </w:p>
    <w:p>
      <w:pPr>
        <w:ind w:left="1029" w:hanging="283"/>
        <w:spacing w:after="0" w:line="282" w:lineRule="auto"/>
        <w:tabs>
          <w:tab w:leader="none" w:pos="1029" w:val="left"/>
        </w:tabs>
        <w:numPr>
          <w:ilvl w:val="2"/>
          <w:numId w:val="3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Fees Rules</w:t>
      </w:r>
      <w:r>
        <w:rPr>
          <w:rFonts w:ascii="Arial" w:cs="Arial" w:eastAsia="Arial" w:hAnsi="Arial"/>
          <w:sz w:val="18"/>
          <w:szCs w:val="18"/>
          <w:color w:val="auto"/>
        </w:rPr>
        <w:t>” means the rules on periodic fees contained in the FSA Supervision Manual or such other law or regulation as may be in force from time to time in respect of the payment of fees for the acceptance of deposits;</w:t>
      </w:r>
    </w:p>
    <w:p>
      <w:pPr>
        <w:spacing w:after="0" w:line="188" w:lineRule="exact"/>
        <w:rPr>
          <w:rFonts w:ascii="Arial" w:cs="Arial" w:eastAsia="Arial" w:hAnsi="Arial"/>
          <w:sz w:val="18"/>
          <w:szCs w:val="18"/>
          <w:color w:val="auto"/>
        </w:rPr>
      </w:pPr>
    </w:p>
    <w:p>
      <w:pPr>
        <w:ind w:left="1029" w:hanging="293"/>
        <w:spacing w:after="0" w:line="282" w:lineRule="auto"/>
        <w:tabs>
          <w:tab w:leader="none" w:pos="1029" w:val="left"/>
        </w:tabs>
        <w:numPr>
          <w:ilvl w:val="2"/>
          <w:numId w:val="3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Fee Tariffs</w:t>
      </w:r>
      <w:r>
        <w:rPr>
          <w:rFonts w:ascii="Arial" w:cs="Arial" w:eastAsia="Arial" w:hAnsi="Arial"/>
          <w:sz w:val="18"/>
          <w:szCs w:val="18"/>
          <w:color w:val="auto"/>
        </w:rPr>
        <w:t>” means the fee tariffs specified in the Fees Rules under the activity group A.1 Deposit acceptors (ignoring any minimum fee or zero rated fee required pursuant to the Fees Rules but taking into account any applicable discount rate);</w:t>
      </w:r>
    </w:p>
    <w:p>
      <w:pPr>
        <w:spacing w:after="0" w:line="188" w:lineRule="exact"/>
        <w:rPr>
          <w:rFonts w:ascii="Arial" w:cs="Arial" w:eastAsia="Arial" w:hAnsi="Arial"/>
          <w:sz w:val="18"/>
          <w:szCs w:val="18"/>
          <w:color w:val="auto"/>
        </w:rPr>
      </w:pPr>
    </w:p>
    <w:p>
      <w:pPr>
        <w:jc w:val="both"/>
        <w:ind w:left="1029" w:hanging="283"/>
        <w:spacing w:after="0" w:line="266" w:lineRule="auto"/>
        <w:tabs>
          <w:tab w:leader="none" w:pos="1029" w:val="left"/>
        </w:tabs>
        <w:numPr>
          <w:ilvl w:val="2"/>
          <w:numId w:val="3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in relation to each of the LIBOR Rate and the EURIBOR Rate and Mandatory Cost, the principal office in Los Angeles, California of Wells Fargo Bank, National Association, or such other bank or banks as may be designated by the Administrative Agent in consultation with Borrower;</w:t>
      </w:r>
    </w:p>
    <w:p>
      <w:pPr>
        <w:spacing w:after="0" w:line="203" w:lineRule="exact"/>
        <w:rPr>
          <w:rFonts w:ascii="Arial" w:cs="Arial" w:eastAsia="Arial" w:hAnsi="Arial"/>
          <w:sz w:val="18"/>
          <w:szCs w:val="18"/>
          <w:color w:val="auto"/>
        </w:rPr>
      </w:pPr>
    </w:p>
    <w:p>
      <w:pPr>
        <w:ind w:left="1029" w:hanging="263"/>
        <w:spacing w:after="0"/>
        <w:tabs>
          <w:tab w:leader="none" w:pos="1029" w:val="left"/>
        </w:tabs>
        <w:numPr>
          <w:ilvl w:val="2"/>
          <w:numId w:val="3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Tariff Base</w:t>
      </w:r>
      <w:r>
        <w:rPr>
          <w:rFonts w:ascii="Arial" w:cs="Arial" w:eastAsia="Arial" w:hAnsi="Arial"/>
          <w:sz w:val="18"/>
          <w:szCs w:val="18"/>
          <w:color w:val="auto"/>
        </w:rPr>
        <w:t>” has the meaning given to it in, and will be calculated in accordance with, the Fees Rules; and</w:t>
      </w:r>
    </w:p>
    <w:p>
      <w:pPr>
        <w:spacing w:after="0" w:line="252" w:lineRule="exact"/>
        <w:rPr>
          <w:rFonts w:ascii="Arial" w:cs="Arial" w:eastAsia="Arial" w:hAnsi="Arial"/>
          <w:sz w:val="18"/>
          <w:szCs w:val="18"/>
          <w:color w:val="auto"/>
        </w:rPr>
      </w:pPr>
    </w:p>
    <w:p>
      <w:pPr>
        <w:ind w:left="1029" w:hanging="293"/>
        <w:spacing w:after="0"/>
        <w:tabs>
          <w:tab w:leader="none" w:pos="1029" w:val="left"/>
        </w:tabs>
        <w:numPr>
          <w:ilvl w:val="2"/>
          <w:numId w:val="3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any Loan Party under the Loan Documents.</w:t>
      </w:r>
    </w:p>
    <w:p>
      <w:pPr>
        <w:spacing w:after="0" w:line="256" w:lineRule="exact"/>
        <w:rPr>
          <w:rFonts w:ascii="Arial" w:cs="Arial" w:eastAsia="Arial" w:hAnsi="Arial"/>
          <w:sz w:val="18"/>
          <w:szCs w:val="18"/>
          <w:color w:val="auto"/>
        </w:rPr>
      </w:pPr>
    </w:p>
    <w:p>
      <w:pPr>
        <w:ind w:left="229" w:hanging="229"/>
        <w:spacing w:after="0"/>
        <w:tabs>
          <w:tab w:leader="none" w:pos="229" w:val="left"/>
        </w:tabs>
        <w:numPr>
          <w:ilvl w:val="0"/>
          <w:numId w:val="319"/>
        </w:numPr>
        <w:rPr>
          <w:rFonts w:ascii="Arial" w:cs="Arial" w:eastAsia="Arial" w:hAnsi="Arial"/>
          <w:sz w:val="16"/>
          <w:szCs w:val="16"/>
          <w:color w:val="auto"/>
        </w:rPr>
      </w:pPr>
      <w:r>
        <w:rPr>
          <w:rFonts w:ascii="Arial" w:cs="Arial" w:eastAsia="Arial" w:hAnsi="Arial"/>
          <w:sz w:val="16"/>
          <w:szCs w:val="16"/>
          <w:color w:val="auto"/>
        </w:rPr>
        <w:t>In application of the above formulae, A, B, C and D will be included in the formulae as percentages (i.e. 5 per cent. will be included in the formula</w:t>
      </w:r>
    </w:p>
    <w:p>
      <w:pPr>
        <w:sectPr>
          <w:pgSz w:w="11900" w:h="16838" w:orient="portrait"/>
          <w:cols w:equalWidth="0" w:num="1">
            <w:col w:w="10989"/>
          </w:cols>
          <w:pgMar w:left="671" w:top="851" w:right="239" w:bottom="0" w:gutter="0" w:footer="0" w:header="0"/>
        </w:sectPr>
      </w:pPr>
    </w:p>
    <w:bookmarkStart w:id="142" w:name="page143"/>
    <w:bookmarkEnd w:id="142"/>
    <w:p>
      <w:pPr>
        <w:ind w:left="319"/>
        <w:spacing w:after="0" w:line="277" w:lineRule="auto"/>
        <w:rPr>
          <w:sz w:val="20"/>
          <w:szCs w:val="20"/>
          <w:color w:val="auto"/>
        </w:rPr>
      </w:pPr>
      <w:r>
        <w:rPr>
          <w:rFonts w:ascii="Arial" w:cs="Arial" w:eastAsia="Arial" w:hAnsi="Arial"/>
          <w:sz w:val="18"/>
          <w:szCs w:val="18"/>
          <w:color w:val="auto"/>
        </w:rPr>
        <w:t>as 5 and not as 0.05). A negative result obtained by subtracting D from B shall be taken as zero. The resulting figures shall be rounded to four decimal places.</w:t>
      </w:r>
    </w:p>
    <w:p>
      <w:pPr>
        <w:spacing w:after="0" w:line="197" w:lineRule="exact"/>
        <w:rPr>
          <w:sz w:val="20"/>
          <w:szCs w:val="20"/>
          <w:color w:val="auto"/>
        </w:rPr>
      </w:pPr>
    </w:p>
    <w:p>
      <w:pPr>
        <w:jc w:val="both"/>
        <w:ind w:left="319" w:hanging="229"/>
        <w:spacing w:after="0" w:line="257" w:lineRule="auto"/>
        <w:tabs>
          <w:tab w:leader="none" w:pos="31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If requested by the Administrative Agent, each Reference Bank shall, as soon as practicable after publication by the Financial Services Authority, supply to the Administrative Agent, the rate of charge payable by that Reference Bank to the Financial Services Authority pursuant to the Fees Rules in respect of the relevant financial year of the Financial Services Authority (calculated for this purpose by that Reference Bank as being the average of the Fee Tariffs applicable to that Reference Bank for that financial year) and expressed in pounds per £1,000,000 of the Tariff Base of that Reference Bank.</w:t>
      </w:r>
    </w:p>
    <w:p>
      <w:pPr>
        <w:spacing w:after="0" w:line="215" w:lineRule="exact"/>
        <w:rPr>
          <w:rFonts w:ascii="Arial" w:cs="Arial" w:eastAsia="Arial" w:hAnsi="Arial"/>
          <w:sz w:val="18"/>
          <w:szCs w:val="18"/>
          <w:color w:val="auto"/>
        </w:rPr>
      </w:pPr>
    </w:p>
    <w:p>
      <w:pPr>
        <w:ind w:left="319" w:right="20" w:hanging="229"/>
        <w:spacing w:after="0" w:line="308" w:lineRule="auto"/>
        <w:tabs>
          <w:tab w:leader="none" w:pos="319" w:val="left"/>
        </w:tabs>
        <w:numPr>
          <w:ilvl w:val="0"/>
          <w:numId w:val="320"/>
        </w:numPr>
        <w:rPr>
          <w:rFonts w:ascii="Arial" w:cs="Arial" w:eastAsia="Arial" w:hAnsi="Arial"/>
          <w:sz w:val="17"/>
          <w:szCs w:val="17"/>
          <w:color w:val="auto"/>
        </w:rPr>
      </w:pPr>
      <w:r>
        <w:rPr>
          <w:rFonts w:ascii="Arial" w:cs="Arial" w:eastAsia="Arial" w:hAnsi="Arial"/>
          <w:sz w:val="17"/>
          <w:szCs w:val="17"/>
          <w:color w:val="auto"/>
        </w:rPr>
        <w:t>Each Lender shall supply any information required by the Administrative Agent for the purpose of calculating its Additional Cost Rate. In particular, but without limitation, each Lender shall supply the following information on or prior to the date on which it becomes a Lender:</w:t>
      </w:r>
    </w:p>
    <w:p>
      <w:pPr>
        <w:spacing w:after="0" w:line="173" w:lineRule="exact"/>
        <w:rPr>
          <w:rFonts w:ascii="Arial" w:cs="Arial" w:eastAsia="Arial" w:hAnsi="Arial"/>
          <w:sz w:val="17"/>
          <w:szCs w:val="17"/>
          <w:color w:val="auto"/>
        </w:rPr>
      </w:pPr>
    </w:p>
    <w:p>
      <w:pPr>
        <w:ind w:left="1119" w:hanging="283"/>
        <w:spacing w:after="0"/>
        <w:tabs>
          <w:tab w:leader="none" w:pos="1119"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jurisdiction of its Facility Office; and</w:t>
      </w:r>
    </w:p>
    <w:p>
      <w:pPr>
        <w:spacing w:after="0" w:line="252" w:lineRule="exact"/>
        <w:rPr>
          <w:rFonts w:ascii="Arial" w:cs="Arial" w:eastAsia="Arial" w:hAnsi="Arial"/>
          <w:sz w:val="18"/>
          <w:szCs w:val="18"/>
          <w:color w:val="auto"/>
        </w:rPr>
      </w:pPr>
    </w:p>
    <w:p>
      <w:pPr>
        <w:ind w:left="1119" w:hanging="293"/>
        <w:spacing w:after="0"/>
        <w:tabs>
          <w:tab w:leader="none" w:pos="1119"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any other information that the Administrative Agent may reasonably require for such purpose.</w:t>
      </w:r>
    </w:p>
    <w:p>
      <w:pPr>
        <w:spacing w:after="0" w:line="252" w:lineRule="exact"/>
        <w:rPr>
          <w:sz w:val="20"/>
          <w:szCs w:val="20"/>
          <w:color w:val="auto"/>
        </w:rPr>
      </w:pPr>
    </w:p>
    <w:p>
      <w:pPr>
        <w:ind w:left="319"/>
        <w:spacing w:after="0"/>
        <w:rPr>
          <w:sz w:val="20"/>
          <w:szCs w:val="20"/>
          <w:color w:val="auto"/>
        </w:rPr>
      </w:pPr>
      <w:r>
        <w:rPr>
          <w:rFonts w:ascii="Arial" w:cs="Arial" w:eastAsia="Arial" w:hAnsi="Arial"/>
          <w:sz w:val="18"/>
          <w:szCs w:val="18"/>
          <w:color w:val="auto"/>
        </w:rPr>
        <w:t>Each Lender shall promptly notify the Administrative Agent of any change to the information provided by it pursuant to this paragraph.</w:t>
      </w:r>
    </w:p>
    <w:p>
      <w:pPr>
        <w:spacing w:after="0" w:line="252" w:lineRule="exact"/>
        <w:rPr>
          <w:sz w:val="20"/>
          <w:szCs w:val="20"/>
          <w:color w:val="auto"/>
        </w:rPr>
      </w:pPr>
    </w:p>
    <w:p>
      <w:pPr>
        <w:jc w:val="both"/>
        <w:ind w:left="319" w:hanging="229"/>
        <w:spacing w:after="0" w:line="302" w:lineRule="auto"/>
        <w:tabs>
          <w:tab w:leader="none" w:pos="31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percentages of each Lender for the purpose of A and C above and the rates of charge of each Reference Bank for the purpose of E above shall be determined by the Administrative Agent based upon the information supplied to it pursuant to paragraphs 7 and 8 above and on the assumption that, unless a Lender notifies the Administrative Agent to the contrary, each Lender’s obligations in relation to cash ratio deposits and Special Deposits are the same as those of a typical bank from its jurisdiction of incorporation with a Facility Office in the same jurisdiction as its Facility Office.</w:t>
      </w:r>
    </w:p>
    <w:p>
      <w:pPr>
        <w:spacing w:after="0" w:line="181" w:lineRule="exact"/>
        <w:rPr>
          <w:rFonts w:ascii="Arial" w:cs="Arial" w:eastAsia="Arial" w:hAnsi="Arial"/>
          <w:sz w:val="16"/>
          <w:szCs w:val="16"/>
          <w:color w:val="auto"/>
        </w:rPr>
      </w:pPr>
    </w:p>
    <w:p>
      <w:pPr>
        <w:jc w:val="both"/>
        <w:ind w:left="319" w:hanging="319"/>
        <w:spacing w:after="0" w:line="264" w:lineRule="auto"/>
        <w:tabs>
          <w:tab w:leader="none" w:pos="31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Administrative Agent shall have no liability to any person if such determination results in an Additional Cost Rate which over or under compensates any Lender and shall be entitled to assume that the information provided by any Lender or Reference Bank pursuant to paragraphs 3, 7 and 8 above is true and correct in all respects.</w:t>
      </w:r>
    </w:p>
    <w:p>
      <w:pPr>
        <w:spacing w:after="0" w:line="208" w:lineRule="exact"/>
        <w:rPr>
          <w:rFonts w:ascii="Arial" w:cs="Arial" w:eastAsia="Arial" w:hAnsi="Arial"/>
          <w:sz w:val="18"/>
          <w:szCs w:val="18"/>
          <w:color w:val="auto"/>
        </w:rPr>
      </w:pPr>
    </w:p>
    <w:p>
      <w:pPr>
        <w:jc w:val="both"/>
        <w:ind w:left="319" w:hanging="312"/>
        <w:spacing w:after="0" w:line="264" w:lineRule="auto"/>
        <w:tabs>
          <w:tab w:leader="none" w:pos="31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Administrative Agent shall distribute the additional amounts received as a result of the Mandatory Cost to the Lenders on the basis of the Additional Cost Rate for each Lender based on the information provided by each Lender and each Reference Bank pursuant to paragraphs 3, 7 and 8 above.</w:t>
      </w:r>
    </w:p>
    <w:p>
      <w:pPr>
        <w:spacing w:after="0" w:line="208" w:lineRule="exact"/>
        <w:rPr>
          <w:rFonts w:ascii="Arial" w:cs="Arial" w:eastAsia="Arial" w:hAnsi="Arial"/>
          <w:sz w:val="18"/>
          <w:szCs w:val="18"/>
          <w:color w:val="auto"/>
        </w:rPr>
      </w:pPr>
    </w:p>
    <w:p>
      <w:pPr>
        <w:ind w:left="319" w:hanging="319"/>
        <w:spacing w:after="0" w:line="308" w:lineRule="auto"/>
        <w:tabs>
          <w:tab w:leader="none" w:pos="319" w:val="left"/>
        </w:tabs>
        <w:numPr>
          <w:ilvl w:val="0"/>
          <w:numId w:val="321"/>
        </w:numPr>
        <w:rPr>
          <w:rFonts w:ascii="Arial" w:cs="Arial" w:eastAsia="Arial" w:hAnsi="Arial"/>
          <w:sz w:val="17"/>
          <w:szCs w:val="17"/>
          <w:color w:val="auto"/>
        </w:rPr>
      </w:pPr>
      <w:r>
        <w:rPr>
          <w:rFonts w:ascii="Arial" w:cs="Arial" w:eastAsia="Arial" w:hAnsi="Arial"/>
          <w:sz w:val="17"/>
          <w:szCs w:val="17"/>
          <w:color w:val="auto"/>
        </w:rPr>
        <w:t>Any determination by the Administrative Agent pursuant to this Schedule in relation to a formula, the Mandatory Cost, an Additional Cost Rate or any amount payable to a Lender shall, in the absence of manifest error, be conclusive and binding on all parties to this Agreement.</w:t>
      </w:r>
    </w:p>
    <w:p>
      <w:pPr>
        <w:spacing w:after="0" w:line="173" w:lineRule="exact"/>
        <w:rPr>
          <w:rFonts w:ascii="Arial" w:cs="Arial" w:eastAsia="Arial" w:hAnsi="Arial"/>
          <w:sz w:val="17"/>
          <w:szCs w:val="17"/>
          <w:color w:val="auto"/>
        </w:rPr>
      </w:pPr>
    </w:p>
    <w:p>
      <w:pPr>
        <w:jc w:val="both"/>
        <w:ind w:left="319" w:hanging="319"/>
        <w:spacing w:after="0" w:line="257" w:lineRule="auto"/>
        <w:tabs>
          <w:tab w:leader="none" w:pos="31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The Administrative Agent may from time to time, after consultation with Borrower and the Lenders, determine and notify to all parties to this Agreement any amendments which are required to be made to this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in order to comply with any change in law, regulation or any requirements from time to time imposed by the Bank of England, the Financial Services Authority or the European Central Bank (or, in any case, any other authority which replaces all or any of its functions) and any such determination shall, in the absence of manifest error, be conclusive and binding on all parties to this Agreement.</w:t>
      </w:r>
    </w:p>
    <w:p>
      <w:pPr>
        <w:sectPr>
          <w:pgSz w:w="11900" w:h="16838" w:orient="portrait"/>
          <w:cols w:equalWidth="0" w:num="1">
            <w:col w:w="11079"/>
          </w:cols>
          <w:pgMar w:left="581" w:top="125" w:right="239" w:bottom="1440" w:gutter="0" w:footer="0" w:header="0"/>
        </w:sectPr>
      </w:pPr>
    </w:p>
    <w:bookmarkStart w:id="143" w:name="page144"/>
    <w:bookmarkEnd w:id="143"/>
    <w:p>
      <w:pPr>
        <w:jc w:val="both"/>
        <w:spacing w:after="0" w:line="257" w:lineRule="auto"/>
        <w:tabs>
          <w:tab w:leader="none" w:pos="319"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M</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SECURITY AGREEMENT</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By</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as Borrower</w:t>
      </w:r>
    </w:p>
    <w:p>
      <w:pPr>
        <w:spacing w:after="0" w:line="238"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THE SUBSIDIARY GUARANTORS PARTY HERETO</w:t>
      </w:r>
    </w:p>
    <w:p>
      <w:pPr>
        <w:spacing w:after="0" w:line="264"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as Collateral Agent</w:t>
      </w:r>
    </w:p>
    <w:p>
      <w:pPr>
        <w:spacing w:after="0" w:line="238"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______________________</w:t>
      </w:r>
    </w:p>
    <w:p>
      <w:pPr>
        <w:spacing w:after="0" w:line="252"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April 18,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699135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1440" w:top="391" w:right="55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320" w:type="dxa"/>
            <w:vAlign w:val="bottom"/>
          </w:tcPr>
          <w:p>
            <w:pPr>
              <w:jc w:val="center"/>
              <w:ind w:right="1010"/>
              <w:spacing w:after="0"/>
              <w:rPr>
                <w:sz w:val="20"/>
                <w:szCs w:val="20"/>
                <w:color w:val="auto"/>
              </w:rPr>
            </w:pPr>
            <w:r>
              <w:rPr>
                <w:rFonts w:ascii="Arial" w:cs="Arial" w:eastAsia="Arial" w:hAnsi="Arial"/>
                <w:sz w:val="18"/>
                <w:szCs w:val="18"/>
                <w:color w:val="auto"/>
                <w:w w:val="95"/>
              </w:rPr>
              <w:t>TABLE OF CONTENTS</w:t>
            </w:r>
          </w:p>
        </w:tc>
        <w:tc>
          <w:tcPr>
            <w:tcW w:w="500" w:type="dxa"/>
            <w:vAlign w:val="bottom"/>
            <w:vMerge w:val="restart"/>
          </w:tcPr>
          <w:p>
            <w:pPr>
              <w:ind w:left="100"/>
              <w:spacing w:after="0"/>
              <w:rPr>
                <w:sz w:val="20"/>
                <w:szCs w:val="20"/>
                <w:color w:val="auto"/>
              </w:rPr>
            </w:pPr>
            <w:r>
              <w:rPr>
                <w:rFonts w:ascii="Arial" w:cs="Arial" w:eastAsia="Arial" w:hAnsi="Arial"/>
                <w:sz w:val="18"/>
                <w:szCs w:val="18"/>
                <w:color w:val="auto"/>
                <w:w w:val="90"/>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9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Pr>
          <w:p>
            <w:pPr>
              <w:spacing w:after="0" w:line="201" w:lineRule="exact"/>
              <w:rPr>
                <w:sz w:val="20"/>
                <w:szCs w:val="20"/>
                <w:color w:val="auto"/>
              </w:rPr>
            </w:pPr>
            <w:r>
              <w:rPr>
                <w:rFonts w:ascii="Arial" w:cs="Arial" w:eastAsia="Arial" w:hAnsi="Arial"/>
                <w:sz w:val="18"/>
                <w:szCs w:val="18"/>
                <w:color w:val="auto"/>
              </w:rPr>
              <w:t>PREAMBLE</w:t>
            </w:r>
          </w:p>
        </w:tc>
        <w:tc>
          <w:tcPr>
            <w:tcW w:w="9320" w:type="dxa"/>
            <w:vAlign w:val="bottom"/>
          </w:tcPr>
          <w:p>
            <w:pPr>
              <w:spacing w:after="0"/>
              <w:rPr>
                <w:sz w:val="17"/>
                <w:szCs w:val="17"/>
                <w:color w:val="auto"/>
              </w:rPr>
            </w:pPr>
          </w:p>
        </w:tc>
        <w:tc>
          <w:tcPr>
            <w:tcW w:w="500" w:type="dxa"/>
            <w:vAlign w:val="bottom"/>
          </w:tcPr>
          <w:p>
            <w:pPr>
              <w:ind w:left="60"/>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RECITALS</w:t>
            </w:r>
          </w:p>
        </w:tc>
        <w:tc>
          <w:tcPr>
            <w:tcW w:w="932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9320" w:type="dxa"/>
            <w:vAlign w:val="bottom"/>
            <w:vMerge w:val="restart"/>
          </w:tcPr>
          <w:p>
            <w:pPr>
              <w:jc w:val="center"/>
              <w:ind w:right="1010"/>
              <w:spacing w:after="0"/>
              <w:rPr>
                <w:sz w:val="20"/>
                <w:szCs w:val="20"/>
                <w:color w:val="auto"/>
              </w:rPr>
            </w:pPr>
            <w:r>
              <w:rPr>
                <w:rFonts w:ascii="Arial" w:cs="Arial" w:eastAsia="Arial" w:hAnsi="Arial"/>
                <w:sz w:val="18"/>
                <w:szCs w:val="18"/>
                <w:color w:val="auto"/>
                <w:w w:val="99"/>
              </w:rPr>
              <w:t>ARTICLE I</w:t>
            </w:r>
          </w:p>
        </w:tc>
        <w:tc>
          <w:tcPr>
            <w:tcW w:w="500" w:type="dxa"/>
            <w:vAlign w:val="bottom"/>
          </w:tcPr>
          <w:p>
            <w:pPr>
              <w:ind w:lef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3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320" w:type="dxa"/>
            <w:vAlign w:val="bottom"/>
          </w:tcPr>
          <w:p>
            <w:pPr>
              <w:jc w:val="center"/>
              <w:ind w:right="1010"/>
              <w:spacing w:after="0"/>
              <w:rPr>
                <w:sz w:val="20"/>
                <w:szCs w:val="20"/>
                <w:color w:val="auto"/>
              </w:rPr>
            </w:pPr>
            <w:r>
              <w:rPr>
                <w:rFonts w:ascii="Arial" w:cs="Arial" w:eastAsia="Arial" w:hAnsi="Arial"/>
                <w:sz w:val="18"/>
                <w:szCs w:val="18"/>
                <w:color w:val="auto"/>
                <w:w w:val="97"/>
              </w:rPr>
              <w:t>DEFINITIONS AND INTERPRETATION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1.1.</w:t>
            </w:r>
          </w:p>
        </w:tc>
        <w:tc>
          <w:tcPr>
            <w:tcW w:w="9320" w:type="dxa"/>
            <w:vAlign w:val="bottom"/>
          </w:tcPr>
          <w:p>
            <w:pPr>
              <w:ind w:left="700"/>
              <w:spacing w:after="0"/>
              <w:rPr>
                <w:sz w:val="20"/>
                <w:szCs w:val="20"/>
                <w:color w:val="auto"/>
              </w:rPr>
            </w:pPr>
            <w:r>
              <w:rPr>
                <w:rFonts w:ascii="Arial" w:cs="Arial" w:eastAsia="Arial" w:hAnsi="Arial"/>
                <w:sz w:val="18"/>
                <w:szCs w:val="18"/>
                <w:color w:val="auto"/>
              </w:rPr>
              <w:t>DEFINITIONS</w:t>
            </w:r>
          </w:p>
        </w:tc>
        <w:tc>
          <w:tcPr>
            <w:tcW w:w="500" w:type="dxa"/>
            <w:vAlign w:val="bottom"/>
          </w:tcPr>
          <w:p>
            <w:pPr>
              <w:ind w:lef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1.2.</w:t>
            </w:r>
          </w:p>
        </w:tc>
        <w:tc>
          <w:tcPr>
            <w:tcW w:w="9320" w:type="dxa"/>
            <w:vAlign w:val="bottom"/>
          </w:tcPr>
          <w:p>
            <w:pPr>
              <w:ind w:left="700"/>
              <w:spacing w:after="0"/>
              <w:rPr>
                <w:sz w:val="20"/>
                <w:szCs w:val="20"/>
                <w:color w:val="auto"/>
              </w:rPr>
            </w:pPr>
            <w:r>
              <w:rPr>
                <w:rFonts w:ascii="Arial" w:cs="Arial" w:eastAsia="Arial" w:hAnsi="Arial"/>
                <w:sz w:val="18"/>
                <w:szCs w:val="18"/>
                <w:color w:val="auto"/>
              </w:rPr>
              <w:t>INTERPRETATION</w:t>
            </w:r>
          </w:p>
        </w:tc>
        <w:tc>
          <w:tcPr>
            <w:tcW w:w="500" w:type="dxa"/>
            <w:vAlign w:val="bottom"/>
          </w:tcPr>
          <w:p>
            <w:pPr>
              <w:ind w:lef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1.3.</w:t>
            </w:r>
          </w:p>
        </w:tc>
        <w:tc>
          <w:tcPr>
            <w:tcW w:w="9320" w:type="dxa"/>
            <w:vAlign w:val="bottom"/>
          </w:tcPr>
          <w:p>
            <w:pPr>
              <w:ind w:left="700"/>
              <w:spacing w:after="0"/>
              <w:rPr>
                <w:sz w:val="20"/>
                <w:szCs w:val="20"/>
                <w:color w:val="auto"/>
              </w:rPr>
            </w:pPr>
            <w:r>
              <w:rPr>
                <w:rFonts w:ascii="Arial" w:cs="Arial" w:eastAsia="Arial" w:hAnsi="Arial"/>
                <w:sz w:val="18"/>
                <w:szCs w:val="18"/>
                <w:color w:val="auto"/>
              </w:rPr>
              <w:t>RESOLUTION OF DRAFTING AMBIGUITIES</w:t>
            </w:r>
          </w:p>
        </w:tc>
        <w:tc>
          <w:tcPr>
            <w:tcW w:w="500" w:type="dxa"/>
            <w:vAlign w:val="bottom"/>
          </w:tcPr>
          <w:p>
            <w:pPr>
              <w:ind w:lef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1.4.</w:t>
            </w:r>
          </w:p>
        </w:tc>
        <w:tc>
          <w:tcPr>
            <w:tcW w:w="9320" w:type="dxa"/>
            <w:vAlign w:val="bottom"/>
          </w:tcPr>
          <w:p>
            <w:pPr>
              <w:ind w:left="700"/>
              <w:spacing w:after="0"/>
              <w:rPr>
                <w:sz w:val="20"/>
                <w:szCs w:val="20"/>
                <w:color w:val="auto"/>
              </w:rPr>
            </w:pPr>
            <w:r>
              <w:rPr>
                <w:rFonts w:ascii="Arial" w:cs="Arial" w:eastAsia="Arial" w:hAnsi="Arial"/>
                <w:sz w:val="18"/>
                <w:szCs w:val="18"/>
                <w:color w:val="auto"/>
              </w:rPr>
              <w:t>PERFECTION CERTIFICATE</w:t>
            </w:r>
          </w:p>
        </w:tc>
        <w:tc>
          <w:tcPr>
            <w:tcW w:w="500" w:type="dxa"/>
            <w:vAlign w:val="bottom"/>
          </w:tcPr>
          <w:p>
            <w:pPr>
              <w:ind w:lef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320" w:type="dxa"/>
            <w:vAlign w:val="bottom"/>
          </w:tcPr>
          <w:p>
            <w:pPr>
              <w:jc w:val="center"/>
              <w:ind w:right="990"/>
              <w:spacing w:after="0"/>
              <w:rPr>
                <w:sz w:val="20"/>
                <w:szCs w:val="20"/>
                <w:color w:val="auto"/>
              </w:rPr>
            </w:pPr>
            <w:r>
              <w:rPr>
                <w:rFonts w:ascii="Arial" w:cs="Arial" w:eastAsia="Arial" w:hAnsi="Arial"/>
                <w:sz w:val="18"/>
                <w:szCs w:val="18"/>
                <w:color w:val="auto"/>
              </w:rPr>
              <w:t>ARTICLE II</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320" w:type="dxa"/>
            <w:vAlign w:val="bottom"/>
          </w:tcPr>
          <w:p>
            <w:pPr>
              <w:jc w:val="center"/>
              <w:ind w:right="990"/>
              <w:spacing w:after="0"/>
              <w:rPr>
                <w:sz w:val="20"/>
                <w:szCs w:val="20"/>
                <w:color w:val="auto"/>
              </w:rPr>
            </w:pPr>
            <w:r>
              <w:rPr>
                <w:rFonts w:ascii="Arial" w:cs="Arial" w:eastAsia="Arial" w:hAnsi="Arial"/>
                <w:sz w:val="18"/>
                <w:szCs w:val="18"/>
                <w:color w:val="auto"/>
                <w:w w:val="96"/>
              </w:rPr>
              <w:t>GRANT OF SECURITY AND SECURED OBLIGATIONS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2.1.</w:t>
            </w:r>
          </w:p>
        </w:tc>
        <w:tc>
          <w:tcPr>
            <w:tcW w:w="9320" w:type="dxa"/>
            <w:vAlign w:val="bottom"/>
          </w:tcPr>
          <w:p>
            <w:pPr>
              <w:ind w:left="700"/>
              <w:spacing w:after="0"/>
              <w:rPr>
                <w:sz w:val="20"/>
                <w:szCs w:val="20"/>
                <w:color w:val="auto"/>
              </w:rPr>
            </w:pPr>
            <w:r>
              <w:rPr>
                <w:rFonts w:ascii="Arial" w:cs="Arial" w:eastAsia="Arial" w:hAnsi="Arial"/>
                <w:sz w:val="18"/>
                <w:szCs w:val="18"/>
                <w:color w:val="auto"/>
              </w:rPr>
              <w:t>GRANT OF SECURITY INTEREST</w:t>
            </w:r>
          </w:p>
        </w:tc>
        <w:tc>
          <w:tcPr>
            <w:tcW w:w="500" w:type="dxa"/>
            <w:vAlign w:val="bottom"/>
          </w:tcPr>
          <w:p>
            <w:pPr>
              <w:ind w:lef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2.2.</w:t>
            </w:r>
          </w:p>
        </w:tc>
        <w:tc>
          <w:tcPr>
            <w:tcW w:w="9320" w:type="dxa"/>
            <w:vAlign w:val="bottom"/>
          </w:tcPr>
          <w:p>
            <w:pPr>
              <w:ind w:left="700"/>
              <w:spacing w:after="0"/>
              <w:rPr>
                <w:sz w:val="20"/>
                <w:szCs w:val="20"/>
                <w:color w:val="auto"/>
              </w:rPr>
            </w:pPr>
            <w:r>
              <w:rPr>
                <w:rFonts w:ascii="Arial" w:cs="Arial" w:eastAsia="Arial" w:hAnsi="Arial"/>
                <w:sz w:val="18"/>
                <w:szCs w:val="18"/>
                <w:color w:val="auto"/>
              </w:rPr>
              <w:t>FILINGS</w:t>
            </w:r>
          </w:p>
        </w:tc>
        <w:tc>
          <w:tcPr>
            <w:tcW w:w="500" w:type="dxa"/>
            <w:vAlign w:val="bottom"/>
          </w:tcPr>
          <w:p>
            <w:pPr>
              <w:ind w:lef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320" w:type="dxa"/>
            <w:vAlign w:val="bottom"/>
          </w:tcPr>
          <w:p>
            <w:pPr>
              <w:jc w:val="center"/>
              <w:ind w:right="1010"/>
              <w:spacing w:after="0"/>
              <w:rPr>
                <w:sz w:val="20"/>
                <w:szCs w:val="20"/>
                <w:color w:val="auto"/>
              </w:rPr>
            </w:pPr>
            <w:r>
              <w:rPr>
                <w:rFonts w:ascii="Arial" w:cs="Arial" w:eastAsia="Arial" w:hAnsi="Arial"/>
                <w:sz w:val="18"/>
                <w:szCs w:val="18"/>
                <w:color w:val="auto"/>
              </w:rPr>
              <w:t>ARTICLE III</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320" w:type="dxa"/>
            <w:vAlign w:val="bottom"/>
          </w:tcPr>
          <w:p>
            <w:pPr>
              <w:jc w:val="center"/>
              <w:ind w:right="1010"/>
              <w:spacing w:after="0"/>
              <w:rPr>
                <w:sz w:val="20"/>
                <w:szCs w:val="20"/>
                <w:color w:val="auto"/>
              </w:rPr>
            </w:pPr>
            <w:r>
              <w:rPr>
                <w:rFonts w:ascii="Arial" w:cs="Arial" w:eastAsia="Arial" w:hAnsi="Arial"/>
                <w:sz w:val="18"/>
                <w:szCs w:val="18"/>
                <w:color w:val="auto"/>
                <w:w w:val="94"/>
              </w:rPr>
              <w:t>PERFECTION; SUPPLEMENTS; FURTHER ASSURANCES;USE OF PLEDGED COLLATERAL</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3.1.</w:t>
            </w:r>
          </w:p>
        </w:tc>
        <w:tc>
          <w:tcPr>
            <w:tcW w:w="9320" w:type="dxa"/>
            <w:vAlign w:val="bottom"/>
          </w:tcPr>
          <w:p>
            <w:pPr>
              <w:ind w:left="700"/>
              <w:spacing w:after="0"/>
              <w:rPr>
                <w:sz w:val="20"/>
                <w:szCs w:val="20"/>
                <w:color w:val="auto"/>
              </w:rPr>
            </w:pPr>
            <w:r>
              <w:rPr>
                <w:rFonts w:ascii="Arial" w:cs="Arial" w:eastAsia="Arial" w:hAnsi="Arial"/>
                <w:sz w:val="18"/>
                <w:szCs w:val="18"/>
                <w:color w:val="auto"/>
              </w:rPr>
              <w:t>DELIVERY OF CERTIFICATED SECURITIES COLLATERAL</w:t>
            </w:r>
          </w:p>
        </w:tc>
        <w:tc>
          <w:tcPr>
            <w:tcW w:w="500" w:type="dxa"/>
            <w:vAlign w:val="bottom"/>
          </w:tcPr>
          <w:p>
            <w:pPr>
              <w:ind w:lef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3.2.</w:t>
            </w:r>
          </w:p>
        </w:tc>
        <w:tc>
          <w:tcPr>
            <w:tcW w:w="9320" w:type="dxa"/>
            <w:vAlign w:val="bottom"/>
          </w:tcPr>
          <w:p>
            <w:pPr>
              <w:ind w:left="700"/>
              <w:spacing w:after="0"/>
              <w:rPr>
                <w:sz w:val="20"/>
                <w:szCs w:val="20"/>
                <w:color w:val="auto"/>
              </w:rPr>
            </w:pPr>
            <w:r>
              <w:rPr>
                <w:rFonts w:ascii="Arial" w:cs="Arial" w:eastAsia="Arial" w:hAnsi="Arial"/>
                <w:sz w:val="18"/>
                <w:szCs w:val="18"/>
                <w:color w:val="auto"/>
              </w:rPr>
              <w:t>PERFECTION OF UNCERTIFICATED SECURITIES COLLATERAL</w:t>
            </w:r>
          </w:p>
        </w:tc>
        <w:tc>
          <w:tcPr>
            <w:tcW w:w="500" w:type="dxa"/>
            <w:vAlign w:val="bottom"/>
          </w:tcPr>
          <w:p>
            <w:pPr>
              <w:ind w:lef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3.3.</w:t>
            </w:r>
          </w:p>
        </w:tc>
        <w:tc>
          <w:tcPr>
            <w:tcW w:w="9320" w:type="dxa"/>
            <w:vAlign w:val="bottom"/>
          </w:tcPr>
          <w:p>
            <w:pPr>
              <w:ind w:left="700"/>
              <w:spacing w:after="0"/>
              <w:rPr>
                <w:sz w:val="20"/>
                <w:szCs w:val="20"/>
                <w:color w:val="auto"/>
              </w:rPr>
            </w:pPr>
            <w:r>
              <w:rPr>
                <w:rFonts w:ascii="Arial" w:cs="Arial" w:eastAsia="Arial" w:hAnsi="Arial"/>
                <w:sz w:val="18"/>
                <w:szCs w:val="18"/>
                <w:color w:val="auto"/>
                <w:w w:val="97"/>
              </w:rPr>
              <w:t>FINANCING STATEMENTS AND OTHER FILINGS; MAINTENANCE OF PERFECTED SECURITY INTEREST</w:t>
            </w:r>
          </w:p>
        </w:tc>
        <w:tc>
          <w:tcPr>
            <w:tcW w:w="500" w:type="dxa"/>
            <w:vAlign w:val="bottom"/>
          </w:tcPr>
          <w:p>
            <w:pPr>
              <w:ind w:lef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3.4.</w:t>
            </w:r>
          </w:p>
        </w:tc>
        <w:tc>
          <w:tcPr>
            <w:tcW w:w="9320" w:type="dxa"/>
            <w:vAlign w:val="bottom"/>
          </w:tcPr>
          <w:p>
            <w:pPr>
              <w:ind w:left="700"/>
              <w:spacing w:after="0"/>
              <w:rPr>
                <w:sz w:val="20"/>
                <w:szCs w:val="20"/>
                <w:color w:val="auto"/>
              </w:rPr>
            </w:pPr>
            <w:r>
              <w:rPr>
                <w:rFonts w:ascii="Arial" w:cs="Arial" w:eastAsia="Arial" w:hAnsi="Arial"/>
                <w:sz w:val="18"/>
                <w:szCs w:val="18"/>
                <w:color w:val="auto"/>
              </w:rPr>
              <w:t>OTHER ACTIONS</w:t>
            </w:r>
          </w:p>
        </w:tc>
        <w:tc>
          <w:tcPr>
            <w:tcW w:w="500" w:type="dxa"/>
            <w:vAlign w:val="bottom"/>
          </w:tcPr>
          <w:p>
            <w:pPr>
              <w:ind w:lef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3.5.</w:t>
            </w:r>
          </w:p>
        </w:tc>
        <w:tc>
          <w:tcPr>
            <w:tcW w:w="9320" w:type="dxa"/>
            <w:vAlign w:val="bottom"/>
          </w:tcPr>
          <w:p>
            <w:pPr>
              <w:ind w:left="700"/>
              <w:spacing w:after="0"/>
              <w:rPr>
                <w:sz w:val="20"/>
                <w:szCs w:val="20"/>
                <w:color w:val="auto"/>
              </w:rPr>
            </w:pPr>
            <w:r>
              <w:rPr>
                <w:rFonts w:ascii="Arial" w:cs="Arial" w:eastAsia="Arial" w:hAnsi="Arial"/>
                <w:sz w:val="18"/>
                <w:szCs w:val="18"/>
                <w:color w:val="auto"/>
              </w:rPr>
              <w:t>JOINDER OF ADDITIONAL SUBSIDIARY GUARANTORS</w:t>
            </w:r>
          </w:p>
        </w:tc>
        <w:tc>
          <w:tcPr>
            <w:tcW w:w="500" w:type="dxa"/>
            <w:vAlign w:val="bottom"/>
          </w:tcPr>
          <w:p>
            <w:pPr>
              <w:ind w:lef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3.6.</w:t>
            </w:r>
          </w:p>
        </w:tc>
        <w:tc>
          <w:tcPr>
            <w:tcW w:w="9320" w:type="dxa"/>
            <w:vAlign w:val="bottom"/>
          </w:tcPr>
          <w:p>
            <w:pPr>
              <w:ind w:left="700"/>
              <w:spacing w:after="0"/>
              <w:rPr>
                <w:sz w:val="20"/>
                <w:szCs w:val="20"/>
                <w:color w:val="auto"/>
              </w:rPr>
            </w:pPr>
            <w:r>
              <w:rPr>
                <w:rFonts w:ascii="Arial" w:cs="Arial" w:eastAsia="Arial" w:hAnsi="Arial"/>
                <w:sz w:val="18"/>
                <w:szCs w:val="18"/>
                <w:color w:val="auto"/>
              </w:rPr>
              <w:t>SUPPLEMENTS; FURTHER ASSURANCES</w:t>
            </w:r>
          </w:p>
        </w:tc>
        <w:tc>
          <w:tcPr>
            <w:tcW w:w="500" w:type="dxa"/>
            <w:vAlign w:val="bottom"/>
          </w:tcPr>
          <w:p>
            <w:pPr>
              <w:ind w:lef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320" w:type="dxa"/>
            <w:vAlign w:val="bottom"/>
          </w:tcPr>
          <w:p>
            <w:pPr>
              <w:jc w:val="center"/>
              <w:ind w:right="1010"/>
              <w:spacing w:after="0"/>
              <w:rPr>
                <w:sz w:val="20"/>
                <w:szCs w:val="20"/>
                <w:color w:val="auto"/>
              </w:rPr>
            </w:pPr>
            <w:r>
              <w:rPr>
                <w:rFonts w:ascii="Arial" w:cs="Arial" w:eastAsia="Arial" w:hAnsi="Arial"/>
                <w:sz w:val="18"/>
                <w:szCs w:val="18"/>
                <w:color w:val="auto"/>
                <w:w w:val="99"/>
              </w:rPr>
              <w:t>ARTICLE IV</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320" w:type="dxa"/>
            <w:vAlign w:val="bottom"/>
          </w:tcPr>
          <w:p>
            <w:pPr>
              <w:jc w:val="center"/>
              <w:ind w:right="1010"/>
              <w:spacing w:after="0"/>
              <w:rPr>
                <w:sz w:val="20"/>
                <w:szCs w:val="20"/>
                <w:color w:val="auto"/>
              </w:rPr>
            </w:pPr>
            <w:r>
              <w:rPr>
                <w:rFonts w:ascii="Arial" w:cs="Arial" w:eastAsia="Arial" w:hAnsi="Arial"/>
                <w:sz w:val="18"/>
                <w:szCs w:val="18"/>
                <w:color w:val="auto"/>
                <w:w w:val="95"/>
              </w:rPr>
              <w:t>REPRESENTATIONS, WARRANTIES AND COVENANTS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4.1.</w:t>
            </w:r>
          </w:p>
        </w:tc>
        <w:tc>
          <w:tcPr>
            <w:tcW w:w="9320" w:type="dxa"/>
            <w:vAlign w:val="bottom"/>
          </w:tcPr>
          <w:p>
            <w:pPr>
              <w:ind w:left="700"/>
              <w:spacing w:after="0"/>
              <w:rPr>
                <w:sz w:val="20"/>
                <w:szCs w:val="20"/>
                <w:color w:val="auto"/>
              </w:rPr>
            </w:pPr>
            <w:r>
              <w:rPr>
                <w:rFonts w:ascii="Arial" w:cs="Arial" w:eastAsia="Arial" w:hAnsi="Arial"/>
                <w:sz w:val="18"/>
                <w:szCs w:val="18"/>
                <w:color w:val="auto"/>
              </w:rPr>
              <w:t>TITLE</w:t>
            </w:r>
          </w:p>
        </w:tc>
        <w:tc>
          <w:tcPr>
            <w:tcW w:w="500" w:type="dxa"/>
            <w:vAlign w:val="bottom"/>
          </w:tcPr>
          <w:p>
            <w:pPr>
              <w:ind w:lef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4.2.</w:t>
            </w:r>
          </w:p>
        </w:tc>
        <w:tc>
          <w:tcPr>
            <w:tcW w:w="9320" w:type="dxa"/>
            <w:vAlign w:val="bottom"/>
          </w:tcPr>
          <w:p>
            <w:pPr>
              <w:ind w:left="700"/>
              <w:spacing w:after="0"/>
              <w:rPr>
                <w:sz w:val="20"/>
                <w:szCs w:val="20"/>
                <w:color w:val="auto"/>
              </w:rPr>
            </w:pPr>
            <w:r>
              <w:rPr>
                <w:rFonts w:ascii="Arial" w:cs="Arial" w:eastAsia="Arial" w:hAnsi="Arial"/>
                <w:sz w:val="18"/>
                <w:szCs w:val="18"/>
                <w:color w:val="auto"/>
              </w:rPr>
              <w:t>VALIDITY OF SECURITY INTEREST</w:t>
            </w:r>
          </w:p>
        </w:tc>
        <w:tc>
          <w:tcPr>
            <w:tcW w:w="500" w:type="dxa"/>
            <w:vAlign w:val="bottom"/>
          </w:tcPr>
          <w:p>
            <w:pPr>
              <w:ind w:lef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4.3.</w:t>
            </w:r>
          </w:p>
        </w:tc>
        <w:tc>
          <w:tcPr>
            <w:tcW w:w="9320" w:type="dxa"/>
            <w:vAlign w:val="bottom"/>
          </w:tcPr>
          <w:p>
            <w:pPr>
              <w:ind w:left="700"/>
              <w:spacing w:after="0"/>
              <w:rPr>
                <w:sz w:val="20"/>
                <w:szCs w:val="20"/>
                <w:color w:val="auto"/>
              </w:rPr>
            </w:pPr>
            <w:r>
              <w:rPr>
                <w:rFonts w:ascii="Arial" w:cs="Arial" w:eastAsia="Arial" w:hAnsi="Arial"/>
                <w:sz w:val="18"/>
                <w:szCs w:val="18"/>
                <w:color w:val="auto"/>
              </w:rPr>
              <w:t>DEFENSE OF CLAIMS; TRANSFERABILITY OF PLEDGED COLLATERAL</w:t>
            </w:r>
          </w:p>
        </w:tc>
        <w:tc>
          <w:tcPr>
            <w:tcW w:w="500" w:type="dxa"/>
            <w:vAlign w:val="bottom"/>
          </w:tcPr>
          <w:p>
            <w:pPr>
              <w:ind w:lef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4.4.</w:t>
            </w:r>
          </w:p>
        </w:tc>
        <w:tc>
          <w:tcPr>
            <w:tcW w:w="9320" w:type="dxa"/>
            <w:vAlign w:val="bottom"/>
          </w:tcPr>
          <w:p>
            <w:pPr>
              <w:ind w:left="700"/>
              <w:spacing w:after="0"/>
              <w:rPr>
                <w:sz w:val="20"/>
                <w:szCs w:val="20"/>
                <w:color w:val="auto"/>
              </w:rPr>
            </w:pPr>
            <w:r>
              <w:rPr>
                <w:rFonts w:ascii="Arial" w:cs="Arial" w:eastAsia="Arial" w:hAnsi="Arial"/>
                <w:sz w:val="18"/>
                <w:szCs w:val="18"/>
                <w:color w:val="auto"/>
              </w:rPr>
              <w:t>OTHER FINANCING STATEMENTS</w:t>
            </w:r>
          </w:p>
        </w:tc>
        <w:tc>
          <w:tcPr>
            <w:tcW w:w="500" w:type="dxa"/>
            <w:vAlign w:val="bottom"/>
          </w:tcPr>
          <w:p>
            <w:pPr>
              <w:ind w:lef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4.5.</w:t>
            </w:r>
          </w:p>
        </w:tc>
        <w:tc>
          <w:tcPr>
            <w:tcW w:w="9320" w:type="dxa"/>
            <w:vAlign w:val="bottom"/>
          </w:tcPr>
          <w:p>
            <w:pPr>
              <w:ind w:left="700"/>
              <w:spacing w:after="0"/>
              <w:rPr>
                <w:sz w:val="20"/>
                <w:szCs w:val="20"/>
                <w:color w:val="auto"/>
              </w:rPr>
            </w:pPr>
            <w:r>
              <w:rPr>
                <w:rFonts w:ascii="Arial" w:cs="Arial" w:eastAsia="Arial" w:hAnsi="Arial"/>
                <w:sz w:val="18"/>
                <w:szCs w:val="18"/>
                <w:color w:val="auto"/>
              </w:rPr>
              <w:t>LOCATION OF INVENTORY AND EQUIPMENT.</w:t>
            </w:r>
          </w:p>
        </w:tc>
        <w:tc>
          <w:tcPr>
            <w:tcW w:w="500" w:type="dxa"/>
            <w:vAlign w:val="bottom"/>
          </w:tcPr>
          <w:p>
            <w:pPr>
              <w:ind w:lef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4.6.</w:t>
            </w:r>
          </w:p>
        </w:tc>
        <w:tc>
          <w:tcPr>
            <w:tcW w:w="9320" w:type="dxa"/>
            <w:vAlign w:val="bottom"/>
          </w:tcPr>
          <w:p>
            <w:pPr>
              <w:ind w:left="700"/>
              <w:spacing w:after="0"/>
              <w:rPr>
                <w:sz w:val="20"/>
                <w:szCs w:val="20"/>
                <w:color w:val="auto"/>
              </w:rPr>
            </w:pPr>
            <w:r>
              <w:rPr>
                <w:rFonts w:ascii="Arial" w:cs="Arial" w:eastAsia="Arial" w:hAnsi="Arial"/>
                <w:sz w:val="18"/>
                <w:szCs w:val="18"/>
                <w:color w:val="auto"/>
              </w:rPr>
              <w:t>DUE AUTHORIZATION AND ISSUANCE</w:t>
            </w:r>
          </w:p>
        </w:tc>
        <w:tc>
          <w:tcPr>
            <w:tcW w:w="500" w:type="dxa"/>
            <w:vAlign w:val="bottom"/>
          </w:tcPr>
          <w:p>
            <w:pPr>
              <w:ind w:lef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4.7.</w:t>
            </w:r>
          </w:p>
        </w:tc>
        <w:tc>
          <w:tcPr>
            <w:tcW w:w="9320" w:type="dxa"/>
            <w:vAlign w:val="bottom"/>
          </w:tcPr>
          <w:p>
            <w:pPr>
              <w:ind w:left="700"/>
              <w:spacing w:after="0"/>
              <w:rPr>
                <w:sz w:val="20"/>
                <w:szCs w:val="20"/>
                <w:color w:val="auto"/>
              </w:rPr>
            </w:pPr>
            <w:r>
              <w:rPr>
                <w:rFonts w:ascii="Arial" w:cs="Arial" w:eastAsia="Arial" w:hAnsi="Arial"/>
                <w:sz w:val="18"/>
                <w:szCs w:val="18"/>
                <w:color w:val="auto"/>
              </w:rPr>
              <w:t>CONSENTS, ETC.</w:t>
            </w:r>
          </w:p>
        </w:tc>
        <w:tc>
          <w:tcPr>
            <w:tcW w:w="500" w:type="dxa"/>
            <w:vAlign w:val="bottom"/>
          </w:tcPr>
          <w:p>
            <w:pPr>
              <w:ind w:lef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4.8.</w:t>
            </w:r>
          </w:p>
        </w:tc>
        <w:tc>
          <w:tcPr>
            <w:tcW w:w="9320" w:type="dxa"/>
            <w:vAlign w:val="bottom"/>
          </w:tcPr>
          <w:p>
            <w:pPr>
              <w:ind w:left="700"/>
              <w:spacing w:after="0"/>
              <w:rPr>
                <w:sz w:val="20"/>
                <w:szCs w:val="20"/>
                <w:color w:val="auto"/>
              </w:rPr>
            </w:pPr>
            <w:r>
              <w:rPr>
                <w:rFonts w:ascii="Arial" w:cs="Arial" w:eastAsia="Arial" w:hAnsi="Arial"/>
                <w:sz w:val="18"/>
                <w:szCs w:val="18"/>
                <w:color w:val="auto"/>
              </w:rPr>
              <w:t>PLEDGED COLLATERAL</w:t>
            </w:r>
          </w:p>
        </w:tc>
        <w:tc>
          <w:tcPr>
            <w:tcW w:w="500" w:type="dxa"/>
            <w:vAlign w:val="bottom"/>
          </w:tcPr>
          <w:p>
            <w:pPr>
              <w:ind w:lef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4.9.</w:t>
            </w:r>
          </w:p>
        </w:tc>
        <w:tc>
          <w:tcPr>
            <w:tcW w:w="9320" w:type="dxa"/>
            <w:vAlign w:val="bottom"/>
          </w:tcPr>
          <w:p>
            <w:pPr>
              <w:ind w:left="700"/>
              <w:spacing w:after="0"/>
              <w:rPr>
                <w:sz w:val="20"/>
                <w:szCs w:val="20"/>
                <w:color w:val="auto"/>
              </w:rPr>
            </w:pPr>
            <w:r>
              <w:rPr>
                <w:rFonts w:ascii="Arial" w:cs="Arial" w:eastAsia="Arial" w:hAnsi="Arial"/>
                <w:sz w:val="18"/>
                <w:szCs w:val="18"/>
                <w:color w:val="auto"/>
              </w:rPr>
              <w:t>INSURANCE</w:t>
            </w:r>
          </w:p>
        </w:tc>
        <w:tc>
          <w:tcPr>
            <w:tcW w:w="500" w:type="dxa"/>
            <w:vAlign w:val="bottom"/>
          </w:tcPr>
          <w:p>
            <w:pPr>
              <w:ind w:lef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320" w:type="dxa"/>
            <w:vAlign w:val="bottom"/>
          </w:tcPr>
          <w:p>
            <w:pPr>
              <w:jc w:val="center"/>
              <w:ind w:right="990"/>
              <w:spacing w:after="0"/>
              <w:rPr>
                <w:sz w:val="20"/>
                <w:szCs w:val="20"/>
                <w:color w:val="auto"/>
              </w:rPr>
            </w:pPr>
            <w:r>
              <w:rPr>
                <w:rFonts w:ascii="Arial" w:cs="Arial" w:eastAsia="Arial" w:hAnsi="Arial"/>
                <w:sz w:val="18"/>
                <w:szCs w:val="18"/>
                <w:color w:val="auto"/>
                <w:w w:val="98"/>
              </w:rPr>
              <w:t>ARTICLE V</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320" w:type="dxa"/>
            <w:vAlign w:val="bottom"/>
          </w:tcPr>
          <w:p>
            <w:pPr>
              <w:jc w:val="center"/>
              <w:ind w:right="990"/>
              <w:spacing w:after="0"/>
              <w:rPr>
                <w:sz w:val="20"/>
                <w:szCs w:val="20"/>
                <w:color w:val="auto"/>
              </w:rPr>
            </w:pPr>
            <w:r>
              <w:rPr>
                <w:rFonts w:ascii="Arial" w:cs="Arial" w:eastAsia="Arial" w:hAnsi="Arial"/>
                <w:sz w:val="18"/>
                <w:szCs w:val="18"/>
                <w:color w:val="auto"/>
                <w:w w:val="95"/>
              </w:rPr>
              <w:t>CERTAIN PROVISIONS CONCERNING SECURITIES COLLATERAL</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5.1.</w:t>
            </w:r>
          </w:p>
        </w:tc>
        <w:tc>
          <w:tcPr>
            <w:tcW w:w="9320" w:type="dxa"/>
            <w:vAlign w:val="bottom"/>
          </w:tcPr>
          <w:p>
            <w:pPr>
              <w:ind w:left="700"/>
              <w:spacing w:after="0"/>
              <w:rPr>
                <w:sz w:val="20"/>
                <w:szCs w:val="20"/>
                <w:color w:val="auto"/>
              </w:rPr>
            </w:pPr>
            <w:r>
              <w:rPr>
                <w:rFonts w:ascii="Arial" w:cs="Arial" w:eastAsia="Arial" w:hAnsi="Arial"/>
                <w:sz w:val="18"/>
                <w:szCs w:val="18"/>
                <w:color w:val="auto"/>
              </w:rPr>
              <w:t>PLEDGE OF ADDITIONAL SECURITIES COLLATERAL</w:t>
            </w:r>
          </w:p>
        </w:tc>
        <w:tc>
          <w:tcPr>
            <w:tcW w:w="500" w:type="dxa"/>
            <w:vAlign w:val="bottom"/>
          </w:tcPr>
          <w:p>
            <w:pPr>
              <w:ind w:lef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5.2.</w:t>
            </w:r>
          </w:p>
        </w:tc>
        <w:tc>
          <w:tcPr>
            <w:tcW w:w="9320" w:type="dxa"/>
            <w:vAlign w:val="bottom"/>
          </w:tcPr>
          <w:p>
            <w:pPr>
              <w:ind w:left="700"/>
              <w:spacing w:after="0"/>
              <w:rPr>
                <w:sz w:val="20"/>
                <w:szCs w:val="20"/>
                <w:color w:val="auto"/>
              </w:rPr>
            </w:pPr>
            <w:r>
              <w:rPr>
                <w:rFonts w:ascii="Arial" w:cs="Arial" w:eastAsia="Arial" w:hAnsi="Arial"/>
                <w:sz w:val="18"/>
                <w:szCs w:val="18"/>
                <w:color w:val="auto"/>
              </w:rPr>
              <w:t>VOTING RIGHTS; DISTRIBUTIONS; ETC.</w:t>
            </w:r>
          </w:p>
        </w:tc>
        <w:tc>
          <w:tcPr>
            <w:tcW w:w="500" w:type="dxa"/>
            <w:vAlign w:val="bottom"/>
          </w:tcPr>
          <w:p>
            <w:pPr>
              <w:ind w:lef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5.3.</w:t>
            </w:r>
          </w:p>
        </w:tc>
        <w:tc>
          <w:tcPr>
            <w:tcW w:w="9320" w:type="dxa"/>
            <w:vAlign w:val="bottom"/>
          </w:tcPr>
          <w:p>
            <w:pPr>
              <w:ind w:left="700"/>
              <w:spacing w:after="0"/>
              <w:rPr>
                <w:sz w:val="20"/>
                <w:szCs w:val="20"/>
                <w:color w:val="auto"/>
              </w:rPr>
            </w:pPr>
            <w:r>
              <w:rPr>
                <w:rFonts w:ascii="Arial" w:cs="Arial" w:eastAsia="Arial" w:hAnsi="Arial"/>
                <w:sz w:val="18"/>
                <w:szCs w:val="18"/>
                <w:color w:val="auto"/>
              </w:rPr>
              <w:t>DEFAULTS, ETC</w:t>
            </w:r>
          </w:p>
        </w:tc>
        <w:tc>
          <w:tcPr>
            <w:tcW w:w="500" w:type="dxa"/>
            <w:vAlign w:val="bottom"/>
          </w:tcPr>
          <w:p>
            <w:pPr>
              <w:ind w:lef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5.4.</w:t>
            </w:r>
          </w:p>
        </w:tc>
        <w:tc>
          <w:tcPr>
            <w:tcW w:w="9320" w:type="dxa"/>
            <w:vAlign w:val="bottom"/>
          </w:tcPr>
          <w:p>
            <w:pPr>
              <w:ind w:left="700"/>
              <w:spacing w:after="0"/>
              <w:rPr>
                <w:sz w:val="20"/>
                <w:szCs w:val="20"/>
                <w:color w:val="auto"/>
              </w:rPr>
            </w:pPr>
            <w:r>
              <w:rPr>
                <w:rFonts w:ascii="Arial" w:cs="Arial" w:eastAsia="Arial" w:hAnsi="Arial"/>
                <w:sz w:val="18"/>
                <w:szCs w:val="18"/>
                <w:color w:val="auto"/>
              </w:rPr>
              <w:t>CERTAIN AGREEMENTS OF PLEDGORS AS ISSUERS AND HOLDERS OF EQUITY INTERESTS</w:t>
            </w:r>
          </w:p>
        </w:tc>
        <w:tc>
          <w:tcPr>
            <w:tcW w:w="500" w:type="dxa"/>
            <w:vAlign w:val="bottom"/>
          </w:tcPr>
          <w:p>
            <w:pPr>
              <w:ind w:lef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320" w:type="dxa"/>
            <w:vAlign w:val="bottom"/>
          </w:tcPr>
          <w:p>
            <w:pPr>
              <w:jc w:val="center"/>
              <w:ind w:right="1010"/>
              <w:spacing w:after="0"/>
              <w:rPr>
                <w:sz w:val="20"/>
                <w:szCs w:val="20"/>
                <w:color w:val="auto"/>
              </w:rPr>
            </w:pPr>
            <w:r>
              <w:rPr>
                <w:rFonts w:ascii="Arial" w:cs="Arial" w:eastAsia="Arial" w:hAnsi="Arial"/>
                <w:sz w:val="18"/>
                <w:szCs w:val="18"/>
                <w:color w:val="auto"/>
                <w:w w:val="99"/>
              </w:rPr>
              <w:t>ARTICLE VI</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320" w:type="dxa"/>
            <w:vAlign w:val="bottom"/>
          </w:tcPr>
          <w:p>
            <w:pPr>
              <w:jc w:val="center"/>
              <w:ind w:right="1010"/>
              <w:spacing w:after="0"/>
              <w:rPr>
                <w:sz w:val="20"/>
                <w:szCs w:val="20"/>
                <w:color w:val="auto"/>
              </w:rPr>
            </w:pPr>
            <w:r>
              <w:rPr>
                <w:rFonts w:ascii="Arial" w:cs="Arial" w:eastAsia="Arial" w:hAnsi="Arial"/>
                <w:sz w:val="18"/>
                <w:szCs w:val="18"/>
                <w:color w:val="auto"/>
                <w:w w:val="96"/>
              </w:rPr>
              <w:t>CERTAIN PROVISIONS CONCERNING INTELLECTUAL PROPERTY COLLATERAL</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6.1.</w:t>
            </w:r>
          </w:p>
        </w:tc>
        <w:tc>
          <w:tcPr>
            <w:tcW w:w="9320" w:type="dxa"/>
            <w:vAlign w:val="bottom"/>
          </w:tcPr>
          <w:p>
            <w:pPr>
              <w:ind w:left="700"/>
              <w:spacing w:after="0"/>
              <w:rPr>
                <w:sz w:val="20"/>
                <w:szCs w:val="20"/>
                <w:color w:val="auto"/>
              </w:rPr>
            </w:pPr>
            <w:r>
              <w:rPr>
                <w:rFonts w:ascii="Arial" w:cs="Arial" w:eastAsia="Arial" w:hAnsi="Arial"/>
                <w:sz w:val="18"/>
                <w:szCs w:val="18"/>
                <w:color w:val="auto"/>
              </w:rPr>
              <w:t>GRANT OF INTELLECTUAL PROPERTY LICENSE</w:t>
            </w:r>
          </w:p>
        </w:tc>
        <w:tc>
          <w:tcPr>
            <w:tcW w:w="500" w:type="dxa"/>
            <w:vAlign w:val="bottom"/>
          </w:tcPr>
          <w:p>
            <w:pPr>
              <w:ind w:lef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6.2.</w:t>
            </w:r>
          </w:p>
        </w:tc>
        <w:tc>
          <w:tcPr>
            <w:tcW w:w="9320" w:type="dxa"/>
            <w:vAlign w:val="bottom"/>
          </w:tcPr>
          <w:p>
            <w:pPr>
              <w:ind w:left="700"/>
              <w:spacing w:after="0"/>
              <w:rPr>
                <w:sz w:val="20"/>
                <w:szCs w:val="20"/>
                <w:color w:val="auto"/>
              </w:rPr>
            </w:pPr>
            <w:r>
              <w:rPr>
                <w:rFonts w:ascii="Arial" w:cs="Arial" w:eastAsia="Arial" w:hAnsi="Arial"/>
                <w:sz w:val="18"/>
                <w:szCs w:val="18"/>
                <w:color w:val="auto"/>
              </w:rPr>
              <w:t>PROTECTION OF COLLATERAL AGENT’S SECURITY</w:t>
            </w:r>
          </w:p>
        </w:tc>
        <w:tc>
          <w:tcPr>
            <w:tcW w:w="500" w:type="dxa"/>
            <w:vAlign w:val="bottom"/>
          </w:tcPr>
          <w:p>
            <w:pPr>
              <w:ind w:lef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6.3.</w:t>
            </w:r>
          </w:p>
        </w:tc>
        <w:tc>
          <w:tcPr>
            <w:tcW w:w="9320" w:type="dxa"/>
            <w:vAlign w:val="bottom"/>
          </w:tcPr>
          <w:p>
            <w:pPr>
              <w:ind w:left="700"/>
              <w:spacing w:after="0"/>
              <w:rPr>
                <w:sz w:val="20"/>
                <w:szCs w:val="20"/>
                <w:color w:val="auto"/>
              </w:rPr>
            </w:pPr>
            <w:r>
              <w:rPr>
                <w:rFonts w:ascii="Arial" w:cs="Arial" w:eastAsia="Arial" w:hAnsi="Arial"/>
                <w:sz w:val="18"/>
                <w:szCs w:val="18"/>
                <w:color w:val="auto"/>
              </w:rPr>
              <w:t>AFTER-ACQUIRED PROPERTY</w:t>
            </w:r>
          </w:p>
        </w:tc>
        <w:tc>
          <w:tcPr>
            <w:tcW w:w="500" w:type="dxa"/>
            <w:vAlign w:val="bottom"/>
          </w:tcPr>
          <w:p>
            <w:pPr>
              <w:ind w:lef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6.4.</w:t>
            </w:r>
          </w:p>
        </w:tc>
        <w:tc>
          <w:tcPr>
            <w:tcW w:w="9320" w:type="dxa"/>
            <w:vAlign w:val="bottom"/>
          </w:tcPr>
          <w:p>
            <w:pPr>
              <w:ind w:left="700"/>
              <w:spacing w:after="0"/>
              <w:rPr>
                <w:sz w:val="20"/>
                <w:szCs w:val="20"/>
                <w:color w:val="auto"/>
              </w:rPr>
            </w:pPr>
            <w:r>
              <w:rPr>
                <w:rFonts w:ascii="Arial" w:cs="Arial" w:eastAsia="Arial" w:hAnsi="Arial"/>
                <w:sz w:val="18"/>
                <w:szCs w:val="18"/>
                <w:color w:val="auto"/>
              </w:rPr>
              <w:t>LITIGATION</w:t>
            </w:r>
          </w:p>
        </w:tc>
        <w:tc>
          <w:tcPr>
            <w:tcW w:w="500" w:type="dxa"/>
            <w:vAlign w:val="bottom"/>
          </w:tcPr>
          <w:p>
            <w:pPr>
              <w:ind w:lef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320" w:type="dxa"/>
            <w:vAlign w:val="bottom"/>
          </w:tcPr>
          <w:p>
            <w:pPr>
              <w:jc w:val="center"/>
              <w:ind w:right="990"/>
              <w:spacing w:after="0"/>
              <w:rPr>
                <w:sz w:val="20"/>
                <w:szCs w:val="20"/>
                <w:color w:val="auto"/>
              </w:rPr>
            </w:pPr>
            <w:r>
              <w:rPr>
                <w:rFonts w:ascii="Arial" w:cs="Arial" w:eastAsia="Arial" w:hAnsi="Arial"/>
                <w:sz w:val="18"/>
                <w:szCs w:val="18"/>
                <w:color w:val="auto"/>
              </w:rPr>
              <w:t>ARTICLE VII</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320" w:type="dxa"/>
            <w:vAlign w:val="bottom"/>
          </w:tcPr>
          <w:p>
            <w:pPr>
              <w:jc w:val="center"/>
              <w:ind w:right="990"/>
              <w:spacing w:after="0"/>
              <w:rPr>
                <w:sz w:val="20"/>
                <w:szCs w:val="20"/>
                <w:color w:val="auto"/>
              </w:rPr>
            </w:pPr>
            <w:r>
              <w:rPr>
                <w:rFonts w:ascii="Arial" w:cs="Arial" w:eastAsia="Arial" w:hAnsi="Arial"/>
                <w:sz w:val="18"/>
                <w:szCs w:val="18"/>
                <w:color w:val="auto"/>
                <w:w w:val="95"/>
              </w:rPr>
              <w:t>CERTAIN PROVISIONS CONCERNING RECEIVABLES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7.1.</w:t>
            </w:r>
          </w:p>
        </w:tc>
        <w:tc>
          <w:tcPr>
            <w:tcW w:w="9320" w:type="dxa"/>
            <w:vAlign w:val="bottom"/>
          </w:tcPr>
          <w:p>
            <w:pPr>
              <w:ind w:left="700"/>
              <w:spacing w:after="0"/>
              <w:rPr>
                <w:sz w:val="20"/>
                <w:szCs w:val="20"/>
                <w:color w:val="auto"/>
              </w:rPr>
            </w:pPr>
            <w:r>
              <w:rPr>
                <w:rFonts w:ascii="Arial" w:cs="Arial" w:eastAsia="Arial" w:hAnsi="Arial"/>
                <w:sz w:val="18"/>
                <w:szCs w:val="18"/>
                <w:color w:val="auto"/>
              </w:rPr>
              <w:t>MAINTENANCE OF RECORDS</w:t>
            </w:r>
          </w:p>
        </w:tc>
        <w:tc>
          <w:tcPr>
            <w:tcW w:w="500" w:type="dxa"/>
            <w:vAlign w:val="bottom"/>
          </w:tcPr>
          <w:p>
            <w:pPr>
              <w:ind w:lef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7.2.</w:t>
            </w:r>
          </w:p>
        </w:tc>
        <w:tc>
          <w:tcPr>
            <w:tcW w:w="9320" w:type="dxa"/>
            <w:vAlign w:val="bottom"/>
          </w:tcPr>
          <w:p>
            <w:pPr>
              <w:ind w:left="700"/>
              <w:spacing w:after="0"/>
              <w:rPr>
                <w:sz w:val="20"/>
                <w:szCs w:val="20"/>
                <w:color w:val="auto"/>
              </w:rPr>
            </w:pPr>
            <w:r>
              <w:rPr>
                <w:rFonts w:ascii="Arial" w:cs="Arial" w:eastAsia="Arial" w:hAnsi="Arial"/>
                <w:sz w:val="18"/>
                <w:szCs w:val="18"/>
                <w:color w:val="auto"/>
              </w:rPr>
              <w:t>MODIFICATION OF TERMS, ETC</w:t>
            </w:r>
          </w:p>
        </w:tc>
        <w:tc>
          <w:tcPr>
            <w:tcW w:w="500" w:type="dxa"/>
            <w:vAlign w:val="bottom"/>
          </w:tcPr>
          <w:p>
            <w:pPr>
              <w:ind w:lef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7.3.</w:t>
            </w:r>
          </w:p>
        </w:tc>
        <w:tc>
          <w:tcPr>
            <w:tcW w:w="9320" w:type="dxa"/>
            <w:vAlign w:val="bottom"/>
          </w:tcPr>
          <w:p>
            <w:pPr>
              <w:ind w:left="700"/>
              <w:spacing w:after="0"/>
              <w:rPr>
                <w:sz w:val="20"/>
                <w:szCs w:val="20"/>
                <w:color w:val="auto"/>
              </w:rPr>
            </w:pPr>
            <w:r>
              <w:rPr>
                <w:rFonts w:ascii="Arial" w:cs="Arial" w:eastAsia="Arial" w:hAnsi="Arial"/>
                <w:sz w:val="18"/>
                <w:szCs w:val="18"/>
                <w:color w:val="auto"/>
              </w:rPr>
              <w:t>COLLECTION</w:t>
            </w:r>
          </w:p>
        </w:tc>
        <w:tc>
          <w:tcPr>
            <w:tcW w:w="500" w:type="dxa"/>
            <w:vAlign w:val="bottom"/>
          </w:tcPr>
          <w:p>
            <w:pPr>
              <w:ind w:lef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320" w:type="dxa"/>
            <w:vAlign w:val="bottom"/>
          </w:tcPr>
          <w:p>
            <w:pPr>
              <w:jc w:val="center"/>
              <w:ind w:right="1010"/>
              <w:spacing w:after="0"/>
              <w:rPr>
                <w:sz w:val="20"/>
                <w:szCs w:val="20"/>
                <w:color w:val="auto"/>
              </w:rPr>
            </w:pPr>
            <w:r>
              <w:rPr>
                <w:rFonts w:ascii="Arial" w:cs="Arial" w:eastAsia="Arial" w:hAnsi="Arial"/>
                <w:sz w:val="18"/>
                <w:szCs w:val="18"/>
                <w:color w:val="auto"/>
              </w:rPr>
              <w:t>ARTICLE VIII</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320" w:type="dxa"/>
            <w:vAlign w:val="bottom"/>
          </w:tcPr>
          <w:p>
            <w:pPr>
              <w:jc w:val="center"/>
              <w:ind w:right="1010"/>
              <w:spacing w:after="0"/>
              <w:rPr>
                <w:sz w:val="20"/>
                <w:szCs w:val="20"/>
                <w:color w:val="auto"/>
              </w:rPr>
            </w:pPr>
            <w:r>
              <w:rPr>
                <w:rFonts w:ascii="Arial" w:cs="Arial" w:eastAsia="Arial" w:hAnsi="Arial"/>
                <w:sz w:val="18"/>
                <w:szCs w:val="18"/>
                <w:color w:val="auto"/>
                <w:w w:val="93"/>
              </w:rPr>
              <w:t>TRANSFERS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8.1.</w:t>
            </w:r>
          </w:p>
        </w:tc>
        <w:tc>
          <w:tcPr>
            <w:tcW w:w="9320" w:type="dxa"/>
            <w:vAlign w:val="bottom"/>
          </w:tcPr>
          <w:p>
            <w:pPr>
              <w:ind w:left="700"/>
              <w:spacing w:after="0"/>
              <w:rPr>
                <w:sz w:val="20"/>
                <w:szCs w:val="20"/>
                <w:color w:val="auto"/>
              </w:rPr>
            </w:pPr>
            <w:r>
              <w:rPr>
                <w:rFonts w:ascii="Arial" w:cs="Arial" w:eastAsia="Arial" w:hAnsi="Arial"/>
                <w:sz w:val="18"/>
                <w:szCs w:val="18"/>
                <w:color w:val="auto"/>
              </w:rPr>
              <w:t>TRANSFERS OF PLEDGED COLLATERAL</w:t>
            </w:r>
          </w:p>
        </w:tc>
        <w:tc>
          <w:tcPr>
            <w:tcW w:w="500" w:type="dxa"/>
            <w:vAlign w:val="bottom"/>
          </w:tcPr>
          <w:p>
            <w:pPr>
              <w:ind w:lef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320" w:type="dxa"/>
            <w:vAlign w:val="bottom"/>
          </w:tcPr>
          <w:p>
            <w:pPr>
              <w:jc w:val="center"/>
              <w:ind w:right="1010"/>
              <w:spacing w:after="0"/>
              <w:rPr>
                <w:sz w:val="20"/>
                <w:szCs w:val="20"/>
                <w:color w:val="auto"/>
              </w:rPr>
            </w:pPr>
            <w:r>
              <w:rPr>
                <w:rFonts w:ascii="Arial" w:cs="Arial" w:eastAsia="Arial" w:hAnsi="Arial"/>
                <w:sz w:val="18"/>
                <w:szCs w:val="18"/>
                <w:color w:val="auto"/>
                <w:w w:val="99"/>
              </w:rPr>
              <w:t>ARTICLE IX</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320" w:type="dxa"/>
            <w:vAlign w:val="bottom"/>
          </w:tcPr>
          <w:p>
            <w:pPr>
              <w:jc w:val="center"/>
              <w:ind w:right="1010"/>
              <w:spacing w:after="0"/>
              <w:rPr>
                <w:sz w:val="20"/>
                <w:szCs w:val="20"/>
                <w:color w:val="auto"/>
              </w:rPr>
            </w:pPr>
            <w:r>
              <w:rPr>
                <w:rFonts w:ascii="Arial" w:cs="Arial" w:eastAsia="Arial" w:hAnsi="Arial"/>
                <w:sz w:val="18"/>
                <w:szCs w:val="18"/>
                <w:color w:val="auto"/>
                <w:w w:val="95"/>
              </w:rPr>
              <w:t>REMEDIES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9.1.</w:t>
            </w:r>
          </w:p>
        </w:tc>
        <w:tc>
          <w:tcPr>
            <w:tcW w:w="9320" w:type="dxa"/>
            <w:vAlign w:val="bottom"/>
          </w:tcPr>
          <w:p>
            <w:pPr>
              <w:ind w:left="700"/>
              <w:spacing w:after="0"/>
              <w:rPr>
                <w:sz w:val="20"/>
                <w:szCs w:val="20"/>
                <w:color w:val="auto"/>
              </w:rPr>
            </w:pPr>
            <w:r>
              <w:rPr>
                <w:rFonts w:ascii="Arial" w:cs="Arial" w:eastAsia="Arial" w:hAnsi="Arial"/>
                <w:sz w:val="18"/>
                <w:szCs w:val="18"/>
                <w:color w:val="auto"/>
              </w:rPr>
              <w:t>REMEDIES</w:t>
            </w:r>
          </w:p>
        </w:tc>
        <w:tc>
          <w:tcPr>
            <w:tcW w:w="500" w:type="dxa"/>
            <w:vAlign w:val="bottom"/>
          </w:tcPr>
          <w:p>
            <w:pPr>
              <w:ind w:lef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9.2.</w:t>
            </w:r>
          </w:p>
        </w:tc>
        <w:tc>
          <w:tcPr>
            <w:tcW w:w="9320" w:type="dxa"/>
            <w:vAlign w:val="bottom"/>
          </w:tcPr>
          <w:p>
            <w:pPr>
              <w:ind w:left="700"/>
              <w:spacing w:after="0"/>
              <w:rPr>
                <w:sz w:val="20"/>
                <w:szCs w:val="20"/>
                <w:color w:val="auto"/>
              </w:rPr>
            </w:pPr>
            <w:r>
              <w:rPr>
                <w:rFonts w:ascii="Arial" w:cs="Arial" w:eastAsia="Arial" w:hAnsi="Arial"/>
                <w:sz w:val="18"/>
                <w:szCs w:val="18"/>
                <w:color w:val="auto"/>
              </w:rPr>
              <w:t>NOTICE OF SALE</w:t>
            </w:r>
          </w:p>
        </w:tc>
        <w:tc>
          <w:tcPr>
            <w:tcW w:w="500" w:type="dxa"/>
            <w:vAlign w:val="bottom"/>
          </w:tcPr>
          <w:p>
            <w:pPr>
              <w:ind w:lef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9.3.</w:t>
            </w:r>
          </w:p>
        </w:tc>
        <w:tc>
          <w:tcPr>
            <w:tcW w:w="9320" w:type="dxa"/>
            <w:vAlign w:val="bottom"/>
          </w:tcPr>
          <w:p>
            <w:pPr>
              <w:ind w:left="700"/>
              <w:spacing w:after="0"/>
              <w:rPr>
                <w:sz w:val="20"/>
                <w:szCs w:val="20"/>
                <w:color w:val="auto"/>
              </w:rPr>
            </w:pPr>
            <w:r>
              <w:rPr>
                <w:rFonts w:ascii="Arial" w:cs="Arial" w:eastAsia="Arial" w:hAnsi="Arial"/>
                <w:sz w:val="18"/>
                <w:szCs w:val="18"/>
                <w:color w:val="auto"/>
              </w:rPr>
              <w:t>WAIVER OF NOTICE AND CLAIMS</w:t>
            </w:r>
          </w:p>
        </w:tc>
        <w:tc>
          <w:tcPr>
            <w:tcW w:w="500" w:type="dxa"/>
            <w:vAlign w:val="bottom"/>
          </w:tcPr>
          <w:p>
            <w:pPr>
              <w:ind w:lef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9.4.</w:t>
            </w:r>
          </w:p>
        </w:tc>
        <w:tc>
          <w:tcPr>
            <w:tcW w:w="9320" w:type="dxa"/>
            <w:vAlign w:val="bottom"/>
          </w:tcPr>
          <w:p>
            <w:pPr>
              <w:ind w:left="700"/>
              <w:spacing w:after="0"/>
              <w:rPr>
                <w:sz w:val="20"/>
                <w:szCs w:val="20"/>
                <w:color w:val="auto"/>
              </w:rPr>
            </w:pPr>
            <w:r>
              <w:rPr>
                <w:rFonts w:ascii="Arial" w:cs="Arial" w:eastAsia="Arial" w:hAnsi="Arial"/>
                <w:sz w:val="18"/>
                <w:szCs w:val="18"/>
                <w:color w:val="auto"/>
              </w:rPr>
              <w:t>CERTAIN SALES OF PLEDGED COLLATERAL</w:t>
            </w:r>
          </w:p>
        </w:tc>
        <w:tc>
          <w:tcPr>
            <w:tcW w:w="500" w:type="dxa"/>
            <w:vAlign w:val="bottom"/>
          </w:tcPr>
          <w:p>
            <w:pPr>
              <w:ind w:lef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9.5.</w:t>
            </w:r>
          </w:p>
        </w:tc>
        <w:tc>
          <w:tcPr>
            <w:tcW w:w="9320" w:type="dxa"/>
            <w:vAlign w:val="bottom"/>
          </w:tcPr>
          <w:p>
            <w:pPr>
              <w:ind w:left="700"/>
              <w:spacing w:after="0"/>
              <w:rPr>
                <w:sz w:val="20"/>
                <w:szCs w:val="20"/>
                <w:color w:val="auto"/>
              </w:rPr>
            </w:pPr>
            <w:r>
              <w:rPr>
                <w:rFonts w:ascii="Arial" w:cs="Arial" w:eastAsia="Arial" w:hAnsi="Arial"/>
                <w:sz w:val="18"/>
                <w:szCs w:val="18"/>
                <w:color w:val="auto"/>
              </w:rPr>
              <w:t>NO WAIVER; CUMULATIVE REMEDIES</w:t>
            </w:r>
          </w:p>
        </w:tc>
        <w:tc>
          <w:tcPr>
            <w:tcW w:w="500" w:type="dxa"/>
            <w:vAlign w:val="bottom"/>
          </w:tcPr>
          <w:p>
            <w:pPr>
              <w:ind w:lef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SECTION 9.6.</w:t>
            </w:r>
          </w:p>
        </w:tc>
        <w:tc>
          <w:tcPr>
            <w:tcW w:w="9320" w:type="dxa"/>
            <w:vAlign w:val="bottom"/>
          </w:tcPr>
          <w:p>
            <w:pPr>
              <w:ind w:left="700"/>
              <w:spacing w:after="0"/>
              <w:rPr>
                <w:sz w:val="20"/>
                <w:szCs w:val="20"/>
                <w:color w:val="auto"/>
              </w:rPr>
            </w:pPr>
            <w:r>
              <w:rPr>
                <w:rFonts w:ascii="Arial" w:cs="Arial" w:eastAsia="Arial" w:hAnsi="Arial"/>
                <w:sz w:val="18"/>
                <w:szCs w:val="18"/>
                <w:color w:val="auto"/>
              </w:rPr>
              <w:t>CERTAIN ADDITIONAL ACTIONS REGARDING INTELLECTUAL PROPERTY</w:t>
            </w:r>
          </w:p>
        </w:tc>
        <w:tc>
          <w:tcPr>
            <w:tcW w:w="500" w:type="dxa"/>
            <w:vAlign w:val="bottom"/>
          </w:tcPr>
          <w:p>
            <w:pPr>
              <w:ind w:lef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320" w:type="dxa"/>
            <w:vAlign w:val="bottom"/>
          </w:tcPr>
          <w:p>
            <w:pPr>
              <w:jc w:val="center"/>
              <w:ind w:right="990"/>
              <w:spacing w:after="0"/>
              <w:rPr>
                <w:sz w:val="20"/>
                <w:szCs w:val="20"/>
                <w:color w:val="auto"/>
              </w:rPr>
            </w:pPr>
            <w:r>
              <w:rPr>
                <w:rFonts w:ascii="Arial" w:cs="Arial" w:eastAsia="Arial" w:hAnsi="Arial"/>
                <w:sz w:val="18"/>
                <w:szCs w:val="18"/>
                <w:color w:val="auto"/>
                <w:w w:val="98"/>
              </w:rPr>
              <w:t>ARTICLE X</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APPLICATION OF PROCEEDS</w:t>
      </w:r>
    </w:p>
    <w:p>
      <w:pPr>
        <w:sectPr>
          <w:pgSz w:w="11900" w:h="16838" w:orient="portrait"/>
          <w:cols w:equalWidth="0" w:num="1">
            <w:col w:w="11420"/>
          </w:cols>
          <w:pgMar w:left="240" w:top="611" w:right="239" w:bottom="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10.1.</w:t>
            </w:r>
          </w:p>
        </w:tc>
        <w:tc>
          <w:tcPr>
            <w:tcW w:w="9060" w:type="dxa"/>
            <w:vAlign w:val="bottom"/>
          </w:tcPr>
          <w:p>
            <w:pPr>
              <w:ind w:left="520"/>
              <w:spacing w:after="0"/>
              <w:rPr>
                <w:sz w:val="20"/>
                <w:szCs w:val="20"/>
                <w:color w:val="auto"/>
              </w:rPr>
            </w:pPr>
            <w:r>
              <w:rPr>
                <w:rFonts w:ascii="Arial" w:cs="Arial" w:eastAsia="Arial" w:hAnsi="Arial"/>
                <w:sz w:val="18"/>
                <w:szCs w:val="18"/>
                <w:color w:val="auto"/>
              </w:rPr>
              <w:t>APPLICATION OF PROCEEDS</w:t>
            </w:r>
          </w:p>
        </w:tc>
        <w:tc>
          <w:tcPr>
            <w:tcW w:w="580" w:type="dxa"/>
            <w:vAlign w:val="bottom"/>
          </w:tcPr>
          <w:p>
            <w:pPr>
              <w:ind w:left="140"/>
              <w:spacing w:after="0"/>
              <w:rPr>
                <w:sz w:val="20"/>
                <w:szCs w:val="20"/>
                <w:color w:val="auto"/>
              </w:rPr>
            </w:pPr>
            <w:r>
              <w:rPr>
                <w:rFonts w:ascii="Arial" w:cs="Arial" w:eastAsia="Arial" w:hAnsi="Arial"/>
                <w:sz w:val="18"/>
                <w:szCs w:val="18"/>
                <w:color w:val="auto"/>
              </w:rPr>
              <w:t>26</w:t>
            </w:r>
          </w:p>
        </w:tc>
      </w:tr>
      <w:tr>
        <w:trPr>
          <w:trHeight w:val="230"/>
        </w:trPr>
        <w:tc>
          <w:tcPr>
            <w:tcW w:w="1780" w:type="dxa"/>
            <w:vAlign w:val="bottom"/>
          </w:tcPr>
          <w:p>
            <w:pPr>
              <w:spacing w:after="0"/>
              <w:rPr>
                <w:sz w:val="20"/>
                <w:szCs w:val="20"/>
                <w:color w:val="auto"/>
              </w:rPr>
            </w:pPr>
          </w:p>
        </w:tc>
        <w:tc>
          <w:tcPr>
            <w:tcW w:w="9060" w:type="dxa"/>
            <w:vAlign w:val="bottom"/>
          </w:tcPr>
          <w:p>
            <w:pPr>
              <w:ind w:left="3440"/>
              <w:spacing w:after="0"/>
              <w:rPr>
                <w:sz w:val="20"/>
                <w:szCs w:val="20"/>
                <w:color w:val="auto"/>
              </w:rPr>
            </w:pPr>
            <w:r>
              <w:rPr>
                <w:rFonts w:ascii="Arial" w:cs="Arial" w:eastAsia="Arial" w:hAnsi="Arial"/>
                <w:sz w:val="18"/>
                <w:szCs w:val="18"/>
                <w:color w:val="auto"/>
              </w:rPr>
              <w:t>ARTICLE XI</w:t>
            </w:r>
          </w:p>
        </w:tc>
        <w:tc>
          <w:tcPr>
            <w:tcW w:w="580" w:type="dxa"/>
            <w:vAlign w:val="bottom"/>
          </w:tcPr>
          <w:p>
            <w:pPr>
              <w:spacing w:after="0"/>
              <w:rPr>
                <w:sz w:val="20"/>
                <w:szCs w:val="20"/>
                <w:color w:val="auto"/>
              </w:rPr>
            </w:pPr>
          </w:p>
        </w:tc>
      </w:tr>
      <w:tr>
        <w:trPr>
          <w:trHeight w:val="418"/>
        </w:trPr>
        <w:tc>
          <w:tcPr>
            <w:tcW w:w="1780" w:type="dxa"/>
            <w:vAlign w:val="bottom"/>
          </w:tcPr>
          <w:p>
            <w:pPr>
              <w:spacing w:after="0"/>
              <w:rPr>
                <w:sz w:val="24"/>
                <w:szCs w:val="24"/>
                <w:color w:val="auto"/>
              </w:rPr>
            </w:pPr>
          </w:p>
        </w:tc>
        <w:tc>
          <w:tcPr>
            <w:tcW w:w="9060" w:type="dxa"/>
            <w:vAlign w:val="bottom"/>
          </w:tcPr>
          <w:p>
            <w:pPr>
              <w:ind w:left="3180"/>
              <w:spacing w:after="0"/>
              <w:rPr>
                <w:sz w:val="20"/>
                <w:szCs w:val="20"/>
                <w:color w:val="auto"/>
              </w:rPr>
            </w:pPr>
            <w:r>
              <w:rPr>
                <w:rFonts w:ascii="Arial" w:cs="Arial" w:eastAsia="Arial" w:hAnsi="Arial"/>
                <w:sz w:val="18"/>
                <w:szCs w:val="18"/>
                <w:color w:val="auto"/>
              </w:rPr>
              <w:t>MISCELLANEOUS</w:t>
            </w:r>
          </w:p>
        </w:tc>
        <w:tc>
          <w:tcPr>
            <w:tcW w:w="580" w:type="dxa"/>
            <w:vAlign w:val="bottom"/>
          </w:tcPr>
          <w:p>
            <w:pPr>
              <w:spacing w:after="0"/>
              <w:rPr>
                <w:sz w:val="24"/>
                <w:szCs w:val="24"/>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11.1.</w:t>
            </w:r>
          </w:p>
        </w:tc>
        <w:tc>
          <w:tcPr>
            <w:tcW w:w="9060" w:type="dxa"/>
            <w:vAlign w:val="bottom"/>
          </w:tcPr>
          <w:p>
            <w:pPr>
              <w:ind w:left="520"/>
              <w:spacing w:after="0"/>
              <w:rPr>
                <w:sz w:val="20"/>
                <w:szCs w:val="20"/>
                <w:color w:val="auto"/>
              </w:rPr>
            </w:pPr>
            <w:r>
              <w:rPr>
                <w:rFonts w:ascii="Arial" w:cs="Arial" w:eastAsia="Arial" w:hAnsi="Arial"/>
                <w:sz w:val="18"/>
                <w:szCs w:val="18"/>
                <w:color w:val="auto"/>
              </w:rPr>
              <w:t>CONCERNING COLLATERAL AGENT</w:t>
            </w:r>
          </w:p>
        </w:tc>
        <w:tc>
          <w:tcPr>
            <w:tcW w:w="580" w:type="dxa"/>
            <w:vAlign w:val="bottom"/>
          </w:tcPr>
          <w:p>
            <w:pPr>
              <w:ind w:left="140"/>
              <w:spacing w:after="0"/>
              <w:rPr>
                <w:sz w:val="20"/>
                <w:szCs w:val="20"/>
                <w:color w:val="auto"/>
              </w:rPr>
            </w:pPr>
            <w:r>
              <w:rPr>
                <w:rFonts w:ascii="Arial" w:cs="Arial" w:eastAsia="Arial" w:hAnsi="Arial"/>
                <w:sz w:val="18"/>
                <w:szCs w:val="18"/>
                <w:color w:val="auto"/>
              </w:rPr>
              <w:t>27</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11.2.</w:t>
            </w:r>
          </w:p>
        </w:tc>
        <w:tc>
          <w:tcPr>
            <w:tcW w:w="9060" w:type="dxa"/>
            <w:vAlign w:val="bottom"/>
          </w:tcPr>
          <w:p>
            <w:pPr>
              <w:ind w:left="520"/>
              <w:spacing w:after="0"/>
              <w:rPr>
                <w:sz w:val="20"/>
                <w:szCs w:val="20"/>
                <w:color w:val="auto"/>
              </w:rPr>
            </w:pPr>
            <w:r>
              <w:rPr>
                <w:rFonts w:ascii="Arial" w:cs="Arial" w:eastAsia="Arial" w:hAnsi="Arial"/>
                <w:sz w:val="18"/>
                <w:szCs w:val="18"/>
                <w:color w:val="auto"/>
              </w:rPr>
              <w:t>COLLATERAL AGENT MAY PERFORM; COLLATERAL AGENT APPOINTED ATTORNEY-IN-FACT</w:t>
            </w:r>
          </w:p>
        </w:tc>
        <w:tc>
          <w:tcPr>
            <w:tcW w:w="580" w:type="dxa"/>
            <w:vAlign w:val="bottom"/>
          </w:tcPr>
          <w:p>
            <w:pPr>
              <w:ind w:left="140"/>
              <w:spacing w:after="0"/>
              <w:rPr>
                <w:sz w:val="20"/>
                <w:szCs w:val="20"/>
                <w:color w:val="auto"/>
              </w:rPr>
            </w:pPr>
            <w:r>
              <w:rPr>
                <w:rFonts w:ascii="Arial" w:cs="Arial" w:eastAsia="Arial" w:hAnsi="Arial"/>
                <w:sz w:val="18"/>
                <w:szCs w:val="18"/>
                <w:color w:val="auto"/>
              </w:rPr>
              <w:t>28</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11.3.</w:t>
            </w:r>
          </w:p>
        </w:tc>
        <w:tc>
          <w:tcPr>
            <w:tcW w:w="9060" w:type="dxa"/>
            <w:vAlign w:val="bottom"/>
          </w:tcPr>
          <w:p>
            <w:pPr>
              <w:ind w:left="520"/>
              <w:spacing w:after="0"/>
              <w:rPr>
                <w:sz w:val="20"/>
                <w:szCs w:val="20"/>
                <w:color w:val="auto"/>
              </w:rPr>
            </w:pPr>
            <w:r>
              <w:rPr>
                <w:rFonts w:ascii="Arial" w:cs="Arial" w:eastAsia="Arial" w:hAnsi="Arial"/>
                <w:sz w:val="18"/>
                <w:szCs w:val="18"/>
                <w:color w:val="auto"/>
              </w:rPr>
              <w:t>CONTINUING SECURITY INTEREST; ASSIGNMENT</w:t>
            </w:r>
          </w:p>
        </w:tc>
        <w:tc>
          <w:tcPr>
            <w:tcW w:w="580" w:type="dxa"/>
            <w:vAlign w:val="bottom"/>
          </w:tcPr>
          <w:p>
            <w:pPr>
              <w:ind w:left="140"/>
              <w:spacing w:after="0"/>
              <w:rPr>
                <w:sz w:val="20"/>
                <w:szCs w:val="20"/>
                <w:color w:val="auto"/>
              </w:rPr>
            </w:pPr>
            <w:r>
              <w:rPr>
                <w:rFonts w:ascii="Arial" w:cs="Arial" w:eastAsia="Arial" w:hAnsi="Arial"/>
                <w:sz w:val="18"/>
                <w:szCs w:val="18"/>
                <w:color w:val="auto"/>
              </w:rPr>
              <w:t>28</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11.4.</w:t>
            </w:r>
          </w:p>
        </w:tc>
        <w:tc>
          <w:tcPr>
            <w:tcW w:w="9060" w:type="dxa"/>
            <w:vAlign w:val="bottom"/>
          </w:tcPr>
          <w:p>
            <w:pPr>
              <w:ind w:left="520"/>
              <w:spacing w:after="0"/>
              <w:rPr>
                <w:sz w:val="20"/>
                <w:szCs w:val="20"/>
                <w:color w:val="auto"/>
              </w:rPr>
            </w:pPr>
            <w:r>
              <w:rPr>
                <w:rFonts w:ascii="Arial" w:cs="Arial" w:eastAsia="Arial" w:hAnsi="Arial"/>
                <w:sz w:val="18"/>
                <w:szCs w:val="18"/>
                <w:color w:val="auto"/>
              </w:rPr>
              <w:t>TERMINATION; RELEASE</w:t>
            </w:r>
          </w:p>
        </w:tc>
        <w:tc>
          <w:tcPr>
            <w:tcW w:w="580" w:type="dxa"/>
            <w:vAlign w:val="bottom"/>
          </w:tcPr>
          <w:p>
            <w:pPr>
              <w:ind w:left="140"/>
              <w:spacing w:after="0"/>
              <w:rPr>
                <w:sz w:val="20"/>
                <w:szCs w:val="20"/>
                <w:color w:val="auto"/>
              </w:rPr>
            </w:pPr>
            <w:r>
              <w:rPr>
                <w:rFonts w:ascii="Arial" w:cs="Arial" w:eastAsia="Arial" w:hAnsi="Arial"/>
                <w:sz w:val="18"/>
                <w:szCs w:val="18"/>
                <w:color w:val="auto"/>
              </w:rPr>
              <w:t>29</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11.5.</w:t>
            </w:r>
          </w:p>
        </w:tc>
        <w:tc>
          <w:tcPr>
            <w:tcW w:w="9060" w:type="dxa"/>
            <w:vAlign w:val="bottom"/>
          </w:tcPr>
          <w:p>
            <w:pPr>
              <w:ind w:left="520"/>
              <w:spacing w:after="0"/>
              <w:rPr>
                <w:sz w:val="20"/>
                <w:szCs w:val="20"/>
                <w:color w:val="auto"/>
              </w:rPr>
            </w:pPr>
            <w:r>
              <w:rPr>
                <w:rFonts w:ascii="Arial" w:cs="Arial" w:eastAsia="Arial" w:hAnsi="Arial"/>
                <w:sz w:val="18"/>
                <w:szCs w:val="18"/>
                <w:color w:val="auto"/>
              </w:rPr>
              <w:t>MODIFICATION IN WRITING</w:t>
            </w:r>
          </w:p>
        </w:tc>
        <w:tc>
          <w:tcPr>
            <w:tcW w:w="580" w:type="dxa"/>
            <w:vAlign w:val="bottom"/>
          </w:tcPr>
          <w:p>
            <w:pPr>
              <w:ind w:left="140"/>
              <w:spacing w:after="0"/>
              <w:rPr>
                <w:sz w:val="20"/>
                <w:szCs w:val="20"/>
                <w:color w:val="auto"/>
              </w:rPr>
            </w:pPr>
            <w:r>
              <w:rPr>
                <w:rFonts w:ascii="Arial" w:cs="Arial" w:eastAsia="Arial" w:hAnsi="Arial"/>
                <w:sz w:val="18"/>
                <w:szCs w:val="18"/>
                <w:color w:val="auto"/>
              </w:rPr>
              <w:t>29</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11.6.</w:t>
            </w:r>
          </w:p>
        </w:tc>
        <w:tc>
          <w:tcPr>
            <w:tcW w:w="9060" w:type="dxa"/>
            <w:vAlign w:val="bottom"/>
          </w:tcPr>
          <w:p>
            <w:pPr>
              <w:ind w:left="520"/>
              <w:spacing w:after="0"/>
              <w:rPr>
                <w:sz w:val="20"/>
                <w:szCs w:val="20"/>
                <w:color w:val="auto"/>
              </w:rPr>
            </w:pPr>
            <w:r>
              <w:rPr>
                <w:rFonts w:ascii="Arial" w:cs="Arial" w:eastAsia="Arial" w:hAnsi="Arial"/>
                <w:sz w:val="18"/>
                <w:szCs w:val="18"/>
                <w:color w:val="auto"/>
              </w:rPr>
              <w:t>NOTICES</w:t>
            </w:r>
          </w:p>
        </w:tc>
        <w:tc>
          <w:tcPr>
            <w:tcW w:w="580" w:type="dxa"/>
            <w:vAlign w:val="bottom"/>
          </w:tcPr>
          <w:p>
            <w:pPr>
              <w:ind w:left="140"/>
              <w:spacing w:after="0"/>
              <w:rPr>
                <w:sz w:val="20"/>
                <w:szCs w:val="20"/>
                <w:color w:val="auto"/>
              </w:rPr>
            </w:pPr>
            <w:r>
              <w:rPr>
                <w:rFonts w:ascii="Arial" w:cs="Arial" w:eastAsia="Arial" w:hAnsi="Arial"/>
                <w:sz w:val="18"/>
                <w:szCs w:val="18"/>
                <w:color w:val="auto"/>
              </w:rPr>
              <w:t>29</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11.7.</w:t>
            </w:r>
          </w:p>
        </w:tc>
        <w:tc>
          <w:tcPr>
            <w:tcW w:w="9060" w:type="dxa"/>
            <w:vAlign w:val="bottom"/>
          </w:tcPr>
          <w:p>
            <w:pPr>
              <w:ind w:left="520"/>
              <w:spacing w:after="0"/>
              <w:rPr>
                <w:sz w:val="20"/>
                <w:szCs w:val="20"/>
                <w:color w:val="auto"/>
              </w:rPr>
            </w:pPr>
            <w:r>
              <w:rPr>
                <w:rFonts w:ascii="Arial" w:cs="Arial" w:eastAsia="Arial" w:hAnsi="Arial"/>
                <w:sz w:val="18"/>
                <w:szCs w:val="18"/>
                <w:color w:val="auto"/>
                <w:w w:val="96"/>
              </w:rPr>
              <w:t>GOVERNING LAW, CONSENT TO JURISDICTION AND SERVICE OF PROCESS; WAIVER OF JURY TRIAL</w:t>
            </w:r>
          </w:p>
        </w:tc>
        <w:tc>
          <w:tcPr>
            <w:tcW w:w="580" w:type="dxa"/>
            <w:vAlign w:val="bottom"/>
          </w:tcPr>
          <w:p>
            <w:pPr>
              <w:ind w:left="140"/>
              <w:spacing w:after="0"/>
              <w:rPr>
                <w:sz w:val="20"/>
                <w:szCs w:val="20"/>
                <w:color w:val="auto"/>
              </w:rPr>
            </w:pPr>
            <w:r>
              <w:rPr>
                <w:rFonts w:ascii="Arial" w:cs="Arial" w:eastAsia="Arial" w:hAnsi="Arial"/>
                <w:sz w:val="18"/>
                <w:szCs w:val="18"/>
                <w:color w:val="auto"/>
              </w:rPr>
              <w:t>29</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11.8.</w:t>
            </w:r>
          </w:p>
        </w:tc>
        <w:tc>
          <w:tcPr>
            <w:tcW w:w="9060" w:type="dxa"/>
            <w:vAlign w:val="bottom"/>
          </w:tcPr>
          <w:p>
            <w:pPr>
              <w:ind w:left="520"/>
              <w:spacing w:after="0"/>
              <w:rPr>
                <w:sz w:val="20"/>
                <w:szCs w:val="20"/>
                <w:color w:val="auto"/>
              </w:rPr>
            </w:pPr>
            <w:r>
              <w:rPr>
                <w:rFonts w:ascii="Arial" w:cs="Arial" w:eastAsia="Arial" w:hAnsi="Arial"/>
                <w:sz w:val="18"/>
                <w:szCs w:val="18"/>
                <w:color w:val="auto"/>
              </w:rPr>
              <w:t>SEVERABILITY OF PROVISIONS</w:t>
            </w:r>
          </w:p>
        </w:tc>
        <w:tc>
          <w:tcPr>
            <w:tcW w:w="580" w:type="dxa"/>
            <w:vAlign w:val="bottom"/>
          </w:tcPr>
          <w:p>
            <w:pPr>
              <w:ind w:left="140"/>
              <w:spacing w:after="0"/>
              <w:rPr>
                <w:sz w:val="20"/>
                <w:szCs w:val="20"/>
                <w:color w:val="auto"/>
              </w:rPr>
            </w:pPr>
            <w:r>
              <w:rPr>
                <w:rFonts w:ascii="Arial" w:cs="Arial" w:eastAsia="Arial" w:hAnsi="Arial"/>
                <w:sz w:val="18"/>
                <w:szCs w:val="18"/>
                <w:color w:val="auto"/>
              </w:rPr>
              <w:t>29</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11.9.</w:t>
            </w:r>
          </w:p>
        </w:tc>
        <w:tc>
          <w:tcPr>
            <w:tcW w:w="9060" w:type="dxa"/>
            <w:vAlign w:val="bottom"/>
          </w:tcPr>
          <w:p>
            <w:pPr>
              <w:ind w:left="520"/>
              <w:spacing w:after="0"/>
              <w:rPr>
                <w:sz w:val="20"/>
                <w:szCs w:val="20"/>
                <w:color w:val="auto"/>
              </w:rPr>
            </w:pPr>
            <w:r>
              <w:rPr>
                <w:rFonts w:ascii="Arial" w:cs="Arial" w:eastAsia="Arial" w:hAnsi="Arial"/>
                <w:sz w:val="18"/>
                <w:szCs w:val="18"/>
                <w:color w:val="auto"/>
              </w:rPr>
              <w:t>EXECUTION IN COUNTERPARTS</w:t>
            </w:r>
          </w:p>
        </w:tc>
        <w:tc>
          <w:tcPr>
            <w:tcW w:w="580" w:type="dxa"/>
            <w:vAlign w:val="bottom"/>
          </w:tcPr>
          <w:p>
            <w:pPr>
              <w:ind w:left="140"/>
              <w:spacing w:after="0"/>
              <w:rPr>
                <w:sz w:val="20"/>
                <w:szCs w:val="20"/>
                <w:color w:val="auto"/>
              </w:rPr>
            </w:pPr>
            <w:r>
              <w:rPr>
                <w:rFonts w:ascii="Arial" w:cs="Arial" w:eastAsia="Arial" w:hAnsi="Arial"/>
                <w:sz w:val="18"/>
                <w:szCs w:val="18"/>
                <w:color w:val="auto"/>
              </w:rPr>
              <w:t>29</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11.10.</w:t>
            </w:r>
          </w:p>
        </w:tc>
        <w:tc>
          <w:tcPr>
            <w:tcW w:w="9060" w:type="dxa"/>
            <w:vAlign w:val="bottom"/>
          </w:tcPr>
          <w:p>
            <w:pPr>
              <w:ind w:left="520"/>
              <w:spacing w:after="0"/>
              <w:rPr>
                <w:sz w:val="20"/>
                <w:szCs w:val="20"/>
                <w:color w:val="auto"/>
              </w:rPr>
            </w:pPr>
            <w:r>
              <w:rPr>
                <w:rFonts w:ascii="Arial" w:cs="Arial" w:eastAsia="Arial" w:hAnsi="Arial"/>
                <w:sz w:val="18"/>
                <w:szCs w:val="18"/>
                <w:color w:val="auto"/>
              </w:rPr>
              <w:t>BUSINESS DAYS</w:t>
            </w:r>
          </w:p>
        </w:tc>
        <w:tc>
          <w:tcPr>
            <w:tcW w:w="580" w:type="dxa"/>
            <w:vAlign w:val="bottom"/>
          </w:tcPr>
          <w:p>
            <w:pPr>
              <w:ind w:left="140"/>
              <w:spacing w:after="0"/>
              <w:rPr>
                <w:sz w:val="20"/>
                <w:szCs w:val="20"/>
                <w:color w:val="auto"/>
              </w:rPr>
            </w:pPr>
            <w:r>
              <w:rPr>
                <w:rFonts w:ascii="Arial" w:cs="Arial" w:eastAsia="Arial" w:hAnsi="Arial"/>
                <w:sz w:val="18"/>
                <w:szCs w:val="18"/>
                <w:color w:val="auto"/>
              </w:rPr>
              <w:t>30</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11.11.</w:t>
            </w:r>
          </w:p>
        </w:tc>
        <w:tc>
          <w:tcPr>
            <w:tcW w:w="9060" w:type="dxa"/>
            <w:vAlign w:val="bottom"/>
          </w:tcPr>
          <w:p>
            <w:pPr>
              <w:ind w:left="520"/>
              <w:spacing w:after="0"/>
              <w:rPr>
                <w:sz w:val="20"/>
                <w:szCs w:val="20"/>
                <w:color w:val="auto"/>
              </w:rPr>
            </w:pPr>
            <w:r>
              <w:rPr>
                <w:rFonts w:ascii="Arial" w:cs="Arial" w:eastAsia="Arial" w:hAnsi="Arial"/>
                <w:sz w:val="18"/>
                <w:szCs w:val="18"/>
                <w:color w:val="auto"/>
              </w:rPr>
              <w:t>NO CREDIT FOR PAYMENT OF TAXES OR IMPOSITION</w:t>
            </w:r>
          </w:p>
        </w:tc>
        <w:tc>
          <w:tcPr>
            <w:tcW w:w="580" w:type="dxa"/>
            <w:vAlign w:val="bottom"/>
          </w:tcPr>
          <w:p>
            <w:pPr>
              <w:ind w:left="140"/>
              <w:spacing w:after="0"/>
              <w:rPr>
                <w:sz w:val="20"/>
                <w:szCs w:val="20"/>
                <w:color w:val="auto"/>
              </w:rPr>
            </w:pPr>
            <w:r>
              <w:rPr>
                <w:rFonts w:ascii="Arial" w:cs="Arial" w:eastAsia="Arial" w:hAnsi="Arial"/>
                <w:sz w:val="18"/>
                <w:szCs w:val="18"/>
                <w:color w:val="auto"/>
              </w:rPr>
              <w:t>30</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11.12.</w:t>
            </w:r>
          </w:p>
        </w:tc>
        <w:tc>
          <w:tcPr>
            <w:tcW w:w="9060" w:type="dxa"/>
            <w:vAlign w:val="bottom"/>
          </w:tcPr>
          <w:p>
            <w:pPr>
              <w:ind w:left="520"/>
              <w:spacing w:after="0"/>
              <w:rPr>
                <w:sz w:val="20"/>
                <w:szCs w:val="20"/>
                <w:color w:val="auto"/>
              </w:rPr>
            </w:pPr>
            <w:r>
              <w:rPr>
                <w:rFonts w:ascii="Arial" w:cs="Arial" w:eastAsia="Arial" w:hAnsi="Arial"/>
                <w:sz w:val="18"/>
                <w:szCs w:val="18"/>
                <w:color w:val="auto"/>
              </w:rPr>
              <w:t>NO CLAIMS AGAINST COLLATERAL AGENT</w:t>
            </w:r>
          </w:p>
        </w:tc>
        <w:tc>
          <w:tcPr>
            <w:tcW w:w="580" w:type="dxa"/>
            <w:vAlign w:val="bottom"/>
          </w:tcPr>
          <w:p>
            <w:pPr>
              <w:ind w:left="140"/>
              <w:spacing w:after="0"/>
              <w:rPr>
                <w:sz w:val="20"/>
                <w:szCs w:val="20"/>
                <w:color w:val="auto"/>
              </w:rPr>
            </w:pPr>
            <w:r>
              <w:rPr>
                <w:rFonts w:ascii="Arial" w:cs="Arial" w:eastAsia="Arial" w:hAnsi="Arial"/>
                <w:sz w:val="18"/>
                <w:szCs w:val="18"/>
                <w:color w:val="auto"/>
              </w:rPr>
              <w:t>30</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11.13.</w:t>
            </w:r>
          </w:p>
        </w:tc>
        <w:tc>
          <w:tcPr>
            <w:tcW w:w="9060" w:type="dxa"/>
            <w:vAlign w:val="bottom"/>
          </w:tcPr>
          <w:p>
            <w:pPr>
              <w:ind w:left="520"/>
              <w:spacing w:after="0"/>
              <w:rPr>
                <w:sz w:val="20"/>
                <w:szCs w:val="20"/>
                <w:color w:val="auto"/>
              </w:rPr>
            </w:pPr>
            <w:r>
              <w:rPr>
                <w:rFonts w:ascii="Arial" w:cs="Arial" w:eastAsia="Arial" w:hAnsi="Arial"/>
                <w:sz w:val="18"/>
                <w:szCs w:val="18"/>
                <w:color w:val="auto"/>
              </w:rPr>
              <w:t>NO RELEASE</w:t>
            </w:r>
          </w:p>
        </w:tc>
        <w:tc>
          <w:tcPr>
            <w:tcW w:w="580" w:type="dxa"/>
            <w:vAlign w:val="bottom"/>
          </w:tcPr>
          <w:p>
            <w:pPr>
              <w:ind w:left="140"/>
              <w:spacing w:after="0"/>
              <w:rPr>
                <w:sz w:val="20"/>
                <w:szCs w:val="20"/>
                <w:color w:val="auto"/>
              </w:rPr>
            </w:pPr>
            <w:r>
              <w:rPr>
                <w:rFonts w:ascii="Arial" w:cs="Arial" w:eastAsia="Arial" w:hAnsi="Arial"/>
                <w:sz w:val="18"/>
                <w:szCs w:val="18"/>
                <w:color w:val="auto"/>
              </w:rPr>
              <w:t>30</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SECTION 11.14.</w:t>
            </w:r>
          </w:p>
        </w:tc>
        <w:tc>
          <w:tcPr>
            <w:tcW w:w="9060" w:type="dxa"/>
            <w:vAlign w:val="bottom"/>
          </w:tcPr>
          <w:p>
            <w:pPr>
              <w:ind w:left="520"/>
              <w:spacing w:after="0"/>
              <w:rPr>
                <w:sz w:val="20"/>
                <w:szCs w:val="20"/>
                <w:color w:val="auto"/>
              </w:rPr>
            </w:pPr>
            <w:r>
              <w:rPr>
                <w:rFonts w:ascii="Arial" w:cs="Arial" w:eastAsia="Arial" w:hAnsi="Arial"/>
                <w:sz w:val="18"/>
                <w:szCs w:val="18"/>
                <w:color w:val="auto"/>
              </w:rPr>
              <w:t>OBLIGATIONS ABSOLUTE</w:t>
            </w:r>
          </w:p>
        </w:tc>
        <w:tc>
          <w:tcPr>
            <w:tcW w:w="580" w:type="dxa"/>
            <w:vAlign w:val="bottom"/>
          </w:tcPr>
          <w:p>
            <w:pPr>
              <w:ind w:left="140"/>
              <w:spacing w:after="0"/>
              <w:rPr>
                <w:sz w:val="20"/>
                <w:szCs w:val="20"/>
                <w:color w:val="auto"/>
              </w:rPr>
            </w:pPr>
            <w:r>
              <w:rPr>
                <w:rFonts w:ascii="Arial" w:cs="Arial" w:eastAsia="Arial" w:hAnsi="Arial"/>
                <w:sz w:val="18"/>
                <w:szCs w:val="18"/>
                <w:color w:val="auto"/>
              </w:rPr>
              <w:t>30</w:t>
            </w:r>
          </w:p>
        </w:tc>
      </w:tr>
      <w:tr>
        <w:trPr>
          <w:trHeight w:val="418"/>
        </w:trPr>
        <w:tc>
          <w:tcPr>
            <w:tcW w:w="1780" w:type="dxa"/>
            <w:vAlign w:val="bottom"/>
          </w:tcPr>
          <w:p>
            <w:pPr>
              <w:spacing w:after="0"/>
              <w:rPr>
                <w:sz w:val="20"/>
                <w:szCs w:val="20"/>
                <w:color w:val="auto"/>
              </w:rPr>
            </w:pPr>
            <w:r>
              <w:rPr>
                <w:rFonts w:ascii="Arial" w:cs="Arial" w:eastAsia="Arial" w:hAnsi="Arial"/>
                <w:sz w:val="18"/>
                <w:szCs w:val="18"/>
                <w:color w:val="auto"/>
              </w:rPr>
              <w:t>SIGNATURES</w:t>
            </w:r>
          </w:p>
        </w:tc>
        <w:tc>
          <w:tcPr>
            <w:tcW w:w="906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S-1</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EXHIBIT 1</w:t>
            </w:r>
          </w:p>
        </w:tc>
        <w:tc>
          <w:tcPr>
            <w:tcW w:w="9060" w:type="dxa"/>
            <w:vAlign w:val="bottom"/>
          </w:tcPr>
          <w:p>
            <w:pPr>
              <w:ind w:left="520"/>
              <w:spacing w:after="0"/>
              <w:rPr>
                <w:sz w:val="20"/>
                <w:szCs w:val="20"/>
                <w:color w:val="auto"/>
              </w:rPr>
            </w:pPr>
            <w:r>
              <w:rPr>
                <w:rFonts w:ascii="Arial" w:cs="Arial" w:eastAsia="Arial" w:hAnsi="Arial"/>
                <w:sz w:val="18"/>
                <w:szCs w:val="18"/>
                <w:color w:val="auto"/>
              </w:rPr>
              <w:t>Form of Issuer’s Acknowledgment</w:t>
            </w:r>
          </w:p>
        </w:tc>
        <w:tc>
          <w:tcPr>
            <w:tcW w:w="58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EXHIBIT 2</w:t>
            </w:r>
          </w:p>
        </w:tc>
        <w:tc>
          <w:tcPr>
            <w:tcW w:w="9060" w:type="dxa"/>
            <w:vAlign w:val="bottom"/>
          </w:tcPr>
          <w:p>
            <w:pPr>
              <w:ind w:left="520"/>
              <w:spacing w:after="0"/>
              <w:rPr>
                <w:sz w:val="20"/>
                <w:szCs w:val="20"/>
                <w:color w:val="auto"/>
              </w:rPr>
            </w:pPr>
            <w:r>
              <w:rPr>
                <w:rFonts w:ascii="Arial" w:cs="Arial" w:eastAsia="Arial" w:hAnsi="Arial"/>
                <w:sz w:val="18"/>
                <w:szCs w:val="18"/>
                <w:color w:val="auto"/>
              </w:rPr>
              <w:t>Form of Securities Pledge Amendment</w:t>
            </w:r>
          </w:p>
        </w:tc>
        <w:tc>
          <w:tcPr>
            <w:tcW w:w="58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EXHIBIT 3</w:t>
            </w:r>
          </w:p>
        </w:tc>
        <w:tc>
          <w:tcPr>
            <w:tcW w:w="9060" w:type="dxa"/>
            <w:vAlign w:val="bottom"/>
          </w:tcPr>
          <w:p>
            <w:pPr>
              <w:ind w:left="520"/>
              <w:spacing w:after="0"/>
              <w:rPr>
                <w:sz w:val="20"/>
                <w:szCs w:val="20"/>
                <w:color w:val="auto"/>
              </w:rPr>
            </w:pPr>
            <w:r>
              <w:rPr>
                <w:rFonts w:ascii="Arial" w:cs="Arial" w:eastAsia="Arial" w:hAnsi="Arial"/>
                <w:sz w:val="18"/>
                <w:szCs w:val="18"/>
                <w:color w:val="auto"/>
              </w:rPr>
              <w:t>Form of Joinder Agreement</w:t>
            </w:r>
          </w:p>
        </w:tc>
        <w:tc>
          <w:tcPr>
            <w:tcW w:w="58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EXHIBIT 4</w:t>
            </w:r>
          </w:p>
        </w:tc>
        <w:tc>
          <w:tcPr>
            <w:tcW w:w="9060" w:type="dxa"/>
            <w:vAlign w:val="bottom"/>
          </w:tcPr>
          <w:p>
            <w:pPr>
              <w:ind w:left="520"/>
              <w:spacing w:after="0"/>
              <w:rPr>
                <w:sz w:val="20"/>
                <w:szCs w:val="20"/>
                <w:color w:val="auto"/>
              </w:rPr>
            </w:pPr>
            <w:r>
              <w:rPr>
                <w:rFonts w:ascii="Arial" w:cs="Arial" w:eastAsia="Arial" w:hAnsi="Arial"/>
                <w:sz w:val="18"/>
                <w:szCs w:val="18"/>
                <w:color w:val="auto"/>
              </w:rPr>
              <w:t>Form of Control Agreement Concerning Securities Accounts</w:t>
            </w:r>
          </w:p>
        </w:tc>
        <w:tc>
          <w:tcPr>
            <w:tcW w:w="58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EXHIBIT 5</w:t>
            </w:r>
          </w:p>
        </w:tc>
        <w:tc>
          <w:tcPr>
            <w:tcW w:w="9060" w:type="dxa"/>
            <w:vAlign w:val="bottom"/>
          </w:tcPr>
          <w:p>
            <w:pPr>
              <w:ind w:left="520"/>
              <w:spacing w:after="0"/>
              <w:rPr>
                <w:sz w:val="20"/>
                <w:szCs w:val="20"/>
                <w:color w:val="auto"/>
              </w:rPr>
            </w:pPr>
            <w:r>
              <w:rPr>
                <w:rFonts w:ascii="Arial" w:cs="Arial" w:eastAsia="Arial" w:hAnsi="Arial"/>
                <w:sz w:val="18"/>
                <w:szCs w:val="18"/>
                <w:color w:val="auto"/>
              </w:rPr>
              <w:t>Form of Control Agreement Concerning Deposit Accounts</w:t>
            </w:r>
          </w:p>
        </w:tc>
        <w:tc>
          <w:tcPr>
            <w:tcW w:w="58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EXHIBIT 6</w:t>
            </w:r>
          </w:p>
        </w:tc>
        <w:tc>
          <w:tcPr>
            <w:tcW w:w="9060" w:type="dxa"/>
            <w:vAlign w:val="bottom"/>
          </w:tcPr>
          <w:p>
            <w:pPr>
              <w:ind w:left="520"/>
              <w:spacing w:after="0"/>
              <w:rPr>
                <w:sz w:val="20"/>
                <w:szCs w:val="20"/>
                <w:color w:val="auto"/>
              </w:rPr>
            </w:pPr>
            <w:r>
              <w:rPr>
                <w:rFonts w:ascii="Arial" w:cs="Arial" w:eastAsia="Arial" w:hAnsi="Arial"/>
                <w:sz w:val="18"/>
                <w:szCs w:val="18"/>
                <w:color w:val="auto"/>
              </w:rPr>
              <w:t>Form of Copyright Security Agreement</w:t>
            </w:r>
          </w:p>
        </w:tc>
        <w:tc>
          <w:tcPr>
            <w:tcW w:w="58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EXHIBIT 7</w:t>
            </w:r>
          </w:p>
        </w:tc>
        <w:tc>
          <w:tcPr>
            <w:tcW w:w="9060" w:type="dxa"/>
            <w:vAlign w:val="bottom"/>
          </w:tcPr>
          <w:p>
            <w:pPr>
              <w:ind w:left="520"/>
              <w:spacing w:after="0"/>
              <w:rPr>
                <w:sz w:val="20"/>
                <w:szCs w:val="20"/>
                <w:color w:val="auto"/>
              </w:rPr>
            </w:pPr>
            <w:r>
              <w:rPr>
                <w:rFonts w:ascii="Arial" w:cs="Arial" w:eastAsia="Arial" w:hAnsi="Arial"/>
                <w:sz w:val="18"/>
                <w:szCs w:val="18"/>
                <w:color w:val="auto"/>
              </w:rPr>
              <w:t>Form of Patent Security Agreement</w:t>
            </w:r>
          </w:p>
        </w:tc>
        <w:tc>
          <w:tcPr>
            <w:tcW w:w="58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EXHIBIT 8</w:t>
            </w:r>
          </w:p>
        </w:tc>
        <w:tc>
          <w:tcPr>
            <w:tcW w:w="9060" w:type="dxa"/>
            <w:vAlign w:val="bottom"/>
          </w:tcPr>
          <w:p>
            <w:pPr>
              <w:ind w:left="520"/>
              <w:spacing w:after="0"/>
              <w:rPr>
                <w:sz w:val="20"/>
                <w:szCs w:val="20"/>
                <w:color w:val="auto"/>
              </w:rPr>
            </w:pPr>
            <w:r>
              <w:rPr>
                <w:rFonts w:ascii="Arial" w:cs="Arial" w:eastAsia="Arial" w:hAnsi="Arial"/>
                <w:sz w:val="18"/>
                <w:szCs w:val="18"/>
                <w:color w:val="auto"/>
              </w:rPr>
              <w:t>Form of Trademark Security Agreement</w:t>
            </w:r>
          </w:p>
        </w:tc>
        <w:tc>
          <w:tcPr>
            <w:tcW w:w="580" w:type="dxa"/>
            <w:vAlign w:val="bottom"/>
          </w:tcPr>
          <w:p>
            <w:pPr>
              <w:spacing w:after="0"/>
              <w:rPr>
                <w:sz w:val="18"/>
                <w:szCs w:val="18"/>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EXHIBIT 9</w:t>
            </w:r>
          </w:p>
        </w:tc>
        <w:tc>
          <w:tcPr>
            <w:tcW w:w="9060" w:type="dxa"/>
            <w:vAlign w:val="bottom"/>
          </w:tcPr>
          <w:p>
            <w:pPr>
              <w:ind w:left="520"/>
              <w:spacing w:after="0"/>
              <w:rPr>
                <w:sz w:val="20"/>
                <w:szCs w:val="20"/>
                <w:color w:val="auto"/>
              </w:rPr>
            </w:pPr>
            <w:r>
              <w:rPr>
                <w:rFonts w:ascii="Arial" w:cs="Arial" w:eastAsia="Arial" w:hAnsi="Arial"/>
                <w:sz w:val="18"/>
                <w:szCs w:val="18"/>
                <w:color w:val="auto"/>
              </w:rPr>
              <w:t>Form of Bailee’s Letter</w:t>
            </w:r>
          </w:p>
        </w:tc>
        <w:tc>
          <w:tcPr>
            <w:tcW w:w="580" w:type="dxa"/>
            <w:vAlign w:val="bottom"/>
          </w:tcPr>
          <w:p>
            <w:pPr>
              <w:spacing w:after="0"/>
              <w:rPr>
                <w:sz w:val="20"/>
                <w:szCs w:val="20"/>
                <w:color w:val="auto"/>
              </w:rPr>
            </w:pPr>
          </w:p>
        </w:tc>
      </w:tr>
      <w:tr>
        <w:trPr>
          <w:trHeight w:val="605"/>
        </w:trPr>
        <w:tc>
          <w:tcPr>
            <w:tcW w:w="1780" w:type="dxa"/>
            <w:vAlign w:val="bottom"/>
            <w:tcBorders>
              <w:bottom w:val="single" w:sz="8" w:color="808080"/>
            </w:tcBorders>
          </w:tcPr>
          <w:p>
            <w:pPr>
              <w:spacing w:after="0"/>
              <w:rPr>
                <w:sz w:val="24"/>
                <w:szCs w:val="24"/>
                <w:color w:val="auto"/>
              </w:rPr>
            </w:pPr>
          </w:p>
        </w:tc>
        <w:tc>
          <w:tcPr>
            <w:tcW w:w="90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 AGREEMENT</w:t>
      </w:r>
    </w:p>
    <w:p>
      <w:pPr>
        <w:spacing w:after="0" w:line="252"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This SECURITY AGREEMENT dated as of April 18, 2007 (as amended, amended and restated, supplemented or otherwise modified from time to time in accordance with the provisions hereof, this “</w:t>
      </w:r>
      <w:r>
        <w:rPr>
          <w:rFonts w:ascii="Arial" w:cs="Arial" w:eastAsia="Arial" w:hAnsi="Arial"/>
          <w:sz w:val="18"/>
          <w:szCs w:val="18"/>
          <w:u w:val="single" w:color="auto"/>
          <w:color w:val="auto"/>
        </w:rPr>
        <w:t>Agreement</w:t>
      </w:r>
      <w:r>
        <w:rPr>
          <w:rFonts w:ascii="Arial" w:cs="Arial" w:eastAsia="Arial" w:hAnsi="Arial"/>
          <w:sz w:val="18"/>
          <w:szCs w:val="18"/>
          <w:color w:val="auto"/>
        </w:rPr>
        <w:t>”) made by ITRON, INC., a Washington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 the Subsidiary Guarantors from to time to time party hereto (the “</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as pledgors, assignors and debtors (the Borrower, together with the Subsidiary Guarantors, in such capacities and together with any successors in such capacities, the “</w:t>
      </w:r>
      <w:r>
        <w:rPr>
          <w:rFonts w:ascii="Arial" w:cs="Arial" w:eastAsia="Arial" w:hAnsi="Arial"/>
          <w:sz w:val="18"/>
          <w:szCs w:val="18"/>
          <w:u w:val="single" w:color="auto"/>
          <w:color w:val="auto"/>
        </w:rPr>
        <w:t>Pledgors</w:t>
      </w:r>
      <w:r>
        <w:rPr>
          <w:rFonts w:ascii="Arial" w:cs="Arial" w:eastAsia="Arial" w:hAnsi="Arial"/>
          <w:sz w:val="18"/>
          <w:szCs w:val="18"/>
          <w:color w:val="auto"/>
        </w:rPr>
        <w:t>”, and each, a “</w:t>
      </w:r>
      <w:r>
        <w:rPr>
          <w:rFonts w:ascii="Arial" w:cs="Arial" w:eastAsia="Arial" w:hAnsi="Arial"/>
          <w:sz w:val="18"/>
          <w:szCs w:val="18"/>
          <w:u w:val="single" w:color="auto"/>
          <w:color w:val="auto"/>
        </w:rPr>
        <w:t>Pledgor</w:t>
      </w:r>
      <w:r>
        <w:rPr>
          <w:rFonts w:ascii="Arial" w:cs="Arial" w:eastAsia="Arial" w:hAnsi="Arial"/>
          <w:sz w:val="18"/>
          <w:szCs w:val="18"/>
          <w:color w:val="auto"/>
        </w:rPr>
        <w:t>”), in favor of WELLS FARGO BANK, NATIONAL ASSOCIATION, in its capacity as collateral agent pursuant to the Credit Agreement (as hereinafter defined) (in such capacity and together with any successors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 xml:space="preserve"> :</w:t>
      </w:r>
    </w:p>
    <w:p>
      <w:pPr>
        <w:spacing w:after="0" w:line="252" w:lineRule="exact"/>
        <w:rPr>
          <w:sz w:val="20"/>
          <w:szCs w:val="20"/>
          <w:color w:val="auto"/>
        </w:rPr>
      </w:pPr>
    </w:p>
    <w:p>
      <w:pPr>
        <w:ind w:firstLine="1305"/>
        <w:spacing w:after="0" w:line="272" w:lineRule="auto"/>
        <w:tabs>
          <w:tab w:leader="none" w:pos="1963"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Borrower, the Subsidiary Guarantors, the Collateral Agent, the Issuing Banks (as defined in the Credit Agreement), the Lenders (as defined in the Credit Agreement), and the other parties thereto have, in connection with the execution and delivery of this Agreement, entered into that certain Credit Agreement, dated as of April 18, 2007 (as amended, amended and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which term shall also include and refer to any increase in the amount of indebtedness under the Credit Agreement and any refinancing or replacement of the Credit Agreement (whether under a bank facility, securities offering or otherwise) or one or more successor or replacement facilities whether or not with a different group of agents or lenders (whether under a bank facility, securities offering or otherwise) and whether or not with different obligors upon the Administrative Agent’s acknowledgment of the termination of the predecessor Credit Agreement).</w:t>
      </w:r>
    </w:p>
    <w:p>
      <w:pPr>
        <w:spacing w:after="0" w:line="204" w:lineRule="exact"/>
        <w:rPr>
          <w:rFonts w:ascii="Arial" w:cs="Arial" w:eastAsia="Arial" w:hAnsi="Arial"/>
          <w:sz w:val="17"/>
          <w:szCs w:val="17"/>
          <w:color w:val="auto"/>
        </w:rPr>
      </w:pPr>
    </w:p>
    <w:p>
      <w:pPr>
        <w:ind w:left="1960" w:hanging="655"/>
        <w:spacing w:after="0"/>
        <w:tabs>
          <w:tab w:leader="none" w:pos="19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Each Subsidiary Guarantor has, pursuant to the Credit Agreement, unconditionally guaranteed the Secured Obligations.</w:t>
      </w:r>
    </w:p>
    <w:p>
      <w:pPr>
        <w:spacing w:after="0" w:line="263" w:lineRule="exact"/>
        <w:rPr>
          <w:rFonts w:ascii="Arial" w:cs="Arial" w:eastAsia="Arial" w:hAnsi="Arial"/>
          <w:sz w:val="17"/>
          <w:szCs w:val="17"/>
          <w:color w:val="auto"/>
        </w:rPr>
      </w:pPr>
    </w:p>
    <w:p>
      <w:pPr>
        <w:ind w:right="60" w:firstLine="1305"/>
        <w:spacing w:after="0" w:line="308" w:lineRule="auto"/>
        <w:tabs>
          <w:tab w:leader="none" w:pos="1953"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Borrower and each Subsidiary Guarantor will receive substantial benefits from the execution, delivery and performance of the obligations under the Credit Agreement and the other Loan Documents and each is, therefore, willing to enter into this Agreement.</w:t>
      </w:r>
    </w:p>
    <w:p>
      <w:pPr>
        <w:spacing w:after="0" w:line="173" w:lineRule="exact"/>
        <w:rPr>
          <w:rFonts w:ascii="Arial" w:cs="Arial" w:eastAsia="Arial" w:hAnsi="Arial"/>
          <w:sz w:val="17"/>
          <w:szCs w:val="17"/>
          <w:color w:val="auto"/>
        </w:rPr>
      </w:pPr>
    </w:p>
    <w:p>
      <w:pPr>
        <w:ind w:right="520" w:firstLine="1305"/>
        <w:spacing w:after="0" w:line="277" w:lineRule="auto"/>
        <w:tabs>
          <w:tab w:leader="none" w:pos="196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This Agreement is given by each Pledgor in favor of the Collateral Agent for the benefit of the Secured Parties to secure the payment and performance of all of the Secured Obligations.</w:t>
      </w:r>
    </w:p>
    <w:p>
      <w:pPr>
        <w:spacing w:after="0" w:line="197" w:lineRule="exact"/>
        <w:rPr>
          <w:sz w:val="20"/>
          <w:szCs w:val="20"/>
          <w:color w:val="auto"/>
        </w:rPr>
      </w:pPr>
    </w:p>
    <w:p>
      <w:pPr>
        <w:ind w:right="160" w:firstLine="1305"/>
        <w:spacing w:after="0" w:line="264" w:lineRule="auto"/>
        <w:tabs>
          <w:tab w:leader="none" w:pos="192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It is a condition to (i) the obligations of the Lenders to make the Loans under the Credit Agreement, (ii) the obligations of each Issuing Bank to issue Letters of Credit and (iii) the performance of the obligations of the Secured Parties under Hedging Agreements that constitute Secured Obligations that each Pledgor execute and deliver the applicable Loan Documents, including this Agreement.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 G R E E M E N T</w:t>
      </w:r>
      <w:r>
        <w:rPr>
          <w:rFonts w:ascii="Arial" w:cs="Arial" w:eastAsia="Arial" w:hAnsi="Arial"/>
          <w:sz w:val="18"/>
          <w:szCs w:val="18"/>
          <w:color w:val="auto"/>
        </w:rPr>
        <w:t xml:space="preserve"> :</w:t>
      </w:r>
    </w:p>
    <w:p>
      <w:pPr>
        <w:spacing w:after="0" w:line="252"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NOW THEREFORE, in consideration of the foregoing premises and other good and valuable consideration, the receipt and sufficiency of which are hereby acknowledged, each Pledgor and the Collateral Agent hereby agree as follows:</w:t>
      </w:r>
    </w:p>
    <w:p>
      <w:pPr>
        <w:spacing w:after="0" w:line="200" w:lineRule="exact"/>
        <w:rPr>
          <w:sz w:val="20"/>
          <w:szCs w:val="20"/>
          <w:color w:val="auto"/>
        </w:rPr>
      </w:pPr>
    </w:p>
    <w:p>
      <w:pPr>
        <w:spacing w:after="0" w:line="24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ARTICLE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INTERPRETATION</w:t>
      </w:r>
    </w:p>
    <w:p>
      <w:pPr>
        <w:spacing w:after="0" w:line="275"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7"/>
          <w:szCs w:val="17"/>
          <w:u w:val="single" w:color="auto"/>
          <w:color w:val="auto"/>
        </w:rPr>
        <w:t>Definitions.</w:t>
      </w:r>
    </w:p>
    <w:p>
      <w:pPr>
        <w:spacing w:after="0" w:line="283" w:lineRule="exact"/>
        <w:rPr>
          <w:sz w:val="20"/>
          <w:szCs w:val="20"/>
          <w:color w:val="auto"/>
        </w:rPr>
      </w:pPr>
    </w:p>
    <w:p>
      <w:pPr>
        <w:ind w:right="200" w:firstLine="1305"/>
        <w:spacing w:after="0" w:line="342" w:lineRule="auto"/>
        <w:tabs>
          <w:tab w:leader="none" w:pos="1928" w:val="left"/>
        </w:tabs>
        <w:numPr>
          <w:ilvl w:val="0"/>
          <w:numId w:val="324"/>
        </w:numPr>
        <w:rPr>
          <w:rFonts w:ascii="Arial" w:cs="Arial" w:eastAsia="Arial" w:hAnsi="Arial"/>
          <w:sz w:val="16"/>
          <w:szCs w:val="16"/>
          <w:color w:val="auto"/>
        </w:rPr>
      </w:pPr>
      <w:r>
        <w:rPr>
          <w:rFonts w:ascii="Arial" w:cs="Arial" w:eastAsia="Arial" w:hAnsi="Arial"/>
          <w:sz w:val="16"/>
          <w:szCs w:val="16"/>
          <w:color w:val="auto"/>
        </w:rPr>
        <w:t xml:space="preserve">Unless otherwise defined herein or in the Credit Agreement, capitalized terms used herein that are defined in the UCC shall have the meanings assigned to them in the UCC;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event, the following terms shall have the meanings assigned to them in the UCC:</w:t>
      </w:r>
    </w:p>
    <w:p>
      <w:pPr>
        <w:spacing w:after="0" w:line="151"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w:t>
      </w:r>
      <w:r>
        <w:rPr>
          <w:rFonts w:ascii="Arial" w:cs="Arial" w:eastAsia="Arial" w:hAnsi="Arial"/>
          <w:sz w:val="18"/>
          <w:szCs w:val="18"/>
          <w:color w:val="auto"/>
        </w:rPr>
        <w:t>”; “</w:t>
      </w:r>
      <w:r>
        <w:rPr>
          <w:rFonts w:ascii="Arial" w:cs="Arial" w:eastAsia="Arial" w:hAnsi="Arial"/>
          <w:sz w:val="18"/>
          <w:szCs w:val="18"/>
          <w:u w:val="single" w:color="auto"/>
          <w:color w:val="auto"/>
        </w:rPr>
        <w:t>Bank</w:t>
      </w:r>
      <w:r>
        <w:rPr>
          <w:rFonts w:ascii="Arial" w:cs="Arial" w:eastAsia="Arial" w:hAnsi="Arial"/>
          <w:sz w:val="18"/>
          <w:szCs w:val="18"/>
          <w:color w:val="auto"/>
        </w:rPr>
        <w:t>”; “</w:t>
      </w:r>
      <w:r>
        <w:rPr>
          <w:rFonts w:ascii="Arial" w:cs="Arial" w:eastAsia="Arial" w:hAnsi="Arial"/>
          <w:sz w:val="18"/>
          <w:szCs w:val="18"/>
          <w:u w:val="single" w:color="auto"/>
          <w:color w:val="auto"/>
        </w:rPr>
        <w:t>Chattel Paper</w:t>
      </w:r>
      <w:r>
        <w:rPr>
          <w:rFonts w:ascii="Arial" w:cs="Arial" w:eastAsia="Arial" w:hAnsi="Arial"/>
          <w:sz w:val="18"/>
          <w:szCs w:val="18"/>
          <w:color w:val="auto"/>
        </w:rPr>
        <w:t>”; “</w:t>
      </w:r>
      <w:r>
        <w:rPr>
          <w:rFonts w:ascii="Arial" w:cs="Arial" w:eastAsia="Arial" w:hAnsi="Arial"/>
          <w:sz w:val="18"/>
          <w:szCs w:val="18"/>
          <w:u w:val="single" w:color="auto"/>
          <w:color w:val="auto"/>
        </w:rPr>
        <w:t>Commercial Tort Claim</w:t>
      </w:r>
      <w:r>
        <w:rPr>
          <w:rFonts w:ascii="Arial" w:cs="Arial" w:eastAsia="Arial" w:hAnsi="Arial"/>
          <w:sz w:val="18"/>
          <w:szCs w:val="18"/>
          <w:color w:val="auto"/>
        </w:rPr>
        <w:t>”; “</w:t>
      </w:r>
      <w:r>
        <w:rPr>
          <w:rFonts w:ascii="Arial" w:cs="Arial" w:eastAsia="Arial" w:hAnsi="Arial"/>
          <w:sz w:val="18"/>
          <w:szCs w:val="18"/>
          <w:u w:val="single" w:color="auto"/>
          <w:color w:val="auto"/>
        </w:rPr>
        <w:t>Commodity Account</w:t>
      </w:r>
      <w:r>
        <w:rPr>
          <w:rFonts w:ascii="Arial" w:cs="Arial" w:eastAsia="Arial" w:hAnsi="Arial"/>
          <w:sz w:val="18"/>
          <w:szCs w:val="18"/>
          <w:color w:val="auto"/>
        </w:rPr>
        <w:t>”; “</w:t>
      </w:r>
      <w:r>
        <w:rPr>
          <w:rFonts w:ascii="Arial" w:cs="Arial" w:eastAsia="Arial" w:hAnsi="Arial"/>
          <w:sz w:val="18"/>
          <w:szCs w:val="18"/>
          <w:u w:val="single" w:color="auto"/>
          <w:color w:val="auto"/>
        </w:rPr>
        <w:t>Commodity Contract</w:t>
      </w:r>
      <w:r>
        <w:rPr>
          <w:rFonts w:ascii="Arial" w:cs="Arial" w:eastAsia="Arial" w:hAnsi="Arial"/>
          <w:sz w:val="18"/>
          <w:szCs w:val="18"/>
          <w:color w:val="auto"/>
        </w:rPr>
        <w:t>”; “</w:t>
      </w:r>
      <w:r>
        <w:rPr>
          <w:rFonts w:ascii="Arial" w:cs="Arial" w:eastAsia="Arial" w:hAnsi="Arial"/>
          <w:sz w:val="18"/>
          <w:szCs w:val="18"/>
          <w:u w:val="single" w:color="auto"/>
          <w:color w:val="auto"/>
        </w:rPr>
        <w:t>Commodity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Intermediary</w:t>
      </w:r>
      <w:r>
        <w:rPr>
          <w:rFonts w:ascii="Arial" w:cs="Arial" w:eastAsia="Arial" w:hAnsi="Arial"/>
          <w:sz w:val="18"/>
          <w:szCs w:val="18"/>
          <w:color w:val="auto"/>
        </w:rPr>
        <w:t>”; “</w:t>
      </w:r>
      <w:r>
        <w:rPr>
          <w:rFonts w:ascii="Arial" w:cs="Arial" w:eastAsia="Arial" w:hAnsi="Arial"/>
          <w:sz w:val="18"/>
          <w:szCs w:val="18"/>
          <w:u w:val="single" w:color="auto"/>
          <w:color w:val="auto"/>
        </w:rPr>
        <w:t>Documents</w:t>
      </w:r>
      <w:r>
        <w:rPr>
          <w:rFonts w:ascii="Arial" w:cs="Arial" w:eastAsia="Arial" w:hAnsi="Arial"/>
          <w:sz w:val="18"/>
          <w:szCs w:val="18"/>
          <w:color w:val="auto"/>
        </w:rPr>
        <w:t>”; “</w:t>
      </w:r>
      <w:r>
        <w:rPr>
          <w:rFonts w:ascii="Arial" w:cs="Arial" w:eastAsia="Arial" w:hAnsi="Arial"/>
          <w:sz w:val="18"/>
          <w:szCs w:val="18"/>
          <w:u w:val="single" w:color="auto"/>
          <w:color w:val="auto"/>
        </w:rPr>
        <w:t>Electronic Chattel Paper</w:t>
      </w:r>
      <w:r>
        <w:rPr>
          <w:rFonts w:ascii="Arial" w:cs="Arial" w:eastAsia="Arial" w:hAnsi="Arial"/>
          <w:sz w:val="18"/>
          <w:szCs w:val="18"/>
          <w:color w:val="auto"/>
        </w:rPr>
        <w:t>”; “</w:t>
      </w:r>
      <w:r>
        <w:rPr>
          <w:rFonts w:ascii="Arial" w:cs="Arial" w:eastAsia="Arial" w:hAnsi="Arial"/>
          <w:sz w:val="18"/>
          <w:szCs w:val="18"/>
          <w:u w:val="single" w:color="auto"/>
          <w:color w:val="auto"/>
        </w:rPr>
        <w:t>Entitlement Order</w:t>
      </w:r>
      <w:r>
        <w:rPr>
          <w:rFonts w:ascii="Arial" w:cs="Arial" w:eastAsia="Arial" w:hAnsi="Arial"/>
          <w:sz w:val="18"/>
          <w:szCs w:val="18"/>
          <w:color w:val="auto"/>
        </w:rPr>
        <w:t>”; “</w:t>
      </w:r>
      <w:r>
        <w:rPr>
          <w:rFonts w:ascii="Arial" w:cs="Arial" w:eastAsia="Arial" w:hAnsi="Arial"/>
          <w:sz w:val="18"/>
          <w:szCs w:val="18"/>
          <w:u w:val="single" w:color="auto"/>
          <w:color w:val="auto"/>
        </w:rPr>
        <w:t>Equipment</w:t>
      </w:r>
      <w:r>
        <w:rPr>
          <w:rFonts w:ascii="Arial" w:cs="Arial" w:eastAsia="Arial" w:hAnsi="Arial"/>
          <w:sz w:val="18"/>
          <w:szCs w:val="18"/>
          <w:color w:val="auto"/>
        </w:rPr>
        <w:t>”; “</w:t>
      </w:r>
      <w:r>
        <w:rPr>
          <w:rFonts w:ascii="Arial" w:cs="Arial" w:eastAsia="Arial" w:hAnsi="Arial"/>
          <w:sz w:val="18"/>
          <w:szCs w:val="18"/>
          <w:u w:val="single" w:color="auto"/>
          <w:color w:val="auto"/>
        </w:rPr>
        <w:t>Financial Asset</w:t>
      </w:r>
      <w:r>
        <w:rPr>
          <w:rFonts w:ascii="Arial" w:cs="Arial" w:eastAsia="Arial" w:hAnsi="Arial"/>
          <w:sz w:val="18"/>
          <w:szCs w:val="18"/>
          <w:color w:val="auto"/>
        </w:rPr>
        <w:t>”; “</w:t>
      </w:r>
      <w:r>
        <w:rPr>
          <w:rFonts w:ascii="Arial" w:cs="Arial" w:eastAsia="Arial" w:hAnsi="Arial"/>
          <w:sz w:val="18"/>
          <w:szCs w:val="18"/>
          <w:u w:val="single" w:color="auto"/>
          <w:color w:val="auto"/>
        </w:rPr>
        <w:t>Fixtures</w:t>
      </w:r>
      <w:r>
        <w:rPr>
          <w:rFonts w:ascii="Arial" w:cs="Arial" w:eastAsia="Arial" w:hAnsi="Arial"/>
          <w:sz w:val="18"/>
          <w:szCs w:val="18"/>
          <w:color w:val="auto"/>
        </w:rPr>
        <w:t>”; “</w:t>
      </w:r>
      <w:r>
        <w:rPr>
          <w:rFonts w:ascii="Arial" w:cs="Arial" w:eastAsia="Arial" w:hAnsi="Arial"/>
          <w:sz w:val="18"/>
          <w:szCs w:val="18"/>
          <w:u w:val="single" w:color="auto"/>
          <w:color w:val="auto"/>
        </w:rPr>
        <w:t>Goods</w:t>
      </w:r>
      <w:r>
        <w:rPr>
          <w:rFonts w:ascii="Arial" w:cs="Arial" w:eastAsia="Arial" w:hAnsi="Arial"/>
          <w:sz w:val="18"/>
          <w:szCs w:val="18"/>
          <w:color w:val="auto"/>
        </w:rPr>
        <w:t>”, “</w:t>
      </w:r>
      <w:r>
        <w:rPr>
          <w:rFonts w:ascii="Arial" w:cs="Arial" w:eastAsia="Arial" w:hAnsi="Arial"/>
          <w:sz w:val="18"/>
          <w:szCs w:val="18"/>
          <w:u w:val="single" w:color="auto"/>
          <w:color w:val="auto"/>
        </w:rPr>
        <w:t>Inventory</w:t>
      </w:r>
      <w:r>
        <w:rPr>
          <w:rFonts w:ascii="Arial" w:cs="Arial" w:eastAsia="Arial" w:hAnsi="Arial"/>
          <w:sz w:val="18"/>
          <w:szCs w:val="18"/>
          <w:color w:val="auto"/>
        </w:rPr>
        <w:t>”; “</w:t>
      </w:r>
      <w:r>
        <w:rPr>
          <w:rFonts w:ascii="Arial" w:cs="Arial" w:eastAsia="Arial" w:hAnsi="Arial"/>
          <w:sz w:val="18"/>
          <w:szCs w:val="18"/>
          <w:u w:val="single" w:color="auto"/>
          <w:color w:val="auto"/>
        </w:rPr>
        <w:t>Letter-of-Credit Rights</w:t>
      </w:r>
      <w:r>
        <w:rPr>
          <w:rFonts w:ascii="Arial" w:cs="Arial" w:eastAsia="Arial" w:hAnsi="Arial"/>
          <w:sz w:val="18"/>
          <w:szCs w:val="18"/>
          <w:color w:val="auto"/>
        </w:rPr>
        <w:t>”; “</w:t>
      </w:r>
      <w:r>
        <w:rPr>
          <w:rFonts w:ascii="Arial" w:cs="Arial" w:eastAsia="Arial" w:hAnsi="Arial"/>
          <w:sz w:val="18"/>
          <w:szCs w:val="18"/>
          <w:u w:val="single" w:color="auto"/>
          <w:color w:val="auto"/>
        </w:rPr>
        <w:t>Letters of Credit</w:t>
      </w:r>
      <w:r>
        <w:rPr>
          <w:rFonts w:ascii="Arial" w:cs="Arial" w:eastAsia="Arial" w:hAnsi="Arial"/>
          <w:sz w:val="18"/>
          <w:szCs w:val="18"/>
          <w:color w:val="auto"/>
        </w:rPr>
        <w:t>”; “</w:t>
      </w:r>
      <w:r>
        <w:rPr>
          <w:rFonts w:ascii="Arial" w:cs="Arial" w:eastAsia="Arial" w:hAnsi="Arial"/>
          <w:sz w:val="18"/>
          <w:szCs w:val="18"/>
          <w:u w:val="single" w:color="auto"/>
          <w:color w:val="auto"/>
        </w:rPr>
        <w:t>Money</w:t>
      </w:r>
      <w:r>
        <w:rPr>
          <w:rFonts w:ascii="Arial" w:cs="Arial" w:eastAsia="Arial" w:hAnsi="Arial"/>
          <w:sz w:val="18"/>
          <w:szCs w:val="18"/>
          <w:color w:val="auto"/>
        </w:rPr>
        <w:t>”; “</w:t>
      </w:r>
      <w:r>
        <w:rPr>
          <w:rFonts w:ascii="Arial" w:cs="Arial" w:eastAsia="Arial" w:hAnsi="Arial"/>
          <w:sz w:val="18"/>
          <w:szCs w:val="18"/>
          <w:u w:val="single" w:color="auto"/>
          <w:color w:val="auto"/>
        </w:rPr>
        <w:t>Payment Intangibles</w:t>
      </w:r>
      <w:r>
        <w:rPr>
          <w:rFonts w:ascii="Arial" w:cs="Arial" w:eastAsia="Arial" w:hAnsi="Arial"/>
          <w:sz w:val="18"/>
          <w:szCs w:val="18"/>
          <w:color w:val="auto"/>
        </w:rPr>
        <w:t>”; “</w:t>
      </w:r>
      <w:r>
        <w:rPr>
          <w:rFonts w:ascii="Arial" w:cs="Arial" w:eastAsia="Arial" w:hAnsi="Arial"/>
          <w:sz w:val="18"/>
          <w:szCs w:val="18"/>
          <w:u w:val="single" w:color="auto"/>
          <w:color w:val="auto"/>
        </w:rPr>
        <w:t>Proceeds</w:t>
      </w:r>
      <w:r>
        <w:rPr>
          <w:rFonts w:ascii="Arial" w:cs="Arial" w:eastAsia="Arial" w:hAnsi="Arial"/>
          <w:sz w:val="18"/>
          <w:szCs w:val="18"/>
          <w:color w:val="auto"/>
        </w:rPr>
        <w:t xml:space="preserve">”; “ </w:t>
      </w:r>
      <w:r>
        <w:rPr>
          <w:rFonts w:ascii="Arial" w:cs="Arial" w:eastAsia="Arial" w:hAnsi="Arial"/>
          <w:sz w:val="18"/>
          <w:szCs w:val="18"/>
          <w:u w:val="single" w:color="auto"/>
          <w:color w:val="auto"/>
        </w:rPr>
        <w:t>Records</w:t>
      </w:r>
      <w:r>
        <w:rPr>
          <w:rFonts w:ascii="Arial" w:cs="Arial" w:eastAsia="Arial" w:hAnsi="Arial"/>
          <w:sz w:val="18"/>
          <w:szCs w:val="18"/>
          <w:color w:val="auto"/>
        </w:rPr>
        <w:t>”; “</w:t>
      </w:r>
      <w:r>
        <w:rPr>
          <w:rFonts w:ascii="Arial" w:cs="Arial" w:eastAsia="Arial" w:hAnsi="Arial"/>
          <w:sz w:val="18"/>
          <w:szCs w:val="18"/>
          <w:u w:val="single" w:color="auto"/>
          <w:color w:val="auto"/>
        </w:rPr>
        <w:t>Securities Account</w:t>
      </w:r>
      <w:r>
        <w:rPr>
          <w:rFonts w:ascii="Arial" w:cs="Arial" w:eastAsia="Arial" w:hAnsi="Arial"/>
          <w:sz w:val="18"/>
          <w:szCs w:val="18"/>
          <w:color w:val="auto"/>
        </w:rPr>
        <w:t>”; “</w:t>
      </w:r>
      <w:r>
        <w:rPr>
          <w:rFonts w:ascii="Arial" w:cs="Arial" w:eastAsia="Arial" w:hAnsi="Arial"/>
          <w:sz w:val="18"/>
          <w:szCs w:val="18"/>
          <w:u w:val="single" w:color="auto"/>
          <w:color w:val="auto"/>
        </w:rPr>
        <w:t>Securities Entitlement</w:t>
      </w:r>
      <w:r>
        <w:rPr>
          <w:rFonts w:ascii="Arial" w:cs="Arial" w:eastAsia="Arial" w:hAnsi="Arial"/>
          <w:sz w:val="18"/>
          <w:szCs w:val="18"/>
          <w:color w:val="auto"/>
        </w:rPr>
        <w:t>”;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Intermediary</w:t>
      </w:r>
      <w:r>
        <w:rPr>
          <w:rFonts w:ascii="Arial" w:cs="Arial" w:eastAsia="Arial" w:hAnsi="Arial"/>
          <w:sz w:val="18"/>
          <w:szCs w:val="18"/>
          <w:color w:val="auto"/>
        </w:rPr>
        <w:t>”; “</w:t>
      </w:r>
      <w:r>
        <w:rPr>
          <w:rFonts w:ascii="Arial" w:cs="Arial" w:eastAsia="Arial" w:hAnsi="Arial"/>
          <w:sz w:val="18"/>
          <w:szCs w:val="18"/>
          <w:u w:val="single" w:color="auto"/>
          <w:color w:val="auto"/>
        </w:rPr>
        <w:t>Supporting Obligations</w:t>
      </w:r>
      <w:r>
        <w:rPr>
          <w:rFonts w:ascii="Arial" w:cs="Arial" w:eastAsia="Arial" w:hAnsi="Arial"/>
          <w:sz w:val="18"/>
          <w:szCs w:val="18"/>
          <w:color w:val="auto"/>
        </w:rPr>
        <w:t>”; and “</w:t>
      </w:r>
      <w:r>
        <w:rPr>
          <w:rFonts w:ascii="Arial" w:cs="Arial" w:eastAsia="Arial" w:hAnsi="Arial"/>
          <w:sz w:val="18"/>
          <w:szCs w:val="18"/>
          <w:u w:val="single" w:color="auto"/>
          <w:color w:val="auto"/>
        </w:rPr>
        <w:t>Tangible Chattel Paper</w:t>
      </w:r>
      <w:r>
        <w:rPr>
          <w:rFonts w:ascii="Arial" w:cs="Arial" w:eastAsia="Arial" w:hAnsi="Arial"/>
          <w:sz w:val="18"/>
          <w:szCs w:val="18"/>
          <w:color w:val="auto"/>
        </w:rPr>
        <w:t>.”</w:t>
      </w:r>
    </w:p>
    <w:p>
      <w:pPr>
        <w:spacing w:after="0" w:line="241" w:lineRule="exact"/>
        <w:rPr>
          <w:sz w:val="20"/>
          <w:szCs w:val="20"/>
          <w:color w:val="auto"/>
        </w:rPr>
      </w:pPr>
    </w:p>
    <w:p>
      <w:pPr>
        <w:ind w:right="60" w:firstLine="1305"/>
        <w:spacing w:after="0" w:line="277" w:lineRule="auto"/>
        <w:tabs>
          <w:tab w:leader="none" w:pos="193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Terms used but not otherwise defined herein that are defined in the Credit Agreement shall have the meanings given to them in the Credit Agreement. </w:t>
      </w:r>
      <w:r>
        <w:rPr>
          <w:rFonts w:ascii="Arial" w:cs="Arial" w:eastAsia="Arial" w:hAnsi="Arial"/>
          <w:sz w:val="18"/>
          <w:szCs w:val="18"/>
          <w:u w:val="single" w:color="auto"/>
          <w:color w:val="auto"/>
        </w:rPr>
        <w:t>Sections 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of the Credit Agreement shall apply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1940" w:hanging="635"/>
        <w:spacing w:after="0"/>
        <w:tabs>
          <w:tab w:leader="none" w:pos="19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shall mean each person who is obligated on a Receivable or Supporting Obligation related thereto.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assigned to such term in the Preamble hereof.</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shall mean Title 11 of the United States Code entitled “Bankruptcy”, as now and hereinafter in effect, or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38"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Bailee Letter</w:t>
      </w:r>
      <w:r>
        <w:rPr>
          <w:rFonts w:ascii="Arial" w:cs="Arial" w:eastAsia="Arial" w:hAnsi="Arial"/>
          <w:sz w:val="18"/>
          <w:szCs w:val="18"/>
          <w:color w:val="auto"/>
        </w:rPr>
        <w:t xml:space="preserve">” shall be an agreement in form substantially similar to </w:t>
      </w:r>
      <w:r>
        <w:rPr>
          <w:rFonts w:ascii="Arial" w:cs="Arial" w:eastAsia="Arial" w:hAnsi="Arial"/>
          <w:sz w:val="18"/>
          <w:szCs w:val="18"/>
          <w:u w:val="single" w:color="auto"/>
          <w:color w:val="auto"/>
        </w:rPr>
        <w:t>Exhibit 9</w:t>
      </w:r>
      <w:r>
        <w:rPr>
          <w:rFonts w:ascii="Arial" w:cs="Arial" w:eastAsia="Arial" w:hAnsi="Arial"/>
          <w:sz w:val="18"/>
          <w:szCs w:val="18"/>
          <w:color w:val="auto"/>
        </w:rPr>
        <w:t xml:space="preserve"> hereto or such other form that is reasonably satisfactory to the Collateral Agent.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shall have the meaning assigned to such term in the Preamble hereof.</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shall have the meaning assigned to such term in the Preamble hereof.</w:t>
      </w:r>
    </w:p>
    <w:p>
      <w:pPr>
        <w:spacing w:after="0" w:line="252"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Support</w:t>
      </w:r>
      <w:r>
        <w:rPr>
          <w:rFonts w:ascii="Arial" w:cs="Arial" w:eastAsia="Arial" w:hAnsi="Arial"/>
          <w:sz w:val="18"/>
          <w:szCs w:val="18"/>
          <w:color w:val="auto"/>
        </w:rPr>
        <w:t>” shall mean all property (real or personal) assigned, hypothecated or otherwise securing any Pledged Collateral and shall include any security agreement or other agreement granting a lien or security interest in such real or personal property.</w:t>
      </w:r>
    </w:p>
    <w:p>
      <w:pPr>
        <w:sectPr>
          <w:pgSz w:w="11900" w:h="16929" w:orient="portrait"/>
          <w:cols w:equalWidth="0" w:num="1">
            <w:col w:w="11420"/>
          </w:cols>
          <w:pgMar w:left="240" w:top="368" w:right="239" w:bottom="0" w:gutter="0" w:footer="0" w:header="0"/>
        </w:sectPr>
      </w:pPr>
    </w:p>
    <w:bookmarkStart w:id="148" w:name="page149"/>
    <w:bookmarkEnd w:id="148"/>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Account Control Agreement</w:t>
      </w:r>
      <w:r>
        <w:rPr>
          <w:rFonts w:ascii="Arial" w:cs="Arial" w:eastAsia="Arial" w:hAnsi="Arial"/>
          <w:sz w:val="18"/>
          <w:szCs w:val="18"/>
          <w:color w:val="auto"/>
        </w:rPr>
        <w:t>” shall mean a control agreement in a form that is reasonably satisfactory to the Collateral Agent establishing the Collateral Agent’s Control with respect to any Commodity Account.</w:t>
      </w:r>
    </w:p>
    <w:p>
      <w:pPr>
        <w:spacing w:after="0" w:line="19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shall mean, collectively, with respect to each Pledgor, the Acquisition Documents, all sale, service, performance, equipment or property lease contracts, agreements and grants and all other contracts, agreements or grants (in each case, whether written or oral, or third party or intercompany), between such Pledgor and any third party, and all assignments, amendments, restatements, supplements, extensions, renewals, replacements or modifications thereof.</w:t>
      </w:r>
    </w:p>
    <w:p>
      <w:pPr>
        <w:spacing w:after="0" w:line="214"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shall mean (i) in the case of each Deposit Account, “control”, as such term is defined in Section 9-104 of the UCC, (ii) in the case of any Security Entitlement, “control”, as such term is defined in Section 8-106 of the UCC, and (iii) in the case of any Commodity Contract, “control”, as such term is defined in Section 9-106 of the UCC.</w:t>
      </w:r>
    </w:p>
    <w:p>
      <w:pPr>
        <w:spacing w:after="0" w:line="20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Agreements</w:t>
      </w:r>
      <w:r>
        <w:rPr>
          <w:rFonts w:ascii="Arial" w:cs="Arial" w:eastAsia="Arial" w:hAnsi="Arial"/>
          <w:sz w:val="18"/>
          <w:szCs w:val="18"/>
          <w:color w:val="auto"/>
        </w:rPr>
        <w:t>” shall mean, collectively, the Deposit Account Control Agreement, the Securities Account Control Agreement and the Commodity Account Control Agreement.</w:t>
      </w:r>
    </w:p>
    <w:p>
      <w:pPr>
        <w:spacing w:after="0" w:line="197"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Copyrights</w:t>
      </w:r>
      <w:r>
        <w:rPr>
          <w:rFonts w:ascii="Arial" w:cs="Arial" w:eastAsia="Arial" w:hAnsi="Arial"/>
          <w:sz w:val="16"/>
          <w:szCs w:val="16"/>
          <w:color w:val="auto"/>
        </w:rPr>
        <w:t>” shall mean, collectively, with respect to each Pledgor, all copyrights (whether statutory or common law, whether established or registered in the United States or any other country or any political subdivision thereof, whether registered or unregistered and whether published or unpublished) and all copyright registrations and applications made by such Pledgor, in each case, whether now owned or hereafter created or acquired by or assigned to such Pledgor, together with any and all (i) rights and privileges arising under applicable law with respect to such Pledgor’s use of such copyrights,</w:t>
      </w:r>
    </w:p>
    <w:p>
      <w:pPr>
        <w:spacing w:after="0" w:line="2" w:lineRule="exact"/>
        <w:rPr>
          <w:sz w:val="20"/>
          <w:szCs w:val="20"/>
          <w:color w:val="auto"/>
        </w:rPr>
      </w:pPr>
    </w:p>
    <w:p>
      <w:pPr>
        <w:ind w:right="60" w:firstLine="8"/>
        <w:spacing w:after="0" w:line="255" w:lineRule="auto"/>
        <w:tabs>
          <w:tab w:leader="none" w:pos="26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reissues, renewals, continuations and extensions thereof and amendments thereto, (iii) income, fees, royalties, damages, claims and payments now or hereafter due and/or payable with respect thereto, including damages and payments for past, present or future infringements thereof, (iv) rights corresponding thereto throughout the world and (v) rights to sue for past, present or future infringements thereof.</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Security Agreement</w:t>
      </w:r>
      <w:r>
        <w:rPr>
          <w:rFonts w:ascii="Arial" w:cs="Arial" w:eastAsia="Arial" w:hAnsi="Arial"/>
          <w:sz w:val="18"/>
          <w:szCs w:val="18"/>
          <w:color w:val="auto"/>
        </w:rPr>
        <w:t xml:space="preserve">” shall mean an agreement substantially in the form of </w:t>
      </w:r>
      <w:r>
        <w:rPr>
          <w:rFonts w:ascii="Arial" w:cs="Arial" w:eastAsia="Arial" w:hAnsi="Arial"/>
          <w:sz w:val="18"/>
          <w:szCs w:val="18"/>
          <w:u w:val="single" w:color="auto"/>
          <w:color w:val="auto"/>
        </w:rPr>
        <w:t>Exhibit 6</w:t>
      </w:r>
      <w:r>
        <w:rPr>
          <w:rFonts w:ascii="Arial" w:cs="Arial" w:eastAsia="Arial" w:hAnsi="Arial"/>
          <w:sz w:val="18"/>
          <w:szCs w:val="18"/>
          <w:color w:val="auto"/>
        </w:rPr>
        <w:t xml:space="preserve"> hereto.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Recital A</w:t>
      </w:r>
      <w:r>
        <w:rPr>
          <w:rFonts w:ascii="Arial" w:cs="Arial" w:eastAsia="Arial" w:hAnsi="Arial"/>
          <w:sz w:val="18"/>
          <w:szCs w:val="18"/>
          <w:color w:val="auto"/>
        </w:rPr>
        <w:t xml:space="preserve"> hereof.</w:t>
      </w:r>
    </w:p>
    <w:p>
      <w:pPr>
        <w:spacing w:after="0" w:line="252"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 Control Agreement</w:t>
      </w:r>
      <w:r>
        <w:rPr>
          <w:rFonts w:ascii="Arial" w:cs="Arial" w:eastAsia="Arial" w:hAnsi="Arial"/>
          <w:sz w:val="18"/>
          <w:szCs w:val="18"/>
          <w:color w:val="auto"/>
        </w:rPr>
        <w:t xml:space="preserve">” shall mean an agreement substantially in the form of </w:t>
      </w:r>
      <w:r>
        <w:rPr>
          <w:rFonts w:ascii="Arial" w:cs="Arial" w:eastAsia="Arial" w:hAnsi="Arial"/>
          <w:sz w:val="18"/>
          <w:szCs w:val="18"/>
          <w:u w:val="single" w:color="auto"/>
          <w:color w:val="auto"/>
        </w:rPr>
        <w:t>Exhibit 5</w:t>
      </w:r>
      <w:r>
        <w:rPr>
          <w:rFonts w:ascii="Arial" w:cs="Arial" w:eastAsia="Arial" w:hAnsi="Arial"/>
          <w:sz w:val="18"/>
          <w:szCs w:val="18"/>
          <w:color w:val="auto"/>
        </w:rPr>
        <w:t xml:space="preserve"> hereto or such other form that is reasonably satisfactory to the Collateral Agent establishing the Collateral Agent’s Control with respect to any Deposit Account.</w:t>
      </w:r>
    </w:p>
    <w:p>
      <w:pPr>
        <w:spacing w:after="0" w:line="197"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 Accounts</w:t>
      </w:r>
      <w:r>
        <w:rPr>
          <w:rFonts w:ascii="Arial" w:cs="Arial" w:eastAsia="Arial" w:hAnsi="Arial"/>
          <w:sz w:val="17"/>
          <w:szCs w:val="17"/>
          <w:color w:val="auto"/>
        </w:rPr>
        <w:t>” shall mean, collectively, with respect to each Pledgor, (i) all “deposit accounts” as such term is defined in the UCC and in any event shall include the LC Account and all accounts and sub-accounts relating to any of the foregoing accounts and (ii) all cash, funds, checks, notes and instruments from time to time on deposit in any of the accounts or sub-accounts described in clause (i) of this definition.</w:t>
      </w:r>
    </w:p>
    <w:p>
      <w:pPr>
        <w:spacing w:after="0" w:line="193"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Distributions</w:t>
      </w:r>
      <w:r>
        <w:rPr>
          <w:rFonts w:ascii="Arial" w:cs="Arial" w:eastAsia="Arial" w:hAnsi="Arial"/>
          <w:sz w:val="18"/>
          <w:szCs w:val="18"/>
          <w:color w:val="auto"/>
        </w:rPr>
        <w:t>” shall mean, collectively, with respect to each Pledgor, all dividends, cash, options, warrants, rights, instruments, distributions, returns of capital or principal, income, interest, profits and other property, interests (debt or equity) or proceeds, including as a result of a split, revision, reclassification or other like change of the Pledged Securities, from time to time received, receivable or otherwise distributed to such Pledgor in respect of or in exchange for any or all of the Pledged Securities or Intercompany Notes.</w:t>
      </w:r>
    </w:p>
    <w:p>
      <w:pPr>
        <w:spacing w:after="0" w:line="214"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Commodities Accounts</w:t>
      </w:r>
      <w:r>
        <w:rPr>
          <w:rFonts w:ascii="Arial" w:cs="Arial" w:eastAsia="Arial" w:hAnsi="Arial"/>
          <w:sz w:val="18"/>
          <w:szCs w:val="18"/>
          <w:color w:val="auto"/>
        </w:rPr>
        <w:t>” shall mean Commodities Accounts with Investment Property or other property held in or credited to such Commodities Accounts with an aggregate value of less than $500,000 at any time with respect to any particular Commodities Account and less than $2.5 million at any time in the aggregate for all such Commodities Accounts.</w:t>
      </w:r>
    </w:p>
    <w:p>
      <w:pPr>
        <w:spacing w:after="0" w:line="208"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Deposit Accounts</w:t>
      </w:r>
      <w:r>
        <w:rPr>
          <w:rFonts w:ascii="Arial" w:cs="Arial" w:eastAsia="Arial" w:hAnsi="Arial"/>
          <w:sz w:val="18"/>
          <w:szCs w:val="18"/>
          <w:color w:val="auto"/>
        </w:rPr>
        <w:t>” shall mean (i) Deposit Accounts used solely to fund payroll, payroll taxes or employee benefits in the ordinary course of business and (ii) Deposit Accounts with an amount on deposit of less than $500,000 at any time with respect to any particular Deposit Account and less than $2.5 million at any time in the aggregate for all such Deposit Accounts.</w:t>
      </w:r>
    </w:p>
    <w:p>
      <w:pPr>
        <w:spacing w:after="0" w:line="208"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Securities Accounts</w:t>
      </w:r>
      <w:r>
        <w:rPr>
          <w:rFonts w:ascii="Arial" w:cs="Arial" w:eastAsia="Arial" w:hAnsi="Arial"/>
          <w:sz w:val="18"/>
          <w:szCs w:val="18"/>
          <w:color w:val="auto"/>
        </w:rPr>
        <w:t>” shall mean Securities Accounts with Investment Property or other property held in or credited to such Securities Accounts with an aggregate value of less than $500,000 at any time with respect to any particular Securities Account and less than $2.5 million at any time in the aggregate for all such Securities Accounts.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shall mean</w:t>
      </w:r>
    </w:p>
    <w:p>
      <w:pPr>
        <w:spacing w:after="0" w:line="279" w:lineRule="exact"/>
        <w:rPr>
          <w:sz w:val="20"/>
          <w:szCs w:val="20"/>
          <w:color w:val="auto"/>
        </w:rPr>
      </w:pPr>
    </w:p>
    <w:p>
      <w:pPr>
        <w:ind w:left="660" w:right="60" w:firstLine="1293"/>
        <w:spacing w:after="0" w:line="257" w:lineRule="auto"/>
        <w:tabs>
          <w:tab w:leader="none" w:pos="258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permit or license issued by a Governmental Authority to any Pledgor or any agreement to which any Pledgor is a party, in each case, only to the extent and for so long as the terms of such permit, license or agreement or any Requirement of Law applicable thereto, validly prohibit the creation by such Pledgor of a security interest in such permit, license or agreement in favor of the Collateral Agent (after giving effect to Sections 9-406(d), 9-407(a), 9-408(a) or 9-409 of the UCC (or any successor provision or provisions) or any other applicable law (including the Bankruptcy Code) or principles of equity),</w:t>
      </w:r>
    </w:p>
    <w:p>
      <w:pPr>
        <w:spacing w:after="0" w:line="242" w:lineRule="exact"/>
        <w:rPr>
          <w:rFonts w:ascii="Arial" w:cs="Arial" w:eastAsia="Arial" w:hAnsi="Arial"/>
          <w:sz w:val="18"/>
          <w:szCs w:val="18"/>
          <w:color w:val="auto"/>
        </w:rPr>
      </w:pPr>
    </w:p>
    <w:p>
      <w:pPr>
        <w:jc w:val="both"/>
        <w:ind w:left="660" w:right="120" w:firstLine="1293"/>
        <w:spacing w:after="0" w:line="259" w:lineRule="auto"/>
        <w:tabs>
          <w:tab w:leader="none" w:pos="259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Equipment owned by any Pledgor on the date hereof or hereafter acquired that is subject to a Lien securing a Purchase Money Obligation or Capital Lease Obligation permitted to be incurred pursuant to the provisions of the Credit Agreement if the contract or other agreement in which such Lien is granted (or the documentation providing for such Purchase Money Obligation or Capital Lease Obligation) validly prohibits the creation of any other Lien on such Equipment,</w:t>
      </w:r>
    </w:p>
    <w:p>
      <w:pPr>
        <w:spacing w:after="0" w:line="240" w:lineRule="exact"/>
        <w:rPr>
          <w:rFonts w:ascii="Arial" w:cs="Arial" w:eastAsia="Arial" w:hAnsi="Arial"/>
          <w:sz w:val="18"/>
          <w:szCs w:val="18"/>
          <w:color w:val="auto"/>
        </w:rPr>
      </w:pPr>
    </w:p>
    <w:p>
      <w:pPr>
        <w:jc w:val="both"/>
        <w:ind w:left="660" w:right="20" w:firstLine="1293"/>
        <w:spacing w:after="0" w:line="264" w:lineRule="auto"/>
        <w:tabs>
          <w:tab w:leader="none" w:pos="258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United States intent-to-use trademark or service mark application, in each case, unless and until evidence of the use of such trademark in interstate commerce is submitted to and accepted by the United States Patent and Trademark Office pursuant to 15 U.S.C. Section 1060(a) (or a successor provision), and</w:t>
      </w:r>
    </w:p>
    <w:p>
      <w:pPr>
        <w:spacing w:after="0" w:line="235" w:lineRule="exact"/>
        <w:rPr>
          <w:rFonts w:ascii="Arial" w:cs="Arial" w:eastAsia="Arial" w:hAnsi="Arial"/>
          <w:sz w:val="18"/>
          <w:szCs w:val="18"/>
          <w:color w:val="auto"/>
        </w:rPr>
      </w:pPr>
    </w:p>
    <w:p>
      <w:pPr>
        <w:ind w:left="660" w:right="60" w:firstLine="1293"/>
        <w:spacing w:after="0" w:line="302" w:lineRule="auto"/>
        <w:tabs>
          <w:tab w:leader="none" w:pos="2599" w:val="left"/>
        </w:tabs>
        <w:numPr>
          <w:ilvl w:val="0"/>
          <w:numId w:val="327"/>
        </w:numPr>
        <w:rPr>
          <w:rFonts w:ascii="Arial" w:cs="Arial" w:eastAsia="Arial" w:hAnsi="Arial"/>
          <w:sz w:val="16"/>
          <w:szCs w:val="16"/>
          <w:color w:val="auto"/>
        </w:rPr>
      </w:pPr>
      <w:r>
        <w:rPr>
          <w:rFonts w:ascii="Arial" w:cs="Arial" w:eastAsia="Arial" w:hAnsi="Arial"/>
          <w:sz w:val="16"/>
          <w:szCs w:val="16"/>
          <w:color w:val="auto"/>
        </w:rPr>
        <w:t xml:space="preserve">(i) any Equity Interests of a Foreign Subsidiary if the pledge thereof or grant of a security interest therein pursuant hereto would constitute an investment of earnings in United States property under Section 956 (or a successor provision) of the Code, which investment would or could reasonably be expected to trigger an increase in the net income of a United States shareholder of such Subsidiary pursuant to Section 951 (or a successor provision) of the Code, as reasonably determined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Excluded Property shall</w:t>
      </w:r>
    </w:p>
    <w:p>
      <w:pPr>
        <w:sectPr>
          <w:pgSz w:w="11900" w:h="16838" w:orient="portrait"/>
          <w:cols w:equalWidth="0" w:num="1">
            <w:col w:w="11420"/>
          </w:cols>
          <w:pgMar w:left="240" w:top="368" w:right="239" w:bottom="0" w:gutter="0" w:footer="0" w:header="0"/>
        </w:sectPr>
      </w:pPr>
    </w:p>
    <w:bookmarkStart w:id="149" w:name="page150"/>
    <w:bookmarkEnd w:id="149"/>
    <w:p>
      <w:pPr>
        <w:ind w:left="660"/>
        <w:spacing w:after="0" w:line="272" w:lineRule="auto"/>
        <w:rPr>
          <w:sz w:val="20"/>
          <w:szCs w:val="20"/>
          <w:color w:val="auto"/>
        </w:rPr>
      </w:pPr>
      <w:r>
        <w:rPr>
          <w:rFonts w:ascii="Arial" w:cs="Arial" w:eastAsia="Arial" w:hAnsi="Arial"/>
          <w:sz w:val="17"/>
          <w:szCs w:val="17"/>
          <w:color w:val="auto"/>
        </w:rPr>
        <w:t xml:space="preserve">not include (i) Voting Stock of any Subsidiary which is a first-tier controlled foreign corporation (as defined in Section 957(a) of the Code) representing not more than 66% of the total voting power of all outstanding Voting Stock of such Subsidiary and (ii) 100% of the Equity Interests not constituting Voting Stock of any such Subsidiary, except that any such Equity Interests constituting “stock entitled to vote” within the meaning of Treasury Regulation Section 1.956-2(c)(2) shall be treated as Voting Stock for purposes of this clause (d)(i) and (ii) any Equity Interests of an Outsourcing Project Subsidiary so long as the terms of any Outsourcing Project Indebtedness of such Outsourcing Project Subsidiary permitted under </w:t>
      </w:r>
      <w:r>
        <w:rPr>
          <w:rFonts w:ascii="Arial" w:cs="Arial" w:eastAsia="Arial" w:hAnsi="Arial"/>
          <w:sz w:val="17"/>
          <w:szCs w:val="17"/>
          <w:u w:val="single" w:color="auto"/>
          <w:color w:val="auto"/>
        </w:rPr>
        <w:t>Section 6.01(m)</w:t>
      </w:r>
      <w:r>
        <w:rPr>
          <w:rFonts w:ascii="Arial" w:cs="Arial" w:eastAsia="Arial" w:hAnsi="Arial"/>
          <w:sz w:val="17"/>
          <w:szCs w:val="17"/>
          <w:color w:val="auto"/>
        </w:rPr>
        <w:t xml:space="preserve"> of the Credit Agreement (or the terms of any related Outsourcing Project Guarantee permitted under </w:t>
      </w:r>
      <w:r>
        <w:rPr>
          <w:rFonts w:ascii="Arial" w:cs="Arial" w:eastAsia="Arial" w:hAnsi="Arial"/>
          <w:sz w:val="17"/>
          <w:szCs w:val="17"/>
          <w:u w:val="single" w:color="auto"/>
          <w:color w:val="auto"/>
        </w:rPr>
        <w:t>Section 6.01(m)</w:t>
      </w:r>
      <w:r>
        <w:rPr>
          <w:rFonts w:ascii="Arial" w:cs="Arial" w:eastAsia="Arial" w:hAnsi="Arial"/>
          <w:sz w:val="17"/>
          <w:szCs w:val="17"/>
          <w:color w:val="auto"/>
        </w:rPr>
        <w:t xml:space="preserve"> of the Credit Agreement) preclude the pledge of the Equity Interests of such Outsourcing Project Subsidiary;</w:t>
      </w:r>
    </w:p>
    <w:p>
      <w:pPr>
        <w:spacing w:after="0" w:line="20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Excluded Property shall not include any Proceeds, substitutions or replacements of any Excluded Property referred to in clauses (a) through (d) (unless such Proceeds, substitutions or replacements would constitute Excluded Property referred to in clauses (a), (b), (c) or (d)).</w:t>
      </w:r>
    </w:p>
    <w:p>
      <w:pPr>
        <w:spacing w:after="0" w:line="151"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General Intangibles</w:t>
      </w:r>
      <w:r>
        <w:rPr>
          <w:rFonts w:ascii="Arial" w:cs="Arial" w:eastAsia="Arial" w:hAnsi="Arial"/>
          <w:sz w:val="16"/>
          <w:szCs w:val="16"/>
          <w:color w:val="auto"/>
        </w:rPr>
        <w:t>” shall mean, collectively, with respect to each Pledgor, all “general intangibles”, as such term is defined in the UCC, of such Pledgor and, in any event, shall include (i) all of such Pledgor’s rights, title and interest in, to and under all Contracts and insurance policies (including all rights and remedies relating to monetary damages, including indemnification rights and remedies, and claims for damages or other relief pursuant to or in respect of any Contract), (ii) all know-how and warranties relating to any of the Pledged Collateral or the Mortgaged Property, (iii) any and all other rights, claims, choses-in-action and causes of action of such Pledgor against any other person and the benefits of any and all collateral or other security given by any other person in connection therewith, (iv) all guarantees, endorsements and indemnifications on, or of, any of the Pledged Collateral or any of the Mortgaged Property, (v) all lists, books, records, correspondence, ledgers, printouts, files (whether in printed form or stored electronically), tapes and other papers or materials containing information relating to any of the Pledged Collateral or any of the Mortgaged Property, including all customer or tenant lists, identification of suppliers, data, plans, blueprints, specifications, designs, drawings, appraisals, recorded knowledge, surveys, studies, engineering reports, test reports, manuals, standards, processing standards, performance standards, catalogs, research data, computer and automatic machinery software and programs and the like, field repair data, accounting information pertaining to such Pledgor’s operations or any of the Pledged Collateral or any of the Mortgaged Property and all media in which or on which any of the information or knowledge or data or records may be recorded or stored and all computer programs used for the compilation or printout of such information, knowledge, records or data, (vi) all licenses, consents, permits, variances, certifications, authorizations and approvals, however characterized, now or hereafter acquired or held by such Pledgor, including building permits, certificates of occupancy, environmental certificates, industrial permits or licenses and certificates of operation and (vii) all rights to reserves, deferred payments, deposits, refunds, indemnification of claims and claims for tax or other refunds against any Governmental Authority.</w:t>
      </w:r>
    </w:p>
    <w:p>
      <w:pPr>
        <w:spacing w:after="0" w:line="205"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Goodwill</w:t>
      </w:r>
      <w:r>
        <w:rPr>
          <w:rFonts w:ascii="Arial" w:cs="Arial" w:eastAsia="Arial" w:hAnsi="Arial"/>
          <w:sz w:val="17"/>
          <w:szCs w:val="17"/>
          <w:color w:val="auto"/>
        </w:rPr>
        <w:t>” shall mean, collectively, with respect to each Pledgor, the goodwill connected with such Pledgor’s business including all goodwill connected with (i) the use of and symbolized by any Trademark or Intellectual Property License with respect to any Trademark in which such Pledgor has any interest, (ii) all know-how, trade secrets, customer and supplier lists, proprietary information, inventions, methods, procedures, formulae, descriptions, compositions, technical data, drawings, specifications, name plates, catalogs, confidential information and the right to limit the use or disclosure thereof by any person, pricing and cost information, business and marketing plans and proposals, consulting agreements, engineering contracts and such other assets which relate to such goodwill and (iii) all product lines of such Pledgor’s business.</w:t>
      </w:r>
    </w:p>
    <w:p>
      <w:pPr>
        <w:spacing w:after="0" w:line="205"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Instruments</w:t>
      </w:r>
      <w:r>
        <w:rPr>
          <w:rFonts w:ascii="Arial" w:cs="Arial" w:eastAsia="Arial" w:hAnsi="Arial"/>
          <w:sz w:val="18"/>
          <w:szCs w:val="18"/>
          <w:color w:val="auto"/>
        </w:rPr>
        <w:t>” shall mean, collectively, with respect to each Pledgor, all “instruments”, as such term is defined in Article 9, rather than Article 3, of the UCC, and shall include all promissory notes, drafts, bills of exchange or acceptances.</w:t>
      </w:r>
    </w:p>
    <w:p>
      <w:pPr>
        <w:spacing w:after="0" w:line="197" w:lineRule="exact"/>
        <w:rPr>
          <w:sz w:val="20"/>
          <w:szCs w:val="20"/>
          <w:color w:val="auto"/>
        </w:rPr>
      </w:pPr>
    </w:p>
    <w:p>
      <w:pPr>
        <w:ind w:right="7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Collateral</w:t>
      </w:r>
      <w:r>
        <w:rPr>
          <w:rFonts w:ascii="Arial" w:cs="Arial" w:eastAsia="Arial" w:hAnsi="Arial"/>
          <w:sz w:val="18"/>
          <w:szCs w:val="18"/>
          <w:color w:val="auto"/>
        </w:rPr>
        <w:t>” shall mean, collectively, the Patents, Trademarks, Copyrights, Intellectual Property Licenses and Goodwill, other than any Excluded Property.</w:t>
      </w:r>
    </w:p>
    <w:p>
      <w:pPr>
        <w:spacing w:after="0" w:line="19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Licenses</w:t>
      </w:r>
      <w:r>
        <w:rPr>
          <w:rFonts w:ascii="Arial" w:cs="Arial" w:eastAsia="Arial" w:hAnsi="Arial"/>
          <w:sz w:val="18"/>
          <w:szCs w:val="18"/>
          <w:color w:val="auto"/>
        </w:rPr>
        <w:t>” shall mean, collectively, with respect to each Pledgor, all license and distribution agreements with, and covenants not to sue, any other party with respect to any Patent, Trademark or Copyright or any other patent, trademark or copyright, whether such Pledgor is a licensor or licensee, distributor or distributee under any such license or distribution agreement, together with any and all (i) renewals, extensions, supplements and continuations thereof, (ii) income, fees, royalties, damages, claims and payments now and hereafter due and/or payable thereunder and with respect thereto including damages and payments for past, present or future infringements or violations thereof, (iii) rights to sue for past, present and future infringements or violations thereof and (iv) other rights to use, exploit or practice any or all of the Patents, Trademarks or Copyrights or any other patent, trademark or copyright.</w:t>
      </w:r>
    </w:p>
    <w:p>
      <w:pPr>
        <w:spacing w:after="0" w:line="216"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Notes</w:t>
      </w:r>
      <w:r>
        <w:rPr>
          <w:rFonts w:ascii="Arial" w:cs="Arial" w:eastAsia="Arial" w:hAnsi="Arial"/>
          <w:sz w:val="18"/>
          <w:szCs w:val="18"/>
          <w:color w:val="auto"/>
        </w:rPr>
        <w:t xml:space="preserve">” shall mean, with respect to each Pledgor, all intercompany notes described in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to the Perfection Certificate and intercompany notes hereafter acquired by such Pledgor and all certificates, instruments or agreements evidencing such intercompany notes, and all assignments, amendments, restatements, supplements, extensions, renewals, replacements or modifications thereof to the extent permitted pursuant to the terms hereof.</w:t>
      </w:r>
    </w:p>
    <w:p>
      <w:pPr>
        <w:spacing w:after="0" w:line="214"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shall mean a security, whether certificated or uncertificated, Security Entitlement, Securities Account, Commodity Contract or Commodity Account, excluding, however, the Securities Collateral.</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shall mean an agreement substantially in the form of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hereto.</w:t>
      </w:r>
    </w:p>
    <w:p>
      <w:pPr>
        <w:spacing w:after="0" w:line="252"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Account</w:t>
      </w:r>
      <w:r>
        <w:rPr>
          <w:rFonts w:ascii="Arial" w:cs="Arial" w:eastAsia="Arial" w:hAnsi="Arial"/>
          <w:sz w:val="18"/>
          <w:szCs w:val="18"/>
          <w:color w:val="auto"/>
        </w:rPr>
        <w:t xml:space="preserve">” shall mean any account established and maintained in accordance with the provisions of </w:t>
      </w:r>
      <w:r>
        <w:rPr>
          <w:rFonts w:ascii="Arial" w:cs="Arial" w:eastAsia="Arial" w:hAnsi="Arial"/>
          <w:sz w:val="18"/>
          <w:szCs w:val="18"/>
          <w:u w:val="single" w:color="auto"/>
          <w:color w:val="auto"/>
        </w:rPr>
        <w:t>Section 2.18(i)</w:t>
      </w:r>
      <w:r>
        <w:rPr>
          <w:rFonts w:ascii="Arial" w:cs="Arial" w:eastAsia="Arial" w:hAnsi="Arial"/>
          <w:sz w:val="18"/>
          <w:szCs w:val="18"/>
          <w:color w:val="auto"/>
        </w:rPr>
        <w:t xml:space="preserve"> of the Credit Agreement and all property from time to time on deposit in such LC Account.</w:t>
      </w:r>
    </w:p>
    <w:p>
      <w:pPr>
        <w:spacing w:after="0" w:line="197" w:lineRule="exact"/>
        <w:rPr>
          <w:sz w:val="20"/>
          <w:szCs w:val="20"/>
          <w:color w:val="auto"/>
        </w:rPr>
      </w:pPr>
    </w:p>
    <w:p>
      <w:pPr>
        <w:jc w:val="both"/>
        <w:ind w:right="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Intellectual Property Collateral</w:t>
      </w:r>
      <w:r>
        <w:rPr>
          <w:rFonts w:ascii="Arial" w:cs="Arial" w:eastAsia="Arial" w:hAnsi="Arial"/>
          <w:sz w:val="16"/>
          <w:szCs w:val="16"/>
          <w:color w:val="auto"/>
        </w:rPr>
        <w:t>” shall mean any Intellectual Property Collateral that is material (i) to the use and operation of any material Pledged Collateral or Mortgaged Property or (ii) to the business, results of operations, prospects or condition, financial or otherwise, of any Pledgor.</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shall have the meaning assigned to such term in the Mortgages.</w:t>
      </w:r>
    </w:p>
    <w:p>
      <w:pPr>
        <w:spacing w:after="0" w:line="252"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shall mean, collectively, with respect to each Pledgor, all patents issued or assigned to, and all patent applications and registrations made by, such Pledgor (whether established or registered or recorded in the United States or any other country or any political subdivision thereof), together with any and all (i) rights and privileges arising under applicable law with respect to such Pledgor’s use of any patents, (ii) inventions and improvements described and claimed therein, (iii) reissues, divisions, continuations, renewals, extensions and continuations-in-part thereof and amendments thereto, (iv) income, fees, royalties, damages, claims and payments now or hereafter due and/or payable thereunder and with respect thereto including damages and payments for past, present or future infringements thereof, (v) rights corresponding thereto throughout the world and (vi) rights to sue for past, present or future infringements thereof.</w:t>
      </w:r>
    </w:p>
    <w:p>
      <w:pPr>
        <w:sectPr>
          <w:pgSz w:w="11900" w:h="16838" w:orient="portrait"/>
          <w:cols w:equalWidth="0" w:num="1">
            <w:col w:w="11400"/>
          </w:cols>
          <w:pgMar w:left="240" w:top="125" w:right="259" w:bottom="0" w:gutter="0" w:footer="0" w:header="0"/>
        </w:sectPr>
      </w:pPr>
    </w:p>
    <w:bookmarkStart w:id="150" w:name="page151"/>
    <w:bookmarkEnd w:id="15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xml:space="preserve">” shall mean an agreement substantially in the form of </w:t>
      </w:r>
      <w:r>
        <w:rPr>
          <w:rFonts w:ascii="Arial" w:cs="Arial" w:eastAsia="Arial" w:hAnsi="Arial"/>
          <w:sz w:val="18"/>
          <w:szCs w:val="18"/>
          <w:u w:val="single" w:color="auto"/>
          <w:color w:val="auto"/>
        </w:rPr>
        <w:t>Exhibit 7</w:t>
      </w:r>
      <w:r>
        <w:rPr>
          <w:rFonts w:ascii="Arial" w:cs="Arial" w:eastAsia="Arial" w:hAnsi="Arial"/>
          <w:sz w:val="18"/>
          <w:szCs w:val="18"/>
          <w:color w:val="auto"/>
        </w:rPr>
        <w:t xml:space="preserve"> hereto.</w:t>
      </w:r>
    </w:p>
    <w:p>
      <w:pPr>
        <w:spacing w:after="0" w:line="252"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Perfection Certificate</w:t>
      </w:r>
      <w:r>
        <w:rPr>
          <w:rFonts w:ascii="Arial" w:cs="Arial" w:eastAsia="Arial" w:hAnsi="Arial"/>
          <w:sz w:val="17"/>
          <w:szCs w:val="17"/>
          <w:color w:val="auto"/>
        </w:rPr>
        <w:t xml:space="preserve">” shall mean that certain perfection certificate dated April 18, 2007, executed and delivered by each Pledgor in favor of the Administrative Agent and Collateral Agent for the benefit of the Secured Parties, and each other Perfection Certificate (which shall be in form and substance reasonably acceptable to the Collateral Agent) executed and delivered by the applicable Subsidiary Guarantor in favor of the Administrative Agent and Collateral Agent for the benefit of the Secured Parties contemporaneously with the execution and delivery of each Joinder Agreement executed in accordance with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hereof, in each case, as the same may be amended, amended and restated, supplemented or otherwise modified from time to time in accordance with the Credit Agreement or upon the request of the Collateral Agent.</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Amendment</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252"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Securities</w:t>
      </w:r>
      <w:r>
        <w:rPr>
          <w:rFonts w:ascii="Arial" w:cs="Arial" w:eastAsia="Arial" w:hAnsi="Arial"/>
          <w:sz w:val="16"/>
          <w:szCs w:val="16"/>
          <w:color w:val="auto"/>
        </w:rPr>
        <w:t xml:space="preserve">” shall mean, collectively, with respect to each Pledgor, (i) all issued and outstanding Equity Interests of each issuer set forth on </w:t>
      </w:r>
      <w:r>
        <w:rPr>
          <w:rFonts w:ascii="Arial" w:cs="Arial" w:eastAsia="Arial" w:hAnsi="Arial"/>
          <w:sz w:val="16"/>
          <w:szCs w:val="16"/>
          <w:u w:val="single" w:color="auto"/>
          <w:color w:val="auto"/>
        </w:rPr>
        <w:t>Schedule 10</w:t>
      </w:r>
      <w:r>
        <w:rPr>
          <w:rFonts w:ascii="Arial" w:cs="Arial" w:eastAsia="Arial" w:hAnsi="Arial"/>
          <w:sz w:val="16"/>
          <w:szCs w:val="16"/>
          <w:color w:val="auto"/>
        </w:rPr>
        <w:t xml:space="preserve"> to the Perfection Certificate as being owned by such Pledgor and all options, warrants, rights, agreements and additional Equity Interests of whatever class of any such issuer acquired by such Pledgor (including by issuance), together with all rights, privileges, authority and powers of such Pledgor relating to such Equity Interests in each such issuer or under any Organizational Document of each such issuer, and the certificates, instruments and agreements representing such Equity Interests and any and all interest of such Pledgor in the entries on the books of any financial intermediary pertaining to such Equity Interests, (ii) all Equity Interests of any issuer, which Equity Interests are hereafter acquired by such Pledgor (including by issuance) and all options, warrants, rights, agreements and additional Equity Interests of whatever class of any such issuer acquired by such Pledgor (including by issuance), together with all rights, privileges, authority and powers of such Pledgor relating to such Equity Interests or under any Organizational Document of any such issuer, and the certificates, instruments and agreements representing such Equity Interests and any and all interest of such Pledgor in the entries on the books of any financial intermediary pertaining to such Equity Interests, from time to time acquired by such Pledgor in any manner, and (iii) all Equity Interests issued in respect of the Equity Interests referred to in clause (i) or (ii) upon any consolidation or merger of any issuer of such Equity Interests.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Pledgor</w:t>
      </w:r>
      <w:r>
        <w:rPr>
          <w:rFonts w:ascii="Arial" w:cs="Arial" w:eastAsia="Arial" w:hAnsi="Arial"/>
          <w:sz w:val="18"/>
          <w:szCs w:val="18"/>
          <w:color w:val="auto"/>
        </w:rPr>
        <w:t>” shall have the meaning assigned to such term in the Preamble hereof.</w:t>
      </w:r>
    </w:p>
    <w:p>
      <w:pPr>
        <w:spacing w:after="0" w:line="252"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w:t>
      </w:r>
      <w:r>
        <w:rPr>
          <w:rFonts w:ascii="Arial" w:cs="Arial" w:eastAsia="Arial" w:hAnsi="Arial"/>
          <w:sz w:val="17"/>
          <w:szCs w:val="17"/>
          <w:color w:val="auto"/>
        </w:rPr>
        <w:t>” shall mean all (i) Accounts, (ii) Chattel Paper, (iii) Payment Intangibles, (iv) General Intangibles, (v) Instruments and (vi) all other rights to payment, whether or not earned by performance, for goods or other property sold, leased, licensed, assigned or otherwise disposed of, or services rendered or to be rendered, regardless of how classified under the UCC together with all of Pledgors’ rights, if any, in any goods or other property giving rise to such right to payment and all Collateral Support and Supporting Obligations related thereto and all Records relating thereto.</w:t>
      </w:r>
    </w:p>
    <w:p>
      <w:pPr>
        <w:spacing w:after="0" w:line="198"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 Control Agreement</w:t>
      </w:r>
      <w:r>
        <w:rPr>
          <w:rFonts w:ascii="Arial" w:cs="Arial" w:eastAsia="Arial" w:hAnsi="Arial"/>
          <w:sz w:val="18"/>
          <w:szCs w:val="18"/>
          <w:color w:val="auto"/>
        </w:rPr>
        <w:t xml:space="preserve">” shall mean an agreement substantially in the form of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hereto or such other form that is reasonably satisfactory to the Collateral Agent establishing the Collateral Agent’s Control with respect to any Securities Account.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Collateral</w:t>
      </w:r>
      <w:r>
        <w:rPr>
          <w:rFonts w:ascii="Arial" w:cs="Arial" w:eastAsia="Arial" w:hAnsi="Arial"/>
          <w:sz w:val="18"/>
          <w:szCs w:val="18"/>
          <w:color w:val="auto"/>
        </w:rPr>
        <w:t>” shall mean, collectively, the Pledged Securities, the Intercompany Notes and the Distributions.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shall have the meaning assigned to such term in the Preamble hereof.</w:t>
      </w:r>
    </w:p>
    <w:p>
      <w:pPr>
        <w:spacing w:after="0" w:line="252"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shall mean, collectively, with respect to each Pledgor, all trademarks (including service marks), slogans, logos, certification marks, trade dress, uniform resource locations (URL’s), domain names, corporate names and trade names, whether registered or unregistered, owned by or assigned to such Pledgor and all registrations and applications for the foregoing (whether statutory or common law and whether established or registered in the United States or any other country or any political subdivision thereof), together with any and all (i) rights and privileges arising under applicable law with respect to such Pledgor’s use of any trademarks, (ii) reissues, continuations, extensions and renewals thereof and amendments thereto, (iii) income, fees, royalties, damages and payments now and hereafter due and/or payable thereunder and with respect thereto, including damages, claims and payments for past, present or future infringements thereof, (iv) rights corresponding thereto throughout the world and (v) rights to sue for past, present and future infringements thereof.</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xml:space="preserve">” shall mean an agreement substantially in the form of </w:t>
      </w:r>
      <w:r>
        <w:rPr>
          <w:rFonts w:ascii="Arial" w:cs="Arial" w:eastAsia="Arial" w:hAnsi="Arial"/>
          <w:sz w:val="18"/>
          <w:szCs w:val="18"/>
          <w:u w:val="single" w:color="auto"/>
          <w:color w:val="auto"/>
        </w:rPr>
        <w:t>Exhibit 8</w:t>
      </w:r>
      <w:r>
        <w:rPr>
          <w:rFonts w:ascii="Arial" w:cs="Arial" w:eastAsia="Arial" w:hAnsi="Arial"/>
          <w:sz w:val="18"/>
          <w:szCs w:val="18"/>
          <w:color w:val="auto"/>
        </w:rPr>
        <w:t xml:space="preserve"> hereto.</w:t>
      </w:r>
    </w:p>
    <w:p>
      <w:pPr>
        <w:spacing w:after="0" w:line="252"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shall mean the Uniform Commercial Code as in effect from time to time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any time, if by reason of mandatory provisions of law, any or all of the perfection or priority of the Collateral Agent’s security interest in any item or portion of the Pledged Collateral is governed by the Uniform Commercial Code as in effect in a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spacing w:after="0" w:line="242"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Interpretation</w:t>
      </w:r>
    </w:p>
    <w:p>
      <w:pPr>
        <w:spacing w:after="0" w:line="252" w:lineRule="exact"/>
        <w:rPr>
          <w:sz w:val="20"/>
          <w:szCs w:val="20"/>
          <w:color w:val="auto"/>
        </w:rPr>
      </w:pPr>
    </w:p>
    <w:p>
      <w:pPr>
        <w:ind w:left="1440" w:hanging="135"/>
        <w:spacing w:after="0"/>
        <w:tabs>
          <w:tab w:leader="none" w:pos="144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The rules of interpretation specified in the Credit Agreement (including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thereof) shall be applicable to this Agreement.</w:t>
      </w:r>
    </w:p>
    <w:p>
      <w:pPr>
        <w:spacing w:after="0" w:line="290"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SECTION 1.3.</w:t>
      </w:r>
      <w:r>
        <w:rPr>
          <w:rFonts w:ascii="Arial" w:cs="Arial" w:eastAsia="Arial" w:hAnsi="Arial"/>
          <w:sz w:val="16"/>
          <w:szCs w:val="16"/>
          <w:u w:val="single" w:color="auto"/>
          <w:color w:val="auto"/>
        </w:rPr>
        <w:t>Resolution of Drafting Ambiguities</w:t>
      </w:r>
    </w:p>
    <w:p>
      <w:pPr>
        <w:spacing w:after="0" w:line="252" w:lineRule="exact"/>
        <w:rPr>
          <w:sz w:val="20"/>
          <w:szCs w:val="20"/>
          <w:color w:val="auto"/>
        </w:rPr>
      </w:pPr>
    </w:p>
    <w:p>
      <w:pPr>
        <w:ind w:firstLine="1305"/>
        <w:spacing w:after="0" w:line="264" w:lineRule="auto"/>
        <w:tabs>
          <w:tab w:leader="none" w:pos="143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Each Pledgor acknowledges and agrees that it was represented by counsel in connection with the execution and delivery hereof, that it and its counsel reviewed and participated in the preparation and negotiation hereof and that any rule of construction to the effect that ambiguities are to be resolved against the drafting party (</w:t>
      </w:r>
      <w:r>
        <w:rPr>
          <w:rFonts w:ascii="Arial" w:cs="Arial" w:eastAsia="Arial" w:hAnsi="Arial"/>
          <w:sz w:val="18"/>
          <w:szCs w:val="18"/>
          <w:u w:val="single" w:color="auto"/>
          <w:color w:val="auto"/>
        </w:rPr>
        <w:t>i.e</w:t>
      </w:r>
      <w:r>
        <w:rPr>
          <w:rFonts w:ascii="Arial" w:cs="Arial" w:eastAsia="Arial" w:hAnsi="Arial"/>
          <w:sz w:val="18"/>
          <w:szCs w:val="18"/>
          <w:color w:val="auto"/>
        </w:rPr>
        <w:t>., the Collateral Agent) shall not be employed in the interpretation hereof.</w:t>
      </w:r>
    </w:p>
    <w:p>
      <w:pPr>
        <w:spacing w:after="0" w:line="235"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Perfection Certificate</w:t>
      </w:r>
    </w:p>
    <w:p>
      <w:pPr>
        <w:spacing w:after="0" w:line="252" w:lineRule="exact"/>
        <w:rPr>
          <w:sz w:val="20"/>
          <w:szCs w:val="20"/>
          <w:color w:val="auto"/>
        </w:rPr>
      </w:pPr>
    </w:p>
    <w:p>
      <w:pPr>
        <w:ind w:right="260" w:firstLine="1305"/>
        <w:spacing w:after="0" w:line="277" w:lineRule="auto"/>
        <w:tabs>
          <w:tab w:leader="none" w:pos="142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Collateral Agent and each Secured Party agree that the Perfection Certificate and all descriptions of Pledged Collateral, schedules, amendments and supplements thereto are and shall at all times remain a part of this Agreement.</w:t>
      </w:r>
    </w:p>
    <w:p>
      <w:pPr>
        <w:sectPr>
          <w:pgSz w:w="11900" w:h="16838" w:orient="portrait"/>
          <w:cols w:equalWidth="0" w:num="1">
            <w:col w:w="11400"/>
          </w:cols>
          <w:pgMar w:left="240" w:top="368" w:right="259" w:bottom="166" w:gutter="0" w:footer="0" w:header="0"/>
        </w:sectPr>
      </w:pPr>
    </w:p>
    <w:bookmarkStart w:id="151" w:name="page152"/>
    <w:bookmarkEnd w:id="151"/>
    <w:p>
      <w:pPr>
        <w:ind w:left="4540"/>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 OF SECURITY AND SECURED OBLIGATIONS</w:t>
      </w:r>
    </w:p>
    <w:p>
      <w:pPr>
        <w:spacing w:after="0" w:line="279"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Grant of Security Interest</w:t>
      </w:r>
    </w:p>
    <w:p>
      <w:pPr>
        <w:spacing w:after="0" w:line="252" w:lineRule="exact"/>
        <w:rPr>
          <w:sz w:val="20"/>
          <w:szCs w:val="20"/>
          <w:color w:val="auto"/>
        </w:rPr>
      </w:pPr>
    </w:p>
    <w:p>
      <w:pPr>
        <w:jc w:val="both"/>
        <w:ind w:right="60" w:firstLine="1305"/>
        <w:spacing w:after="0" w:line="312" w:lineRule="auto"/>
        <w:tabs>
          <w:tab w:leader="none" w:pos="1422" w:val="left"/>
        </w:tabs>
        <w:numPr>
          <w:ilvl w:val="0"/>
          <w:numId w:val="331"/>
        </w:numPr>
        <w:rPr>
          <w:rFonts w:ascii="Arial" w:cs="Arial" w:eastAsia="Arial" w:hAnsi="Arial"/>
          <w:sz w:val="16"/>
          <w:szCs w:val="16"/>
          <w:color w:val="auto"/>
        </w:rPr>
      </w:pPr>
      <w:r>
        <w:rPr>
          <w:rFonts w:ascii="Arial" w:cs="Arial" w:eastAsia="Arial" w:hAnsi="Arial"/>
          <w:sz w:val="16"/>
          <w:szCs w:val="16"/>
          <w:color w:val="auto"/>
        </w:rPr>
        <w:t>As collateral security for the payment and performance in full of all the Secured Obligations, each Pledgor hereby pledges and grants to the Collateral Agent for the benefit of the Secured Parties, a lien on and security interest in all of the right, title and interest of such Pledgor in, to and under the following property, wherever located, and whether now existing or hereafter arising or acquired from time to time (collectively, the “</w:t>
      </w:r>
      <w:r>
        <w:rPr>
          <w:rFonts w:ascii="Arial" w:cs="Arial" w:eastAsia="Arial" w:hAnsi="Arial"/>
          <w:sz w:val="16"/>
          <w:szCs w:val="16"/>
          <w:u w:val="single" w:color="auto"/>
          <w:color w:val="auto"/>
        </w:rPr>
        <w:t>Pledged Collateral</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left="1960" w:hanging="267"/>
        <w:spacing w:after="0"/>
        <w:tabs>
          <w:tab w:leader="none" w:pos="19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52" w:lineRule="exact"/>
        <w:rPr>
          <w:rFonts w:ascii="Arial" w:cs="Arial" w:eastAsia="Arial" w:hAnsi="Arial"/>
          <w:sz w:val="18"/>
          <w:szCs w:val="18"/>
          <w:color w:val="auto"/>
        </w:rPr>
      </w:pPr>
    </w:p>
    <w:p>
      <w:pPr>
        <w:ind w:left="1960" w:hanging="317"/>
        <w:spacing w:after="0"/>
        <w:tabs>
          <w:tab w:leader="none" w:pos="19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Equipment, Goods, Inventory and Fixtures;</w:t>
      </w:r>
    </w:p>
    <w:p>
      <w:pPr>
        <w:spacing w:after="0" w:line="252" w:lineRule="exact"/>
        <w:rPr>
          <w:rFonts w:ascii="Arial" w:cs="Arial" w:eastAsia="Arial" w:hAnsi="Arial"/>
          <w:sz w:val="18"/>
          <w:szCs w:val="18"/>
          <w:color w:val="auto"/>
        </w:rPr>
      </w:pPr>
    </w:p>
    <w:p>
      <w:pPr>
        <w:ind w:left="1960" w:hanging="367"/>
        <w:spacing w:after="0"/>
        <w:tabs>
          <w:tab w:leader="none" w:pos="19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Documents, Instruments and Chattel Paper;</w:t>
      </w:r>
    </w:p>
    <w:p>
      <w:pPr>
        <w:spacing w:after="0" w:line="252" w:lineRule="exact"/>
        <w:rPr>
          <w:rFonts w:ascii="Arial" w:cs="Arial" w:eastAsia="Arial" w:hAnsi="Arial"/>
          <w:sz w:val="18"/>
          <w:szCs w:val="18"/>
          <w:color w:val="auto"/>
        </w:rPr>
      </w:pPr>
    </w:p>
    <w:p>
      <w:pPr>
        <w:ind w:left="1960" w:hanging="357"/>
        <w:spacing w:after="0"/>
        <w:tabs>
          <w:tab w:leader="none" w:pos="19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Letters of Credit and Letter-of-Credit Rights;</w:t>
      </w:r>
    </w:p>
    <w:p>
      <w:pPr>
        <w:spacing w:after="0" w:line="252" w:lineRule="exact"/>
        <w:rPr>
          <w:rFonts w:ascii="Arial" w:cs="Arial" w:eastAsia="Arial" w:hAnsi="Arial"/>
          <w:sz w:val="18"/>
          <w:szCs w:val="18"/>
          <w:color w:val="auto"/>
        </w:rPr>
      </w:pPr>
    </w:p>
    <w:p>
      <w:pPr>
        <w:ind w:left="1960" w:hanging="307"/>
        <w:spacing w:after="0"/>
        <w:tabs>
          <w:tab w:leader="none" w:pos="19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Securities Collateral;</w:t>
      </w:r>
    </w:p>
    <w:p>
      <w:pPr>
        <w:spacing w:after="0" w:line="252" w:lineRule="exact"/>
        <w:rPr>
          <w:rFonts w:ascii="Arial" w:cs="Arial" w:eastAsia="Arial" w:hAnsi="Arial"/>
          <w:sz w:val="18"/>
          <w:szCs w:val="18"/>
          <w:color w:val="auto"/>
        </w:rPr>
      </w:pPr>
    </w:p>
    <w:p>
      <w:pPr>
        <w:ind w:left="1960" w:hanging="357"/>
        <w:spacing w:after="0"/>
        <w:tabs>
          <w:tab w:leader="none" w:pos="19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52" w:lineRule="exact"/>
        <w:rPr>
          <w:rFonts w:ascii="Arial" w:cs="Arial" w:eastAsia="Arial" w:hAnsi="Arial"/>
          <w:sz w:val="18"/>
          <w:szCs w:val="18"/>
          <w:color w:val="auto"/>
        </w:rPr>
      </w:pPr>
    </w:p>
    <w:p>
      <w:pPr>
        <w:ind w:left="1960" w:hanging="407"/>
        <w:spacing w:after="0"/>
        <w:tabs>
          <w:tab w:leader="none" w:pos="19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Patents, Trademarks, Copyrights, Intellectual Property Licenses and Goodwill;</w:t>
      </w:r>
    </w:p>
    <w:p>
      <w:pPr>
        <w:spacing w:after="0" w:line="252" w:lineRule="exact"/>
        <w:rPr>
          <w:rFonts w:ascii="Arial" w:cs="Arial" w:eastAsia="Arial" w:hAnsi="Arial"/>
          <w:sz w:val="18"/>
          <w:szCs w:val="18"/>
          <w:color w:val="auto"/>
        </w:rPr>
      </w:pPr>
    </w:p>
    <w:p>
      <w:pPr>
        <w:ind w:left="1960" w:hanging="457"/>
        <w:spacing w:after="0"/>
        <w:tabs>
          <w:tab w:leader="none" w:pos="19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the Commercial Tort Claims described on </w:t>
      </w:r>
      <w:r>
        <w:rPr>
          <w:rFonts w:ascii="Arial" w:cs="Arial" w:eastAsia="Arial" w:hAnsi="Arial"/>
          <w:sz w:val="18"/>
          <w:szCs w:val="18"/>
          <w:u w:val="single" w:color="auto"/>
          <w:color w:val="auto"/>
        </w:rPr>
        <w:t>Schedule 14</w:t>
      </w:r>
      <w:r>
        <w:rPr>
          <w:rFonts w:ascii="Arial" w:cs="Arial" w:eastAsia="Arial" w:hAnsi="Arial"/>
          <w:sz w:val="18"/>
          <w:szCs w:val="18"/>
          <w:color w:val="auto"/>
        </w:rPr>
        <w:t xml:space="preserve"> to the Perfection Certificate;</w:t>
      </w:r>
    </w:p>
    <w:p>
      <w:pPr>
        <w:spacing w:after="0" w:line="252" w:lineRule="exact"/>
        <w:rPr>
          <w:rFonts w:ascii="Arial" w:cs="Arial" w:eastAsia="Arial" w:hAnsi="Arial"/>
          <w:sz w:val="18"/>
          <w:szCs w:val="18"/>
          <w:color w:val="auto"/>
        </w:rPr>
      </w:pPr>
    </w:p>
    <w:p>
      <w:pPr>
        <w:ind w:left="1960" w:hanging="357"/>
        <w:spacing w:after="0"/>
        <w:tabs>
          <w:tab w:leader="none" w:pos="19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252" w:lineRule="exact"/>
        <w:rPr>
          <w:rFonts w:ascii="Arial" w:cs="Arial" w:eastAsia="Arial" w:hAnsi="Arial"/>
          <w:sz w:val="18"/>
          <w:szCs w:val="18"/>
          <w:color w:val="auto"/>
        </w:rPr>
      </w:pPr>
    </w:p>
    <w:p>
      <w:pPr>
        <w:ind w:left="1960" w:hanging="307"/>
        <w:spacing w:after="0"/>
        <w:tabs>
          <w:tab w:leader="none" w:pos="19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Money and all Deposit Accounts;</w:t>
      </w:r>
    </w:p>
    <w:p>
      <w:pPr>
        <w:spacing w:after="0" w:line="252" w:lineRule="exact"/>
        <w:rPr>
          <w:rFonts w:ascii="Arial" w:cs="Arial" w:eastAsia="Arial" w:hAnsi="Arial"/>
          <w:sz w:val="18"/>
          <w:szCs w:val="18"/>
          <w:color w:val="auto"/>
        </w:rPr>
      </w:pPr>
    </w:p>
    <w:p>
      <w:pPr>
        <w:ind w:left="1960" w:hanging="357"/>
        <w:spacing w:after="0"/>
        <w:tabs>
          <w:tab w:leader="none" w:pos="19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Supporting Obligations;</w:t>
      </w:r>
    </w:p>
    <w:p>
      <w:pPr>
        <w:spacing w:after="0" w:line="252" w:lineRule="exact"/>
        <w:rPr>
          <w:rFonts w:ascii="Arial" w:cs="Arial" w:eastAsia="Arial" w:hAnsi="Arial"/>
          <w:sz w:val="18"/>
          <w:szCs w:val="18"/>
          <w:color w:val="auto"/>
        </w:rPr>
      </w:pPr>
    </w:p>
    <w:p>
      <w:pPr>
        <w:ind w:left="1960" w:hanging="407"/>
        <w:spacing w:after="0"/>
        <w:tabs>
          <w:tab w:leader="none" w:pos="19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books and records relating to the Pledged Collateral; and</w:t>
      </w:r>
    </w:p>
    <w:p>
      <w:pPr>
        <w:spacing w:after="0" w:line="252" w:lineRule="exact"/>
        <w:rPr>
          <w:rFonts w:ascii="Arial" w:cs="Arial" w:eastAsia="Arial" w:hAnsi="Arial"/>
          <w:sz w:val="18"/>
          <w:szCs w:val="18"/>
          <w:color w:val="auto"/>
        </w:rPr>
      </w:pPr>
    </w:p>
    <w:p>
      <w:pPr>
        <w:jc w:val="both"/>
        <w:ind w:left="1960" w:hanging="457"/>
        <w:spacing w:after="0" w:line="279" w:lineRule="auto"/>
        <w:tabs>
          <w:tab w:leader="none" w:pos="196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to the extent not covered by clauses (i) through (xii) of this sentence, all other personal property of such Pledgor, whether tangible or intangible, and all Proceeds and products of each of the foregoing and all accessions to, substitutions and replacements for, and rents, profits and products of, each of the foregoing, any and all Proceeds of any insurance, indemnity, warranty or guaranty payable to such Pledgor from time to time with respect to any of the foregoing.</w:t>
      </w:r>
    </w:p>
    <w:p>
      <w:pPr>
        <w:spacing w:after="0" w:line="198"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color w:val="auto"/>
        </w:rPr>
        <w:t xml:space="preserve">Notwithstanding anything to the contrary contained in clauses (i) through (xiii) above, the security interest created by this Agreement shall not extend to, and the term “Pledged Collateral” shall not include, any Excluded Property and (x) the Pledgors shall from time to time at the request of the Collateral Agent give written notice to the Collateral Agent identifying in reasonable detail the Excluded Property and shall provide to the Collateral Agent such other information regarding the Excluded Property as the Collateral Agent may reasonably request and (y) from and after the Closing Date, no Pledgor shall permit to become effective in any document creating, governing or providing for any permit, license or agreement a provision that would prohibit the creation of a Lien on such permit, license or agreement in favor of the Collateral Agent unless such prohibition is permitted under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of the Credit Agreement and such Pledgor believes, in its reasonable judgment, that such prohibition is usual and customary in transactions of such type.</w:t>
      </w:r>
    </w:p>
    <w:p>
      <w:pPr>
        <w:spacing w:after="0" w:line="221"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7"/>
          <w:szCs w:val="17"/>
          <w:u w:val="single" w:color="auto"/>
          <w:color w:val="auto"/>
        </w:rPr>
        <w:t>Filings</w:t>
      </w:r>
    </w:p>
    <w:p>
      <w:pPr>
        <w:spacing w:after="0" w:line="252" w:lineRule="exact"/>
        <w:rPr>
          <w:sz w:val="20"/>
          <w:szCs w:val="20"/>
          <w:color w:val="auto"/>
        </w:rPr>
      </w:pPr>
    </w:p>
    <w:p>
      <w:pPr>
        <w:ind w:right="40" w:firstLine="1305"/>
        <w:spacing w:after="0" w:line="290" w:lineRule="auto"/>
        <w:tabs>
          <w:tab w:leader="none" w:pos="1431"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 Each Pledgor hereby irrevocably authorizes the Collateral Agent at any time and from time to time to file in any relevant jurisdiction any financing statements (including fixture filings) and amendments thereto that contain the information required by Article 9 of the Uniform Commercial Code of each applicable jurisdiction for the filing of any financing statement or amendment relating to the Pledged Collateral, including (i) whether such Pledgor is an organization, the type of organization and any organizational identification number issued to such Pledgor, (ii) any financing or continuation statements or other documents without the signature of such Pledgor where permitted by law, including the filing of a financing statement describing the Pledged Collateral as “all assets now owned or hereafter acquired by the Pledgor or in which Pledgor otherwise has rights” or a similar description and (iii) in the case of a financing statement filed as a fixture filing, a sufficient description of the real property to which such Pledged Collateral relates. Each Pledgor agrees to provide all information described in the immediately preceding sentence to the Collateral Agent promptly upon request by the Collateral Agent.</w:t>
      </w:r>
    </w:p>
    <w:p>
      <w:pPr>
        <w:spacing w:after="0" w:line="220" w:lineRule="exact"/>
        <w:rPr>
          <w:sz w:val="20"/>
          <w:szCs w:val="20"/>
          <w:color w:val="auto"/>
        </w:rPr>
      </w:pPr>
    </w:p>
    <w:p>
      <w:pPr>
        <w:ind w:right="180" w:firstLine="1305"/>
        <w:spacing w:after="0" w:line="277" w:lineRule="auto"/>
        <w:tabs>
          <w:tab w:leader="none" w:pos="193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Each Pledgor hereby ratifies its authorization for the Collateral Agent to file in any relevant jurisdiction any financing statements relating to the Pledged Collateral if filed prior to the date hereof.</w:t>
      </w:r>
    </w:p>
    <w:p>
      <w:pPr>
        <w:spacing w:after="0" w:line="224" w:lineRule="exact"/>
        <w:rPr>
          <w:rFonts w:ascii="Arial" w:cs="Arial" w:eastAsia="Arial" w:hAnsi="Arial"/>
          <w:sz w:val="18"/>
          <w:szCs w:val="18"/>
          <w:color w:val="auto"/>
        </w:rPr>
      </w:pPr>
    </w:p>
    <w:p>
      <w:pPr>
        <w:ind w:right="160" w:firstLine="1305"/>
        <w:spacing w:after="0" w:line="257" w:lineRule="auto"/>
        <w:tabs>
          <w:tab w:leader="none" w:pos="192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Each Pledgor hereby further authorizes the Collateral Agent to file filings with the United States Patent and Trademark Office or United States Copyright Office (or any successor office or any similar office in any other country), as applicable, including this Agreement, the Copyright Security Agreement, the Patent Security Agreement and the Trademark Security Agreement, or other documents for the purpose of perfecting, confirming, continuing, enforcing or protecting the security interest granted by such Pledgor hereunder, without the signature of such Pledgor, and naming such Pledgor, as debtor, and the Collateral Agent, as secured party.</w:t>
      </w: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PERFECTION; SUPPLEMENTS; FURTHER ASSURANCES; USE OF PLEDGED COLLATERAL</w:t>
      </w:r>
    </w:p>
    <w:p>
      <w:pPr>
        <w:sectPr>
          <w:pgSz w:w="11900" w:h="16838" w:orient="portrait"/>
          <w:cols w:equalWidth="0" w:num="1">
            <w:col w:w="11420"/>
          </w:cols>
          <w:pgMar w:left="240" w:top="125" w:right="239" w:bottom="59" w:gutter="0" w:footer="0" w:header="0"/>
        </w:sectPr>
      </w:pPr>
    </w:p>
    <w:bookmarkStart w:id="152" w:name="page153"/>
    <w:bookmarkEnd w:id="152"/>
    <w:p>
      <w:pPr>
        <w:ind w:left="644"/>
        <w:spacing w:after="0"/>
        <w:tabs>
          <w:tab w:leader="none" w:pos="2143"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Delivery of Certificated Securities Collateral</w:t>
      </w:r>
    </w:p>
    <w:p>
      <w:pPr>
        <w:spacing w:after="0" w:line="252" w:lineRule="exact"/>
        <w:rPr>
          <w:sz w:val="20"/>
          <w:szCs w:val="20"/>
          <w:color w:val="auto"/>
        </w:rPr>
      </w:pPr>
    </w:p>
    <w:p>
      <w:pPr>
        <w:ind w:left="-656" w:right="40" w:firstLine="1305"/>
        <w:spacing w:after="0" w:line="268" w:lineRule="auto"/>
        <w:tabs>
          <w:tab w:leader="none" w:pos="775" w:val="left"/>
        </w:tabs>
        <w:numPr>
          <w:ilvl w:val="0"/>
          <w:numId w:val="334"/>
        </w:numPr>
        <w:rPr>
          <w:rFonts w:ascii="Arial" w:cs="Arial" w:eastAsia="Arial" w:hAnsi="Arial"/>
          <w:sz w:val="17"/>
          <w:szCs w:val="17"/>
          <w:color w:val="auto"/>
        </w:rPr>
      </w:pPr>
      <w:r>
        <w:rPr>
          <w:rFonts w:ascii="Arial" w:cs="Arial" w:eastAsia="Arial" w:hAnsi="Arial"/>
          <w:sz w:val="17"/>
          <w:szCs w:val="17"/>
          <w:color w:val="auto"/>
        </w:rPr>
        <w:t>Each Pledgor represents and warrants that all certificates, agreements or instruments representing or evidencing the Securities Collateral (other than Excluded Property) in existence on the date hereof have been delivered to the Collateral Agent in suitable form for transfer by delivery or accompanied by duly executed instruments of transfer or assignment in blank and that the Collateral Agent has a perfected first priority security interest therein. Each Pledgor hereby agrees that all certificates, agreements or instruments representing or evidencing Securities Collateral acquired by such Pledgor after the date hereof shall promptly (but in any event within 30 days after receipt thereof by such Pledgor or such longer period as may be determined by the Collateral Agent in its sole discretion) be delivered to and held by or on behalf of the Collateral Agent pursuant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no such certificates, agreements or instruments representing or evidencing Securities Collateral shall be required to be so delivered to the extent such Securities Collateral constitutes Excluded Property, but shall be so delivered promptly (but in any event within five days) following the date such Securities Collateral ceases to constitute Excluded Property). All certificated Securities Collateral shall be in suitable form for transfer by delivery or shall be accompanied by duly executed instruments of transfer or assignment in blank, all in form and substance satisfactory to the Collateral Agent. The Collateral Agent shall have the right, at any time upon the occurrence and during the continuance of any Event of Default, to endorse, assign or otherwise transfer to or to register in the name of the Collateral Agent or any of its nominees or endorse for negotiation any or all of the Securities Collateral, without any indication that such Securities Collateral is subject to the security interest hereunder. In addition, upon the occurrence and during the continuance of an Event of Default, the Collateral Agent shall have the right at any time to exchange certificates representing or evidencing Securities Collateral for certificates of smaller or larger denominations.</w:t>
      </w:r>
    </w:p>
    <w:p>
      <w:pPr>
        <w:spacing w:after="0" w:line="237" w:lineRule="exact"/>
        <w:rPr>
          <w:sz w:val="20"/>
          <w:szCs w:val="20"/>
          <w:color w:val="auto"/>
        </w:rPr>
      </w:pPr>
    </w:p>
    <w:p>
      <w:pPr>
        <w:ind w:left="644"/>
        <w:spacing w:after="0"/>
        <w:tabs>
          <w:tab w:leader="none" w:pos="2143"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Perfection of Uncertificated Securities Collateral</w:t>
      </w:r>
    </w:p>
    <w:p>
      <w:pPr>
        <w:spacing w:after="0" w:line="252" w:lineRule="exact"/>
        <w:rPr>
          <w:sz w:val="20"/>
          <w:szCs w:val="20"/>
          <w:color w:val="auto"/>
        </w:rPr>
      </w:pPr>
    </w:p>
    <w:p>
      <w:pPr>
        <w:ind w:left="-656" w:right="20" w:firstLine="1305"/>
        <w:spacing w:after="0" w:line="285" w:lineRule="auto"/>
        <w:tabs>
          <w:tab w:leader="none" w:pos="77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Each Pledgor represents and warrants that the Collateral Agent has a perfected first priority security interest in all uncertificated Pledged Securities (other than uncertificated Pledged Securities in which a security interest cannot be perfected by taking all applicable actions under the UCC and such other actions (including, without limitation, the delivery or filing of financing, statements, agreements instruments or other documents) as may have been reasonably requested by the Collateral Agent in order to perfect such security interest under the local laws of the jurisdiction of the issuer of such Pledged Securities) pledged by it hereunder that are in existence on the date hereof. Each Pledgor hereby agrees that if any of the Pledged Securities are at any time not evidenced by certificates of ownership, then each applicable Pledgor shall, to the extent permitted by applicable law, (i) cause the issuer to execute and deliver to the Collateral Agent an acknowledgment of the pledge of such Pledged Securities substantially in the form of </w:t>
      </w:r>
      <w:r>
        <w:rPr>
          <w:rFonts w:ascii="Arial" w:cs="Arial" w:eastAsia="Arial" w:hAnsi="Arial"/>
          <w:sz w:val="16"/>
          <w:szCs w:val="16"/>
          <w:u w:val="single" w:color="auto"/>
          <w:color w:val="auto"/>
        </w:rPr>
        <w:t>Exhibit 1</w:t>
      </w:r>
      <w:r>
        <w:rPr>
          <w:rFonts w:ascii="Arial" w:cs="Arial" w:eastAsia="Arial" w:hAnsi="Arial"/>
          <w:sz w:val="16"/>
          <w:szCs w:val="16"/>
          <w:color w:val="auto"/>
        </w:rPr>
        <w:t xml:space="preserve"> hereto or such other form that is reasonably satisfactory to the Collateral Agent, (ii) if necessary or desirable to perfect a security interest in such Pledged Securities, cause the issuer of such uncertificated Pledged Securities to enter into a control agreement with the Collateral Agent and such Pledgor reasonably satisfactory to the Collateral Agent pursuant to which such issuer shall agree to comply with instructions originated by the Collateral Agent without further consent by such Pledgor, and cause such pledge to be recorded on the equityholder register or the books of the issuer, execute any customary pledge forms or other documents necessary or appropriate to complete the pledge and give the Collateral Agent the right to transfer such Pledged Securities under the terms hereof, (iii) upon request by the Collateral Agent, provide to the Collateral Agent an opinion of counsel, in form and substance reasonably satisfactory to the Collateral Agent, confirming such pledge and perfection thereof, and (iv) after the occurrence and during the continuance of any Event of Default, upon request by the Collateral Agent, (A) cause the Organizational Documents of each such issuer that is a Subsidiary of the Borrower to be amended to provide that such Pledged Securities shall be treated as “securities” for purposes of the UCC and (B) cause such Pledged Securities to become certificated and delivered to the Collateral Agent in accordance with the provisions of </w:t>
      </w:r>
      <w:r>
        <w:rPr>
          <w:rFonts w:ascii="Arial" w:cs="Arial" w:eastAsia="Arial" w:hAnsi="Arial"/>
          <w:sz w:val="16"/>
          <w:szCs w:val="16"/>
          <w:u w:val="single" w:color="auto"/>
          <w:color w:val="auto"/>
        </w:rPr>
        <w:t>Section 3.1</w:t>
      </w:r>
      <w:r>
        <w:rPr>
          <w:rFonts w:ascii="Arial" w:cs="Arial" w:eastAsia="Arial" w:hAnsi="Arial"/>
          <w:sz w:val="16"/>
          <w:szCs w:val="16"/>
          <w:color w:val="auto"/>
        </w:rPr>
        <w:t>.</w:t>
      </w:r>
    </w:p>
    <w:p>
      <w:pPr>
        <w:spacing w:after="0" w:line="229" w:lineRule="exact"/>
        <w:rPr>
          <w:sz w:val="20"/>
          <w:szCs w:val="20"/>
          <w:color w:val="auto"/>
        </w:rPr>
      </w:pPr>
    </w:p>
    <w:p>
      <w:pPr>
        <w:ind w:left="644"/>
        <w:spacing w:after="0"/>
        <w:tabs>
          <w:tab w:leader="none" w:pos="2143"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Financing Statements and Other Filings; Maintenance of Perfected Security Interest</w:t>
      </w:r>
    </w:p>
    <w:p>
      <w:pPr>
        <w:spacing w:after="0" w:line="252" w:lineRule="exact"/>
        <w:rPr>
          <w:sz w:val="20"/>
          <w:szCs w:val="20"/>
          <w:color w:val="auto"/>
        </w:rPr>
      </w:pPr>
    </w:p>
    <w:p>
      <w:pPr>
        <w:ind w:left="-656" w:firstLine="1305"/>
        <w:spacing w:after="0" w:line="287" w:lineRule="auto"/>
        <w:tabs>
          <w:tab w:leader="none" w:pos="77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Each Pledgor represents and warrants that all financing statements, agreements, instruments and other documents necessary to perfect the security interest granted by it to the Collateral Agent in respect of the Pledged Collateral (other than uncertificated Pledged Securities in which a security interest cannot be perfected by taking all applicable actions under the UCC and such other actions (including, without limitation, the delivery or filing of financing, statements, agreements instruments or other documents) as may have been reasonably requested by the Collateral Agent in order to perfect such security interest under the local laws of the jurisdiction of the issuer of such Pledged Securities) have been delivered to the Collateral Agent in completed and, to the extent necessary or appropriate, duly executed form for filing in each governmental, municipal or other office specified in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to the Perfection Certificate. Each Pledgor agrees that at the sole cost and expense of the Pledgors, such Pledgor will maintain the security interest created by this Agreement in the Pledged Collateral (other than uncertificated Pledged Securities in which a security interest cannot be perfected by taking all applicable actions under the UCC and such other actions (including, without limitation, the delivery or filing of financing, statements, agreements instruments or other documents) as may have been reasonably requested by the Collateral Agent in order to perfect such security interest under the local laws of the jurisdiction of the issuer of such Pledged Securities) as a perfected first priority security interest subject only to Permitted Collateral Liens.</w:t>
      </w:r>
    </w:p>
    <w:p>
      <w:pPr>
        <w:spacing w:after="0" w:line="227" w:lineRule="exact"/>
        <w:rPr>
          <w:sz w:val="20"/>
          <w:szCs w:val="20"/>
          <w:color w:val="auto"/>
        </w:rPr>
      </w:pPr>
    </w:p>
    <w:p>
      <w:pPr>
        <w:ind w:left="644"/>
        <w:spacing w:after="0"/>
        <w:tabs>
          <w:tab w:leader="none" w:pos="2143"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Other Actions</w:t>
      </w:r>
    </w:p>
    <w:p>
      <w:pPr>
        <w:spacing w:after="0" w:line="252" w:lineRule="exact"/>
        <w:rPr>
          <w:sz w:val="20"/>
          <w:szCs w:val="20"/>
          <w:color w:val="auto"/>
        </w:rPr>
      </w:pPr>
    </w:p>
    <w:p>
      <w:pPr>
        <w:ind w:left="-656" w:right="300" w:firstLine="1305"/>
        <w:spacing w:after="0" w:line="264" w:lineRule="auto"/>
        <w:tabs>
          <w:tab w:leader="none" w:pos="775" w:val="left"/>
        </w:tabs>
        <w:numPr>
          <w:ilvl w:val="1"/>
          <w:numId w:val="337"/>
        </w:numPr>
        <w:rPr>
          <w:rFonts w:ascii="Arial" w:cs="Arial" w:eastAsia="Arial" w:hAnsi="Arial"/>
          <w:sz w:val="18"/>
          <w:szCs w:val="18"/>
          <w:color w:val="auto"/>
        </w:rPr>
      </w:pPr>
      <w:r>
        <w:rPr>
          <w:rFonts w:ascii="Arial" w:cs="Arial" w:eastAsia="Arial" w:hAnsi="Arial"/>
          <w:sz w:val="18"/>
          <w:szCs w:val="18"/>
          <w:color w:val="auto"/>
        </w:rPr>
        <w:t>In order to further ensure the attachment, perfection and priority of, and the ability of the Collateral Agent to enforce, the Collateral Agent’s security interest in the Pledged Collateral, each Pledgor represents and warrants (as to itself) as follows and agrees, in each case at such Pledgor’s own expense, to take the following actions with respect to the following Pledged Collateral:</w:t>
      </w:r>
    </w:p>
    <w:p>
      <w:pPr>
        <w:spacing w:after="0" w:line="235" w:lineRule="exact"/>
        <w:rPr>
          <w:rFonts w:ascii="Arial" w:cs="Arial" w:eastAsia="Arial" w:hAnsi="Arial"/>
          <w:sz w:val="18"/>
          <w:szCs w:val="18"/>
          <w:color w:val="auto"/>
        </w:rPr>
      </w:pPr>
    </w:p>
    <w:p>
      <w:pPr>
        <w:ind w:left="4" w:firstLine="1293"/>
        <w:spacing w:after="0" w:line="289" w:lineRule="auto"/>
        <w:tabs>
          <w:tab w:leader="none" w:pos="1932" w:val="left"/>
        </w:tabs>
        <w:numPr>
          <w:ilvl w:val="2"/>
          <w:numId w:val="337"/>
        </w:numPr>
        <w:rPr>
          <w:rFonts w:ascii="Arial" w:cs="Arial" w:eastAsia="Arial" w:hAnsi="Arial"/>
          <w:sz w:val="16"/>
          <w:szCs w:val="16"/>
          <w:color w:val="auto"/>
        </w:rPr>
      </w:pPr>
      <w:r>
        <w:rPr>
          <w:rFonts w:ascii="Arial" w:cs="Arial" w:eastAsia="Arial" w:hAnsi="Arial"/>
          <w:sz w:val="16"/>
          <w:szCs w:val="16"/>
          <w:u w:val="single" w:color="auto"/>
          <w:color w:val="auto"/>
        </w:rPr>
        <w:t>Instruments and Tangible Chattel Paper</w:t>
      </w:r>
      <w:r>
        <w:rPr>
          <w:rFonts w:ascii="Arial" w:cs="Arial" w:eastAsia="Arial" w:hAnsi="Arial"/>
          <w:sz w:val="16"/>
          <w:szCs w:val="16"/>
          <w:color w:val="auto"/>
        </w:rPr>
        <w:t xml:space="preserve">. As of the date hereof, no amounts payable under or in connection with any of the Pledged Collateral are evidenced by any Instrument or Tangible Chattel Paper other than such Instruments and Tangible Chattel Paper listed in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to the Perfection Certificate. Each Instrument and each item of Tangible Chattel Paper listed in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to the Perfection Certificate has been properly endorsed, assigned and delivered to the Collateral Agent, accompanied by instruments of transfer or assignment duly executed in blank. If any amount then payable under or in connection with any of the Pledged Collateral shall be evidenced by any Instrument or Tangible Chattel Paper, and such amount, together with all amounts payable evidenced by any Instrument or Tangible Chattel Paper not previously delivered to the Collateral Agent exceeds $2.5 million in the aggregate for all Pledgors, the Pledgor acquiring such Instrument or Tangible Chattel Paper shall promptly (but in any event within 30 days after receipt thereof) endorse, assign and deliver the same to the Collateral Agent, accompanied by such instruments of transfer or assignment duly executed in blank as the Collateral Agent may from time to time specify.</w:t>
      </w:r>
    </w:p>
    <w:p>
      <w:pPr>
        <w:spacing w:after="0" w:line="220" w:lineRule="exact"/>
        <w:rPr>
          <w:rFonts w:ascii="Arial" w:cs="Arial" w:eastAsia="Arial" w:hAnsi="Arial"/>
          <w:sz w:val="16"/>
          <w:szCs w:val="16"/>
          <w:color w:val="auto"/>
        </w:rPr>
      </w:pPr>
    </w:p>
    <w:p>
      <w:pPr>
        <w:ind w:left="4" w:firstLine="1293"/>
        <w:spacing w:after="0" w:line="285" w:lineRule="auto"/>
        <w:tabs>
          <w:tab w:leader="none" w:pos="1942" w:val="left"/>
        </w:tabs>
        <w:numPr>
          <w:ilvl w:val="2"/>
          <w:numId w:val="337"/>
        </w:numPr>
        <w:rPr>
          <w:rFonts w:ascii="Arial" w:cs="Arial" w:eastAsia="Arial" w:hAnsi="Arial"/>
          <w:sz w:val="16"/>
          <w:szCs w:val="16"/>
          <w:color w:val="auto"/>
        </w:rPr>
      </w:pPr>
      <w:r>
        <w:rPr>
          <w:rFonts w:ascii="Arial" w:cs="Arial" w:eastAsia="Arial" w:hAnsi="Arial"/>
          <w:sz w:val="16"/>
          <w:szCs w:val="16"/>
          <w:u w:val="single" w:color="auto"/>
          <w:color w:val="auto"/>
        </w:rPr>
        <w:t>Deposit Accounts</w:t>
      </w:r>
      <w:r>
        <w:rPr>
          <w:rFonts w:ascii="Arial" w:cs="Arial" w:eastAsia="Arial" w:hAnsi="Arial"/>
          <w:sz w:val="16"/>
          <w:szCs w:val="16"/>
          <w:color w:val="auto"/>
        </w:rPr>
        <w:t xml:space="preserve">. As of the date hereof, no Pledgor has any Deposit Accounts other than the accounts listed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15</w:t>
      </w:r>
      <w:r>
        <w:rPr>
          <w:rFonts w:ascii="Arial" w:cs="Arial" w:eastAsia="Arial" w:hAnsi="Arial"/>
          <w:sz w:val="16"/>
          <w:szCs w:val="16"/>
          <w:color w:val="auto"/>
        </w:rPr>
        <w:t xml:space="preserve"> to the Perfection Certificate. The Collateral Agent has a first priority security interest in each such Deposit Account (other than Excluded Deposit Accounts), which security interest is perfected by Control. No Pledgor shall hereafter establish and maintain any Deposit Account unless (1) it shall have given the Collateral Agent 30 days’ (or such shorter period as may be determined by the Collateral Agent in its sole discretion) prior written notice of its intention to establish such new Deposit Account with a Bank, (2) such Bank shall be reasonably acceptable to the Collateral Agent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338"/>
        </w:numPr>
        <w:rPr>
          <w:rFonts w:ascii="Arial" w:cs="Arial" w:eastAsia="Arial" w:hAnsi="Arial"/>
          <w:sz w:val="16"/>
          <w:szCs w:val="16"/>
          <w:color w:val="auto"/>
        </w:rPr>
      </w:pPr>
      <w:r>
        <w:rPr>
          <w:rFonts w:ascii="Arial" w:cs="Arial" w:eastAsia="Arial" w:hAnsi="Arial"/>
          <w:sz w:val="16"/>
          <w:szCs w:val="16"/>
          <w:color w:val="auto"/>
        </w:rPr>
        <w:t>such Bank and such Pledgor shall have duly executed and delivered to the Collateral Agent a Deposit Account Control Agreement with respect to</w:t>
      </w:r>
    </w:p>
    <w:p>
      <w:pPr>
        <w:sectPr>
          <w:pgSz w:w="11900" w:h="16838" w:orient="portrait"/>
          <w:cols w:equalWidth="0" w:num="1">
            <w:col w:w="10744"/>
          </w:cols>
          <w:pgMar w:left="896" w:top="152" w:right="259" w:bottom="0" w:gutter="0" w:footer="0" w:header="0"/>
        </w:sectPr>
      </w:pPr>
    </w:p>
    <w:bookmarkStart w:id="153" w:name="page154"/>
    <w:bookmarkEnd w:id="153"/>
    <w:p>
      <w:pPr>
        <w:spacing w:after="0"/>
        <w:rPr>
          <w:sz w:val="20"/>
          <w:szCs w:val="20"/>
          <w:color w:val="auto"/>
        </w:rPr>
      </w:pPr>
      <w:r>
        <w:rPr>
          <w:rFonts w:ascii="Arial" w:cs="Arial" w:eastAsia="Arial" w:hAnsi="Arial"/>
          <w:sz w:val="16"/>
          <w:szCs w:val="16"/>
          <w:color w:val="auto"/>
        </w:rPr>
        <w:t>such Deposit Account (other than Excluded Deposit Accounts). The Collateral Agent agrees with each Pledgor that the Collateral Agent shall not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give any instructions directing the disposition of funds from time to time credited to any Deposit Account or withhold any withdrawal rights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such Pledgor with respect to funds from time to time credited to any Deposit Account unless an Event of Default has occurred and 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continuing. The two immediately preceding sentences shall not apply to the LC Account or to any other Deposit Accounts for which the Collateral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Agent is the Bank. No Pledgor shall grant Control of any Deposit Account to any person other than the Collateral Agent.</w:t>
      </w:r>
    </w:p>
    <w:p>
      <w:pPr>
        <w:spacing w:after="0" w:line="265" w:lineRule="exact"/>
        <w:rPr>
          <w:sz w:val="20"/>
          <w:szCs w:val="20"/>
          <w:color w:val="auto"/>
        </w:rPr>
      </w:pPr>
    </w:p>
    <w:p>
      <w:pPr>
        <w:ind w:firstLine="1293"/>
        <w:spacing w:after="0" w:line="285" w:lineRule="auto"/>
        <w:tabs>
          <w:tab w:leader="none" w:pos="1928"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Securities Accounts and Commodity Accounts</w:t>
      </w:r>
      <w:r>
        <w:rPr>
          <w:rFonts w:ascii="Arial" w:cs="Arial" w:eastAsia="Arial" w:hAnsi="Arial"/>
          <w:sz w:val="16"/>
          <w:szCs w:val="16"/>
          <w:color w:val="auto"/>
        </w:rPr>
        <w:t xml:space="preserve">. (i) As of the date hereof, no Pledgor has any Securities Accounts or Commodity Accounts other than those listed in </w:t>
      </w:r>
      <w:r>
        <w:rPr>
          <w:rFonts w:ascii="Arial" w:cs="Arial" w:eastAsia="Arial" w:hAnsi="Arial"/>
          <w:sz w:val="16"/>
          <w:szCs w:val="16"/>
          <w:u w:val="single" w:color="auto"/>
          <w:color w:val="auto"/>
        </w:rPr>
        <w:t>Schedule 15</w:t>
      </w:r>
      <w:r>
        <w:rPr>
          <w:rFonts w:ascii="Arial" w:cs="Arial" w:eastAsia="Arial" w:hAnsi="Arial"/>
          <w:sz w:val="16"/>
          <w:szCs w:val="16"/>
          <w:color w:val="auto"/>
        </w:rPr>
        <w:t xml:space="preserve"> to the Perfection Certificate. The Collateral Agent has a first priority security interest in each such Securities Account and Commodity Account (other than Excluded Securities Accounts and Excluded Commodities Accounts), which security interest is perfected by Control. No Pledgor shall hereafter establish and maintain any Securities Account or Commodity Account with any Securities Intermediary or Commodity Intermediary unless (1) it shall have given the Collateral Agent 30 days’ (or such shorter period as may be determined by the Collateral Agent in its sole discretion) prior written notice of its intention to establish such new Securities Account or Commodity Account with such Securities Intermediary or Commodity Intermediary, (2) such Securities Intermediary or Commodity Intermediary shall be reasonably acceptable to the Collateral Agent and (3) such Securities Intermediary or Commodity Intermediary, as the case may be, and such Pledgor shall have duly executed and delivered a Control Agreement with respect to such Securities Account or Commodity Account (other than Excluded Securities Accounts and Excluded Commodities Accounts), as the case may be. Each Pledgor shall accept any cash and Investment Property in trust for the benefit of the Collateral Agent and within five days of actual receipt thereof, deposit any and all cash and Investment Property received by it into a Deposit Account or Securities Account. The Collateral Agent agrees with each Pledgor that the Collateral Agent shall not give any Entitlement Orders or instructions or directions to any issuer of uncertificated securities, Securities Intermediary or Commodity Intermediary, and shall not withhold its consent to the exercise of any withdrawal or dealing rights by such Pledgor, unless an Event of Default has occurred and is continuing or, after giving effect to any such investment and withdrawal rights, would occur. The two immediately preceding sentences shall not apply to any Financial Assets credited to a Securities Account for which the Collateral Agent is the Securities Intermediary. No Pledgor shall grant Control over any Investment Property to any person other than the Collateral Agent.</w:t>
      </w:r>
    </w:p>
    <w:p>
      <w:pPr>
        <w:spacing w:after="0" w:line="229" w:lineRule="exact"/>
        <w:rPr>
          <w:rFonts w:ascii="Arial" w:cs="Arial" w:eastAsia="Arial" w:hAnsi="Arial"/>
          <w:sz w:val="16"/>
          <w:szCs w:val="16"/>
          <w:color w:val="auto"/>
        </w:rPr>
      </w:pPr>
    </w:p>
    <w:p>
      <w:pPr>
        <w:ind w:right="80" w:firstLine="1617"/>
        <w:spacing w:after="0" w:line="259" w:lineRule="auto"/>
        <w:tabs>
          <w:tab w:leader="none" w:pos="2273"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As between the Collateral Agent and the Pledgors, the Pledgors shall bear the investment risk with respect to the Investment Property and Pledged Securities, and the risk of loss of, damage to, or the destruction of the Investment Property and Pledged Securities, whether in the possession of, or maintained as a Security Entitlement or deposit by, or subject to the Control of, the Collateral Agent, a Securities Intermediary, a Commodity Intermediary, any Pledgor or any other person.</w:t>
      </w:r>
    </w:p>
    <w:p>
      <w:pPr>
        <w:spacing w:after="0" w:line="240" w:lineRule="exact"/>
        <w:rPr>
          <w:rFonts w:ascii="Arial" w:cs="Arial" w:eastAsia="Arial" w:hAnsi="Arial"/>
          <w:sz w:val="18"/>
          <w:szCs w:val="18"/>
          <w:color w:val="auto"/>
        </w:rPr>
      </w:pPr>
    </w:p>
    <w:p>
      <w:pPr>
        <w:ind w:firstLine="1293"/>
        <w:spacing w:after="0" w:line="285" w:lineRule="auto"/>
        <w:tabs>
          <w:tab w:leader="none" w:pos="1939"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Electronic Chattel Paper and Transferable Records</w:t>
      </w:r>
      <w:r>
        <w:rPr>
          <w:rFonts w:ascii="Arial" w:cs="Arial" w:eastAsia="Arial" w:hAnsi="Arial"/>
          <w:sz w:val="16"/>
          <w:szCs w:val="16"/>
          <w:color w:val="auto"/>
        </w:rPr>
        <w:t xml:space="preserve">. As of the date hereof, no amount under or in connection with any of the Pledged Collateral is evidenced by any Electronic Chattel Paper or any “transferable record” (as that term is defined in Section 201 of the Federal Electronic Signatures in Global and National Commerce Act, or in Section 16 of the Uniform Electronic Transactions Act as in effect in any relevant jurisdiction) other than such Electronic Chattel Paper and transferable records listed in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to the Perfection Certificate. If any amount payable under or in connection with any of the Pledged Collateral shall be evidenced by any Electronic Chattel Paper or any transferable record, the Pledgor acquiring such Electronic Chattel Paper or transferable record shall promptly notify the Collateral Agent thereof and shall take such action as the Collateral Agent may reasonably request to vest in the Collateral Agent control of such Electronic Chattel Paper under Section 9-105 of the UCC or control under Section 201 of the Federal Electronic Signatures in Global and National Commerce Act or, as the case may be, Section 16 of the Uniform Electronic Transactions Act, as so in effect in such jurisdiction, of such transferable record. The requirement in the preceding sentence shall not apply to the extent that such amount, together with all amounts payable evidenced by Electronic Chattel Paper or any transferable record in which the Collateral Agent has not been vested control within the meaning of the statutes described in the immediately preceding sentence, does not exceed $2.5 million in the aggregate for all Pledgors. The Collateral Agent agrees with such Pledgor that the Collateral Agent will arrange, pursuant to procedures satisfactory to the Collateral Agent and so long as such procedures will not result in the Collateral Agent’s loss of control, for the Pledgor to make alterations to the Electronic Chattel Paper or transferable record permitted under Section 9-105 of the UCC or, as the case may be, Section 201 of the Federal Electronic Signatures in Global and National Commerce Act or Section 16 of the Uniform Electronic Transactions Act for a party in control to allow without loss of control, unless an Event of Default has occurred and is continuing or would occur after taking into account any action by such Pledgor with respect to such Electronic Chattel Paper or transferable record.</w:t>
      </w:r>
    </w:p>
    <w:p>
      <w:pPr>
        <w:spacing w:after="0" w:line="229" w:lineRule="exact"/>
        <w:rPr>
          <w:rFonts w:ascii="Arial" w:cs="Arial" w:eastAsia="Arial" w:hAnsi="Arial"/>
          <w:sz w:val="16"/>
          <w:szCs w:val="16"/>
          <w:color w:val="auto"/>
        </w:rPr>
      </w:pPr>
    </w:p>
    <w:p>
      <w:pPr>
        <w:ind w:right="80" w:firstLine="1293"/>
        <w:spacing w:after="0" w:line="290" w:lineRule="auto"/>
        <w:tabs>
          <w:tab w:leader="none" w:pos="1928"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Letter-of-Credit Rights</w:t>
      </w:r>
      <w:r>
        <w:rPr>
          <w:rFonts w:ascii="Arial" w:cs="Arial" w:eastAsia="Arial" w:hAnsi="Arial"/>
          <w:sz w:val="16"/>
          <w:szCs w:val="16"/>
          <w:color w:val="auto"/>
        </w:rPr>
        <w:t>. If any Pledgor is at any time a beneficiary under a Letter of Credit now or hereafter issued, such Pledgor shall promptly notify the Collateral Agent thereof and such Pledgor shall, at the request of the Collateral Agent, pursuant to an agreement in form and substance reasonably satisfactory to the Collateral Agent, either (i) arrange for the issuer and any confirmer of such Letter of Credit to consent to an assignment to the Collateral Agent of the proceeds of any drawing under the Letter of Credit or (ii) arrange for the Collateral Agent to become the transferee beneficiary of such Letter of Credit, with the Collateral Agent agreeing, in each case, that the proceeds of any drawing under the Letter of Credit are to be applied as provided in the Credit Agreement. The actions in the preceding sentence shall not be required to the extent that the amount of any such Letter of Credit, together with the aggregate amount of all other Letters of Credit for which the actions described above in clause (i) and (ii) have not been taken, does not exceed $2.5 million in the aggregate for all Pledgors.</w:t>
      </w:r>
    </w:p>
    <w:p>
      <w:pPr>
        <w:spacing w:after="0" w:line="220" w:lineRule="exact"/>
        <w:rPr>
          <w:rFonts w:ascii="Arial" w:cs="Arial" w:eastAsia="Arial" w:hAnsi="Arial"/>
          <w:sz w:val="16"/>
          <w:szCs w:val="16"/>
          <w:color w:val="auto"/>
        </w:rPr>
      </w:pPr>
    </w:p>
    <w:p>
      <w:pPr>
        <w:ind w:right="40" w:firstLine="1293"/>
        <w:spacing w:after="0" w:line="272" w:lineRule="auto"/>
        <w:tabs>
          <w:tab w:leader="none" w:pos="1909"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Commercial Tort Claims</w:t>
      </w:r>
      <w:r>
        <w:rPr>
          <w:rFonts w:ascii="Arial" w:cs="Arial" w:eastAsia="Arial" w:hAnsi="Arial"/>
          <w:sz w:val="17"/>
          <w:szCs w:val="17"/>
          <w:color w:val="auto"/>
        </w:rPr>
        <w:t xml:space="preserve">. As of the date hereof, each Pledgor hereby represents and warrants that it holds no Commercial Tort Claims other than those listed in </w:t>
      </w:r>
      <w:r>
        <w:rPr>
          <w:rFonts w:ascii="Arial" w:cs="Arial" w:eastAsia="Arial" w:hAnsi="Arial"/>
          <w:sz w:val="17"/>
          <w:szCs w:val="17"/>
          <w:u w:val="single" w:color="auto"/>
          <w:color w:val="auto"/>
        </w:rPr>
        <w:t>Schedule 14</w:t>
      </w:r>
      <w:r>
        <w:rPr>
          <w:rFonts w:ascii="Arial" w:cs="Arial" w:eastAsia="Arial" w:hAnsi="Arial"/>
          <w:sz w:val="17"/>
          <w:szCs w:val="17"/>
          <w:color w:val="auto"/>
        </w:rPr>
        <w:t xml:space="preserve"> to the Perfection Certificate. If any Pledgor shall at any time hold or acquire a Commercial Tort Claim, such Pledgor shall promptly notify the Collateral Agent in writing signed by such Pledgor of the brief details thereof and grant to the Collateral Agent in such writing a security interest therein and in the Proceeds thereof, all upon the terms of this Agreement, with such writing to be in form and substance reasonably satisfactory to the Collateral Agent. The requirement in the preceding sentence shall not apply to the extent that the amount of such Commercial Tort Claim, together with the amount of all other Commercial Tort Claims held by any Pledgor in which the Collateral Agent does not have a security interest, does not exceed $2.5 million in the aggregate for all Pledgors.</w:t>
      </w:r>
    </w:p>
    <w:p>
      <w:pPr>
        <w:spacing w:after="0" w:line="231" w:lineRule="exact"/>
        <w:rPr>
          <w:rFonts w:ascii="Arial" w:cs="Arial" w:eastAsia="Arial" w:hAnsi="Arial"/>
          <w:sz w:val="17"/>
          <w:szCs w:val="17"/>
          <w:color w:val="auto"/>
        </w:rPr>
      </w:pPr>
    </w:p>
    <w:p>
      <w:pPr>
        <w:ind w:right="40" w:firstLine="1293"/>
        <w:spacing w:after="0" w:line="291" w:lineRule="auto"/>
        <w:tabs>
          <w:tab w:leader="none" w:pos="1939"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Landlord’s Access Agreements/Bailee Letters</w:t>
      </w:r>
      <w:r>
        <w:rPr>
          <w:rFonts w:ascii="Arial" w:cs="Arial" w:eastAsia="Arial" w:hAnsi="Arial"/>
          <w:sz w:val="16"/>
          <w:szCs w:val="16"/>
          <w:color w:val="auto"/>
        </w:rPr>
        <w:t xml:space="preserve">. Each Pledgor shall use its commercially reasonable efforts to obtain as soon as practicable after the date hereof with respect to each location set forth in </w:t>
      </w:r>
      <w:r>
        <w:rPr>
          <w:rFonts w:ascii="Arial" w:cs="Arial" w:eastAsia="Arial" w:hAnsi="Arial"/>
          <w:sz w:val="16"/>
          <w:szCs w:val="16"/>
          <w:u w:val="single" w:color="auto"/>
          <w:color w:val="auto"/>
        </w:rPr>
        <w:t>Schedule 4.01(n)(vi)</w:t>
      </w:r>
      <w:r>
        <w:rPr>
          <w:rFonts w:ascii="Arial" w:cs="Arial" w:eastAsia="Arial" w:hAnsi="Arial"/>
          <w:sz w:val="16"/>
          <w:szCs w:val="16"/>
          <w:color w:val="auto"/>
        </w:rPr>
        <w:t xml:space="preserve"> to the Credit Agreement, where such Pledgor maintains Pledged Collateral, a Bailee Letter and/or Landlord Access Agreement, as applicable, and use commercially reasonable efforts to obtain a Bailee Letter, Landlord Access Agreement and/or landlord’s lien waiver, as applicable, from all such bailees and landlords, as applicable, who from time to time have possession of any Pledged Collateral if and to the extent reasonably requested by the Collateral Agent. A waiver of bailee’s lien shall not be required if the value of the Pledged Collateral held by such bailee is less than $500,000, provided that the aggregate value of the Pledged Collateral held by all bailees who have not delivered a Bailee Letter is less than $5.0 million in the aggregate.</w:t>
      </w:r>
    </w:p>
    <w:p>
      <w:pPr>
        <w:spacing w:after="0" w:line="221"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Joinder of Additional Subsidiary Guarantors</w:t>
      </w:r>
    </w:p>
    <w:p>
      <w:pPr>
        <w:sectPr>
          <w:pgSz w:w="11900" w:h="16838" w:orient="portrait"/>
          <w:cols w:equalWidth="0" w:num="1">
            <w:col w:w="10760"/>
          </w:cols>
          <w:pgMar w:left="900" w:top="126" w:right="239" w:bottom="5" w:gutter="0" w:footer="0" w:header="0"/>
        </w:sectPr>
      </w:pPr>
    </w:p>
    <w:bookmarkStart w:id="154" w:name="page155"/>
    <w:bookmarkEnd w:id="154"/>
    <w:p>
      <w:pPr>
        <w:spacing w:after="0" w:line="40" w:lineRule="exact"/>
        <w:rPr>
          <w:sz w:val="20"/>
          <w:szCs w:val="20"/>
          <w:color w:val="auto"/>
        </w:rPr>
      </w:pPr>
    </w:p>
    <w:p>
      <w:pPr>
        <w:ind w:left="-8" w:right="80" w:firstLine="1305"/>
        <w:spacing w:after="0" w:line="269" w:lineRule="auto"/>
        <w:tabs>
          <w:tab w:leader="none" w:pos="142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The Pledgors shall cause each Subsidiary of the Borrower which, from time to time, after the date hereof shall be required to pledge any assets to the Collateral Agent for the benefit of the Secured Parties pursuant to the provisions of the Credit Agreement, (a) to execute and deliver to the Collateral Agent (i) a Joinder Agreement substantially in the form of </w:t>
      </w:r>
      <w:r>
        <w:rPr>
          <w:rFonts w:ascii="Arial" w:cs="Arial" w:eastAsia="Arial" w:hAnsi="Arial"/>
          <w:sz w:val="17"/>
          <w:szCs w:val="17"/>
          <w:u w:val="single" w:color="auto"/>
          <w:color w:val="auto"/>
        </w:rPr>
        <w:t>Exhibit 3</w:t>
      </w:r>
      <w:r>
        <w:rPr>
          <w:rFonts w:ascii="Arial" w:cs="Arial" w:eastAsia="Arial" w:hAnsi="Arial"/>
          <w:sz w:val="17"/>
          <w:szCs w:val="17"/>
          <w:color w:val="auto"/>
        </w:rPr>
        <w:t xml:space="preserve"> hereto within 30 days (or such longer period as may be determined by the Collateral Agent in its sole discretion) of the date on which it was acquired or created and (ii) a Perfection Certificate, in each case, within 30 days (or such longer period as may be determined by the Collateral Agent in its sole discretion) of the date on which it was acquired or created or (b) in the case of a Subsidiary organized outside of the United States required to pledge any assets to the Collateral Agent, to execute and deliver to the Collateral Agent such documentation as the Collateral Agent shall reasonably request and, in each case with respect to clauses (a) and (b) above, upon such execution and delivery, such Subsidiary shall constitute a “Subsidiary Guarantor” and a “Pledgor” for all purposes hereunder with the same force and effect as if originally named as a Subsidiary Guarantor and Pledgor herein. The execution and delivery of such Joinder Agreement shall not require the consent of any Pledgor hereunder. The rights and obligations of each Pledgor hereunder shall remain in full force and effect notwithstanding the addition of any new Subsidiary Guarantor and Pledgor as a party to this Agreement.</w:t>
      </w:r>
    </w:p>
    <w:p>
      <w:pPr>
        <w:spacing w:after="0" w:line="237" w:lineRule="exact"/>
        <w:rPr>
          <w:sz w:val="20"/>
          <w:szCs w:val="20"/>
          <w:color w:val="auto"/>
        </w:rPr>
      </w:pPr>
    </w:p>
    <w:p>
      <w:pPr>
        <w:ind w:left="1292"/>
        <w:spacing w:after="0"/>
        <w:tabs>
          <w:tab w:leader="none" w:pos="2792"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u w:val="single" w:color="auto"/>
          <w:color w:val="auto"/>
        </w:rPr>
        <w:t>Supplements; Further Assurances</w:t>
      </w:r>
    </w:p>
    <w:p>
      <w:pPr>
        <w:spacing w:after="0" w:line="252" w:lineRule="exact"/>
        <w:rPr>
          <w:sz w:val="20"/>
          <w:szCs w:val="20"/>
          <w:color w:val="auto"/>
        </w:rPr>
      </w:pPr>
    </w:p>
    <w:p>
      <w:pPr>
        <w:ind w:left="-8" w:firstLine="1305"/>
        <w:spacing w:after="0" w:line="285" w:lineRule="auto"/>
        <w:tabs>
          <w:tab w:leader="none" w:pos="142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Each Pledgor shall take such further actions, and execute and/or deliver to the Collateral Agent such additional financing statements, amendments, assignments, agreements, supplements, powers and instruments, as the Collateral Agent may in its reasonable judgment deem necessary or appropriate in order to create, perfect, preserve and protect the security interest in the Pledged Collateral as provided herein and the rights and interests granted to the Collateral Agent hereunder, to carry into effect the purposes hereof or better to assure and confirm the validity, enforceability and priority of the Collateral Agent’s security interest in the Pledged Collateral or permit the Collateral Agent to exercise and enforce its rights, powers and remedies hereunder with respect to any Pledged Collateral, including the filing of financing statements, continuation statements and other documents (including this Agreement) under the Uniform Commercial Code (or other similar laws) in effect in any jurisdiction with respect to the security interest created hereby and the execution and delivery of Control Agreements, all in form reasonably satisfactory to the Collateral Agent and in such offices (including the United States Patent and Trademark Office and the United States Copyright Office) wherever required by law to perfect, continue and maintain the validity, enforceablity and priority of the security interest in the Pledged Collateral as provided herein and to preserve the other rights and interests granted to the Collateral Agent hereunder, as against third parties, with respect to the Pledged Collateral. Without limiting the generality of the foregoing, each Pledgor shall make, execute, endorse, acknowledge, file or refile and/or deliver to the Collateral Agent from time to time upon reasonable request by the Collateral Agent such lists, schedules, descriptions and designations of the Pledged Collateral, copies of warehouse receipts, receipts in the nature of warehouse receipts, bills of lading, documents of title, vouchers, invoices, schedules, confirmatory assignments, supplements, additional security agreements, conveyances, financing statements, transfer endorsements, powers of attorney, certificates, reports and other assurances or instruments as the Collateral Agent shall reasonably request. If an Event of Default has occurred and is continuing, the Collateral Agent may institute and maintain, in its own name or in the name of any Pledgor, such suits and proceedings as the Collateral Agent may be advised by counsel shall be necessary or expedient to prevent any impairment of the security interest in or the perfection thereof in the Pledged Collateral. All of the foregoing shall be at the sole cost and expense of the Pledgors.</w:t>
      </w:r>
    </w:p>
    <w:p>
      <w:pPr>
        <w:spacing w:after="0" w:line="200" w:lineRule="exact"/>
        <w:rPr>
          <w:sz w:val="20"/>
          <w:szCs w:val="20"/>
          <w:color w:val="auto"/>
        </w:rPr>
      </w:pPr>
    </w:p>
    <w:p>
      <w:pPr>
        <w:spacing w:after="0" w:line="243" w:lineRule="exact"/>
        <w:rPr>
          <w:sz w:val="20"/>
          <w:szCs w:val="20"/>
          <w:color w:val="auto"/>
        </w:rPr>
      </w:pPr>
    </w:p>
    <w:p>
      <w:pPr>
        <w:ind w:left="4492"/>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ind w:left="3472"/>
        <w:spacing w:after="0"/>
        <w:rPr>
          <w:sz w:val="20"/>
          <w:szCs w:val="20"/>
          <w:color w:val="auto"/>
        </w:rPr>
      </w:pPr>
      <w:r>
        <w:rPr>
          <w:rFonts w:ascii="Arial" w:cs="Arial" w:eastAsia="Arial" w:hAnsi="Arial"/>
          <w:sz w:val="18"/>
          <w:szCs w:val="18"/>
          <w:color w:val="auto"/>
        </w:rPr>
        <w:t>REPRESENTATIONS, WARRANTIES AND COVENANTS</w:t>
      </w:r>
    </w:p>
    <w:p>
      <w:pPr>
        <w:spacing w:after="0" w:line="252"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Each Pledgor represents, warrants and covenants as follows:</w:t>
      </w:r>
    </w:p>
    <w:p>
      <w:pPr>
        <w:spacing w:after="0" w:line="279" w:lineRule="exact"/>
        <w:rPr>
          <w:sz w:val="20"/>
          <w:szCs w:val="20"/>
          <w:color w:val="auto"/>
        </w:rPr>
      </w:pPr>
    </w:p>
    <w:p>
      <w:pPr>
        <w:ind w:left="1292"/>
        <w:spacing w:after="0"/>
        <w:tabs>
          <w:tab w:leader="none" w:pos="2792"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Title</w:t>
      </w:r>
    </w:p>
    <w:p>
      <w:pPr>
        <w:spacing w:after="0" w:line="252" w:lineRule="exact"/>
        <w:rPr>
          <w:sz w:val="20"/>
          <w:szCs w:val="20"/>
          <w:color w:val="auto"/>
        </w:rPr>
      </w:pPr>
    </w:p>
    <w:p>
      <w:pPr>
        <w:jc w:val="both"/>
        <w:ind w:left="-8" w:right="20" w:firstLine="8"/>
        <w:spacing w:after="0" w:line="259" w:lineRule="auto"/>
        <w:tabs>
          <w:tab w:leader="none" w:pos="12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Except for the security interest granted to the Collateral Agent for the ratable benefit of the Secured Parties pursuant to this Agreement and Permitted Liens, such Pledgor owns and has rights and, as to Pledged Collateral acquired by it from time to time after the date hereof, will own and have rights in each item of Pledged Collateral pledged by it hereunder, free and clear of any and all Liens or claims of others. In addition, no Liens or claims exist on the Securities Collateral, other than as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of the Credit Agreement.</w:t>
      </w:r>
    </w:p>
    <w:p>
      <w:pPr>
        <w:spacing w:after="0" w:line="241" w:lineRule="exact"/>
        <w:rPr>
          <w:sz w:val="20"/>
          <w:szCs w:val="20"/>
          <w:color w:val="auto"/>
        </w:rPr>
      </w:pPr>
    </w:p>
    <w:p>
      <w:pPr>
        <w:ind w:left="1292"/>
        <w:spacing w:after="0"/>
        <w:tabs>
          <w:tab w:leader="none" w:pos="2792"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Validity of Security Interest</w:t>
      </w:r>
    </w:p>
    <w:p>
      <w:pPr>
        <w:spacing w:after="0" w:line="252" w:lineRule="exact"/>
        <w:rPr>
          <w:sz w:val="20"/>
          <w:szCs w:val="20"/>
          <w:color w:val="auto"/>
        </w:rPr>
      </w:pPr>
    </w:p>
    <w:p>
      <w:pPr>
        <w:ind w:left="-8" w:right="40" w:firstLine="1305"/>
        <w:spacing w:after="0" w:line="293" w:lineRule="auto"/>
        <w:tabs>
          <w:tab w:leader="none" w:pos="142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The security interest in and Lien on the Pledged Collateral granted to the Collateral Agent for the benefit of the Secured Parties hereunder constitutes (a) a legal and valid security interest in all the Pledged Collateral securing the payment and performance of the Secured Obligations, and (b) subject to the filings and other actions described in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to the Perfection Certificate (to the extent required to be listed on the schedules to the Perfection Certificate as of the date this representation is made or deemed made), a perfected security interest in all the Pledged Collateral. The security interest and Lien granted to the Collateral Agent for the benefit of the Secured Parties pursuant to this Agreement in and on the Pledged Collateral will at all times constitute a perfected, continuing security interest therein, prior to all other Liens on the Pledged Collateral except for Permitted Collateral Liens.</w:t>
      </w:r>
    </w:p>
    <w:p>
      <w:pPr>
        <w:spacing w:after="0" w:line="219" w:lineRule="exact"/>
        <w:rPr>
          <w:sz w:val="20"/>
          <w:szCs w:val="20"/>
          <w:color w:val="auto"/>
        </w:rPr>
      </w:pPr>
    </w:p>
    <w:p>
      <w:pPr>
        <w:ind w:left="1292"/>
        <w:spacing w:after="0"/>
        <w:tabs>
          <w:tab w:leader="none" w:pos="2792"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Defense of Claims; Transferability of Pledged Collateral</w:t>
      </w:r>
    </w:p>
    <w:p>
      <w:pPr>
        <w:spacing w:after="0" w:line="252" w:lineRule="exact"/>
        <w:rPr>
          <w:sz w:val="20"/>
          <w:szCs w:val="20"/>
          <w:color w:val="auto"/>
        </w:rPr>
      </w:pPr>
    </w:p>
    <w:p>
      <w:pPr>
        <w:ind w:left="-8" w:right="40" w:firstLine="1305"/>
        <w:spacing w:after="0" w:line="255" w:lineRule="auto"/>
        <w:tabs>
          <w:tab w:leader="none" w:pos="142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of the Credit Agreement, each Pledgor shall, at its own cost and expense, defend title to the Pledged Collateral pledged by it hereunder and the security interest therein and Lien thereon granted to the Collateral Agent and the priority thereof against all claims and demands of all persons, at its own cost and expense, at any time claiming any interest therein adverse to the Collateral Agent or any other Secured Party other than Permitted Collateral Liens. There is no agreement, order, judgment or decree, and no Pledgor shall enter into any agreement or take any other action, that would restrict the transferability of any of the Pledged Collateral or otherwise impair or conflict with such Pledgor’s obligations or the rights of the Collateral Agent hereunder.</w:t>
      </w:r>
    </w:p>
    <w:p>
      <w:pPr>
        <w:spacing w:after="0" w:line="247" w:lineRule="exact"/>
        <w:rPr>
          <w:sz w:val="20"/>
          <w:szCs w:val="20"/>
          <w:color w:val="auto"/>
        </w:rPr>
      </w:pPr>
    </w:p>
    <w:p>
      <w:pPr>
        <w:ind w:left="1292"/>
        <w:spacing w:after="0"/>
        <w:tabs>
          <w:tab w:leader="none" w:pos="2792"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Other Financing Statements</w:t>
      </w:r>
    </w:p>
    <w:p>
      <w:pPr>
        <w:spacing w:after="0" w:line="252" w:lineRule="exact"/>
        <w:rPr>
          <w:sz w:val="20"/>
          <w:szCs w:val="20"/>
          <w:color w:val="auto"/>
        </w:rPr>
      </w:pPr>
    </w:p>
    <w:p>
      <w:pPr>
        <w:ind w:left="-8" w:right="20" w:firstLine="1305"/>
        <w:spacing w:after="0" w:line="291" w:lineRule="auto"/>
        <w:tabs>
          <w:tab w:leader="none" w:pos="1424"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It has not filed, nor authorized any third party to file (nor will there be), any valid or effective financing statement (or similar statement, instrument of registration or public notice under the law of any jurisdiction) covering or purporting to cover any interest of any kind in the Pledged Collateral, except such as have been filed in favor of the Collateral Agent pursuant to this Agreement or in favor of any holder of a Permitted Collateral Lien with respect to such Permitted Collateral Lien or financing statements or public notices relating to the termination statements listed on </w:t>
      </w:r>
      <w:r>
        <w:rPr>
          <w:rFonts w:ascii="Arial" w:cs="Arial" w:eastAsia="Arial" w:hAnsi="Arial"/>
          <w:sz w:val="16"/>
          <w:szCs w:val="16"/>
          <w:u w:val="single" w:color="auto"/>
          <w:color w:val="auto"/>
        </w:rPr>
        <w:t>Schedule 7</w:t>
      </w:r>
      <w:r>
        <w:rPr>
          <w:rFonts w:ascii="Arial" w:cs="Arial" w:eastAsia="Arial" w:hAnsi="Arial"/>
          <w:sz w:val="16"/>
          <w:szCs w:val="16"/>
          <w:color w:val="auto"/>
        </w:rPr>
        <w:t xml:space="preserve"> to the Perfection Certificate. No Pledgor shall execute, authorize or permit to be filed in any public office any financing statement (or similar statement, instrument of registration or public notice under the law of any jurisdiction) relating to any Pledged Collateral, except financing statements and other statements and instruments filed or to be filed in respect of and covering the security interests granted by such Pledgor to the holder of the Permitted Collateral Liens.</w:t>
      </w:r>
    </w:p>
    <w:p>
      <w:pPr>
        <w:sectPr>
          <w:pgSz w:w="11900" w:h="16878" w:orient="portrait"/>
          <w:cols w:equalWidth="0" w:num="1">
            <w:col w:w="11392"/>
          </w:cols>
          <w:pgMar w:left="248" w:top="125" w:right="259" w:bottom="0" w:gutter="0" w:footer="0" w:header="0"/>
        </w:sectPr>
      </w:pPr>
    </w:p>
    <w:bookmarkStart w:id="155" w:name="page156"/>
    <w:bookmarkEnd w:id="155"/>
    <w:p>
      <w:pPr>
        <w:ind w:left="1300"/>
        <w:spacing w:after="0"/>
        <w:tabs>
          <w:tab w:leader="none" w:pos="280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6"/>
          <w:szCs w:val="16"/>
          <w:u w:val="single" w:color="auto"/>
          <w:color w:val="auto"/>
        </w:rPr>
        <w:t>Location of Inventory and Equipment</w:t>
      </w:r>
      <w:r>
        <w:rPr>
          <w:rFonts w:ascii="Arial" w:cs="Arial" w:eastAsia="Arial" w:hAnsi="Arial"/>
          <w:sz w:val="16"/>
          <w:szCs w:val="16"/>
          <w:color w:val="auto"/>
        </w:rPr>
        <w:t>.</w:t>
      </w:r>
    </w:p>
    <w:p>
      <w:pPr>
        <w:spacing w:after="0" w:line="252" w:lineRule="exact"/>
        <w:rPr>
          <w:sz w:val="20"/>
          <w:szCs w:val="20"/>
          <w:color w:val="auto"/>
        </w:rPr>
      </w:pPr>
    </w:p>
    <w:p>
      <w:pPr>
        <w:ind w:firstLine="1387"/>
        <w:spacing w:after="0" w:line="291" w:lineRule="auto"/>
        <w:rPr>
          <w:sz w:val="20"/>
          <w:szCs w:val="20"/>
          <w:color w:val="auto"/>
        </w:rPr>
      </w:pPr>
      <w:r>
        <w:rPr>
          <w:rFonts w:ascii="Arial" w:cs="Arial" w:eastAsia="Arial" w:hAnsi="Arial"/>
          <w:sz w:val="16"/>
          <w:szCs w:val="16"/>
          <w:color w:val="auto"/>
        </w:rPr>
        <w:t xml:space="preserve">Except in the ordinary course of business of such Pledgor, it shall not move any Equipment or Inventory to any location, other than any location that is listed in the relevant Schedules to the Perfection Certificate, unless (i) it shall have given the Collateral Agent not less than 30 days’ (or such shorter period as may be determined by the Collateral Agent in its sole discretion) prior written notice (in the form of an Officers’ Certificate) of its intention so to do, clearly describing such new location and providing such other information in connection therewith as the Collateral Agent may request and (ii) to the extent applicable with respect to such new location, such Pledgor shall have complied with </w:t>
      </w:r>
      <w:r>
        <w:rPr>
          <w:rFonts w:ascii="Arial" w:cs="Arial" w:eastAsia="Arial" w:hAnsi="Arial"/>
          <w:sz w:val="16"/>
          <w:szCs w:val="16"/>
          <w:u w:val="single" w:color="auto"/>
          <w:color w:val="auto"/>
        </w:rPr>
        <w:t>Section 3.4(g)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Equipment or Inventory with an aggregate fair market value (as determined by the Collateral Agent) exceeding $10.0 million (for all such Equipment or Inventory moved to locations outside of the continental United States since the Closing Date), be moved to any location outside of the continental United States.</w:t>
      </w:r>
    </w:p>
    <w:p>
      <w:pPr>
        <w:spacing w:after="0" w:line="221"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4.6.</w:t>
      </w:r>
      <w:r>
        <w:rPr>
          <w:sz w:val="20"/>
          <w:szCs w:val="20"/>
          <w:color w:val="auto"/>
        </w:rPr>
        <w:tab/>
      </w:r>
      <w:r>
        <w:rPr>
          <w:rFonts w:ascii="Arial" w:cs="Arial" w:eastAsia="Arial" w:hAnsi="Arial"/>
          <w:sz w:val="16"/>
          <w:szCs w:val="16"/>
          <w:u w:val="single" w:color="auto"/>
          <w:color w:val="auto"/>
        </w:rPr>
        <w:t>Due Authorization and Issuance</w:t>
      </w:r>
    </w:p>
    <w:p>
      <w:pPr>
        <w:spacing w:after="0" w:line="252" w:lineRule="exact"/>
        <w:rPr>
          <w:sz w:val="20"/>
          <w:szCs w:val="20"/>
          <w:color w:val="auto"/>
        </w:rPr>
      </w:pPr>
    </w:p>
    <w:p>
      <w:pPr>
        <w:ind w:right="40" w:firstLine="1305"/>
        <w:spacing w:after="0" w:line="279" w:lineRule="auto"/>
        <w:tabs>
          <w:tab w:leader="none" w:pos="1422"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All of the Pledged Securities existing on the date hereof have been, and to the extent any Pledged Securities are hereafter issued, such Pledged Securities will be, upon such issuance, duly authorized, validly issued and fully paid and non-assessable to the extent applicable. There is no amount or other obligation owing by any Pledgor to any issuer of the Pledged Securities in exchange for or in connection with the issuance of the Pledged Securities or any Pledgor’s status as a partner or a member of any issuer of the Pledged Securities.</w:t>
      </w:r>
    </w:p>
    <w:p>
      <w:pPr>
        <w:spacing w:after="0" w:line="225"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5"/>
          <w:szCs w:val="15"/>
          <w:u w:val="single" w:color="auto"/>
          <w:color w:val="auto"/>
        </w:rPr>
        <w:t>Consents, etc</w:t>
      </w:r>
      <w:r>
        <w:rPr>
          <w:rFonts w:ascii="Arial" w:cs="Arial" w:eastAsia="Arial" w:hAnsi="Arial"/>
          <w:sz w:val="15"/>
          <w:szCs w:val="15"/>
          <w:color w:val="auto"/>
        </w:rPr>
        <w:t>.</w:t>
      </w:r>
    </w:p>
    <w:p>
      <w:pPr>
        <w:spacing w:after="0" w:line="252" w:lineRule="exact"/>
        <w:rPr>
          <w:sz w:val="20"/>
          <w:szCs w:val="20"/>
          <w:color w:val="auto"/>
        </w:rPr>
      </w:pPr>
    </w:p>
    <w:p>
      <w:pPr>
        <w:ind w:right="60" w:firstLine="90"/>
        <w:spacing w:after="0" w:line="279" w:lineRule="auto"/>
        <w:rPr>
          <w:sz w:val="20"/>
          <w:szCs w:val="20"/>
          <w:color w:val="auto"/>
        </w:rPr>
      </w:pPr>
      <w:r>
        <w:rPr>
          <w:rFonts w:ascii="Arial" w:cs="Arial" w:eastAsia="Arial" w:hAnsi="Arial"/>
          <w:sz w:val="17"/>
          <w:szCs w:val="17"/>
          <w:color w:val="auto"/>
        </w:rPr>
        <w:t>In the event that the Collateral Agent desires to exercise any remedies, voting or consensual rights or attorney-in-fact powers set forth in this Agreement and determines it necessary to obtain any approvals or consents of any Governmental Authority or any other person therefor, then, upon the reasonable request of the Collateral Agent, such Pledgor agrees to use commercially reasonable efforts to assist and aid the Collateral Agent to obtain as soon as practicable any necessary approvals or consents for the exercise of any such remedies, rights and powers.</w:t>
      </w:r>
    </w:p>
    <w:p>
      <w:pPr>
        <w:spacing w:after="0" w:line="225"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u w:val="single" w:color="auto"/>
          <w:color w:val="auto"/>
        </w:rPr>
        <w:t>Pledged Collateral</w:t>
      </w:r>
    </w:p>
    <w:p>
      <w:pPr>
        <w:spacing w:after="0" w:line="252" w:lineRule="exact"/>
        <w:rPr>
          <w:sz w:val="20"/>
          <w:szCs w:val="20"/>
          <w:color w:val="auto"/>
        </w:rPr>
      </w:pPr>
    </w:p>
    <w:p>
      <w:pPr>
        <w:ind w:right="360" w:firstLine="1305"/>
        <w:spacing w:after="0" w:line="279" w:lineRule="auto"/>
        <w:tabs>
          <w:tab w:leader="none" w:pos="1422" w:val="left"/>
        </w:tabs>
        <w:numPr>
          <w:ilvl w:val="0"/>
          <w:numId w:val="347"/>
        </w:numPr>
        <w:rPr>
          <w:rFonts w:ascii="Arial" w:cs="Arial" w:eastAsia="Arial" w:hAnsi="Arial"/>
          <w:sz w:val="17"/>
          <w:szCs w:val="17"/>
          <w:color w:val="auto"/>
        </w:rPr>
      </w:pPr>
      <w:r>
        <w:rPr>
          <w:rFonts w:ascii="Arial" w:cs="Arial" w:eastAsia="Arial" w:hAnsi="Arial"/>
          <w:sz w:val="17"/>
          <w:szCs w:val="17"/>
          <w:color w:val="auto"/>
        </w:rPr>
        <w:t>All information set forth herein, including the schedules hereto, and all information contained in any documents, schedules and lists heretofore delivered to any Secured Party, including the Perfection Certificate and the schedules thereto, in connection with this Agreement, in each case, relating to the Pledged Collateral, is accurate and complete in all material respects. The Pledged Collateral described on the schedules to the Perfection Certificate constitutes all of the property of such type of Pledged Collateral owned or held by the Pledgors.</w:t>
      </w:r>
    </w:p>
    <w:p>
      <w:pPr>
        <w:spacing w:after="0" w:line="225"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5"/>
          <w:szCs w:val="15"/>
          <w:u w:val="single" w:color="auto"/>
          <w:color w:val="auto"/>
        </w:rPr>
        <w:t>Insurance</w:t>
      </w:r>
    </w:p>
    <w:p>
      <w:pPr>
        <w:spacing w:after="0" w:line="252" w:lineRule="exact"/>
        <w:rPr>
          <w:sz w:val="20"/>
          <w:szCs w:val="20"/>
          <w:color w:val="auto"/>
        </w:rPr>
      </w:pPr>
    </w:p>
    <w:p>
      <w:pPr>
        <w:ind w:right="100" w:firstLine="1305"/>
        <w:spacing w:after="0" w:line="264" w:lineRule="auto"/>
        <w:tabs>
          <w:tab w:leader="none" w:pos="143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 the event that the proceeds of any insurance claim are paid to any Pledgor after the Collateral Agent has exercised its right to foreclose after an Event of Default, such Net Cash Proceeds shall be held in trust for the benefit of the Collateral Agent and immediately after receipt thereof shall be paid to the Collateral Agent for application in accordance with the Credit Agreement.</w:t>
      </w:r>
    </w:p>
    <w:p>
      <w:pPr>
        <w:spacing w:after="0" w:line="200" w:lineRule="exact"/>
        <w:rPr>
          <w:sz w:val="20"/>
          <w:szCs w:val="20"/>
          <w:color w:val="auto"/>
        </w:rPr>
      </w:pPr>
    </w:p>
    <w:p>
      <w:pPr>
        <w:spacing w:after="0" w:line="25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CERTAIN PROVISIONS CONCERNING SECURITIES COLLATERAL</w:t>
      </w:r>
    </w:p>
    <w:p>
      <w:pPr>
        <w:spacing w:after="0" w:line="279"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Pledge of Additional Securities Collateral</w:t>
      </w:r>
    </w:p>
    <w:p>
      <w:pPr>
        <w:spacing w:after="0" w:line="252" w:lineRule="exact"/>
        <w:rPr>
          <w:sz w:val="20"/>
          <w:szCs w:val="20"/>
          <w:color w:val="auto"/>
        </w:rPr>
      </w:pPr>
    </w:p>
    <w:p>
      <w:pPr>
        <w:ind w:firstLine="1305"/>
        <w:spacing w:after="0" w:line="271" w:lineRule="auto"/>
        <w:tabs>
          <w:tab w:leader="none" w:pos="1432" w:val="left"/>
        </w:tabs>
        <w:numPr>
          <w:ilvl w:val="0"/>
          <w:numId w:val="349"/>
        </w:numPr>
        <w:rPr>
          <w:rFonts w:ascii="Arial" w:cs="Arial" w:eastAsia="Arial" w:hAnsi="Arial"/>
          <w:sz w:val="17"/>
          <w:szCs w:val="17"/>
          <w:color w:val="auto"/>
        </w:rPr>
      </w:pPr>
      <w:r>
        <w:rPr>
          <w:rFonts w:ascii="Arial" w:cs="Arial" w:eastAsia="Arial" w:hAnsi="Arial"/>
          <w:sz w:val="17"/>
          <w:szCs w:val="17"/>
          <w:color w:val="auto"/>
        </w:rPr>
        <w:t xml:space="preserve">Each Pledgor shall, upon obtaining any Pledged Securities or Intercompany Notes of any person, accept the same in trust for the benefit of the Collateral Agent and promptly (but in any event within 30 days (or such longer period as may be determined by the Collateral Agent in its sole discretion) after receipt thereof) deliver to the Collateral Agent a pledge amendment, duly executed by such Pledgor, in substantially the form of </w:t>
      </w:r>
      <w:r>
        <w:rPr>
          <w:rFonts w:ascii="Arial" w:cs="Arial" w:eastAsia="Arial" w:hAnsi="Arial"/>
          <w:sz w:val="17"/>
          <w:szCs w:val="17"/>
          <w:u w:val="single" w:color="auto"/>
          <w:color w:val="auto"/>
        </w:rPr>
        <w:t>Exhibit 2</w:t>
      </w:r>
      <w:r>
        <w:rPr>
          <w:rFonts w:ascii="Arial" w:cs="Arial" w:eastAsia="Arial" w:hAnsi="Arial"/>
          <w:sz w:val="17"/>
          <w:szCs w:val="17"/>
          <w:color w:val="auto"/>
        </w:rPr>
        <w:t xml:space="preserve"> hereto (each, a “</w:t>
      </w:r>
      <w:r>
        <w:rPr>
          <w:rFonts w:ascii="Arial" w:cs="Arial" w:eastAsia="Arial" w:hAnsi="Arial"/>
          <w:sz w:val="17"/>
          <w:szCs w:val="17"/>
          <w:u w:val="single" w:color="auto"/>
          <w:color w:val="auto"/>
        </w:rPr>
        <w:t>Pledge Amendment</w:t>
      </w:r>
      <w:r>
        <w:rPr>
          <w:rFonts w:ascii="Arial" w:cs="Arial" w:eastAsia="Arial" w:hAnsi="Arial"/>
          <w:sz w:val="17"/>
          <w:szCs w:val="17"/>
          <w:color w:val="auto"/>
        </w:rPr>
        <w:t xml:space="preserve">”), and the certificates and other documents required under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hereof in respect of the additional Pledged Securities or Intercompany Notes which are to be pledged pursuant to this Agreement, and confirming the attachment of the Lien hereby created on and in respect of such additional Pledged Securities or Intercompany Notes. Each Pledgor hereby authorizes the Collateral Agent to attach each Pledge Amendment to this Agreement and agrees that all Pledged Securities or Intercompany Notes listed on any Pledge Amendment delivered to the Collateral Agent shall for all purposes hereunder be considered Pledged Collateral.</w:t>
      </w:r>
    </w:p>
    <w:p>
      <w:pPr>
        <w:spacing w:after="0" w:line="233"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Voting Rights; Distributions; etc</w:t>
      </w:r>
      <w:r>
        <w:rPr>
          <w:rFonts w:ascii="Arial" w:cs="Arial" w:eastAsia="Arial" w:hAnsi="Arial"/>
          <w:sz w:val="16"/>
          <w:szCs w:val="16"/>
          <w:color w:val="auto"/>
        </w:rPr>
        <w:t>.</w:t>
      </w:r>
    </w:p>
    <w:p>
      <w:pPr>
        <w:spacing w:after="0" w:line="279" w:lineRule="exact"/>
        <w:rPr>
          <w:sz w:val="20"/>
          <w:szCs w:val="20"/>
          <w:color w:val="auto"/>
        </w:rPr>
      </w:pPr>
    </w:p>
    <w:p>
      <w:pPr>
        <w:ind w:left="1940" w:hanging="635"/>
        <w:spacing w:after="0"/>
        <w:tabs>
          <w:tab w:leader="none" w:pos="19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w:t>
      </w:r>
    </w:p>
    <w:p>
      <w:pPr>
        <w:spacing w:after="0" w:line="279" w:lineRule="exact"/>
        <w:rPr>
          <w:rFonts w:ascii="Arial" w:cs="Arial" w:eastAsia="Arial" w:hAnsi="Arial"/>
          <w:sz w:val="18"/>
          <w:szCs w:val="18"/>
          <w:color w:val="auto"/>
        </w:rPr>
      </w:pPr>
    </w:p>
    <w:p>
      <w:pPr>
        <w:ind w:left="660" w:right="240" w:firstLine="1617"/>
        <w:spacing w:after="0" w:line="259" w:lineRule="auto"/>
        <w:tabs>
          <w:tab w:leader="none" w:pos="2883" w:val="left"/>
        </w:tabs>
        <w:numPr>
          <w:ilvl w:val="1"/>
          <w:numId w:val="350"/>
        </w:numPr>
        <w:rPr>
          <w:rFonts w:ascii="Arial" w:cs="Arial" w:eastAsia="Arial" w:hAnsi="Arial"/>
          <w:sz w:val="18"/>
          <w:szCs w:val="18"/>
          <w:color w:val="auto"/>
        </w:rPr>
      </w:pPr>
      <w:r>
        <w:rPr>
          <w:rFonts w:ascii="Arial" w:cs="Arial" w:eastAsia="Arial" w:hAnsi="Arial"/>
          <w:sz w:val="18"/>
          <w:szCs w:val="18"/>
          <w:color w:val="auto"/>
        </w:rPr>
        <w:t xml:space="preserve">Each Pledgor shall be entitled to exercise any and all voting and other consensual rights pertaining to the Securities Collateral or any part thereof for any purpose not inconsistent with the terms or purposes hereof, the Credit Agreement or any other document evidencing the Secured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Pledgor shall in any event exercise such rights in any manner which could reasonably be expected to have a Material Adverse Effect.</w:t>
      </w:r>
    </w:p>
    <w:p>
      <w:pPr>
        <w:spacing w:after="0" w:line="240" w:lineRule="exact"/>
        <w:rPr>
          <w:rFonts w:ascii="Arial" w:cs="Arial" w:eastAsia="Arial" w:hAnsi="Arial"/>
          <w:sz w:val="18"/>
          <w:szCs w:val="18"/>
          <w:color w:val="auto"/>
        </w:rPr>
      </w:pPr>
    </w:p>
    <w:p>
      <w:pPr>
        <w:ind w:left="660" w:right="80" w:firstLine="1617"/>
        <w:spacing w:after="0" w:line="293" w:lineRule="auto"/>
        <w:tabs>
          <w:tab w:leader="none" w:pos="2933" w:val="left"/>
        </w:tabs>
        <w:numPr>
          <w:ilvl w:val="1"/>
          <w:numId w:val="350"/>
        </w:numPr>
        <w:rPr>
          <w:rFonts w:ascii="Arial" w:cs="Arial" w:eastAsia="Arial" w:hAnsi="Arial"/>
          <w:sz w:val="16"/>
          <w:szCs w:val="16"/>
          <w:color w:val="auto"/>
        </w:rPr>
      </w:pPr>
      <w:r>
        <w:rPr>
          <w:rFonts w:ascii="Arial" w:cs="Arial" w:eastAsia="Arial" w:hAnsi="Arial"/>
          <w:sz w:val="16"/>
          <w:szCs w:val="16"/>
          <w:color w:val="auto"/>
        </w:rPr>
        <w:t xml:space="preserve">Each Pledgor shall be entitled to receive and retain, and to utilize free and clear of the Lien hereof, any and all Distributions, but only if and to the extent not prohibited by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and all such Distributions consisting of rights or interests in the form of securities shall be forthwith delivered to the Collateral Agent to hold as Pledged Collateral and shall, if received by any Pledgor, be received in trust for the benefit of the Collateral Agent, be segregated from the other property or funds of such Pledgor and be promptly (but in any event within five days (or such longer period as may be determined by the Collateral Agent in its sole discretion) after receipt thereof) delivered to the Collateral Agent as Pledged Collateral in the same form as so received (with any necessary endorsement).</w:t>
      </w:r>
    </w:p>
    <w:p>
      <w:pPr>
        <w:spacing w:after="0" w:line="218" w:lineRule="exact"/>
        <w:rPr>
          <w:rFonts w:ascii="Arial" w:cs="Arial" w:eastAsia="Arial" w:hAnsi="Arial"/>
          <w:sz w:val="16"/>
          <w:szCs w:val="16"/>
          <w:color w:val="auto"/>
        </w:rPr>
      </w:pPr>
    </w:p>
    <w:p>
      <w:pPr>
        <w:jc w:val="both"/>
        <w:ind w:right="80" w:firstLine="1305"/>
        <w:spacing w:after="0" w:line="342" w:lineRule="auto"/>
        <w:tabs>
          <w:tab w:leader="none" w:pos="1938" w:val="left"/>
        </w:tabs>
        <w:numPr>
          <w:ilvl w:val="0"/>
          <w:numId w:val="350"/>
        </w:numPr>
        <w:rPr>
          <w:rFonts w:ascii="Arial" w:cs="Arial" w:eastAsia="Arial" w:hAnsi="Arial"/>
          <w:sz w:val="16"/>
          <w:szCs w:val="16"/>
          <w:color w:val="auto"/>
        </w:rPr>
      </w:pPr>
      <w:r>
        <w:rPr>
          <w:rFonts w:ascii="Arial" w:cs="Arial" w:eastAsia="Arial" w:hAnsi="Arial"/>
          <w:sz w:val="16"/>
          <w:szCs w:val="16"/>
          <w:color w:val="auto"/>
        </w:rPr>
        <w:t>So long as no Event of Default shall have occurred and be continuing, the Collateral Agent shall be deemed without further action or formality to have granted to each Pledgor all necessary consents relating to voting rights and shall, if necessary, upon written request of any Pledgor and at</w:t>
      </w:r>
    </w:p>
    <w:p>
      <w:pPr>
        <w:sectPr>
          <w:pgSz w:w="11900" w:h="16838" w:orient="portrait"/>
          <w:cols w:equalWidth="0" w:num="1">
            <w:col w:w="11420"/>
          </w:cols>
          <w:pgMar w:left="240" w:top="395" w:right="239" w:bottom="0" w:gutter="0" w:footer="0" w:header="0"/>
        </w:sectPr>
      </w:pPr>
    </w:p>
    <w:bookmarkStart w:id="156" w:name="page157"/>
    <w:bookmarkEnd w:id="156"/>
    <w:p>
      <w:pPr>
        <w:spacing w:after="0" w:line="6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the sole cost and expense of the Pledgors, from time to time execute and deliver (or cause to be executed and delivered) to such Pledgor all such instruments as such Pledgor may reasonably request in order to permit such Pledgor to exercise the voting and other rights which it is entitled to exercise pursuant to </w:t>
      </w:r>
      <w:r>
        <w:rPr>
          <w:rFonts w:ascii="Arial" w:cs="Arial" w:eastAsia="Arial" w:hAnsi="Arial"/>
          <w:sz w:val="16"/>
          <w:szCs w:val="16"/>
          <w:u w:val="single" w:color="auto"/>
          <w:color w:val="auto"/>
        </w:rPr>
        <w:t>Section 5.2(a)(i)</w:t>
      </w:r>
      <w:r>
        <w:rPr>
          <w:rFonts w:ascii="Arial" w:cs="Arial" w:eastAsia="Arial" w:hAnsi="Arial"/>
          <w:sz w:val="16"/>
          <w:szCs w:val="16"/>
          <w:color w:val="auto"/>
        </w:rPr>
        <w:t xml:space="preserve"> hereof and to receive the Distributions which it is authorized to receive and retain pursuant to </w:t>
      </w:r>
      <w:r>
        <w:rPr>
          <w:rFonts w:ascii="Arial" w:cs="Arial" w:eastAsia="Arial" w:hAnsi="Arial"/>
          <w:sz w:val="16"/>
          <w:szCs w:val="16"/>
          <w:u w:val="single" w:color="auto"/>
          <w:color w:val="auto"/>
        </w:rPr>
        <w:t>Section 5.2(a)(ii)</w:t>
      </w:r>
      <w:r>
        <w:rPr>
          <w:rFonts w:ascii="Arial" w:cs="Arial" w:eastAsia="Arial" w:hAnsi="Arial"/>
          <w:sz w:val="16"/>
          <w:szCs w:val="16"/>
          <w:color w:val="auto"/>
        </w:rPr>
        <w:t xml:space="preserve"> hereof.</w:t>
      </w:r>
    </w:p>
    <w:p>
      <w:pPr>
        <w:spacing w:after="0" w:line="201" w:lineRule="exact"/>
        <w:rPr>
          <w:sz w:val="20"/>
          <w:szCs w:val="20"/>
          <w:color w:val="auto"/>
        </w:rPr>
      </w:pPr>
    </w:p>
    <w:p>
      <w:pPr>
        <w:ind w:left="1940" w:hanging="635"/>
        <w:spacing w:after="0"/>
        <w:tabs>
          <w:tab w:leader="none" w:pos="19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w:t>
      </w:r>
    </w:p>
    <w:p>
      <w:pPr>
        <w:spacing w:after="0" w:line="279" w:lineRule="exact"/>
        <w:rPr>
          <w:rFonts w:ascii="Arial" w:cs="Arial" w:eastAsia="Arial" w:hAnsi="Arial"/>
          <w:sz w:val="18"/>
          <w:szCs w:val="18"/>
          <w:color w:val="auto"/>
        </w:rPr>
      </w:pPr>
    </w:p>
    <w:p>
      <w:pPr>
        <w:ind w:left="660" w:right="80" w:firstLine="1617"/>
        <w:spacing w:after="0" w:line="264" w:lineRule="auto"/>
        <w:tabs>
          <w:tab w:leader="none" w:pos="2883" w:val="left"/>
        </w:tabs>
        <w:numPr>
          <w:ilvl w:val="1"/>
          <w:numId w:val="351"/>
        </w:numPr>
        <w:rPr>
          <w:rFonts w:ascii="Arial" w:cs="Arial" w:eastAsia="Arial" w:hAnsi="Arial"/>
          <w:sz w:val="18"/>
          <w:szCs w:val="18"/>
          <w:color w:val="auto"/>
        </w:rPr>
      </w:pPr>
      <w:r>
        <w:rPr>
          <w:rFonts w:ascii="Arial" w:cs="Arial" w:eastAsia="Arial" w:hAnsi="Arial"/>
          <w:sz w:val="18"/>
          <w:szCs w:val="18"/>
          <w:color w:val="auto"/>
        </w:rPr>
        <w:t xml:space="preserve">All rights of each Pledgor to exercise the voting and other consensual rights it would otherwise be entitled to exercise pursuant to </w:t>
      </w:r>
      <w:r>
        <w:rPr>
          <w:rFonts w:ascii="Arial" w:cs="Arial" w:eastAsia="Arial" w:hAnsi="Arial"/>
          <w:sz w:val="18"/>
          <w:szCs w:val="18"/>
          <w:u w:val="single" w:color="auto"/>
          <w:color w:val="auto"/>
        </w:rPr>
        <w:t>Section 5.2(a)(i)</w:t>
      </w:r>
      <w:r>
        <w:rPr>
          <w:rFonts w:ascii="Arial" w:cs="Arial" w:eastAsia="Arial" w:hAnsi="Arial"/>
          <w:sz w:val="18"/>
          <w:szCs w:val="18"/>
          <w:color w:val="auto"/>
        </w:rPr>
        <w:t xml:space="preserve"> hereof shall immediately cease, and all such rights shall thereupon become vested in the Collateral Agent, which shall thereupon have the sole right to exercise such voting and other consensual rights.</w:t>
      </w:r>
    </w:p>
    <w:p>
      <w:pPr>
        <w:spacing w:after="0" w:line="235" w:lineRule="exact"/>
        <w:rPr>
          <w:rFonts w:ascii="Arial" w:cs="Arial" w:eastAsia="Arial" w:hAnsi="Arial"/>
          <w:sz w:val="18"/>
          <w:szCs w:val="18"/>
          <w:color w:val="auto"/>
        </w:rPr>
      </w:pPr>
    </w:p>
    <w:p>
      <w:pPr>
        <w:ind w:left="660" w:right="200" w:firstLine="1617"/>
        <w:spacing w:after="0" w:line="264" w:lineRule="auto"/>
        <w:tabs>
          <w:tab w:leader="none" w:pos="2933" w:val="left"/>
        </w:tabs>
        <w:numPr>
          <w:ilvl w:val="1"/>
          <w:numId w:val="351"/>
        </w:numPr>
        <w:rPr>
          <w:rFonts w:ascii="Arial" w:cs="Arial" w:eastAsia="Arial" w:hAnsi="Arial"/>
          <w:sz w:val="18"/>
          <w:szCs w:val="18"/>
          <w:color w:val="auto"/>
        </w:rPr>
      </w:pPr>
      <w:r>
        <w:rPr>
          <w:rFonts w:ascii="Arial" w:cs="Arial" w:eastAsia="Arial" w:hAnsi="Arial"/>
          <w:sz w:val="18"/>
          <w:szCs w:val="18"/>
          <w:color w:val="auto"/>
        </w:rPr>
        <w:t xml:space="preserve">All rights of each Pledgor to receive Distributions which it would otherwise be authorized to receive and retain pursuant to </w:t>
      </w:r>
      <w:r>
        <w:rPr>
          <w:rFonts w:ascii="Arial" w:cs="Arial" w:eastAsia="Arial" w:hAnsi="Arial"/>
          <w:sz w:val="18"/>
          <w:szCs w:val="18"/>
          <w:u w:val="single" w:color="auto"/>
          <w:color w:val="auto"/>
        </w:rPr>
        <w:t>Section 5.2(a)(ii)</w:t>
      </w:r>
      <w:r>
        <w:rPr>
          <w:rFonts w:ascii="Arial" w:cs="Arial" w:eastAsia="Arial" w:hAnsi="Arial"/>
          <w:sz w:val="18"/>
          <w:szCs w:val="18"/>
          <w:color w:val="auto"/>
        </w:rPr>
        <w:t xml:space="preserve"> hereof shall immediately cease and all such rights shall thereupon become vested in the Collateral Agent, which shall thereupon have the sole right to receive and hold as Pledged Collateral such Distributions.</w:t>
      </w:r>
    </w:p>
    <w:p>
      <w:pPr>
        <w:spacing w:after="0" w:line="235" w:lineRule="exact"/>
        <w:rPr>
          <w:rFonts w:ascii="Arial" w:cs="Arial" w:eastAsia="Arial" w:hAnsi="Arial"/>
          <w:sz w:val="18"/>
          <w:szCs w:val="18"/>
          <w:color w:val="auto"/>
        </w:rPr>
      </w:pPr>
    </w:p>
    <w:p>
      <w:pPr>
        <w:ind w:right="400" w:firstLine="1305"/>
        <w:spacing w:after="0" w:line="312" w:lineRule="auto"/>
        <w:tabs>
          <w:tab w:leader="none" w:pos="1938"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Each Pledgor shall, at its sole cost and expense, from time to time execute and deliver to the Collateral Agent appropriate instruments as the Collateral Agent may request in order to permit the Collateral Agent to exercise the voting and other rights which it may be entitled to exercise pursuant to </w:t>
      </w:r>
      <w:r>
        <w:rPr>
          <w:rFonts w:ascii="Arial" w:cs="Arial" w:eastAsia="Arial" w:hAnsi="Arial"/>
          <w:sz w:val="16"/>
          <w:szCs w:val="16"/>
          <w:u w:val="single" w:color="auto"/>
          <w:color w:val="auto"/>
        </w:rPr>
        <w:t>Section 5.2(c)(i)</w:t>
      </w:r>
      <w:r>
        <w:rPr>
          <w:rFonts w:ascii="Arial" w:cs="Arial" w:eastAsia="Arial" w:hAnsi="Arial"/>
          <w:sz w:val="16"/>
          <w:szCs w:val="16"/>
          <w:color w:val="auto"/>
        </w:rPr>
        <w:t xml:space="preserve"> hereof and to receive all Distributions which it may be entitled to receive under </w:t>
      </w:r>
      <w:r>
        <w:rPr>
          <w:rFonts w:ascii="Arial" w:cs="Arial" w:eastAsia="Arial" w:hAnsi="Arial"/>
          <w:sz w:val="16"/>
          <w:szCs w:val="16"/>
          <w:u w:val="single" w:color="auto"/>
          <w:color w:val="auto"/>
        </w:rPr>
        <w:t>Section 5.2(c)(ii)</w:t>
      </w:r>
      <w:r>
        <w:rPr>
          <w:rFonts w:ascii="Arial" w:cs="Arial" w:eastAsia="Arial" w:hAnsi="Arial"/>
          <w:sz w:val="16"/>
          <w:szCs w:val="16"/>
          <w:color w:val="auto"/>
        </w:rPr>
        <w:t xml:space="preserve"> hereof.</w:t>
      </w:r>
    </w:p>
    <w:p>
      <w:pPr>
        <w:spacing w:after="0" w:line="200" w:lineRule="exact"/>
        <w:rPr>
          <w:rFonts w:ascii="Arial" w:cs="Arial" w:eastAsia="Arial" w:hAnsi="Arial"/>
          <w:sz w:val="16"/>
          <w:szCs w:val="16"/>
          <w:color w:val="auto"/>
        </w:rPr>
      </w:pPr>
    </w:p>
    <w:p>
      <w:pPr>
        <w:ind w:right="60" w:firstLine="1305"/>
        <w:spacing w:after="0" w:line="264" w:lineRule="auto"/>
        <w:tabs>
          <w:tab w:leader="none" w:pos="192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All Distributions which are received by any Pledgor contrary to the provisions of </w:t>
      </w:r>
      <w:r>
        <w:rPr>
          <w:rFonts w:ascii="Arial" w:cs="Arial" w:eastAsia="Arial" w:hAnsi="Arial"/>
          <w:sz w:val="18"/>
          <w:szCs w:val="18"/>
          <w:u w:val="single" w:color="auto"/>
          <w:color w:val="auto"/>
        </w:rPr>
        <w:t>Section 5.2(c)(ii)</w:t>
      </w:r>
      <w:r>
        <w:rPr>
          <w:rFonts w:ascii="Arial" w:cs="Arial" w:eastAsia="Arial" w:hAnsi="Arial"/>
          <w:sz w:val="18"/>
          <w:szCs w:val="18"/>
          <w:color w:val="auto"/>
        </w:rPr>
        <w:t xml:space="preserve"> hereof shall be received in trust for the benefit of the Collateral Agent, shall be segregated from other funds of such Pledgor and shall immediately be paid over to the Collateral Agent as Pledged Collateral in the same form as so received (with any necessary endorsement).</w:t>
      </w:r>
    </w:p>
    <w:p>
      <w:pPr>
        <w:spacing w:after="0" w:line="235"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Defaults, etc</w:t>
      </w:r>
    </w:p>
    <w:p>
      <w:pPr>
        <w:spacing w:after="0" w:line="252" w:lineRule="exact"/>
        <w:rPr>
          <w:sz w:val="20"/>
          <w:szCs w:val="20"/>
          <w:color w:val="auto"/>
        </w:rPr>
      </w:pPr>
    </w:p>
    <w:p>
      <w:pPr>
        <w:ind w:right="40" w:firstLine="1305"/>
        <w:spacing w:after="0" w:line="293" w:lineRule="auto"/>
        <w:tabs>
          <w:tab w:leader="none" w:pos="1432" w:val="left"/>
        </w:tabs>
        <w:numPr>
          <w:ilvl w:val="0"/>
          <w:numId w:val="352"/>
        </w:numPr>
        <w:rPr>
          <w:rFonts w:ascii="Arial" w:cs="Arial" w:eastAsia="Arial" w:hAnsi="Arial"/>
          <w:sz w:val="16"/>
          <w:szCs w:val="16"/>
          <w:color w:val="auto"/>
        </w:rPr>
      </w:pPr>
      <w:r>
        <w:rPr>
          <w:rFonts w:ascii="Arial" w:cs="Arial" w:eastAsia="Arial" w:hAnsi="Arial"/>
          <w:sz w:val="16"/>
          <w:szCs w:val="16"/>
          <w:color w:val="auto"/>
        </w:rPr>
        <w:t>Such Pledgor is not in default in the payment of any portion of any mandatory capital contribution, if any, required to be made under any agreement to which such Pledgor is a party relating to the Pledged Securities pledged by it, and such Pledgor is not in violation of any other provisions of any such agreement to which such Pledgor is a party, or otherwise in default or violation thereunder. No Securities Collateral pledged by such Pledgor is subject to any defense, offset or counterclaim, nor have any of the foregoing been asserted or alleged against such Pledgor by any person with respect thereto, and as of the date hereof, there are no certificates, instruments, documents or other writings (other than the Organizational Documents and certificates representing such Pledged Securities that have been delivered to the Collateral Agent) which evidence any Pledged Securities of such Pledgor.</w:t>
      </w:r>
    </w:p>
    <w:p>
      <w:pPr>
        <w:spacing w:after="0" w:line="219"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Certain Agreements of Pledgors As Issuers and Holders of Equity Interests</w:t>
      </w:r>
    </w:p>
    <w:p>
      <w:pPr>
        <w:spacing w:after="0" w:line="279" w:lineRule="exact"/>
        <w:rPr>
          <w:sz w:val="20"/>
          <w:szCs w:val="20"/>
          <w:color w:val="auto"/>
        </w:rPr>
      </w:pPr>
    </w:p>
    <w:p>
      <w:pPr>
        <w:ind w:right="640" w:firstLine="1305"/>
        <w:spacing w:after="0" w:line="308" w:lineRule="auto"/>
        <w:tabs>
          <w:tab w:leader="none" w:pos="1928"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In the case of each Pledgor which is an issuer of Securities Collateral, such Pledgor agrees to be bound by the terms of this Agreement relating to the Securities Collateral issued by it and will comply with such terms insofar as such terms are applicable to it.</w:t>
      </w:r>
    </w:p>
    <w:p>
      <w:pPr>
        <w:spacing w:after="0" w:line="200" w:lineRule="exact"/>
        <w:rPr>
          <w:rFonts w:ascii="Arial" w:cs="Arial" w:eastAsia="Arial" w:hAnsi="Arial"/>
          <w:sz w:val="17"/>
          <w:szCs w:val="17"/>
          <w:color w:val="auto"/>
        </w:rPr>
      </w:pPr>
    </w:p>
    <w:p>
      <w:pPr>
        <w:ind w:right="80" w:firstLine="1305"/>
        <w:spacing w:after="0" w:line="273" w:lineRule="auto"/>
        <w:tabs>
          <w:tab w:leader="none" w:pos="1938"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In the case of each Pledgor which is a partner, shareholder or member, as the case may be, in a partnership, limited liability company or other entity, such Pledgor hereby consents to the extent required by the applicable Organizational Document to the pledge by each other Pledgor, pursuant to the terms hereof, of the Pledged Securities in such partnership, limited liability company or other entity and, upon the occurrence and during the continuance of an Event of Default, to the transfer of such Pledged Securities to the Collateral Agent or its nominee and to the substitution of the Collateral Agent or its nominee as a substituted partner, shareholder or member in such partnership, limited liability company or other entity with all the rights, powers and duties of a general partner, limited partner, shareholder or member, as the case may be.</w:t>
      </w:r>
    </w:p>
    <w:p>
      <w:pPr>
        <w:spacing w:after="0" w:line="200" w:lineRule="exact"/>
        <w:rPr>
          <w:sz w:val="20"/>
          <w:szCs w:val="20"/>
          <w:color w:val="auto"/>
        </w:rPr>
      </w:pPr>
    </w:p>
    <w:p>
      <w:pPr>
        <w:spacing w:after="0" w:line="24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CERTAIN PROVISIONS CONCERNING INTELLECTUAL PROPERTY COLLATERAL</w:t>
      </w:r>
    </w:p>
    <w:p>
      <w:pPr>
        <w:spacing w:after="0" w:line="279"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Grant of Intellectual Property License</w:t>
      </w:r>
    </w:p>
    <w:p>
      <w:pPr>
        <w:spacing w:after="0" w:line="252" w:lineRule="exact"/>
        <w:rPr>
          <w:sz w:val="20"/>
          <w:szCs w:val="20"/>
          <w:color w:val="auto"/>
        </w:rPr>
      </w:pPr>
    </w:p>
    <w:p>
      <w:pPr>
        <w:ind w:firstLine="1305"/>
        <w:spacing w:after="0" w:line="255" w:lineRule="auto"/>
        <w:tabs>
          <w:tab w:leader="none" w:pos="143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For the purpose of enabling the Collateral Agent, during the continuance of an Event of Default, to exercise rights and remedies under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at such time as the Collateral Agent shall be lawfully entitled to exercise such rights and remedies, and for no other purpose, each Pledgor hereby grants to the Collateral Agent, to the extent assignable, an irrevocable, non-exclusive license to use, assign, license or sublicense any of the Intellectual Property Collateral now owned or hereafter acquired by such Pledgor, wherever the same may be located;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quality of any products in connection with which the Trademarks are used will not be materially inferior to the quality of such products prior to such Event of Default. Such license shall include access to all media in which any of the licensed items may be recorded or stored and to all computer programs used for the compilation or printout hereof.</w:t>
      </w:r>
    </w:p>
    <w:p>
      <w:pPr>
        <w:spacing w:after="0" w:line="243"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Protection of Collateral Agent’s Security</w:t>
      </w:r>
    </w:p>
    <w:p>
      <w:pPr>
        <w:spacing w:after="0" w:line="252" w:lineRule="exact"/>
        <w:rPr>
          <w:sz w:val="20"/>
          <w:szCs w:val="20"/>
          <w:color w:val="auto"/>
        </w:rPr>
      </w:pPr>
    </w:p>
    <w:p>
      <w:pPr>
        <w:ind w:right="40" w:firstLine="1305"/>
        <w:spacing w:after="0" w:line="285" w:lineRule="auto"/>
        <w:tabs>
          <w:tab w:leader="none" w:pos="1432" w:val="left"/>
        </w:tabs>
        <w:numPr>
          <w:ilvl w:val="1"/>
          <w:numId w:val="355"/>
        </w:numPr>
        <w:rPr>
          <w:rFonts w:ascii="Arial" w:cs="Arial" w:eastAsia="Arial" w:hAnsi="Arial"/>
          <w:sz w:val="16"/>
          <w:szCs w:val="16"/>
          <w:color w:val="auto"/>
        </w:rPr>
      </w:pPr>
      <w:r>
        <w:rPr>
          <w:rFonts w:ascii="Arial" w:cs="Arial" w:eastAsia="Arial" w:hAnsi="Arial"/>
          <w:sz w:val="16"/>
          <w:szCs w:val="16"/>
          <w:color w:val="auto"/>
        </w:rPr>
        <w:t>On a continuing basis, each Pledgor shall, at its sole cost and expense, (i) promptly following its becoming aware thereof, notify the Collateral Agent of any adverse determination in any proceeding or the institution of any proceeding in any federal, state or local court or administrative body or in the United States Patent and Trademark Office or the United States Copyright Office regarding any Material Intellectual Property Collateral, such Pledgor’s right to register such Material Intellectual Property Collateral or its right to keep and maintain such registration in full force and effect, (ii) maintain all Material Intellectual Property Collateral as presently used and operated, except as shall be consistent with commercially reasonable business judgment,</w:t>
      </w:r>
    </w:p>
    <w:p>
      <w:pPr>
        <w:spacing w:after="0" w:line="2" w:lineRule="exact"/>
        <w:rPr>
          <w:rFonts w:ascii="Arial" w:cs="Arial" w:eastAsia="Arial" w:hAnsi="Arial"/>
          <w:sz w:val="16"/>
          <w:szCs w:val="16"/>
          <w:color w:val="auto"/>
        </w:rPr>
      </w:pPr>
    </w:p>
    <w:p>
      <w:pPr>
        <w:ind w:right="100" w:firstLine="8"/>
        <w:spacing w:after="0" w:line="287" w:lineRule="auto"/>
        <w:tabs>
          <w:tab w:leader="none" w:pos="31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not permit to lapse or become abandoned any Material Intellectual Property Collateral, and not settle or compromise any pending or future litigation or administrative proceeding with respect to any such Material Intellectual Property Collateral, in either case except as shall be consistent with commercially reasonable business judgment, (iv) upon such Pledgor obtaining knowledge thereof, promptly notify the Collateral Agent in writing of any event which may be reasonably expected to materially and adversely affect the value or utility of any Material Intellectual Property Collateral or the rights and remedies of the Collateral Agent in relation thereto including a levy or threat of levy or any legal process against any Material Intellectual Property Collateral, (v) not license any Intellectual Property Collateral other than licenses entered into by such Pledgor in, or incidental to, the ordinary course of business, or amend or permit the amendment of any of the licenses in a manner that materially and adversely affects the right to receive payments thereunder, or in any manner that would materially impair the value of any Intellectual Property Collateral or the Lien on and security interest in the Intellectual Property Collateral created therein</w:t>
      </w:r>
    </w:p>
    <w:p>
      <w:pPr>
        <w:sectPr>
          <w:pgSz w:w="11900" w:h="16902" w:orient="portrait"/>
          <w:cols w:equalWidth="0" w:num="1">
            <w:col w:w="11420"/>
          </w:cols>
          <w:pgMar w:left="240" w:top="125" w:right="239" w:bottom="0" w:gutter="0" w:footer="0" w:header="0"/>
        </w:sectPr>
      </w:pPr>
    </w:p>
    <w:bookmarkStart w:id="157" w:name="page158"/>
    <w:bookmarkEnd w:id="157"/>
    <w:p>
      <w:pPr>
        <w:ind w:right="40"/>
        <w:spacing w:after="0" w:line="259" w:lineRule="auto"/>
        <w:rPr>
          <w:sz w:val="20"/>
          <w:szCs w:val="20"/>
          <w:color w:val="auto"/>
        </w:rPr>
      </w:pPr>
      <w:r>
        <w:rPr>
          <w:rFonts w:ascii="Arial" w:cs="Arial" w:eastAsia="Arial" w:hAnsi="Arial"/>
          <w:sz w:val="18"/>
          <w:szCs w:val="18"/>
          <w:color w:val="auto"/>
        </w:rPr>
        <w:t>hereby, without the consent of the Collateral Agent, (vi) diligently keep adequate records respecting all Intellectual Property Collateral and (vii) furnish to the Collateral Agent from time to time upon the Collateral Agent’s request therefor reasonably detailed statements and amended schedules further identifying and describing the Intellectual Property Collateral and such other materials evidencing or reports pertaining to any Intellectual Property Collateral as the Collateral Agent may from time to time request.</w:t>
      </w:r>
    </w:p>
    <w:p>
      <w:pPr>
        <w:spacing w:after="0" w:line="241"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After-Acquired Property</w:t>
      </w:r>
    </w:p>
    <w:p>
      <w:pPr>
        <w:spacing w:after="0" w:line="252" w:lineRule="exact"/>
        <w:rPr>
          <w:sz w:val="20"/>
          <w:szCs w:val="20"/>
          <w:color w:val="auto"/>
        </w:rPr>
      </w:pPr>
    </w:p>
    <w:p>
      <w:pPr>
        <w:ind w:right="200" w:firstLine="1305"/>
        <w:spacing w:after="0" w:line="268" w:lineRule="auto"/>
        <w:tabs>
          <w:tab w:leader="none" w:pos="1432" w:val="left"/>
        </w:tabs>
        <w:numPr>
          <w:ilvl w:val="0"/>
          <w:numId w:val="356"/>
        </w:numPr>
        <w:rPr>
          <w:rFonts w:ascii="Arial" w:cs="Arial" w:eastAsia="Arial" w:hAnsi="Arial"/>
          <w:sz w:val="17"/>
          <w:szCs w:val="17"/>
          <w:color w:val="auto"/>
        </w:rPr>
      </w:pPr>
      <w:r>
        <w:rPr>
          <w:rFonts w:ascii="Arial" w:cs="Arial" w:eastAsia="Arial" w:hAnsi="Arial"/>
          <w:sz w:val="17"/>
          <w:szCs w:val="17"/>
          <w:color w:val="auto"/>
        </w:rPr>
        <w:t xml:space="preserve">If any Pledgor shall at any time after the date hereof (i) obtain any rights to any additional Intellectual Property Collateral (including trademark applications for which evidence of the use of such trademarks in interstate commerce has been submitted to and accepted by the United States Patent and Trademark Office pursuant to 15 U.S.C. Section 1060(a) (or a successor provision)) or (ii) become entitled to the benefit of any additional Intellectual Property Collateral or any renewal or extension thereof, including any reissue, division, continuation, or continuation-in-part of any Intellectual Property Collateral, or any improvement on any Intellectual Property Collateral, the provisions hereof shall automatically apply thereto and any such item enumerated in the preceding clause (i) or (ii) shall automatically constitute Intellectual Property Collateral as if such would have constituted Intellectual Property Collateral at the time of execution hereof and be subject to the Lien and security interest created by this Agreement without further action by any party. Each Pledgor shall, within 45 days after the end of each of the first three fiscal quarters of each fiscal year of Borrower, and within 90 days after the end of each fiscal year of Borrower, promptly provide to the Collateral Agent written notice of any of the foregoing and confirm the attachment of the Lien and security interest created by this Agreement to any rights described in clauses (i) and (ii) above by execution of an instrument in form reasonably acceptable to the Collateral Agent and the filing of any instruments or statements as shall be reasonably necessary to create, preserve, protect or perfect the Collateral Agent’s security interest in such Intellectual Property Collateral. Further, each Pledgor authorizes the Collateral Agent to modify this Agreement by amending </w:t>
      </w:r>
      <w:r>
        <w:rPr>
          <w:rFonts w:ascii="Arial" w:cs="Arial" w:eastAsia="Arial" w:hAnsi="Arial"/>
          <w:sz w:val="17"/>
          <w:szCs w:val="17"/>
          <w:u w:val="single" w:color="auto"/>
          <w:color w:val="auto"/>
        </w:rPr>
        <w:t>Schedules 13(a)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13(b)</w:t>
      </w:r>
      <w:r>
        <w:rPr>
          <w:rFonts w:ascii="Arial" w:cs="Arial" w:eastAsia="Arial" w:hAnsi="Arial"/>
          <w:sz w:val="17"/>
          <w:szCs w:val="17"/>
          <w:color w:val="auto"/>
        </w:rPr>
        <w:t xml:space="preserve"> to the Perfection Certificate to include any Intellectual Property Collateral of such Pledgor acquired or arising after the date hereof.</w:t>
      </w:r>
    </w:p>
    <w:p>
      <w:pPr>
        <w:spacing w:after="0" w:line="239"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7"/>
          <w:szCs w:val="17"/>
          <w:u w:val="single" w:color="auto"/>
          <w:color w:val="auto"/>
        </w:rPr>
        <w:t>Litigation</w:t>
      </w:r>
    </w:p>
    <w:p>
      <w:pPr>
        <w:spacing w:after="0" w:line="252" w:lineRule="exact"/>
        <w:rPr>
          <w:sz w:val="20"/>
          <w:szCs w:val="20"/>
          <w:color w:val="auto"/>
        </w:rPr>
      </w:pPr>
    </w:p>
    <w:p>
      <w:pPr>
        <w:ind w:firstLine="1305"/>
        <w:spacing w:after="0" w:line="287" w:lineRule="auto"/>
        <w:tabs>
          <w:tab w:leader="none" w:pos="1432" w:val="left"/>
        </w:tabs>
        <w:numPr>
          <w:ilvl w:val="0"/>
          <w:numId w:val="357"/>
        </w:numPr>
        <w:rPr>
          <w:rFonts w:ascii="Arial" w:cs="Arial" w:eastAsia="Arial" w:hAnsi="Arial"/>
          <w:sz w:val="16"/>
          <w:szCs w:val="16"/>
          <w:color w:val="auto"/>
        </w:rPr>
      </w:pPr>
      <w:r>
        <w:rPr>
          <w:rFonts w:ascii="Arial" w:cs="Arial" w:eastAsia="Arial" w:hAnsi="Arial"/>
          <w:sz w:val="16"/>
          <w:szCs w:val="16"/>
          <w:color w:val="auto"/>
        </w:rPr>
        <w:t xml:space="preserve">Unless there shall occur and be continuing any Event of Default, each Pledgor shall have the right to commence and prosecute in its own name, as the party in interest, for its own benefit and at the sole cost and expense of the Pledgors, such applications for protection of the Intellectual Property Collateral and suits, proceedings or other actions to prevent the infringement, counterfeiting, unfair competition, dilution, diminution in value or other damage as are necessary to protect the Intellectual Property Collateral. Upon the occurrence and during the continuance of any Event of Default, the Collateral Agent shall have the right but shall in no way be obligated to file applications for protection of the Intellectual Property Collateral and/or bring suit in the name of any Pledgor, the Collateral Agent or the Secured Parties to enforce the Intellectual Property Collateral and any license thereunder. In the event of such suit, each Pledgor shall, at the reasonable request of the Collateral Agent, do any and all lawful acts and execute any and all documents requested by the Collateral Agent in aid of such enforcement and the Pledgors shall promptly reimburse and indemnify the Collateral Agent for all costs and expenses incurred by the Collateral Agent in the exercise of its rights under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of the Credit Agreement. In the event that the Collateral Agent shall elect not to bring suit to enforce the Intellectual Property Collateral, each Pledgor agrees, at the reasonable request of the Collateral Agent, to take all commercially reasonable actions necessary, whether by suit, proceeding or other action, to prevent the infringement, counterfeiting, unfair competition, dilution, diminution in value of or other damage to any of the Intellectual Property Collateral by any person.</w:t>
      </w:r>
    </w:p>
    <w:p>
      <w:pPr>
        <w:spacing w:after="0" w:line="200" w:lineRule="exact"/>
        <w:rPr>
          <w:sz w:val="20"/>
          <w:szCs w:val="20"/>
          <w:color w:val="auto"/>
        </w:rPr>
      </w:pPr>
    </w:p>
    <w:p>
      <w:pPr>
        <w:spacing w:after="0" w:line="2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PROVISIONS CONCERNING RECEIVABLES</w:t>
      </w:r>
    </w:p>
    <w:p>
      <w:pPr>
        <w:spacing w:after="0" w:line="279"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Maintenance of Records</w:t>
      </w:r>
    </w:p>
    <w:p>
      <w:pPr>
        <w:spacing w:after="0" w:line="252" w:lineRule="exact"/>
        <w:rPr>
          <w:sz w:val="20"/>
          <w:szCs w:val="20"/>
          <w:color w:val="auto"/>
        </w:rPr>
      </w:pPr>
    </w:p>
    <w:p>
      <w:pPr>
        <w:ind w:right="20" w:firstLine="1305"/>
        <w:spacing w:after="0" w:line="290" w:lineRule="auto"/>
        <w:tabs>
          <w:tab w:leader="none" w:pos="1432" w:val="left"/>
        </w:tabs>
        <w:numPr>
          <w:ilvl w:val="0"/>
          <w:numId w:val="358"/>
        </w:numPr>
        <w:rPr>
          <w:rFonts w:ascii="Arial" w:cs="Arial" w:eastAsia="Arial" w:hAnsi="Arial"/>
          <w:sz w:val="16"/>
          <w:szCs w:val="16"/>
          <w:color w:val="auto"/>
        </w:rPr>
      </w:pPr>
      <w:r>
        <w:rPr>
          <w:rFonts w:ascii="Arial" w:cs="Arial" w:eastAsia="Arial" w:hAnsi="Arial"/>
          <w:sz w:val="16"/>
          <w:szCs w:val="16"/>
          <w:color w:val="auto"/>
        </w:rPr>
        <w:t>Each Pledgor shall keep and maintain at its own cost and expense complete records of each Receivable, in a manner consistent with prudent business practice, including records of all payments received, all credits granted thereon, all merchandise returned and all other documentation relating thereto. Each Pledgor shall, at such Pledgor’s sole cost and expense, upon the Collateral Agent’s demand made at any time after the occurrence and during the continuance of any Event of Default, deliver all tangible evidence of Receivables, including all documents evidencing Receivables and any books and records relating thereto to the Collateral Agent or to its representatives (copies of which evidence and books and records may be retained by such Pledgor). Upon the occurrence and during the continuance of any Event of Default, the Collateral Agent may transfer a full and complete copy of any Pledgor’s books, records, credit information, reports, memoranda and all other writings relating to the Receivables to and for the use by any person that has acquired or is contemplating acquisition of an interest in the Receivables or the Collateral Agent’s security interest therein without the consent of any Pledgor.</w:t>
      </w:r>
    </w:p>
    <w:p>
      <w:pPr>
        <w:spacing w:after="0" w:line="220"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Modification of Terms, etc</w:t>
      </w:r>
    </w:p>
    <w:p>
      <w:pPr>
        <w:spacing w:after="0" w:line="252" w:lineRule="exact"/>
        <w:rPr>
          <w:sz w:val="20"/>
          <w:szCs w:val="20"/>
          <w:color w:val="auto"/>
        </w:rPr>
      </w:pPr>
    </w:p>
    <w:p>
      <w:pPr>
        <w:ind w:right="80" w:firstLine="1305"/>
        <w:spacing w:after="0" w:line="297" w:lineRule="auto"/>
        <w:tabs>
          <w:tab w:leader="none" w:pos="1432" w:val="left"/>
        </w:tabs>
        <w:numPr>
          <w:ilvl w:val="0"/>
          <w:numId w:val="359"/>
        </w:numPr>
        <w:rPr>
          <w:rFonts w:ascii="Arial" w:cs="Arial" w:eastAsia="Arial" w:hAnsi="Arial"/>
          <w:sz w:val="16"/>
          <w:szCs w:val="16"/>
          <w:color w:val="auto"/>
        </w:rPr>
      </w:pPr>
      <w:r>
        <w:rPr>
          <w:rFonts w:ascii="Arial" w:cs="Arial" w:eastAsia="Arial" w:hAnsi="Arial"/>
          <w:sz w:val="16"/>
          <w:szCs w:val="16"/>
          <w:color w:val="auto"/>
        </w:rPr>
        <w:t>No Pledgor shall rescind or cancel any obligations evidenced by any Receivable or modify any term thereof or make any adjustment with respect thereto except in the ordinary course of business consistent with prudent business practice, or extend or renew any such obligations except in the ordinary course of business consistent with prudent business practice or compromise or settle any dispute, claim, suit or legal proceeding relating thereto or sell any Receivable or interest therein except in the ordinary course of business consistent with prudent business practice without the prior written consent of the Collateral Agent. Each Pledgor shall timely fulfill all obligations on its part to be fulfilled under or in connection with the Receivables.</w:t>
      </w:r>
    </w:p>
    <w:p>
      <w:pPr>
        <w:spacing w:after="0" w:line="212"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Collection</w:t>
      </w:r>
    </w:p>
    <w:p>
      <w:pPr>
        <w:spacing w:after="0" w:line="252" w:lineRule="exact"/>
        <w:rPr>
          <w:sz w:val="20"/>
          <w:szCs w:val="20"/>
          <w:color w:val="auto"/>
        </w:rPr>
      </w:pPr>
    </w:p>
    <w:p>
      <w:pPr>
        <w:ind w:right="20" w:firstLine="1305"/>
        <w:spacing w:after="0" w:line="270" w:lineRule="auto"/>
        <w:tabs>
          <w:tab w:leader="none" w:pos="1432" w:val="left"/>
        </w:tabs>
        <w:numPr>
          <w:ilvl w:val="0"/>
          <w:numId w:val="360"/>
        </w:numPr>
        <w:rPr>
          <w:rFonts w:ascii="Arial" w:cs="Arial" w:eastAsia="Arial" w:hAnsi="Arial"/>
          <w:sz w:val="17"/>
          <w:szCs w:val="17"/>
          <w:color w:val="auto"/>
        </w:rPr>
      </w:pPr>
      <w:r>
        <w:rPr>
          <w:rFonts w:ascii="Arial" w:cs="Arial" w:eastAsia="Arial" w:hAnsi="Arial"/>
          <w:sz w:val="17"/>
          <w:szCs w:val="17"/>
          <w:color w:val="auto"/>
        </w:rPr>
        <w:t>Each Pledgor shall cause to be collected from the Account Debtor of each of the Receivables, as and when due in the ordinary course of business and consistent with prudent business practice (including Receivables that are delinquent, such Receivables to be collected in accordance with generally accepted commercial collection procedures), any and all amounts owing under or on account of such Receivable, and apply forthwith upon receipt thereof all such amounts as are so collected to the outstanding balance of such Receivable, except that any Pledgor may, with respect to a Receivable, allow in the ordinary course of business (i) a refund or credit due as a result of returned or damaged or defective merchandise and (ii) such extensions of time to pay amounts due in respect of Receivables and such other modifications of payment terms or settlements in respect of Receivables as shall be commercially reasonable in the circumstances, all in accordance with such Pledgor’s ordinary course of business consistent with its collection practices as in effect from time to time. The costs and expenses (including attorneys’ fees) of collection, in any case, whether incurred by any Pledgor, the Collateral Agent or any Secured Party, shall be paid by the Pledgors.</w:t>
      </w:r>
    </w:p>
    <w:p>
      <w:pPr>
        <w:sectPr>
          <w:pgSz w:w="11900" w:h="16838" w:orient="portrait"/>
          <w:cols w:equalWidth="0" w:num="1">
            <w:col w:w="11420"/>
          </w:cols>
          <w:pgMar w:left="240" w:top="125" w:right="239" w:bottom="70" w:gutter="0" w:footer="0" w:header="0"/>
        </w:sectPr>
      </w:pPr>
    </w:p>
    <w:bookmarkStart w:id="158" w:name="page159"/>
    <w:bookmarkEnd w:id="158"/>
    <w:p>
      <w:pPr>
        <w:ind w:left="4420"/>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TRANSFERS</w:t>
      </w:r>
    </w:p>
    <w:p>
      <w:pPr>
        <w:spacing w:after="0" w:line="279" w:lineRule="exact"/>
        <w:rPr>
          <w:sz w:val="20"/>
          <w:szCs w:val="20"/>
          <w:color w:val="auto"/>
        </w:rPr>
      </w:pPr>
    </w:p>
    <w:p>
      <w:pPr>
        <w:ind w:left="1280"/>
        <w:spacing w:after="0"/>
        <w:tabs>
          <w:tab w:leader="none" w:pos="278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Transfers of Pledged Collateral</w:t>
      </w:r>
    </w:p>
    <w:p>
      <w:pPr>
        <w:spacing w:after="0" w:line="252" w:lineRule="exact"/>
        <w:rPr>
          <w:sz w:val="20"/>
          <w:szCs w:val="20"/>
          <w:color w:val="auto"/>
        </w:rPr>
      </w:pPr>
    </w:p>
    <w:p>
      <w:pPr>
        <w:ind w:left="-20" w:firstLine="1305"/>
        <w:spacing w:after="0" w:line="277" w:lineRule="auto"/>
        <w:tabs>
          <w:tab w:leader="none" w:pos="141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No Pledgor shall sell, convey, assign or otherwise dispose of, or grant any option with respect to, any of the Pledged Collateral pledged by it hereunder except as not prohibited by the Credit Agreement.</w:t>
      </w:r>
    </w:p>
    <w:p>
      <w:pPr>
        <w:spacing w:after="0" w:line="200" w:lineRule="exact"/>
        <w:rPr>
          <w:sz w:val="20"/>
          <w:szCs w:val="20"/>
          <w:color w:val="auto"/>
        </w:rPr>
      </w:pPr>
    </w:p>
    <w:p>
      <w:pPr>
        <w:spacing w:after="0" w:line="24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ARTICLE 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REMEDIES</w:t>
      </w:r>
    </w:p>
    <w:p>
      <w:pPr>
        <w:spacing w:after="0" w:line="279" w:lineRule="exact"/>
        <w:rPr>
          <w:sz w:val="20"/>
          <w:szCs w:val="20"/>
          <w:color w:val="auto"/>
        </w:rPr>
      </w:pPr>
    </w:p>
    <w:p>
      <w:pPr>
        <w:ind w:left="1280"/>
        <w:spacing w:after="0"/>
        <w:tabs>
          <w:tab w:leader="none" w:pos="278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5"/>
          <w:szCs w:val="15"/>
          <w:u w:val="single" w:color="auto"/>
          <w:color w:val="auto"/>
        </w:rPr>
        <w:t>Remedies</w:t>
      </w:r>
    </w:p>
    <w:p>
      <w:pPr>
        <w:spacing w:after="0" w:line="252" w:lineRule="exact"/>
        <w:rPr>
          <w:sz w:val="20"/>
          <w:szCs w:val="20"/>
          <w:color w:val="auto"/>
        </w:rPr>
      </w:pPr>
    </w:p>
    <w:p>
      <w:pPr>
        <w:ind w:left="-20" w:right="120" w:firstLine="1305"/>
        <w:spacing w:after="0" w:line="308" w:lineRule="auto"/>
        <w:tabs>
          <w:tab w:leader="none" w:pos="1412" w:val="left"/>
        </w:tabs>
        <w:numPr>
          <w:ilvl w:val="0"/>
          <w:numId w:val="362"/>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any Event of Default, the Collateral Agent may from time to time exercise in respect of the Pledged Collateral, in addition to the other rights and remedies provided for herein or otherwise available to it, the following remedies:</w:t>
      </w:r>
    </w:p>
    <w:p>
      <w:pPr>
        <w:spacing w:after="0" w:line="200" w:lineRule="exact"/>
        <w:rPr>
          <w:rFonts w:ascii="Arial" w:cs="Arial" w:eastAsia="Arial" w:hAnsi="Arial"/>
          <w:sz w:val="17"/>
          <w:szCs w:val="17"/>
          <w:color w:val="auto"/>
        </w:rPr>
      </w:pPr>
    </w:p>
    <w:p>
      <w:pPr>
        <w:ind w:left="-20" w:right="220" w:firstLine="1629"/>
        <w:spacing w:after="0" w:line="257" w:lineRule="auto"/>
        <w:tabs>
          <w:tab w:leader="none" w:pos="2203" w:val="left"/>
        </w:tabs>
        <w:numPr>
          <w:ilvl w:val="1"/>
          <w:numId w:val="362"/>
        </w:numPr>
        <w:rPr>
          <w:rFonts w:ascii="Arial" w:cs="Arial" w:eastAsia="Arial" w:hAnsi="Arial"/>
          <w:sz w:val="18"/>
          <w:szCs w:val="18"/>
          <w:color w:val="auto"/>
        </w:rPr>
      </w:pPr>
      <w:r>
        <w:rPr>
          <w:rFonts w:ascii="Arial" w:cs="Arial" w:eastAsia="Arial" w:hAnsi="Arial"/>
          <w:sz w:val="18"/>
          <w:szCs w:val="18"/>
          <w:color w:val="auto"/>
        </w:rPr>
        <w:t>Personally, or by agents or attorneys, immediately take possession of the Pledged Collateral or any part thereof, from any Pledgor or any other person who then has possession of any part thereof with or without notice or process of law, and for that purpose may enter upon any Pledgor’s premises where any of the Pledged Collateral is located, remove such Pledged Collateral, remain present at such premises to receive copies of all communications and remittances relating to the Pledged Collateral and use in connection with such removal and possession any and all services, supplies, aids and other facilities of any Pledgor;</w:t>
      </w:r>
    </w:p>
    <w:p>
      <w:pPr>
        <w:spacing w:after="0" w:line="242" w:lineRule="exact"/>
        <w:rPr>
          <w:rFonts w:ascii="Arial" w:cs="Arial" w:eastAsia="Arial" w:hAnsi="Arial"/>
          <w:sz w:val="18"/>
          <w:szCs w:val="18"/>
          <w:color w:val="auto"/>
        </w:rPr>
      </w:pPr>
    </w:p>
    <w:p>
      <w:pPr>
        <w:ind w:left="-20" w:right="80" w:firstLine="1629"/>
        <w:spacing w:after="0" w:line="255" w:lineRule="auto"/>
        <w:tabs>
          <w:tab w:leader="none" w:pos="2253"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Demand, sue for, collect or receive any money or property at any time payable or receivable in respect of the Pledged Collateral including instructing the obligor or obligors on any agreement, instrument or other obligation constituting part of the Pledged Collateral to make any payment required by the terms of such agreement, instrument or other obligation directly to the Collateral Agent, and in connection with any of the foregoing, compromise, settle, extend the time for payment and make other modifications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any such payments are made directly to any Pledgor, prior to receipt by any such obligor of such instruction, such Pledgor shall segregate all amounts received pursuant thereto in trust for the benefit of the Collateral Agent and shall promptly (but in no event later than one Business Day after receipt thereof) pay such amounts to the Collateral Agent;</w:t>
      </w:r>
    </w:p>
    <w:p>
      <w:pPr>
        <w:spacing w:after="0" w:line="243" w:lineRule="exact"/>
        <w:rPr>
          <w:rFonts w:ascii="Arial" w:cs="Arial" w:eastAsia="Arial" w:hAnsi="Arial"/>
          <w:sz w:val="18"/>
          <w:szCs w:val="18"/>
          <w:color w:val="auto"/>
        </w:rPr>
      </w:pPr>
    </w:p>
    <w:p>
      <w:pPr>
        <w:ind w:left="-20" w:right="180" w:firstLine="1629"/>
        <w:spacing w:after="0" w:line="264" w:lineRule="auto"/>
        <w:tabs>
          <w:tab w:leader="none" w:pos="2303" w:val="left"/>
        </w:tabs>
        <w:numPr>
          <w:ilvl w:val="1"/>
          <w:numId w:val="362"/>
        </w:numPr>
        <w:rPr>
          <w:rFonts w:ascii="Arial" w:cs="Arial" w:eastAsia="Arial" w:hAnsi="Arial"/>
          <w:sz w:val="18"/>
          <w:szCs w:val="18"/>
          <w:color w:val="auto"/>
        </w:rPr>
      </w:pPr>
      <w:r>
        <w:rPr>
          <w:rFonts w:ascii="Arial" w:cs="Arial" w:eastAsia="Arial" w:hAnsi="Arial"/>
          <w:sz w:val="18"/>
          <w:szCs w:val="18"/>
          <w:color w:val="auto"/>
        </w:rPr>
        <w:t>Sell, assign, grant a license to use or otherwise liquidate, or direct any Pledgor to sell, assign, grant a license to use or otherwise liquidate, any and all investments made in whole or in part with the Pledged Collateral or any part thereof, and take possession of the proceeds of any such sale, assignment, license or liquidation;</w:t>
      </w:r>
    </w:p>
    <w:p>
      <w:pPr>
        <w:spacing w:after="0" w:line="235" w:lineRule="exact"/>
        <w:rPr>
          <w:rFonts w:ascii="Arial" w:cs="Arial" w:eastAsia="Arial" w:hAnsi="Arial"/>
          <w:sz w:val="18"/>
          <w:szCs w:val="18"/>
          <w:color w:val="auto"/>
        </w:rPr>
      </w:pPr>
    </w:p>
    <w:p>
      <w:pPr>
        <w:ind w:left="-20" w:right="20" w:firstLine="1629"/>
        <w:spacing w:after="0" w:line="291" w:lineRule="auto"/>
        <w:tabs>
          <w:tab w:leader="none" w:pos="2293" w:val="left"/>
        </w:tabs>
        <w:numPr>
          <w:ilvl w:val="1"/>
          <w:numId w:val="362"/>
        </w:numPr>
        <w:rPr>
          <w:rFonts w:ascii="Arial" w:cs="Arial" w:eastAsia="Arial" w:hAnsi="Arial"/>
          <w:sz w:val="16"/>
          <w:szCs w:val="16"/>
          <w:color w:val="auto"/>
        </w:rPr>
      </w:pPr>
      <w:r>
        <w:rPr>
          <w:rFonts w:ascii="Arial" w:cs="Arial" w:eastAsia="Arial" w:hAnsi="Arial"/>
          <w:sz w:val="16"/>
          <w:szCs w:val="16"/>
          <w:color w:val="auto"/>
        </w:rPr>
        <w:t xml:space="preserve">Take possession of the Pledged Collateral or any part thereof, by directing any Pledgor in writing to deliver the same to the Collateral Agent at any place or places so designated by the Collateral Agent, in which event such Pledgor shall at its own expense: (A) forthwith cause the same to be moved to the place or places designated by the Collateral Agent and therewith delivered to the Collateral Agent, (B) store and keep any Pledged Collateral so delivered to the Collateral Agent at such place or places pending further action by the Collateral Agent and (C) while the Pledged Collateral shall be so stored and kept, provide such security and maintenance services as shall be necessary to protect the same and to preserve and maintain them in good condition. Each Pledgor’s obligation to deliver the Pledged Collateral as contemplated in this </w:t>
      </w:r>
      <w:r>
        <w:rPr>
          <w:rFonts w:ascii="Arial" w:cs="Arial" w:eastAsia="Arial" w:hAnsi="Arial"/>
          <w:sz w:val="16"/>
          <w:szCs w:val="16"/>
          <w:u w:val="single" w:color="auto"/>
          <w:color w:val="auto"/>
        </w:rPr>
        <w:t>Section 9.1(iv)</w:t>
      </w:r>
      <w:r>
        <w:rPr>
          <w:rFonts w:ascii="Arial" w:cs="Arial" w:eastAsia="Arial" w:hAnsi="Arial"/>
          <w:sz w:val="16"/>
          <w:szCs w:val="16"/>
          <w:color w:val="auto"/>
        </w:rPr>
        <w:t xml:space="preserve"> is of the essence hereof. Upon application to a court of equity having jurisdiction, the Collateral Agent shall be entitled to a decree requiring specific performance by any Pledgor of such obligation;</w:t>
      </w:r>
    </w:p>
    <w:p>
      <w:pPr>
        <w:spacing w:after="0" w:line="221" w:lineRule="exact"/>
        <w:rPr>
          <w:rFonts w:ascii="Arial" w:cs="Arial" w:eastAsia="Arial" w:hAnsi="Arial"/>
          <w:sz w:val="16"/>
          <w:szCs w:val="16"/>
          <w:color w:val="auto"/>
        </w:rPr>
      </w:pPr>
    </w:p>
    <w:p>
      <w:pPr>
        <w:ind w:left="-20" w:right="160" w:firstLine="1629"/>
        <w:spacing w:after="0" w:line="277" w:lineRule="auto"/>
        <w:tabs>
          <w:tab w:leader="none" w:pos="2243"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Withdraw all moneys, instruments, securities and other property in any bank, financial securities, deposit or other account of any Pledgor constituting Pledged Collateral for application to the Secured Obligations as provided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w:t>
      </w:r>
    </w:p>
    <w:p>
      <w:pPr>
        <w:spacing w:after="0" w:line="224" w:lineRule="exact"/>
        <w:rPr>
          <w:rFonts w:ascii="Arial" w:cs="Arial" w:eastAsia="Arial" w:hAnsi="Arial"/>
          <w:sz w:val="18"/>
          <w:szCs w:val="18"/>
          <w:color w:val="auto"/>
        </w:rPr>
      </w:pPr>
    </w:p>
    <w:p>
      <w:pPr>
        <w:ind w:left="2300" w:hanging="691"/>
        <w:spacing w:after="0"/>
        <w:tabs>
          <w:tab w:leader="none" w:pos="230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Retain and apply the Distributions to the Secured Obligations as provided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w:t>
      </w:r>
    </w:p>
    <w:p>
      <w:pPr>
        <w:spacing w:after="0" w:line="279" w:lineRule="exact"/>
        <w:rPr>
          <w:rFonts w:ascii="Arial" w:cs="Arial" w:eastAsia="Arial" w:hAnsi="Arial"/>
          <w:sz w:val="18"/>
          <w:szCs w:val="18"/>
          <w:color w:val="auto"/>
        </w:rPr>
      </w:pPr>
    </w:p>
    <w:p>
      <w:pPr>
        <w:ind w:left="-20" w:right="240" w:firstLine="1629"/>
        <w:spacing w:after="0" w:line="277" w:lineRule="auto"/>
        <w:tabs>
          <w:tab w:leader="none" w:pos="2343" w:val="left"/>
        </w:tabs>
        <w:numPr>
          <w:ilvl w:val="1"/>
          <w:numId w:val="362"/>
        </w:numPr>
        <w:rPr>
          <w:rFonts w:ascii="Arial" w:cs="Arial" w:eastAsia="Arial" w:hAnsi="Arial"/>
          <w:sz w:val="18"/>
          <w:szCs w:val="18"/>
          <w:color w:val="auto"/>
        </w:rPr>
      </w:pPr>
      <w:r>
        <w:rPr>
          <w:rFonts w:ascii="Arial" w:cs="Arial" w:eastAsia="Arial" w:hAnsi="Arial"/>
          <w:sz w:val="18"/>
          <w:szCs w:val="18"/>
          <w:color w:val="auto"/>
        </w:rPr>
        <w:t>Exercise any and all rights as beneficial and legal owner of the Pledged Collateral, including perfecting assignment of and exercising any and all voting, consensual and other rights and powers with respect to any Pledged Collateral; and</w:t>
      </w:r>
    </w:p>
    <w:p>
      <w:pPr>
        <w:spacing w:after="0" w:line="224" w:lineRule="exact"/>
        <w:rPr>
          <w:rFonts w:ascii="Arial" w:cs="Arial" w:eastAsia="Arial" w:hAnsi="Arial"/>
          <w:sz w:val="18"/>
          <w:szCs w:val="18"/>
          <w:color w:val="auto"/>
        </w:rPr>
      </w:pPr>
    </w:p>
    <w:p>
      <w:pPr>
        <w:ind w:left="-20" w:firstLine="1629"/>
        <w:spacing w:after="0" w:line="285" w:lineRule="auto"/>
        <w:tabs>
          <w:tab w:leader="none" w:pos="2393" w:val="left"/>
        </w:tabs>
        <w:numPr>
          <w:ilvl w:val="1"/>
          <w:numId w:val="362"/>
        </w:numPr>
        <w:rPr>
          <w:rFonts w:ascii="Arial" w:cs="Arial" w:eastAsia="Arial" w:hAnsi="Arial"/>
          <w:sz w:val="16"/>
          <w:szCs w:val="16"/>
          <w:color w:val="auto"/>
        </w:rPr>
      </w:pPr>
      <w:r>
        <w:rPr>
          <w:rFonts w:ascii="Arial" w:cs="Arial" w:eastAsia="Arial" w:hAnsi="Arial"/>
          <w:sz w:val="16"/>
          <w:szCs w:val="16"/>
          <w:color w:val="auto"/>
        </w:rPr>
        <w:t xml:space="preserve">Exercise all the rights and remedies of a secured party on default under the UCC, and the Collateral Agent may also in its sole discretion, without notice except as specified in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hereof, sell, assign or grant a license to use the Pledged Collateral or any part thereof in one or more parcels at public or private sale, at any exchange, broker’s board or at any of the Collateral Agent’s offices or elsewhere, for cash, on credit or for future delivery, and at such price or prices and upon such other terms as the Collateral Agent may deem commercially reasonable. The Collateral Agent or any other Secured Party or any of their respective Affiliates may be the purchaser, licensee, assignee or recipient of the Pledged Collateral or any part thereof at any such sale and shall be entitled, for the purpose of bidding and making settlement or payment of the purchase price for all or any portion of the Pledged Collateral sold, assigned or licensed at such sale, to use and apply any of the Secured Obligations owed to such person as a credit on account of the purchase price of the Pledged Collateral or any part thereof payable by such person at such sale. Each purchaser, assignee, licensee or recipient at any such sale shall acquire the property sold, assigned or licensed absolutely free from any claim or right on the part of any Pledgor, and each Pledgor hereby waives, to the fullest extent permitted by law, all rights of redemption, stay and/or appraisal which it now has or may at any time in the future have under any rule of law or statute now existing or hereafter enacted. The Collateral Agent shall not be obligated to make any sale of the Pledged Collateral or any part thereof regardless of notice of sale having been given. The Collateral Agent may adjourn any public or private sale from time to time by announcement at the time and place fixed therefor, and such sale may, without further notice, be made at the time and place to which it was so adjourned. Each Pledgor hereby waives, to the fullest extent permitted by law, any claims against the Collateral Agent arising by reason of the fact that the price at which the Pledged Collateral or any part thereof may have been sold, assigned or licensed at such a private sale was less than the price which might have been obtained at a public sale, even if the Collateral Agent accepts the first offer received and does not offer such Pledged Collateral to more than one offeree.</w:t>
      </w:r>
    </w:p>
    <w:p>
      <w:pPr>
        <w:spacing w:after="0" w:line="232" w:lineRule="exact"/>
        <w:rPr>
          <w:sz w:val="20"/>
          <w:szCs w:val="20"/>
          <w:color w:val="auto"/>
        </w:rPr>
      </w:pPr>
    </w:p>
    <w:p>
      <w:pPr>
        <w:ind w:left="1280"/>
        <w:spacing w:after="0"/>
        <w:tabs>
          <w:tab w:leader="none" w:pos="278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Notice of Sale</w:t>
      </w:r>
    </w:p>
    <w:p>
      <w:pPr>
        <w:sectPr>
          <w:pgSz w:w="11900" w:h="16838" w:orient="portrait"/>
          <w:cols w:equalWidth="0" w:num="1">
            <w:col w:w="11380"/>
          </w:cols>
          <w:pgMar w:left="260" w:top="125" w:right="259" w:bottom="59" w:gutter="0" w:footer="0" w:header="0"/>
        </w:sectPr>
      </w:pPr>
    </w:p>
    <w:bookmarkStart w:id="159" w:name="page160"/>
    <w:bookmarkEnd w:id="159"/>
    <w:p>
      <w:pPr>
        <w:ind w:left="-1200" w:right="160" w:firstLine="1305"/>
        <w:spacing w:after="0" w:line="302" w:lineRule="auto"/>
        <w:tabs>
          <w:tab w:leader="none" w:pos="232" w:val="left"/>
        </w:tabs>
        <w:numPr>
          <w:ilvl w:val="0"/>
          <w:numId w:val="363"/>
        </w:numPr>
        <w:rPr>
          <w:rFonts w:ascii="Arial" w:cs="Arial" w:eastAsia="Arial" w:hAnsi="Arial"/>
          <w:sz w:val="16"/>
          <w:szCs w:val="16"/>
          <w:color w:val="auto"/>
        </w:rPr>
      </w:pPr>
      <w:r>
        <w:rPr>
          <w:rFonts w:ascii="Arial" w:cs="Arial" w:eastAsia="Arial" w:hAnsi="Arial"/>
          <w:sz w:val="16"/>
          <w:szCs w:val="16"/>
          <w:color w:val="auto"/>
        </w:rPr>
        <w:t>Each Pledgor acknowledges and agrees that, to the extent notice of sale or other disposition of the Pledged Collateral or any part thereof shall be required by law, 10 days’ prior notice to such Pledgor of the time and place of any public sale or of the time after which any private sale or other intended disposition is to take place shall be commercially reasonable notification of such matters. No notification need be given to any Pledgor if it has signed, after the occurrence of an Event of Default, a statement renouncing or modifying any right to notification of sale or other intended disposition.</w:t>
      </w:r>
    </w:p>
    <w:p>
      <w:pPr>
        <w:spacing w:after="0" w:line="208"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Waiver of Notice and Claims</w:t>
      </w:r>
    </w:p>
    <w:p>
      <w:pPr>
        <w:spacing w:after="0" w:line="252" w:lineRule="exact"/>
        <w:rPr>
          <w:sz w:val="20"/>
          <w:szCs w:val="20"/>
          <w:color w:val="auto"/>
        </w:rPr>
      </w:pPr>
    </w:p>
    <w:p>
      <w:pPr>
        <w:ind w:left="-1200" w:firstLine="1305"/>
        <w:spacing w:after="0" w:line="288" w:lineRule="auto"/>
        <w:tabs>
          <w:tab w:leader="none" w:pos="232"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Each Pledgor hereby waives, to the fullest extent permitted by applicable law, notice or judicial hearing in connection with the Collateral Agent’s taking possession or the Collateral Agent’s disposition of the Pledged Collateral or any part thereof, including any and all prior notice and hearing for any prejudgment remedy or remedies and any such right which such Pledgor would otherwise have under law, and each Pledgor hereby further waives, to the fullest extent permitted by applicable law: (i) all damages occasioned by such taking of possession, (ii) all other requirements as to the time, place and terms of sale or other requirements with respect to the enforcement of the Collateral Agent’s rights hereunder and (iii) all rights of redemption, appraisal, valuation, stay, extension or moratorium now or hereafter in force under any applicable law. The Collateral Agent shall not be liable for any incorrect or improper payment made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 the absence of gross negligence or willful misconduct on the part of the Collateral Agent. Any sale of, or the grant of options to purchase, or any other realization upon, any Pledged Collateral shall operate to divest all right, title, interest, claim and demand, either at law or in equity, of the applicable Pledgor therein and thereto, and shall be a perpetual bar both at law and in equity against such Pledgor and against any and all persons claiming or attempting to claim the Pledged Collateral so sold, optioned or realized upon, or any part thereof, from, through or under such Pledgor.</w:t>
      </w:r>
    </w:p>
    <w:p>
      <w:pPr>
        <w:spacing w:after="0" w:line="223"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Certain Sales of Pledged Collateral</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1200" w:right="100" w:firstLine="1305"/>
        <w:spacing w:after="0" w:line="255" w:lineRule="auto"/>
        <w:tabs>
          <w:tab w:leader="none" w:pos="72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Each Pledgor recognizes that, by reason of certain prohibitions contained in law, rules, regulations or orders of any Governmental Authority, the Collateral Agent may be compelled, with respect to any sale of all or any part of the Pledged Collateral, to limit purchasers to those who meet the requirements of such Governmental Authority. Each Pledgor acknowledges that any such sales may be at prices and on terms less favorable to the Collateral Agent than those obtainable through a public sale without such restrictions, and, notwithstanding such circumstances, agrees that any such restricted sale shall be deemed to have been made in a commercially reasonable manner and that, except as may be required by applicable law, the Collateral Agent shall have no obligation to engage in public sales.</w:t>
      </w:r>
    </w:p>
    <w:p>
      <w:pPr>
        <w:spacing w:after="0" w:line="247" w:lineRule="exact"/>
        <w:rPr>
          <w:rFonts w:ascii="Arial" w:cs="Arial" w:eastAsia="Arial" w:hAnsi="Arial"/>
          <w:sz w:val="18"/>
          <w:szCs w:val="18"/>
          <w:color w:val="auto"/>
        </w:rPr>
      </w:pPr>
    </w:p>
    <w:p>
      <w:pPr>
        <w:ind w:left="-1200" w:right="20" w:firstLine="1305"/>
        <w:spacing w:after="0" w:line="289" w:lineRule="auto"/>
        <w:tabs>
          <w:tab w:leader="none" w:pos="73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Each Pledgor recognizes that, by reason of certain prohibitions contained in the Securities Act, and applicable state securities laws, the Collateral Agent may be compelled, with respect to any sale of all or any part of the Securities Collateral and Investment Property, to limit purchasers to persons who will agree, among other things, to acquire such Securities Collateral or Investment Property for their own account, for investment and not with a view to the distribution or resale thereof. Each Pledgor acknowledges that any such private sales may be at prices and on terms less favorable to the Collateral Agent than those obtainable through a public sale without such restrictions (including a public offering made pursuant to a registration statement under the Securities Act), and, notwithstanding such circumstances, agrees that any such private sale shall be deemed to have been made in a commercially reasonable manner and that the Collateral Agent shall have no obligation to engage in public sales and no obligation to delay the sale of any Securities Collateral or Investment Property for the period of time necessary to permit the issuer thereof to register it for a form of public sale requiring registration under the Securities Act or under applicable state securities laws, even if such issuer would agree to do so.</w:t>
      </w:r>
    </w:p>
    <w:p>
      <w:pPr>
        <w:spacing w:after="0" w:line="220" w:lineRule="exact"/>
        <w:rPr>
          <w:rFonts w:ascii="Arial" w:cs="Arial" w:eastAsia="Arial" w:hAnsi="Arial"/>
          <w:sz w:val="16"/>
          <w:szCs w:val="16"/>
          <w:color w:val="auto"/>
        </w:rPr>
      </w:pPr>
    </w:p>
    <w:p>
      <w:pPr>
        <w:ind w:left="-1200" w:right="40" w:firstLine="1305"/>
        <w:spacing w:after="0" w:line="286" w:lineRule="auto"/>
        <w:tabs>
          <w:tab w:leader="none" w:pos="72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Notwithstanding the foregoing, each Pledgor shall, upon the occurrence and during the continuance of any Event of Default, at the reasonable request of the Collateral Agent, for the benefit of the Collateral Agent, cause any registration, qualification under or compliance with any Federal or state securities law or laws to be effected with respect to all or any part of the Securities Collateral as soon as practicable and at the sole cost and expense of the Pledgors. Each Pledgor will use its commercially reasonable efforts to cause such registration to be effected (and be kept effective) and will use its commercially reasonable efforts to cause such qualification and compliance to be effected (and be kept effective) as may be so requested and as would permit or facilitate the sale and distribution of such Securities Collateral including registration under the Securities Act (or any similar statute then in effect), appropriate qualifications under applicable blue sky or other state securities laws and appropriate compliance with all other requirements of any Governmental Authority. Each Pledgor shall use its commercially reasonable efforts to cause the Collateral Agent to be kept advised in writing as to the progress of each such registration, qualification or compliance and as to the completion thereof, shall furnish to the Collateral Agent such number of prospectuses, offering circulars or other documents incident thereto as the Collateral Agent from time to time may request, and shall indemnify and shall cause the issuer of the Securities Collateral to indemnify the Collateral Agent and all others participating in the distribution of such Securities Collateral against all claims, losses, damages and liabilities caused by any untrue statement (or alleged untrue statement) of a material fact contained therein (or in any related registration statement, notification or the like) or by any omission (or alleged omission) to state therein (or in any related registration statement, notification or the like) a material fact required to be stated therein or necessary to make the statements therein not misleading.</w:t>
      </w:r>
    </w:p>
    <w:p>
      <w:pPr>
        <w:spacing w:after="0" w:line="225" w:lineRule="exact"/>
        <w:rPr>
          <w:rFonts w:ascii="Arial" w:cs="Arial" w:eastAsia="Arial" w:hAnsi="Arial"/>
          <w:sz w:val="16"/>
          <w:szCs w:val="16"/>
          <w:color w:val="auto"/>
        </w:rPr>
      </w:pPr>
    </w:p>
    <w:p>
      <w:pPr>
        <w:ind w:left="-1200" w:right="60" w:firstLine="1305"/>
        <w:spacing w:after="0" w:line="302" w:lineRule="auto"/>
        <w:tabs>
          <w:tab w:leader="none" w:pos="73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If the Collateral Agent determines to exercise its right to sell any or all of the Securities Collateral or Investment Property, upon written request, the applicable Pledgor shall from time to time furnish to the Collateral Agent all such information as the Collateral Agent may request in order to determine the number of securities included in the Securities Collateral or Investment Property which may be sold by the Collateral Agent as exempt transactions under the Securities Act and the rules of the Securities and Exchange Commission thereunder, as the same are from time to time in effect.</w:t>
      </w:r>
    </w:p>
    <w:p>
      <w:pPr>
        <w:spacing w:after="0" w:line="208" w:lineRule="exact"/>
        <w:rPr>
          <w:rFonts w:ascii="Arial" w:cs="Arial" w:eastAsia="Arial" w:hAnsi="Arial"/>
          <w:sz w:val="16"/>
          <w:szCs w:val="16"/>
          <w:color w:val="auto"/>
        </w:rPr>
      </w:pPr>
    </w:p>
    <w:p>
      <w:pPr>
        <w:ind w:left="-1200" w:right="160" w:firstLine="1305"/>
        <w:spacing w:after="0" w:line="257" w:lineRule="auto"/>
        <w:tabs>
          <w:tab w:leader="none" w:pos="72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Each Pledgor further agrees that a breach of any of the covenants contained in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will cause irreparable injury to the Collateral Agent and the other Secured Parties, that the Collateral Agent and the other Secured Parties have no adequate remedy at law in respect of such breach and, as a consequence, that each and every covenant contained in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shall be specifically enforceable against such Pledgor, and such Pledgor hereby waives and agrees not to assert any defenses against an action for specific performance of such covenants except for a defense that no Event of Default has occurred and is continuing.</w:t>
      </w:r>
    </w:p>
    <w:p>
      <w:pPr>
        <w:spacing w:after="0" w:line="242" w:lineRule="exact"/>
        <w:rPr>
          <w:sz w:val="20"/>
          <w:szCs w:val="20"/>
          <w:color w:val="auto"/>
        </w:rPr>
      </w:pPr>
    </w:p>
    <w:p>
      <w:pPr>
        <w:ind w:left="100"/>
        <w:spacing w:after="0"/>
        <w:tabs>
          <w:tab w:leader="none" w:pos="160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No Waiver; Cumulative Remedies</w:t>
      </w:r>
    </w:p>
    <w:p>
      <w:pPr>
        <w:spacing w:after="0" w:line="279" w:lineRule="exact"/>
        <w:rPr>
          <w:sz w:val="20"/>
          <w:szCs w:val="20"/>
          <w:color w:val="auto"/>
        </w:rPr>
      </w:pPr>
    </w:p>
    <w:p>
      <w:pPr>
        <w:ind w:left="-1200" w:right="140" w:firstLine="1305"/>
        <w:spacing w:after="0" w:line="276" w:lineRule="auto"/>
        <w:tabs>
          <w:tab w:leader="none" w:pos="728" w:val="left"/>
        </w:tabs>
        <w:numPr>
          <w:ilvl w:val="0"/>
          <w:numId w:val="366"/>
        </w:numPr>
        <w:rPr>
          <w:rFonts w:ascii="Arial" w:cs="Arial" w:eastAsia="Arial" w:hAnsi="Arial"/>
          <w:sz w:val="17"/>
          <w:szCs w:val="17"/>
          <w:color w:val="auto"/>
        </w:rPr>
      </w:pPr>
      <w:r>
        <w:rPr>
          <w:rFonts w:ascii="Arial" w:cs="Arial" w:eastAsia="Arial" w:hAnsi="Arial"/>
          <w:sz w:val="17"/>
          <w:szCs w:val="17"/>
          <w:color w:val="auto"/>
        </w:rPr>
        <w:t>No failure on the part of the Collateral Agent to exercise, no course of dealing with respect to, and no delay on the part of the Collateral Agent in exercising, any right, power or remedy hereunder shall operate as a waiver thereof; nor shall any single or partial exercise of any such right, power, privilege or remedy hereunder preclude any other or further exercise thereof or the exercise of any other right, power, privilege or remedy; nor shall the Collateral Agent be required to look first to, enforce or exhaust any other security, collateral or guaranties. All rights and remedies herein provided are cumulative and are not exclusive of any rights or remedies provided by law or otherwise available.</w:t>
      </w:r>
    </w:p>
    <w:p>
      <w:pPr>
        <w:sectPr>
          <w:pgSz w:w="11900" w:h="16838" w:orient="portrait"/>
          <w:cols w:equalWidth="0" w:num="1">
            <w:col w:w="10200"/>
          </w:cols>
          <w:pgMar w:left="1440" w:top="125" w:right="259" w:bottom="6" w:gutter="0" w:footer="0" w:header="0"/>
        </w:sectPr>
      </w:pPr>
    </w:p>
    <w:bookmarkStart w:id="160" w:name="page161"/>
    <w:bookmarkEnd w:id="160"/>
    <w:p>
      <w:pPr>
        <w:spacing w:after="0" w:line="133" w:lineRule="exact"/>
        <w:rPr>
          <w:sz w:val="20"/>
          <w:szCs w:val="20"/>
          <w:color w:val="auto"/>
        </w:rPr>
      </w:pPr>
    </w:p>
    <w:p>
      <w:pPr>
        <w:ind w:left="-20" w:right="40" w:firstLine="1305"/>
        <w:spacing w:after="0" w:line="297" w:lineRule="auto"/>
        <w:tabs>
          <w:tab w:leader="none" w:pos="1918" w:val="left"/>
        </w:tabs>
        <w:numPr>
          <w:ilvl w:val="0"/>
          <w:numId w:val="367"/>
        </w:numPr>
        <w:rPr>
          <w:rFonts w:ascii="Arial" w:cs="Arial" w:eastAsia="Arial" w:hAnsi="Arial"/>
          <w:sz w:val="16"/>
          <w:szCs w:val="16"/>
          <w:color w:val="auto"/>
        </w:rPr>
      </w:pPr>
      <w:r>
        <w:rPr>
          <w:rFonts w:ascii="Arial" w:cs="Arial" w:eastAsia="Arial" w:hAnsi="Arial"/>
          <w:sz w:val="16"/>
          <w:szCs w:val="16"/>
          <w:color w:val="auto"/>
        </w:rPr>
        <w:t>In the event that the Collateral Agent shall have instituted any proceeding to enforce any right, power, privilege or remedy under this Agreement or any other Loan Document by foreclosure, sale, entry or otherwise, and such proceeding shall have been discontinued or abandoned for any reason or shall have been determined adversely to the Collateral Agent, then and in every such case, the Pledgors, the Collateral Agent and each other Secured Party shall be restored to their respective former positions and rights hereunder with respect to the Pledged Collateral, and all rights, remedies, privileges and powers of the Collateral Agent and the other Secured Parties shall continue as if no such proceeding had been instituted.</w:t>
      </w:r>
    </w:p>
    <w:p>
      <w:pPr>
        <w:spacing w:after="0" w:line="212" w:lineRule="exact"/>
        <w:rPr>
          <w:sz w:val="20"/>
          <w:szCs w:val="20"/>
          <w:color w:val="auto"/>
        </w:rPr>
      </w:pPr>
    </w:p>
    <w:p>
      <w:pPr>
        <w:ind w:left="1280"/>
        <w:spacing w:after="0"/>
        <w:tabs>
          <w:tab w:leader="none" w:pos="278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Certain Additional Actions Regarding Intellectual Property</w:t>
      </w:r>
    </w:p>
    <w:p>
      <w:pPr>
        <w:spacing w:after="0" w:line="252" w:lineRule="exact"/>
        <w:rPr>
          <w:sz w:val="20"/>
          <w:szCs w:val="20"/>
          <w:color w:val="auto"/>
        </w:rPr>
      </w:pPr>
    </w:p>
    <w:p>
      <w:pPr>
        <w:ind w:left="-20" w:right="60" w:firstLine="1305"/>
        <w:spacing w:after="0" w:line="272" w:lineRule="auto"/>
        <w:tabs>
          <w:tab w:leader="none" w:pos="1412" w:val="left"/>
        </w:tabs>
        <w:numPr>
          <w:ilvl w:val="0"/>
          <w:numId w:val="368"/>
        </w:numPr>
        <w:rPr>
          <w:rFonts w:ascii="Arial" w:cs="Arial" w:eastAsia="Arial" w:hAnsi="Arial"/>
          <w:sz w:val="17"/>
          <w:szCs w:val="17"/>
          <w:color w:val="auto"/>
        </w:rPr>
      </w:pPr>
      <w:r>
        <w:rPr>
          <w:rFonts w:ascii="Arial" w:cs="Arial" w:eastAsia="Arial" w:hAnsi="Arial"/>
          <w:sz w:val="17"/>
          <w:szCs w:val="17"/>
          <w:color w:val="auto"/>
        </w:rPr>
        <w:t>If any Event of Default shall have occurred and be continuing, upon the written demand of the Collateral Agent, each Pledgor shall execute and deliver to the Collateral Agent an assignment or assignments of the registered Patents, Trademarks and/or Copyrights and Goodwill and such other documents as are necessary or appropriate to carry out the intent and purposes hereof. Within five Business Days of written notice thereafter from the Collateral Agent, each Pledgor shall make available to the Collateral Agent, to the extent within such Pledgor’s power and authority, such personnel in such Pledgor’s employ on the date of the Event of Default as the Collateral Agent may reasonably designate to permit such Pledgor to continue, directly or indirectly, to produce, advertise and sell the products and services sold by such Pledgor under the registered Patents, Trademarks and/or Copyrights, and such persons shall be available to perform their prior functions on the Collateral Agent’s behalf.</w:t>
      </w:r>
    </w:p>
    <w:p>
      <w:pPr>
        <w:spacing w:after="0" w:line="200" w:lineRule="exact"/>
        <w:rPr>
          <w:sz w:val="20"/>
          <w:szCs w:val="20"/>
          <w:color w:val="auto"/>
        </w:rPr>
      </w:pP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ARTICLE 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APPLICATION OF PROCEEDS</w:t>
      </w:r>
    </w:p>
    <w:p>
      <w:pPr>
        <w:spacing w:after="0" w:line="279" w:lineRule="exact"/>
        <w:rPr>
          <w:sz w:val="20"/>
          <w:szCs w:val="20"/>
          <w:color w:val="auto"/>
        </w:rPr>
      </w:pPr>
    </w:p>
    <w:p>
      <w:pPr>
        <w:ind w:left="1280"/>
        <w:spacing w:after="0"/>
        <w:tabs>
          <w:tab w:leader="none" w:pos="28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Application of Proceeds</w:t>
      </w:r>
    </w:p>
    <w:p>
      <w:pPr>
        <w:spacing w:after="0" w:line="252" w:lineRule="exact"/>
        <w:rPr>
          <w:sz w:val="20"/>
          <w:szCs w:val="20"/>
          <w:color w:val="auto"/>
        </w:rPr>
      </w:pPr>
    </w:p>
    <w:p>
      <w:pPr>
        <w:ind w:left="-20" w:right="160" w:firstLine="1305"/>
        <w:spacing w:after="0" w:line="264" w:lineRule="auto"/>
        <w:tabs>
          <w:tab w:leader="none" w:pos="140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proceeds received by the Collateral Agent in respect of any sale of, collection from or other realization upon all or any part of the Pledged Collateral pursuant to the exercise by the Collateral Agent of its remedies shall be applied, together with any other sums then held by the Collateral Agent pursuant to this Agreement, in accordance with the Credit Agreement.</w:t>
      </w:r>
    </w:p>
    <w:p>
      <w:pPr>
        <w:spacing w:after="0" w:line="200" w:lineRule="exact"/>
        <w:rPr>
          <w:sz w:val="20"/>
          <w:szCs w:val="20"/>
          <w:color w:val="auto"/>
        </w:rPr>
      </w:pPr>
    </w:p>
    <w:p>
      <w:pPr>
        <w:spacing w:after="0" w:line="2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ARTICLE XI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79" w:lineRule="exact"/>
        <w:rPr>
          <w:sz w:val="20"/>
          <w:szCs w:val="20"/>
          <w:color w:val="auto"/>
        </w:rPr>
      </w:pPr>
    </w:p>
    <w:p>
      <w:pPr>
        <w:ind w:left="1280"/>
        <w:spacing w:after="0"/>
        <w:tabs>
          <w:tab w:leader="none" w:pos="286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Concerning Collateral Agent</w:t>
      </w:r>
    </w:p>
    <w:p>
      <w:pPr>
        <w:spacing w:after="0" w:line="279" w:lineRule="exact"/>
        <w:rPr>
          <w:sz w:val="20"/>
          <w:szCs w:val="20"/>
          <w:color w:val="auto"/>
        </w:rPr>
      </w:pPr>
    </w:p>
    <w:p>
      <w:pPr>
        <w:ind w:left="-20" w:right="60" w:firstLine="1305"/>
        <w:spacing w:after="0" w:line="270" w:lineRule="auto"/>
        <w:tabs>
          <w:tab w:leader="none" w:pos="1908"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Collateral Agent has been appointed as collateral agent pursuant to the Credit Agreement. The actions of the Collateral Agent hereunder are subject to the provisions of the Credit Agreement. The Collateral Agent shall have the right hereunder to make demands, to give notices, to exercise or refrain from exercising any rights, and to take or refrain from taking action (including the release or substitution of the Pledged Collateral), in accordance with this Agreement and the Credit Agreement. The Collateral Agent may employ agents and attorneys-in-fact in connection herewith and shall not be liable for the negligence or misconduct of any such agents or attorneys-in-fact selected by it in good faith. The Collateral Agent may resign and a successor Collateral Agent may be appointed in the manner provided in the Credit Agreement. Upon the acceptance of any appointment as the Collateral Agent by a successor Collateral Agent, that successor Collateral Agent shall thereupon succeed to and become vested with all the rights, powers, privileges and duties of the retiring Collateral Agent under this Agreement, and the retiring Collateral Agent shall thereupon be discharged from its duties and obligations under this Agreement. After any retiring Collateral Agent’s resignation, the provisions hereof shall inure to its benefit as to any actions taken or omitted to be taken by it under this Agreement while it was the Collateral Agent.</w:t>
      </w:r>
    </w:p>
    <w:p>
      <w:pPr>
        <w:spacing w:after="0" w:line="231" w:lineRule="exact"/>
        <w:rPr>
          <w:rFonts w:ascii="Arial" w:cs="Arial" w:eastAsia="Arial" w:hAnsi="Arial"/>
          <w:sz w:val="17"/>
          <w:szCs w:val="17"/>
          <w:color w:val="auto"/>
        </w:rPr>
      </w:pPr>
    </w:p>
    <w:p>
      <w:pPr>
        <w:ind w:left="-20" w:firstLine="1305"/>
        <w:spacing w:after="0" w:line="273" w:lineRule="auto"/>
        <w:tabs>
          <w:tab w:leader="none" w:pos="1918"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Collateral Agent shall be deemed to have exercised reasonable care in the custody and preservation of the Pledged Collateral in its possession if such Pledged Collateral is accorded treatment substantially equivalent to that which the Collateral Agent, in its individual capacity, accords its own property consisting of similar instruments or interests, it being understood that neither the Collateral Agent nor any of the Secured Parties shall have responsibility for (i) ascertaining or taking action with respect to calls, conversions, exchanges, maturities, tenders or other matters relating to any Securities Collateral, whether or not the Collateral Agent or any other Secured Party has or is deemed to have knowledge of such matters or (ii) taking any necessary steps to preserve rights against any person with respect to any Pledged Collateral.</w:t>
      </w:r>
    </w:p>
    <w:p>
      <w:pPr>
        <w:spacing w:after="0" w:line="232" w:lineRule="exact"/>
        <w:rPr>
          <w:rFonts w:ascii="Arial" w:cs="Arial" w:eastAsia="Arial" w:hAnsi="Arial"/>
          <w:sz w:val="17"/>
          <w:szCs w:val="17"/>
          <w:color w:val="auto"/>
        </w:rPr>
      </w:pPr>
    </w:p>
    <w:p>
      <w:pPr>
        <w:jc w:val="both"/>
        <w:ind w:left="-20" w:right="540" w:firstLine="1305"/>
        <w:spacing w:after="0" w:line="264" w:lineRule="auto"/>
        <w:tabs>
          <w:tab w:leader="none" w:pos="190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Collateral Agent shall be entitled to rely upon any written notice, statement, certificate, order or other document or any telephone message believed by it to be genuine and correct and to have been signed, sent or made by the proper person, and, with respect to all matters pertaining to this Agreement and its duties hereunder, upon advice of counsel selected by it.</w:t>
      </w:r>
    </w:p>
    <w:p>
      <w:pPr>
        <w:spacing w:after="0" w:line="235" w:lineRule="exact"/>
        <w:rPr>
          <w:rFonts w:ascii="Arial" w:cs="Arial" w:eastAsia="Arial" w:hAnsi="Arial"/>
          <w:sz w:val="18"/>
          <w:szCs w:val="18"/>
          <w:color w:val="auto"/>
        </w:rPr>
      </w:pPr>
    </w:p>
    <w:p>
      <w:pPr>
        <w:jc w:val="both"/>
        <w:ind w:left="-20" w:right="20" w:firstLine="1305"/>
        <w:spacing w:after="0" w:line="259" w:lineRule="auto"/>
        <w:tabs>
          <w:tab w:leader="none" w:pos="191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If any item of Pledged Collateral also constitutes collateral granted to the Collateral Agent under any other deed of trust, mortgage, security agreement, pledge or instrument of any type, in the event of any conflict between the provisions hereof and the provisions of such other deed of trust, mortgage, security agreement, pledge or instrument of any type in respect of such collateral, the Collateral Agent, in its sole discretion, shall select which provision or provisions shall control.</w:t>
      </w:r>
    </w:p>
    <w:p>
      <w:pPr>
        <w:spacing w:after="0" w:line="240" w:lineRule="exact"/>
        <w:rPr>
          <w:rFonts w:ascii="Arial" w:cs="Arial" w:eastAsia="Arial" w:hAnsi="Arial"/>
          <w:sz w:val="18"/>
          <w:szCs w:val="18"/>
          <w:color w:val="auto"/>
        </w:rPr>
      </w:pPr>
    </w:p>
    <w:p>
      <w:pPr>
        <w:ind w:left="-20" w:firstLine="1305"/>
        <w:spacing w:after="0" w:line="255" w:lineRule="auto"/>
        <w:tabs>
          <w:tab w:leader="none" w:pos="190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The Collateral Agent may rely on advice of counsel as to whether any or all UCC financing statements of the Pledgors need to be amended as a result of any of the changes described in </w:t>
      </w:r>
      <w:r>
        <w:rPr>
          <w:rFonts w:ascii="Arial" w:cs="Arial" w:eastAsia="Arial" w:hAnsi="Arial"/>
          <w:sz w:val="18"/>
          <w:szCs w:val="18"/>
          <w:u w:val="single" w:color="auto"/>
          <w:color w:val="auto"/>
        </w:rPr>
        <w:t>Section 5.12(a)</w:t>
      </w:r>
      <w:r>
        <w:rPr>
          <w:rFonts w:ascii="Arial" w:cs="Arial" w:eastAsia="Arial" w:hAnsi="Arial"/>
          <w:sz w:val="18"/>
          <w:szCs w:val="18"/>
          <w:color w:val="auto"/>
        </w:rPr>
        <w:t xml:space="preserve"> of the Credit Agreement. If any Pledgor fails to provide information to the Collateral Agent about such changes on a timely basis, the Collateral Agent shall not be liable or responsible to any party for any failure to maintain a perfected security interest in such Pledgor’s property constituting Pledged Collateral, for which the Collateral Agent needed to have information relating to such changes. The Collateral Agent shall have no duty to inquire about such changes if any Pledgor does not inform the Collateral Agent of such changes, the parties acknowledging and agreeing that it would not be feasible or practical for the Collateral Agent to search for information on such changes if such information is not provided by any Pledgor.</w:t>
      </w:r>
    </w:p>
    <w:p>
      <w:pPr>
        <w:spacing w:after="0" w:line="243" w:lineRule="exact"/>
        <w:rPr>
          <w:sz w:val="20"/>
          <w:szCs w:val="20"/>
          <w:color w:val="auto"/>
        </w:rPr>
      </w:pPr>
    </w:p>
    <w:p>
      <w:pPr>
        <w:ind w:left="1280"/>
        <w:spacing w:after="0"/>
        <w:tabs>
          <w:tab w:leader="none" w:pos="286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Collateral Agent May Perform; Collateral Agent Appointed Attorney-in-Fact</w:t>
      </w:r>
    </w:p>
    <w:p>
      <w:pPr>
        <w:spacing w:after="0" w:line="252" w:lineRule="exact"/>
        <w:rPr>
          <w:sz w:val="20"/>
          <w:szCs w:val="20"/>
          <w:color w:val="auto"/>
        </w:rPr>
      </w:pPr>
    </w:p>
    <w:p>
      <w:pPr>
        <w:ind w:left="-20" w:right="480" w:firstLine="1305"/>
        <w:spacing w:after="0" w:line="381" w:lineRule="auto"/>
        <w:tabs>
          <w:tab w:leader="none" w:pos="1412" w:val="left"/>
        </w:tabs>
        <w:numPr>
          <w:ilvl w:val="0"/>
          <w:numId w:val="371"/>
        </w:numPr>
        <w:rPr>
          <w:rFonts w:ascii="Arial" w:cs="Arial" w:eastAsia="Arial" w:hAnsi="Arial"/>
          <w:sz w:val="15"/>
          <w:szCs w:val="15"/>
          <w:color w:val="auto"/>
        </w:rPr>
      </w:pPr>
      <w:r>
        <w:rPr>
          <w:rFonts w:ascii="Arial" w:cs="Arial" w:eastAsia="Arial" w:hAnsi="Arial"/>
          <w:sz w:val="15"/>
          <w:szCs w:val="15"/>
          <w:color w:val="auto"/>
        </w:rPr>
        <w:t>If any Pledgor shall fail to perform any covenants contained in this Agreement (including such Pledgor’s covenants to (i) pay the premiums in respect of all required insurance policies hereunder, (ii) pay and discharge any taxes, assessments and special assessments, levies, fees and</w:t>
      </w:r>
    </w:p>
    <w:p>
      <w:pPr>
        <w:sectPr>
          <w:pgSz w:w="11900" w:h="16972" w:orient="portrait"/>
          <w:cols w:equalWidth="0" w:num="1">
            <w:col w:w="11380"/>
          </w:cols>
          <w:pgMar w:left="260" w:top="152" w:right="259" w:bottom="0" w:gutter="0" w:footer="0" w:header="0"/>
        </w:sectPr>
      </w:pPr>
    </w:p>
    <w:bookmarkStart w:id="161" w:name="page162"/>
    <w:bookmarkEnd w:id="161"/>
    <w:p>
      <w:pPr>
        <w:spacing w:after="0" w:line="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governmental charges imposed upon or assessed against, and landlords’, carriers’, mechanics’, workmen’s, repairmen’s, laborers’, materialmen’s, suppliers’ and warehousemen’s Liens and other claims arising by operation of law against, all or any portion of the Pledged Collateral, (iii) make repairs, (iv) discharge Liens or (v) pay or perform any obligations of such Pledgor under any Pledged Collateral) or if any representation or warranty on the part of any Pledgor contained herein shall be breached, the Collateral Agent may (but shall not be obligated to) do the same or cause it to be done or remedy any such breach, and may expend funds for such purpose;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Collateral Agent shall in no event be bound to inquire into the validity of any tax, Lien, imposition or other obligation which such Pledgor fails to pay or perform as and when required hereby and which such Pledgor does not contest in accordance with the provisions of the Credit Agreement. Any and all amounts so expended by the Collateral Agent shall be paid by the Pledgors in accordance with the provisions of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of the Credit Agreement. Neither the provisions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nor any action taken by the Collateral Agent pursuant to the provisions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shall prevent any such failure to observe any covenant contained in this Agreement nor any breach of representation or warranty from constituting an Event of Default. Each Pledgor hereby appoints the Collateral Agent its attorney-in-fact, with full power and authority in the place and stead of such Pledgor and in the name of such Pledgor, or otherwise, from time to time upon the existence and during the continuance of any Default, in the Collateral Agent’s discretion to take any action and to execute any instrument consistent with the terms of the Credit Agreement, this Agreement and the other Security Documents which the Collateral Agent may deem necessary or advisable to accomplish the purposes hereof (but the Collateral Agent shall not be obligated to and shall have no liability to such Pledgor or any third party for failure to so do or take action). The foregoing grant of authority is a power of attorney coupled with an interest and such appointment shall be irrevocable for the term hereof. Each Pledgor hereby ratifies all that such attorney shall lawfully do or cause to be done by virtue hereof.</w:t>
      </w:r>
    </w:p>
    <w:p>
      <w:pPr>
        <w:spacing w:after="0" w:line="235"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Continuing Security Interest; Assignment</w:t>
      </w:r>
    </w:p>
    <w:p>
      <w:pPr>
        <w:spacing w:after="0" w:line="252" w:lineRule="exact"/>
        <w:rPr>
          <w:sz w:val="20"/>
          <w:szCs w:val="20"/>
          <w:color w:val="auto"/>
        </w:rPr>
      </w:pPr>
    </w:p>
    <w:p>
      <w:pPr>
        <w:ind w:right="60" w:firstLine="1305"/>
        <w:spacing w:after="0" w:line="270" w:lineRule="auto"/>
        <w:tabs>
          <w:tab w:leader="none" w:pos="1428"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This Agreement shall create a continuing security interest in the Pledged Collateral and shall (i) be binding upon the Pledgors, their respective successors and assigns and (ii) inure, together with the rights and remedies of the Collateral Agent hereunder, to the benefit of the Collateral Agent and the other Secured Parties and each of their respective successors, transferees and assigns. No other persons (including any other creditor of any Pledgor) shall have any interest herein or any right or benefit with respect hereto. Without limiting the generality of the foregoing clause (ii), any Secured Party may assign or otherwise transfer any indebtedness held by it secured by this Agreement to any other person, and such other person shall thereupon become vested with all the benefits in respect thereof granted to such Secured Party, herein or otherwise, subject however, to the provisions of the Credit Agreement and, in the case of a Secured Party that is a party to a Hedging Agreement, such Hedging Agreement. Each of the Pledgors agrees that its obligations hereunder and the security interest created hereunder shall continue to be effective or be reinstated, as applicable, if at any time payment, or any part thereof, of all or any part of the Secured Obligations is rescinded or must otherwise be restored by the Secured Party upon the bankruptcy or reorganization of any Pledgor or otherwise.</w:t>
      </w:r>
    </w:p>
    <w:p>
      <w:pPr>
        <w:spacing w:after="0" w:line="232"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5"/>
          <w:szCs w:val="15"/>
          <w:u w:val="single" w:color="auto"/>
          <w:color w:val="auto"/>
        </w:rPr>
        <w:t>Termination; Release</w:t>
      </w:r>
    </w:p>
    <w:p>
      <w:pPr>
        <w:spacing w:after="0" w:line="252" w:lineRule="exact"/>
        <w:rPr>
          <w:sz w:val="20"/>
          <w:szCs w:val="20"/>
          <w:color w:val="auto"/>
        </w:rPr>
      </w:pPr>
    </w:p>
    <w:p>
      <w:pPr>
        <w:ind w:right="60" w:firstLine="1305"/>
        <w:spacing w:after="0" w:line="270" w:lineRule="auto"/>
        <w:tabs>
          <w:tab w:leader="none" w:pos="1428" w:val="left"/>
        </w:tabs>
        <w:numPr>
          <w:ilvl w:val="0"/>
          <w:numId w:val="373"/>
        </w:numPr>
        <w:rPr>
          <w:rFonts w:ascii="Arial" w:cs="Arial" w:eastAsia="Arial" w:hAnsi="Arial"/>
          <w:sz w:val="17"/>
          <w:szCs w:val="17"/>
          <w:color w:val="auto"/>
        </w:rPr>
      </w:pPr>
      <w:r>
        <w:rPr>
          <w:rFonts w:ascii="Arial" w:cs="Arial" w:eastAsia="Arial" w:hAnsi="Arial"/>
          <w:sz w:val="17"/>
          <w:szCs w:val="17"/>
          <w:color w:val="auto"/>
        </w:rPr>
        <w:t>When all the Secured Obligations have been paid in full and the Commitments of the Lenders to make any Loan or to issue any Letter of Credit under the Credit Agreement shall have expired or been sooner terminated and all Letters of Credit have been terminated or cash collateralized in accordance with the provisions of the Credit Agreement, this Agreement shall terminate. Upon termination of this Agreement the Pledged Collateral shall be released from the Lien of this Agreement. Upon such release or any release of Pledged Collateral or any part thereof in accordance with the provisions of the Credit Agreement, the Collateral Agent shall, upon the request and at the sole cost and expense of the Pledgors, assign, transfer and deliver to the relevant Pledgor, against receipt and without recourse to or warranty by the Collateral Agent except as to the fact that the Collateral Agent has not encumbered the released assets, such of the Pledged Collateral or any part thereof to be released (in the case of a release) as may be in possession of the Collateral Agent and as shall not have been sold or otherwise applied pursuant to the terms hereof, and, with respect to any other Pledged Collateral, proper documents and instruments (including any necessary UCC-3 termination financing statements or releases) acknowledging the termination hereof or the release of such Pledged Collateral, as the case may be.</w:t>
      </w:r>
    </w:p>
    <w:p>
      <w:pPr>
        <w:spacing w:after="0" w:line="232"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7"/>
          <w:szCs w:val="17"/>
          <w:u w:val="single" w:color="auto"/>
          <w:color w:val="auto"/>
        </w:rPr>
        <w:t>Modification in Writing</w:t>
      </w:r>
    </w:p>
    <w:p>
      <w:pPr>
        <w:spacing w:after="0" w:line="252" w:lineRule="exact"/>
        <w:rPr>
          <w:sz w:val="20"/>
          <w:szCs w:val="20"/>
          <w:color w:val="auto"/>
        </w:rPr>
      </w:pPr>
    </w:p>
    <w:p>
      <w:pPr>
        <w:ind w:right="20" w:firstLine="1305"/>
        <w:spacing w:after="0" w:line="293" w:lineRule="auto"/>
        <w:tabs>
          <w:tab w:leader="none" w:pos="143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No amendment, modification, supplement, termination or waiver of or to any provision hereof, nor consent to any departure by any Pledgor therefrom, shall be effective unless the same shall be made in accordance with the terms of the Credit Agreement and unless in writing and signed by the Collateral Agent. Any amendment, modification or supplement of or to any provision hereof, any waiver of any provision hereof and any consent to any departure by any Pledgor from the terms of any provision hereof in each case shall be effective only in the specific instance and for the specific purpose for which made or given. Except where notice is specifically required by this Agreement or any other document evidencing the Secured Obligations, no notice to or demand on any Pledgor in any case shall entitle any Pledgor to any other or further notice or demand in similar or other circumstances.</w:t>
      </w:r>
    </w:p>
    <w:p>
      <w:pPr>
        <w:spacing w:after="0" w:line="219"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u w:val="single" w:color="auto"/>
          <w:color w:val="auto"/>
        </w:rPr>
        <w:t>Notices</w:t>
      </w:r>
    </w:p>
    <w:p>
      <w:pPr>
        <w:spacing w:after="0" w:line="252" w:lineRule="exact"/>
        <w:rPr>
          <w:sz w:val="20"/>
          <w:szCs w:val="20"/>
          <w:color w:val="auto"/>
        </w:rPr>
      </w:pPr>
    </w:p>
    <w:p>
      <w:pPr>
        <w:ind w:right="60" w:firstLine="1305"/>
        <w:spacing w:after="0" w:line="302" w:lineRule="auto"/>
        <w:tabs>
          <w:tab w:leader="none" w:pos="1432" w:val="left"/>
        </w:tabs>
        <w:numPr>
          <w:ilvl w:val="0"/>
          <w:numId w:val="375"/>
        </w:numPr>
        <w:rPr>
          <w:rFonts w:ascii="Arial" w:cs="Arial" w:eastAsia="Arial" w:hAnsi="Arial"/>
          <w:sz w:val="16"/>
          <w:szCs w:val="16"/>
          <w:color w:val="auto"/>
        </w:rPr>
      </w:pPr>
      <w:r>
        <w:rPr>
          <w:rFonts w:ascii="Arial" w:cs="Arial" w:eastAsia="Arial" w:hAnsi="Arial"/>
          <w:sz w:val="16"/>
          <w:szCs w:val="16"/>
          <w:color w:val="auto"/>
        </w:rPr>
        <w:t xml:space="preserve">Unless otherwise provided herein or in the Credit Agreement, any notice or other communication herein required or permitted to be given shall be given in the manner and become effective as set forth in the Credit Agreement, as to any Pledgor, addressed to it at the address of the Borrower set forth in the Credit Agreement and as to the Collateral Agent, addressed to it at the address set forth in the Credit Agreement, or in each case at such other address as shall be designated by such party in a written notice to the other party complying as to delivery with the terms of this </w:t>
      </w:r>
      <w:r>
        <w:rPr>
          <w:rFonts w:ascii="Arial" w:cs="Arial" w:eastAsia="Arial" w:hAnsi="Arial"/>
          <w:sz w:val="16"/>
          <w:szCs w:val="16"/>
          <w:u w:val="single" w:color="auto"/>
          <w:color w:val="auto"/>
        </w:rPr>
        <w:t>Section 11.6</w:t>
      </w:r>
      <w:r>
        <w:rPr>
          <w:rFonts w:ascii="Arial" w:cs="Arial" w:eastAsia="Arial" w:hAnsi="Arial"/>
          <w:sz w:val="16"/>
          <w:szCs w:val="16"/>
          <w:color w:val="auto"/>
        </w:rPr>
        <w:t>.</w:t>
      </w:r>
    </w:p>
    <w:p>
      <w:pPr>
        <w:spacing w:after="0" w:line="208"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18"/>
          <w:szCs w:val="18"/>
          <w:color w:val="auto"/>
        </w:rPr>
        <w:t>SECTION 11.7.</w:t>
      </w:r>
      <w:r>
        <w:rPr>
          <w:sz w:val="20"/>
          <w:szCs w:val="20"/>
          <w:color w:val="auto"/>
        </w:rPr>
        <w:tab/>
      </w:r>
      <w:r>
        <w:rPr>
          <w:rFonts w:ascii="Arial" w:cs="Arial" w:eastAsia="Arial" w:hAnsi="Arial"/>
          <w:sz w:val="16"/>
          <w:szCs w:val="16"/>
          <w:u w:val="single" w:color="auto"/>
          <w:color w:val="auto"/>
        </w:rPr>
        <w:t>Governing Law, Consent to Jurisdiction and Service of Process; Waiver of Jury Trial</w:t>
      </w:r>
    </w:p>
    <w:p>
      <w:pPr>
        <w:spacing w:after="0" w:line="252" w:lineRule="exact"/>
        <w:rPr>
          <w:sz w:val="20"/>
          <w:szCs w:val="20"/>
          <w:color w:val="auto"/>
        </w:rPr>
      </w:pPr>
    </w:p>
    <w:p>
      <w:pPr>
        <w:ind w:left="1440" w:hanging="135"/>
        <w:spacing w:after="0"/>
        <w:tabs>
          <w:tab w:leader="none" w:pos="144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Sections 10.09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10.10</w:t>
      </w:r>
      <w:r>
        <w:rPr>
          <w:rFonts w:ascii="Arial" w:cs="Arial" w:eastAsia="Arial" w:hAnsi="Arial"/>
          <w:sz w:val="18"/>
          <w:szCs w:val="18"/>
          <w:color w:val="auto"/>
        </w:rPr>
        <w:t xml:space="preserve"> of the Credit Agreement are incorporated herein, </w:t>
      </w:r>
      <w:r>
        <w:rPr>
          <w:rFonts w:ascii="Arial" w:cs="Arial" w:eastAsia="Arial" w:hAnsi="Arial"/>
          <w:sz w:val="18"/>
          <w:szCs w:val="18"/>
          <w:i w:val="1"/>
          <w:iCs w:val="1"/>
          <w:color w:val="auto"/>
        </w:rPr>
        <w:t>mutatis mutandis</w:t>
      </w:r>
      <w:r>
        <w:rPr>
          <w:rFonts w:ascii="Arial" w:cs="Arial" w:eastAsia="Arial" w:hAnsi="Arial"/>
          <w:sz w:val="18"/>
          <w:szCs w:val="18"/>
          <w:color w:val="auto"/>
        </w:rPr>
        <w:t>, as if a part hereof.</w:t>
      </w:r>
    </w:p>
    <w:p>
      <w:pPr>
        <w:spacing w:after="0" w:line="27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SECTION 11.8.</w:t>
      </w:r>
      <w:r>
        <w:rPr>
          <w:rFonts w:ascii="Arial" w:cs="Arial" w:eastAsia="Arial" w:hAnsi="Arial"/>
          <w:sz w:val="16"/>
          <w:szCs w:val="16"/>
          <w:u w:val="single" w:color="auto"/>
          <w:color w:val="auto"/>
        </w:rPr>
        <w:t>Severability of Provisions</w:t>
      </w:r>
    </w:p>
    <w:p>
      <w:pPr>
        <w:spacing w:after="0" w:line="252" w:lineRule="exact"/>
        <w:rPr>
          <w:sz w:val="20"/>
          <w:szCs w:val="20"/>
          <w:color w:val="auto"/>
        </w:rPr>
      </w:pPr>
    </w:p>
    <w:p>
      <w:pPr>
        <w:jc w:val="both"/>
        <w:ind w:right="20" w:firstLine="1305"/>
        <w:spacing w:after="0" w:line="264" w:lineRule="auto"/>
        <w:tabs>
          <w:tab w:leader="none" w:pos="142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Any provision hereof which is invalid, illegal or unenforceable in any jurisdiction shall, as to such jurisdiction, be ineffective to the extent of such invalidity, illegality or unenforceability without invalidating the remaining provisions hereof or affecting the validity, legality or enforceability of such provision in any other jurisdiction.</w:t>
      </w:r>
    </w:p>
    <w:p>
      <w:pPr>
        <w:spacing w:after="0" w:line="235"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18"/>
          <w:szCs w:val="18"/>
          <w:color w:val="auto"/>
        </w:rPr>
        <w:t>SECTION 11.9.</w:t>
      </w:r>
      <w:r>
        <w:rPr>
          <w:sz w:val="20"/>
          <w:szCs w:val="20"/>
          <w:color w:val="auto"/>
        </w:rPr>
        <w:tab/>
      </w:r>
      <w:r>
        <w:rPr>
          <w:rFonts w:ascii="Arial" w:cs="Arial" w:eastAsia="Arial" w:hAnsi="Arial"/>
          <w:sz w:val="16"/>
          <w:szCs w:val="16"/>
          <w:u w:val="single" w:color="auto"/>
          <w:color w:val="auto"/>
        </w:rPr>
        <w:t>Execution in Counterparts</w:t>
      </w:r>
    </w:p>
    <w:p>
      <w:pPr>
        <w:spacing w:after="0" w:line="252" w:lineRule="exact"/>
        <w:rPr>
          <w:sz w:val="20"/>
          <w:szCs w:val="20"/>
          <w:color w:val="auto"/>
        </w:rPr>
      </w:pPr>
    </w:p>
    <w:p>
      <w:pPr>
        <w:jc w:val="both"/>
        <w:ind w:right="260" w:firstLine="1305"/>
        <w:spacing w:after="0" w:line="264" w:lineRule="auto"/>
        <w:tabs>
          <w:tab w:leader="none" w:pos="142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This Agreement and any amendments, waivers, consents or supplements hereto may be executed in any number of counterparts and by different parties hereto in separate counterparts, each of which when so executed and delivered shall be deemed to be an original, but all such counterparts together shall constitute one and the same agreement.</w:t>
      </w:r>
    </w:p>
    <w:p>
      <w:pPr>
        <w:sectPr>
          <w:pgSz w:w="11900" w:h="16918" w:orient="portrait"/>
          <w:cols w:equalWidth="0" w:num="1">
            <w:col w:w="11420"/>
          </w:cols>
          <w:pgMar w:left="240" w:top="125" w:right="239" w:bottom="0" w:gutter="0" w:footer="0" w:header="0"/>
        </w:sectPr>
      </w:pPr>
    </w:p>
    <w:bookmarkStart w:id="162" w:name="page163"/>
    <w:bookmarkEnd w:id="162"/>
    <w:p>
      <w:pPr>
        <w:ind w:left="1280"/>
        <w:spacing w:after="0"/>
        <w:tabs>
          <w:tab w:leader="none" w:pos="2980" w:val="left"/>
        </w:tabs>
        <w:rPr>
          <w:sz w:val="20"/>
          <w:szCs w:val="20"/>
          <w:color w:val="auto"/>
        </w:rPr>
      </w:pPr>
      <w:r>
        <w:rPr>
          <w:rFonts w:ascii="Arial" w:cs="Arial" w:eastAsia="Arial" w:hAnsi="Arial"/>
          <w:sz w:val="18"/>
          <w:szCs w:val="18"/>
          <w:color w:val="auto"/>
        </w:rPr>
        <w:t>SECTION 11.10.</w:t>
      </w:r>
      <w:r>
        <w:rPr>
          <w:sz w:val="20"/>
          <w:szCs w:val="20"/>
          <w:color w:val="auto"/>
        </w:rPr>
        <w:tab/>
      </w:r>
      <w:r>
        <w:rPr>
          <w:rFonts w:ascii="Arial" w:cs="Arial" w:eastAsia="Arial" w:hAnsi="Arial"/>
          <w:sz w:val="16"/>
          <w:szCs w:val="16"/>
          <w:u w:val="single" w:color="auto"/>
          <w:color w:val="auto"/>
        </w:rPr>
        <w:t>Business Days</w:t>
      </w:r>
    </w:p>
    <w:p>
      <w:pPr>
        <w:spacing w:after="0" w:line="252" w:lineRule="exact"/>
        <w:rPr>
          <w:sz w:val="20"/>
          <w:szCs w:val="20"/>
          <w:color w:val="auto"/>
        </w:rPr>
      </w:pPr>
    </w:p>
    <w:p>
      <w:pPr>
        <w:jc w:val="both"/>
        <w:ind w:left="-20" w:right="440" w:firstLine="1305"/>
        <w:spacing w:after="0" w:line="264" w:lineRule="auto"/>
        <w:tabs>
          <w:tab w:leader="none" w:pos="141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 the event any time period or any date provided in this Agreement ends or falls on a day other than a Business Day, then such time period shall be deemed to end and such date shall be deemed to fall on the next succeeding Business Day, and performance herein may be made on such Business Day, with the same force and effect as if made on such other day.</w:t>
      </w:r>
    </w:p>
    <w:p>
      <w:pPr>
        <w:spacing w:after="0" w:line="235" w:lineRule="exact"/>
        <w:rPr>
          <w:sz w:val="20"/>
          <w:szCs w:val="20"/>
          <w:color w:val="auto"/>
        </w:rPr>
      </w:pPr>
    </w:p>
    <w:p>
      <w:pPr>
        <w:ind w:left="1280"/>
        <w:spacing w:after="0"/>
        <w:tabs>
          <w:tab w:leader="none" w:pos="2980" w:val="left"/>
        </w:tabs>
        <w:rPr>
          <w:sz w:val="20"/>
          <w:szCs w:val="20"/>
          <w:color w:val="auto"/>
        </w:rPr>
      </w:pPr>
      <w:r>
        <w:rPr>
          <w:rFonts w:ascii="Arial" w:cs="Arial" w:eastAsia="Arial" w:hAnsi="Arial"/>
          <w:sz w:val="18"/>
          <w:szCs w:val="18"/>
          <w:color w:val="auto"/>
        </w:rPr>
        <w:t>SECTION 11.11.</w:t>
      </w:r>
      <w:r>
        <w:rPr>
          <w:sz w:val="20"/>
          <w:szCs w:val="20"/>
          <w:color w:val="auto"/>
        </w:rPr>
        <w:tab/>
      </w:r>
      <w:r>
        <w:rPr>
          <w:rFonts w:ascii="Arial" w:cs="Arial" w:eastAsia="Arial" w:hAnsi="Arial"/>
          <w:sz w:val="16"/>
          <w:szCs w:val="16"/>
          <w:u w:val="single" w:color="auto"/>
          <w:color w:val="auto"/>
        </w:rPr>
        <w:t>No Credit for Payment of Taxes or Imposition</w:t>
      </w:r>
    </w:p>
    <w:p>
      <w:pPr>
        <w:spacing w:after="0" w:line="252" w:lineRule="exact"/>
        <w:rPr>
          <w:sz w:val="20"/>
          <w:szCs w:val="20"/>
          <w:color w:val="auto"/>
        </w:rPr>
      </w:pPr>
    </w:p>
    <w:p>
      <w:pPr>
        <w:jc w:val="both"/>
        <w:ind w:left="-20" w:firstLine="1305"/>
        <w:spacing w:after="0" w:line="264" w:lineRule="auto"/>
        <w:tabs>
          <w:tab w:leader="none" w:pos="141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Such Pledgor shall not be entitled to any credit against the principal, premium, if any, or interest payable under the Credit Agreement, and such Pledgor shall not be entitled to any credit against any other sums which may become payable under the terms thereof or hereof, by reason of the payment of any Tax on the Pledged Collateral or any part thereof.</w:t>
      </w:r>
    </w:p>
    <w:p>
      <w:pPr>
        <w:spacing w:after="0" w:line="235" w:lineRule="exact"/>
        <w:rPr>
          <w:sz w:val="20"/>
          <w:szCs w:val="20"/>
          <w:color w:val="auto"/>
        </w:rPr>
      </w:pPr>
    </w:p>
    <w:p>
      <w:pPr>
        <w:ind w:left="1280"/>
        <w:spacing w:after="0"/>
        <w:tabs>
          <w:tab w:leader="none" w:pos="298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6"/>
          <w:szCs w:val="16"/>
          <w:u w:val="single" w:color="auto"/>
          <w:color w:val="auto"/>
        </w:rPr>
        <w:t>No Claims Against Collateral Agent</w:t>
      </w:r>
    </w:p>
    <w:p>
      <w:pPr>
        <w:spacing w:after="0" w:line="252" w:lineRule="exact"/>
        <w:rPr>
          <w:sz w:val="20"/>
          <w:szCs w:val="20"/>
          <w:color w:val="auto"/>
        </w:rPr>
      </w:pPr>
    </w:p>
    <w:p>
      <w:pPr>
        <w:ind w:left="-20" w:right="60" w:firstLine="1305"/>
        <w:spacing w:after="0" w:line="276" w:lineRule="auto"/>
        <w:tabs>
          <w:tab w:leader="none" w:pos="1412" w:val="left"/>
        </w:tabs>
        <w:numPr>
          <w:ilvl w:val="0"/>
          <w:numId w:val="381"/>
        </w:numPr>
        <w:rPr>
          <w:rFonts w:ascii="Arial" w:cs="Arial" w:eastAsia="Arial" w:hAnsi="Arial"/>
          <w:sz w:val="17"/>
          <w:szCs w:val="17"/>
          <w:color w:val="auto"/>
        </w:rPr>
      </w:pPr>
      <w:r>
        <w:rPr>
          <w:rFonts w:ascii="Arial" w:cs="Arial" w:eastAsia="Arial" w:hAnsi="Arial"/>
          <w:sz w:val="17"/>
          <w:szCs w:val="17"/>
          <w:color w:val="auto"/>
        </w:rPr>
        <w:t>Nothing contained in this Agreement shall constitute any consent or request by the Collateral Agent, express or implied, for the performance of any labor or services or the furnishing of any materials or other property in respect of the Pledged Collateral or any part thereof, nor as giving any Pledgor any right, power or authority to contract for or permit the performance of any labor or services or the furnishing of any materials or other property in such fashion as would permit the making of any claim against the Collateral Agent in respect thereof or any claim that any Lien based on the performance of such labor or services or the furnishing of any such materials or other property is prior to the Lien hereof.</w:t>
      </w:r>
    </w:p>
    <w:p>
      <w:pPr>
        <w:spacing w:after="0" w:line="227" w:lineRule="exact"/>
        <w:rPr>
          <w:sz w:val="20"/>
          <w:szCs w:val="20"/>
          <w:color w:val="auto"/>
        </w:rPr>
      </w:pPr>
    </w:p>
    <w:p>
      <w:pPr>
        <w:ind w:left="1280"/>
        <w:spacing w:after="0"/>
        <w:tabs>
          <w:tab w:leader="none" w:pos="2980" w:val="left"/>
        </w:tabs>
        <w:rPr>
          <w:sz w:val="20"/>
          <w:szCs w:val="20"/>
          <w:color w:val="auto"/>
        </w:rPr>
      </w:pPr>
      <w:r>
        <w:rPr>
          <w:rFonts w:ascii="Arial" w:cs="Arial" w:eastAsia="Arial" w:hAnsi="Arial"/>
          <w:sz w:val="18"/>
          <w:szCs w:val="18"/>
          <w:color w:val="auto"/>
        </w:rPr>
        <w:t>SECTION 11.13.</w:t>
      </w:r>
      <w:r>
        <w:rPr>
          <w:sz w:val="20"/>
          <w:szCs w:val="20"/>
          <w:color w:val="auto"/>
        </w:rPr>
        <w:tab/>
      </w:r>
      <w:r>
        <w:rPr>
          <w:rFonts w:ascii="Arial" w:cs="Arial" w:eastAsia="Arial" w:hAnsi="Arial"/>
          <w:sz w:val="16"/>
          <w:szCs w:val="16"/>
          <w:u w:val="single" w:color="auto"/>
          <w:color w:val="auto"/>
        </w:rPr>
        <w:t>No Release</w:t>
      </w:r>
    </w:p>
    <w:p>
      <w:pPr>
        <w:spacing w:after="0" w:line="252" w:lineRule="exact"/>
        <w:rPr>
          <w:sz w:val="20"/>
          <w:szCs w:val="20"/>
          <w:color w:val="auto"/>
        </w:rPr>
      </w:pPr>
    </w:p>
    <w:p>
      <w:pPr>
        <w:ind w:left="-20" w:right="20" w:firstLine="1305"/>
        <w:spacing w:after="0" w:line="287" w:lineRule="auto"/>
        <w:tabs>
          <w:tab w:leader="none" w:pos="1412"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xml:space="preserve">Nothing set forth in this Agreement or any other Loan Document, nor the exercise by the Collateral Agent of any of the rights or remedies hereunder, shall relieve any Pledgor from the performance of any term, covenant, condition or agreement on such Pledgor’s part to be performed or observed under or in respect of any of the Pledged Collateral or from any liability to any person under or in respect of any of the Pledged Collateral or shall impose any obligation on the Collateral Agent or any other Secured Party to perform or observe any such term, covenant, condition or agreement on such Pledgor’s part to be so performed or observed or shall impose any liability on the Collateral Agent or any other Secured Party for any act or omission on the part of such Pledgor relating thereto or for any breach of any representation or warranty on the part of such Pledgor contained in this Agreement, the Credit Agreement or the other Loan Documents, or under or in respect of the Pledged Collateral or made in connection herewith or therewith. Anything herein to the contrary notwithstanding, neither the Collateral Agent nor any other Secured Party shall have any obligation or liability under any contracts, agreements and other documents included in the Pledged Collateral by reason of this Agreement, nor shall the Collateral Agent or any other Secured Party be obligated to perform any of the obligations or duties of any Pledgor thereunder or to take any action to collect or enforce any such contract, agreement or other document included in the Pledged Collateral hereunder. The obligations of each Pledgor contained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shall survive the termination hereof and the discharge of such Pledgor’s other obligations under this Agreement, the Credit Agreement and the other Loan Documents.</w:t>
      </w:r>
    </w:p>
    <w:p>
      <w:pPr>
        <w:spacing w:after="0" w:line="223" w:lineRule="exact"/>
        <w:rPr>
          <w:sz w:val="20"/>
          <w:szCs w:val="20"/>
          <w:color w:val="auto"/>
        </w:rPr>
      </w:pPr>
    </w:p>
    <w:p>
      <w:pPr>
        <w:ind w:left="1280"/>
        <w:spacing w:after="0"/>
        <w:tabs>
          <w:tab w:leader="none" w:pos="2980" w:val="left"/>
        </w:tabs>
        <w:rPr>
          <w:sz w:val="20"/>
          <w:szCs w:val="20"/>
          <w:color w:val="auto"/>
        </w:rPr>
      </w:pPr>
      <w:r>
        <w:rPr>
          <w:rFonts w:ascii="Arial" w:cs="Arial" w:eastAsia="Arial" w:hAnsi="Arial"/>
          <w:sz w:val="18"/>
          <w:szCs w:val="18"/>
          <w:color w:val="auto"/>
        </w:rPr>
        <w:t>SECTION 11.14.</w:t>
      </w:r>
      <w:r>
        <w:rPr>
          <w:sz w:val="20"/>
          <w:szCs w:val="20"/>
          <w:color w:val="auto"/>
        </w:rPr>
        <w:tab/>
      </w:r>
      <w:r>
        <w:rPr>
          <w:rFonts w:ascii="Arial" w:cs="Arial" w:eastAsia="Arial" w:hAnsi="Arial"/>
          <w:sz w:val="16"/>
          <w:szCs w:val="16"/>
          <w:u w:val="single" w:color="auto"/>
          <w:color w:val="auto"/>
        </w:rPr>
        <w:t>Obligations Absolute</w:t>
      </w:r>
    </w:p>
    <w:p>
      <w:pPr>
        <w:spacing w:after="0" w:line="252" w:lineRule="exact"/>
        <w:rPr>
          <w:sz w:val="20"/>
          <w:szCs w:val="20"/>
          <w:color w:val="auto"/>
        </w:rPr>
      </w:pPr>
    </w:p>
    <w:p>
      <w:pPr>
        <w:ind w:left="1400" w:hanging="115"/>
        <w:spacing w:after="0"/>
        <w:tabs>
          <w:tab w:leader="none" w:pos="140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All obligations of each Pledgor hereunder shall be absolute and unconditional irrespective of:</w:t>
      </w:r>
    </w:p>
    <w:p>
      <w:pPr>
        <w:spacing w:after="0" w:line="279" w:lineRule="exact"/>
        <w:rPr>
          <w:rFonts w:ascii="Arial" w:cs="Arial" w:eastAsia="Arial" w:hAnsi="Arial"/>
          <w:sz w:val="18"/>
          <w:szCs w:val="18"/>
          <w:color w:val="auto"/>
        </w:rPr>
      </w:pPr>
    </w:p>
    <w:p>
      <w:pPr>
        <w:ind w:left="2860" w:hanging="603"/>
        <w:spacing w:after="0"/>
        <w:tabs>
          <w:tab w:leader="none" w:pos="2860" w:val="left"/>
        </w:tabs>
        <w:numPr>
          <w:ilvl w:val="1"/>
          <w:numId w:val="383"/>
        </w:numPr>
        <w:rPr>
          <w:rFonts w:ascii="Arial" w:cs="Arial" w:eastAsia="Arial" w:hAnsi="Arial"/>
          <w:sz w:val="17"/>
          <w:szCs w:val="17"/>
          <w:color w:val="auto"/>
        </w:rPr>
      </w:pPr>
      <w:r>
        <w:rPr>
          <w:rFonts w:ascii="Arial" w:cs="Arial" w:eastAsia="Arial" w:hAnsi="Arial"/>
          <w:sz w:val="17"/>
          <w:szCs w:val="17"/>
          <w:color w:val="auto"/>
        </w:rPr>
        <w:t>any bankruptcy, insolvency, reorganization, arrangement, readjustment, composition, liquidation or the like of any</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other Pledgor;</w:t>
      </w:r>
    </w:p>
    <w:p>
      <w:pPr>
        <w:spacing w:after="0" w:line="264" w:lineRule="exact"/>
        <w:rPr>
          <w:rFonts w:ascii="Arial" w:cs="Arial" w:eastAsia="Arial" w:hAnsi="Arial"/>
          <w:sz w:val="17"/>
          <w:szCs w:val="17"/>
          <w:color w:val="auto"/>
        </w:rPr>
      </w:pPr>
    </w:p>
    <w:p>
      <w:pPr>
        <w:ind w:left="640" w:right="20" w:firstLine="1617"/>
        <w:spacing w:after="0" w:line="277" w:lineRule="auto"/>
        <w:tabs>
          <w:tab w:leader="none" w:pos="2913"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any lack of validity or enforceability of the Credit Agreement, any Hedging Agreement or any other Loan Document, or any other agreement or instrument relating thereto;</w:t>
      </w:r>
    </w:p>
    <w:p>
      <w:pPr>
        <w:spacing w:after="0" w:line="224" w:lineRule="exact"/>
        <w:rPr>
          <w:rFonts w:ascii="Arial" w:cs="Arial" w:eastAsia="Arial" w:hAnsi="Arial"/>
          <w:sz w:val="18"/>
          <w:szCs w:val="18"/>
          <w:color w:val="auto"/>
        </w:rPr>
      </w:pPr>
    </w:p>
    <w:p>
      <w:pPr>
        <w:ind w:left="640" w:firstLine="1617"/>
        <w:spacing w:after="0" w:line="264" w:lineRule="auto"/>
        <w:tabs>
          <w:tab w:leader="none" w:pos="2963"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Secured Obligations, or any other amendment or waiver of or any consent to any departure from the Credit Agreement, any Hedging Agreement or any other Loan Document or any other agreement or instrument relating thereto;</w:t>
      </w:r>
    </w:p>
    <w:p>
      <w:pPr>
        <w:spacing w:after="0" w:line="235" w:lineRule="exact"/>
        <w:rPr>
          <w:rFonts w:ascii="Arial" w:cs="Arial" w:eastAsia="Arial" w:hAnsi="Arial"/>
          <w:sz w:val="18"/>
          <w:szCs w:val="18"/>
          <w:color w:val="auto"/>
        </w:rPr>
      </w:pPr>
    </w:p>
    <w:p>
      <w:pPr>
        <w:ind w:left="640" w:right="100" w:firstLine="1617"/>
        <w:spacing w:after="0" w:line="277" w:lineRule="auto"/>
        <w:tabs>
          <w:tab w:leader="none" w:pos="2953"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any pledge, exchange, release or non-perfection of any other collateral, or any release or amendment or waiver of or consent to any departure from any guarantee, for all or any of the Secured Obligations;</w:t>
      </w:r>
    </w:p>
    <w:p>
      <w:pPr>
        <w:spacing w:after="0" w:line="224" w:lineRule="exact"/>
        <w:rPr>
          <w:rFonts w:ascii="Arial" w:cs="Arial" w:eastAsia="Arial" w:hAnsi="Arial"/>
          <w:sz w:val="18"/>
          <w:szCs w:val="18"/>
          <w:color w:val="auto"/>
        </w:rPr>
      </w:pPr>
    </w:p>
    <w:p>
      <w:pPr>
        <w:jc w:val="both"/>
        <w:ind w:left="640" w:right="220" w:firstLine="1617"/>
        <w:spacing w:after="0" w:line="264" w:lineRule="auto"/>
        <w:tabs>
          <w:tab w:leader="none" w:pos="2903" w:val="left"/>
        </w:tabs>
        <w:numPr>
          <w:ilvl w:val="1"/>
          <w:numId w:val="383"/>
        </w:numPr>
        <w:rPr>
          <w:rFonts w:ascii="Arial" w:cs="Arial" w:eastAsia="Arial" w:hAnsi="Arial"/>
          <w:sz w:val="18"/>
          <w:szCs w:val="18"/>
          <w:color w:val="auto"/>
        </w:rPr>
      </w:pPr>
      <w:r>
        <w:rPr>
          <w:rFonts w:ascii="Arial" w:cs="Arial" w:eastAsia="Arial" w:hAnsi="Arial"/>
          <w:sz w:val="18"/>
          <w:szCs w:val="18"/>
          <w:color w:val="auto"/>
        </w:rPr>
        <w:t xml:space="preserve">any exercise, non-exercise or waiver of any right, remedy, power or privilege under or in respect hereof, the Credit Agreement, any Hedging Agreement or any other Loan Document except as specifically set forth in a waiver granted pursuant to the provisions of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hereof; or</w:t>
      </w:r>
    </w:p>
    <w:p>
      <w:pPr>
        <w:spacing w:after="0" w:line="235" w:lineRule="exact"/>
        <w:rPr>
          <w:rFonts w:ascii="Arial" w:cs="Arial" w:eastAsia="Arial" w:hAnsi="Arial"/>
          <w:sz w:val="18"/>
          <w:szCs w:val="18"/>
          <w:color w:val="auto"/>
        </w:rPr>
      </w:pPr>
    </w:p>
    <w:p>
      <w:pPr>
        <w:ind w:left="2940" w:hanging="683"/>
        <w:spacing w:after="0"/>
        <w:tabs>
          <w:tab w:leader="none" w:pos="2940" w:val="left"/>
        </w:tabs>
        <w:numPr>
          <w:ilvl w:val="1"/>
          <w:numId w:val="383"/>
        </w:numPr>
        <w:rPr>
          <w:rFonts w:ascii="Arial" w:cs="Arial" w:eastAsia="Arial" w:hAnsi="Arial"/>
          <w:sz w:val="17"/>
          <w:szCs w:val="17"/>
          <w:color w:val="auto"/>
        </w:rPr>
      </w:pPr>
      <w:r>
        <w:rPr>
          <w:rFonts w:ascii="Arial" w:cs="Arial" w:eastAsia="Arial" w:hAnsi="Arial"/>
          <w:sz w:val="17"/>
          <w:szCs w:val="17"/>
          <w:color w:val="auto"/>
        </w:rPr>
        <w:t>any other circumstances which might otherwise constitute a defense available to, or a discharge of, any Pledgor.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389890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163" w:name="page164"/>
    <w:bookmarkEnd w:id="163"/>
    <w:p>
      <w:pPr>
        <w:ind w:firstLine="1297"/>
        <w:spacing w:after="0" w:line="277" w:lineRule="auto"/>
        <w:rPr>
          <w:sz w:val="20"/>
          <w:szCs w:val="20"/>
          <w:color w:val="auto"/>
        </w:rPr>
      </w:pPr>
      <w:r>
        <w:rPr>
          <w:rFonts w:ascii="Arial" w:cs="Arial" w:eastAsia="Arial" w:hAnsi="Arial"/>
          <w:sz w:val="18"/>
          <w:szCs w:val="18"/>
          <w:color w:val="auto"/>
        </w:rPr>
        <w:t>IN WITNESS WHEREOF, each Pledgor and the Collateral Agent have caused this Agreement to be duly executed and delivered by their duly authorized officers as of the date first above written.</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ITRON, INC., as a Pledgor</w:t>
      </w:r>
    </w:p>
    <w:p>
      <w:pPr>
        <w:spacing w:after="0" w:line="25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M. Helmbrecht</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Steven M. Helmbrecht</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ITRON INTERNATIONAL, INC., as a Pledgor</w:t>
      </w:r>
    </w:p>
    <w:p>
      <w:pPr>
        <w:spacing w:after="0" w:line="25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M. Helmbrecht</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Steven M. Helmbrecht</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 President and Treasurer</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ITRON ENGINEERING SERVICES, INC., as a Pledgor</w:t>
      </w:r>
    </w:p>
    <w:p>
      <w:pPr>
        <w:spacing w:after="0" w:line="25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M. Helmbrecht</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Steven M. Helmbrecht</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 Vice President</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ITRON BRAZIL I, LLC, as a Pledgor</w:t>
      </w:r>
    </w:p>
    <w:p>
      <w:pPr>
        <w:spacing w:after="0" w:line="25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Joseph P. Ball</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Joseph P. Ball</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 Manager</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ITRON BRAZIL II, LLC, as a Pledgor</w:t>
      </w:r>
    </w:p>
    <w:p>
      <w:pPr>
        <w:spacing w:after="0" w:line="25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Joseph P. Ball</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 Joseph P. Ball</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369" w:right="459" w:bottom="1440" w:gutter="0" w:footer="0" w:header="0"/>
        </w:sectPr>
      </w:pPr>
    </w:p>
    <w:bookmarkStart w:id="164" w:name="page165"/>
    <w:bookmarkEnd w:id="164"/>
    <w:p>
      <w:pPr>
        <w:ind w:left="270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as Collateral Agent</w:t>
      </w:r>
    </w:p>
    <w:p>
      <w:pPr>
        <w:spacing w:after="0" w:line="23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Tom Beil</w:t>
      </w:r>
    </w:p>
    <w:p>
      <w:pPr>
        <w:spacing w:after="0" w:line="3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Tom Beil</w:t>
      </w:r>
    </w:p>
    <w:p>
      <w:pPr>
        <w:spacing w:after="0" w:line="3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870585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65" w:name="page166"/>
    <w:bookmarkEnd w:id="165"/>
    <w:tbl>
      <w:tblPr>
        <w:tblLayout w:type="fixed"/>
        <w:tblInd w:w="130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40" w:type="dxa"/>
            <w:vAlign w:val="bottom"/>
          </w:tcPr>
          <w:p>
            <w:pPr>
              <w:ind w:left="3380"/>
              <w:spacing w:after="0"/>
              <w:rPr>
                <w:sz w:val="20"/>
                <w:szCs w:val="20"/>
                <w:color w:val="auto"/>
              </w:rPr>
            </w:pPr>
            <w:r>
              <w:rPr>
                <w:rFonts w:ascii="Arial" w:cs="Arial" w:eastAsia="Arial" w:hAnsi="Arial"/>
                <w:sz w:val="18"/>
                <w:szCs w:val="18"/>
                <w:color w:val="auto"/>
                <w:w w:val="98"/>
              </w:rPr>
              <w:t>EXHIBIT 1</w:t>
            </w:r>
          </w:p>
        </w:tc>
      </w:tr>
      <w:tr>
        <w:trPr>
          <w:trHeight w:val="945"/>
        </w:trPr>
        <w:tc>
          <w:tcPr>
            <w:tcW w:w="10120" w:type="dxa"/>
            <w:vAlign w:val="bottom"/>
            <w:gridSpan w:val="7"/>
          </w:tcPr>
          <w:p>
            <w:pPr>
              <w:jc w:val="center"/>
              <w:ind w:right="1210"/>
              <w:spacing w:after="0"/>
              <w:rPr>
                <w:sz w:val="20"/>
                <w:szCs w:val="20"/>
                <w:color w:val="auto"/>
              </w:rPr>
            </w:pPr>
            <w:r>
              <w:rPr>
                <w:rFonts w:ascii="Arial" w:cs="Arial" w:eastAsia="Arial" w:hAnsi="Arial"/>
                <w:sz w:val="18"/>
                <w:szCs w:val="18"/>
                <w:color w:val="auto"/>
                <w:w w:val="97"/>
              </w:rPr>
              <w:t>ISSUER’S ACKNOWLEDGMENT</w:t>
            </w:r>
          </w:p>
        </w:tc>
      </w:tr>
      <w:tr>
        <w:trPr>
          <w:trHeight w:val="419"/>
        </w:trPr>
        <w:tc>
          <w:tcPr>
            <w:tcW w:w="3760" w:type="dxa"/>
            <w:vAlign w:val="bottom"/>
          </w:tcPr>
          <w:p>
            <w:pPr>
              <w:spacing w:after="0"/>
              <w:rPr>
                <w:sz w:val="20"/>
                <w:szCs w:val="20"/>
                <w:color w:val="auto"/>
              </w:rPr>
            </w:pPr>
            <w:r>
              <w:rPr>
                <w:rFonts w:ascii="Arial" w:cs="Arial" w:eastAsia="Arial" w:hAnsi="Arial"/>
                <w:sz w:val="18"/>
                <w:szCs w:val="18"/>
                <w:color w:val="auto"/>
                <w:w w:val="90"/>
              </w:rPr>
              <w:t>The undersigned hereby (i) acknowledges as of this</w:t>
            </w:r>
          </w:p>
        </w:tc>
        <w:tc>
          <w:tcPr>
            <w:tcW w:w="3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day of</w:t>
            </w:r>
          </w:p>
        </w:tc>
        <w:tc>
          <w:tcPr>
            <w:tcW w:w="780" w:type="dxa"/>
            <w:vAlign w:val="bottom"/>
          </w:tcPr>
          <w:p>
            <w:pPr>
              <w:spacing w:after="0"/>
              <w:rPr>
                <w:sz w:val="24"/>
                <w:szCs w:val="24"/>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w w:val="90"/>
              </w:rPr>
              <w:t>, 20  , receipt of the Security Agreement (as amended, amended</w:t>
            </w:r>
          </w:p>
        </w:tc>
      </w:tr>
      <w:tr>
        <w:trPr>
          <w:trHeight w:val="20"/>
        </w:trPr>
        <w:tc>
          <w:tcPr>
            <w:tcW w:w="3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and restated, supplemented or otherwise modified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 capitalized terms used but not otherwise defined herein shall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have the meanings assigned to such terms in the Security Agreement), dated as of April 18, 2007, made by ITRON, INC., a Washington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Subsidiary Guarantors party thereto and WELLS FARGO BANK, NATIONAL ASSOCIATION, as collateral agent (in such capacity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together with any successors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(ii) agrees promptly to note on its books the security interests granted to the Collateral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Agent and confirmed under the Security Agreement, (iii) agrees that it will comply with instructions of the Collateral Agent with respect to the applicable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Collateral without further consent by the applicable Pledgor, (iv) agrees to notify the Collateral Agent upon obtaining knowledge of any interest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favor of any person in the applicable Securities Collateral that is adverse to the interest of the Collateral Agent therein and (v) waives any right or requirement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any time hereafter to receive a copy of the Security Agreement in connection with the registration of any Securities Collateral thereunder in the name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Collateral Agent or its nominee or the exercise of voting rights by the Collateral Agent or its nominee.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ind w:left="3900"/>
              <w:spacing w:after="0"/>
              <w:rPr>
                <w:sz w:val="20"/>
                <w:szCs w:val="20"/>
                <w:color w:val="auto"/>
              </w:rPr>
            </w:pPr>
            <w:r>
              <w:rPr>
                <w:rFonts w:ascii="Arial" w:cs="Arial" w:eastAsia="Arial" w:hAnsi="Arial"/>
                <w:sz w:val="18"/>
                <w:szCs w:val="18"/>
                <w:color w:val="auto"/>
              </w:rPr>
              <w:t>[</w:t>
            </w:r>
          </w:p>
        </w:tc>
        <w:tc>
          <w:tcPr>
            <w:tcW w:w="7140" w:type="dxa"/>
            <w:vAlign w:val="bottom"/>
          </w:tcPr>
          <w:p>
            <w:pPr>
              <w:jc w:val="right"/>
              <w:ind w:right="4710"/>
              <w:spacing w:after="0"/>
              <w:rPr>
                <w:sz w:val="20"/>
                <w:szCs w:val="20"/>
                <w:color w:val="auto"/>
              </w:rPr>
            </w:pPr>
            <w:r>
              <w:rPr>
                <w:rFonts w:ascii="Arial" w:cs="Arial" w:eastAsia="Arial" w:hAnsi="Arial"/>
                <w:sz w:val="18"/>
                <w:szCs w:val="18"/>
                <w:color w:val="auto"/>
              </w:rPr>
              <w:t>]</w:t>
            </w:r>
          </w:p>
        </w:tc>
      </w:tr>
      <w:tr>
        <w:trPr>
          <w:trHeight w:val="459"/>
        </w:trPr>
        <w:tc>
          <w:tcPr>
            <w:tcW w:w="4280" w:type="dxa"/>
            <w:vAlign w:val="bottom"/>
          </w:tcPr>
          <w:p>
            <w:pPr>
              <w:ind w:left="3900"/>
              <w:spacing w:after="0"/>
              <w:rPr>
                <w:sz w:val="20"/>
                <w:szCs w:val="20"/>
                <w:color w:val="auto"/>
              </w:rPr>
            </w:pPr>
            <w:r>
              <w:rPr>
                <w:rFonts w:ascii="Arial" w:cs="Arial" w:eastAsia="Arial" w:hAnsi="Arial"/>
                <w:sz w:val="18"/>
                <w:szCs w:val="18"/>
                <w:color w:val="auto"/>
              </w:rPr>
              <w:t>By:</w:t>
            </w:r>
          </w:p>
        </w:tc>
        <w:tc>
          <w:tcPr>
            <w:tcW w:w="7140" w:type="dxa"/>
            <w:vAlign w:val="bottom"/>
          </w:tcPr>
          <w:p>
            <w:pPr>
              <w:spacing w:after="0"/>
              <w:rPr>
                <w:sz w:val="24"/>
                <w:szCs w:val="24"/>
                <w:color w:val="auto"/>
              </w:rPr>
            </w:pPr>
          </w:p>
        </w:tc>
      </w:tr>
      <w:tr>
        <w:trPr>
          <w:trHeight w:val="243"/>
        </w:trPr>
        <w:tc>
          <w:tcPr>
            <w:tcW w:w="4280" w:type="dxa"/>
            <w:vAlign w:val="bottom"/>
          </w:tcPr>
          <w:p>
            <w:pPr>
              <w:spacing w:after="0"/>
              <w:rPr>
                <w:sz w:val="21"/>
                <w:szCs w:val="21"/>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Name:</w:t>
            </w:r>
          </w:p>
        </w:tc>
      </w:tr>
      <w:tr>
        <w:trPr>
          <w:trHeight w:val="243"/>
        </w:trPr>
        <w:tc>
          <w:tcPr>
            <w:tcW w:w="4280" w:type="dxa"/>
            <w:vAlign w:val="bottom"/>
          </w:tcPr>
          <w:p>
            <w:pPr>
              <w:spacing w:after="0"/>
              <w:rPr>
                <w:sz w:val="21"/>
                <w:szCs w:val="21"/>
                <w:color w:val="auto"/>
              </w:rPr>
            </w:pPr>
          </w:p>
        </w:tc>
        <w:tc>
          <w:tcPr>
            <w:tcW w:w="7140" w:type="dxa"/>
            <w:vAlign w:val="bottom"/>
          </w:tcPr>
          <w:p>
            <w:pPr>
              <w:ind w:left="100"/>
              <w:spacing w:after="0"/>
              <w:rPr>
                <w:sz w:val="20"/>
                <w:szCs w:val="20"/>
                <w:color w:val="auto"/>
              </w:rPr>
            </w:pPr>
            <w:r>
              <w:rPr>
                <w:rFonts w:ascii="Arial" w:cs="Arial" w:eastAsia="Arial" w:hAnsi="Arial"/>
                <w:sz w:val="18"/>
                <w:szCs w:val="18"/>
                <w:color w:val="auto"/>
              </w:rPr>
              <w:t>Title:</w:t>
            </w:r>
          </w:p>
        </w:tc>
      </w:tr>
      <w:tr>
        <w:trPr>
          <w:trHeight w:val="632"/>
        </w:trPr>
        <w:tc>
          <w:tcPr>
            <w:tcW w:w="4280" w:type="dxa"/>
            <w:vAlign w:val="bottom"/>
            <w:tcBorders>
              <w:bottom w:val="single" w:sz="8" w:color="808080"/>
            </w:tcBorders>
          </w:tcPr>
          <w:p>
            <w:pPr>
              <w:spacing w:after="0"/>
              <w:rPr>
                <w:sz w:val="24"/>
                <w:szCs w:val="24"/>
                <w:color w:val="auto"/>
              </w:rPr>
            </w:pPr>
          </w:p>
        </w:tc>
        <w:tc>
          <w:tcPr>
            <w:tcW w:w="7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6" w:name="page167"/>
    <w:bookmarkEnd w:id="166"/>
    <w:tbl>
      <w:tblPr>
        <w:tblLayout w:type="fixed"/>
        <w:tblInd w:w="130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540" w:type="dxa"/>
            <w:vAlign w:val="bottom"/>
          </w:tcPr>
          <w:p>
            <w:pPr>
              <w:ind w:left="1680"/>
              <w:spacing w:after="0"/>
              <w:rPr>
                <w:sz w:val="20"/>
                <w:szCs w:val="20"/>
                <w:color w:val="auto"/>
              </w:rPr>
            </w:pPr>
            <w:r>
              <w:rPr>
                <w:rFonts w:ascii="Arial" w:cs="Arial" w:eastAsia="Arial" w:hAnsi="Arial"/>
                <w:sz w:val="18"/>
                <w:szCs w:val="18"/>
                <w:color w:val="auto"/>
                <w:w w:val="98"/>
              </w:rPr>
              <w:t>EXHIBIT 2</w:t>
            </w:r>
          </w:p>
        </w:tc>
      </w:tr>
      <w:tr>
        <w:trPr>
          <w:trHeight w:val="459"/>
        </w:trPr>
        <w:tc>
          <w:tcPr>
            <w:tcW w:w="6200" w:type="dxa"/>
            <w:vAlign w:val="bottom"/>
            <w:gridSpan w:val="2"/>
          </w:tcPr>
          <w:p>
            <w:pPr>
              <w:ind w:left="2920"/>
              <w:spacing w:after="0"/>
              <w:rPr>
                <w:sz w:val="20"/>
                <w:szCs w:val="20"/>
                <w:color w:val="auto"/>
              </w:rPr>
            </w:pPr>
            <w:r>
              <w:rPr>
                <w:rFonts w:ascii="Arial" w:cs="Arial" w:eastAsia="Arial" w:hAnsi="Arial"/>
                <w:sz w:val="18"/>
                <w:szCs w:val="18"/>
                <w:color w:val="auto"/>
              </w:rPr>
              <w:t>SECURITIES PLEDGE AMENDMENT</w:t>
            </w: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19"/>
        </w:trPr>
        <w:tc>
          <w:tcPr>
            <w:tcW w:w="3980" w:type="dxa"/>
            <w:vAlign w:val="bottom"/>
          </w:tcPr>
          <w:p>
            <w:pPr>
              <w:spacing w:after="0"/>
              <w:rPr>
                <w:sz w:val="20"/>
                <w:szCs w:val="20"/>
                <w:color w:val="auto"/>
              </w:rPr>
            </w:pPr>
            <w:r>
              <w:rPr>
                <w:rFonts w:ascii="Arial" w:cs="Arial" w:eastAsia="Arial" w:hAnsi="Arial"/>
                <w:sz w:val="18"/>
                <w:szCs w:val="18"/>
                <w:color w:val="auto"/>
              </w:rPr>
              <w:t>This Securities Pledge Amendment, dated as of [</w:t>
            </w:r>
          </w:p>
        </w:tc>
        <w:tc>
          <w:tcPr>
            <w:tcW w:w="2220" w:type="dxa"/>
            <w:vAlign w:val="bottom"/>
          </w:tcPr>
          <w:p>
            <w:pPr>
              <w:ind w:left="440"/>
              <w:spacing w:after="0"/>
              <w:rPr>
                <w:sz w:val="20"/>
                <w:szCs w:val="20"/>
                <w:color w:val="auto"/>
              </w:rPr>
            </w:pPr>
            <w:r>
              <w:rPr>
                <w:rFonts w:ascii="Arial" w:cs="Arial" w:eastAsia="Arial" w:hAnsi="Arial"/>
                <w:sz w:val="18"/>
                <w:szCs w:val="18"/>
                <w:color w:val="auto"/>
              </w:rPr>
              <w:t>], is delivered by [</w:t>
            </w:r>
          </w:p>
        </w:tc>
        <w:tc>
          <w:tcPr>
            <w:tcW w:w="3920" w:type="dxa"/>
            <w:vAlign w:val="bottom"/>
            <w:gridSpan w:val="3"/>
          </w:tcPr>
          <w:p>
            <w:pPr>
              <w:ind w:left="300"/>
              <w:spacing w:after="0"/>
              <w:rPr>
                <w:sz w:val="20"/>
                <w:szCs w:val="20"/>
                <w:color w:val="auto"/>
              </w:rPr>
            </w:pPr>
            <w:r>
              <w:rPr>
                <w:rFonts w:ascii="Arial" w:cs="Arial" w:eastAsia="Arial" w:hAnsi="Arial"/>
                <w:sz w:val="18"/>
                <w:szCs w:val="18"/>
                <w:color w:val="auto"/>
              </w:rPr>
              <w:t>] (the “Pledgor”), in favor of WELLS FARGO</w:t>
            </w:r>
          </w:p>
        </w:tc>
      </w:tr>
      <w:tr>
        <w:trPr>
          <w:trHeight w:val="20"/>
        </w:trPr>
        <w:tc>
          <w:tcPr>
            <w:tcW w:w="3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1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BANK, NATIONAL ASSOCIATION, as collateral agent (in such capacity and together with any successors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the Security Agreement (as amended, amended and restated, supplemented or otherwise modified from time to time, the “</w:t>
      </w:r>
      <w:r>
        <w:rPr>
          <w:rFonts w:ascii="Arial" w:cs="Arial" w:eastAsia="Arial" w:hAnsi="Arial"/>
          <w:sz w:val="18"/>
          <w:szCs w:val="18"/>
          <w:u w:val="single" w:color="auto"/>
          <w:color w:val="auto"/>
        </w:rPr>
        <w:t>Security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but not otherwise defined herein shall have the meanings assigned to such terms in the Security Agreement), dated as of April 18, 2007, made by ITRON, INC., a Washington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Guarantors party thereto and WELLS FARGO BANK, NATIONAL ASSOCIATION, as collateral agent.</w:t>
      </w:r>
    </w:p>
    <w:p>
      <w:pPr>
        <w:spacing w:after="0" w:line="21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As collateral security for the payment and performance in full of all the Secured Obligations, the Pledgor hereby pledges and grants to the Collateral Agent for the benefit of the Secured Parties, a lien on and security interest in all of the right, title and interest of the Pledgor in, to and under the Pledged Securities and Intercompany Notes listed on this Securities Pledge Amendment and all Proceeds of any and all of the foregoing (other than Excluded Property).</w:t>
      </w:r>
    </w:p>
    <w:p>
      <w:pPr>
        <w:spacing w:after="0" w:line="214"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The Pledgor hereby agrees that this Securities Pledge Amendment may be attached to the Security Agreement and that the Pledged Securities and/or Intercompany Notes listed on this Securities Pledge Amendment shall be deemed to be and shall become part of the Pledged Collateral and shall secure all Secured Obligations.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60" w:type="dxa"/>
            <w:vAlign w:val="bottom"/>
          </w:tcPr>
          <w:p>
            <w:pPr>
              <w:ind w:left="220"/>
              <w:spacing w:after="0"/>
              <w:rPr>
                <w:sz w:val="20"/>
                <w:szCs w:val="20"/>
                <w:color w:val="auto"/>
              </w:rPr>
            </w:pPr>
            <w:r>
              <w:rPr>
                <w:rFonts w:ascii="Arial" w:cs="Arial" w:eastAsia="Arial" w:hAnsi="Arial"/>
                <w:sz w:val="18"/>
                <w:szCs w:val="18"/>
                <w:color w:val="auto"/>
              </w:rPr>
              <w:t>PLEDGED SECURITIES</w:t>
            </w:r>
          </w:p>
        </w:tc>
        <w:tc>
          <w:tcPr>
            <w:tcW w:w="15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45"/>
        </w:trPr>
        <w:tc>
          <w:tcPr>
            <w:tcW w:w="3520" w:type="dxa"/>
            <w:vAlign w:val="bottom"/>
          </w:tcPr>
          <w:p>
            <w:pPr>
              <w:jc w:val="center"/>
              <w:ind w:left="1710"/>
              <w:spacing w:after="0"/>
              <w:rPr>
                <w:sz w:val="20"/>
                <w:szCs w:val="20"/>
                <w:color w:val="auto"/>
              </w:rPr>
            </w:pPr>
            <w:r>
              <w:rPr>
                <w:rFonts w:ascii="Arial" w:cs="Arial" w:eastAsia="Arial" w:hAnsi="Arial"/>
                <w:sz w:val="18"/>
                <w:szCs w:val="18"/>
                <w:color w:val="auto"/>
                <w:w w:val="94"/>
              </w:rPr>
              <w:t>CLASS</w:t>
            </w:r>
          </w:p>
        </w:tc>
        <w:tc>
          <w:tcPr>
            <w:tcW w:w="10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2960" w:type="dxa"/>
            <w:vAlign w:val="bottom"/>
          </w:tcPr>
          <w:p>
            <w:pPr>
              <w:jc w:val="center"/>
              <w:ind w:left="30"/>
              <w:spacing w:after="0"/>
              <w:rPr>
                <w:sz w:val="20"/>
                <w:szCs w:val="20"/>
                <w:color w:val="auto"/>
              </w:rPr>
            </w:pPr>
            <w:r>
              <w:rPr>
                <w:rFonts w:ascii="Arial" w:cs="Arial" w:eastAsia="Arial" w:hAnsi="Arial"/>
                <w:sz w:val="18"/>
                <w:szCs w:val="18"/>
                <w:color w:val="auto"/>
                <w:w w:val="93"/>
              </w:rPr>
              <w:t>PERCENTAGE OF</w:t>
            </w:r>
          </w:p>
        </w:tc>
      </w:tr>
      <w:tr>
        <w:trPr>
          <w:trHeight w:val="216"/>
        </w:trPr>
        <w:tc>
          <w:tcPr>
            <w:tcW w:w="3520" w:type="dxa"/>
            <w:vAlign w:val="bottom"/>
          </w:tcPr>
          <w:p>
            <w:pPr>
              <w:jc w:val="center"/>
              <w:ind w:left="1730"/>
              <w:spacing w:after="0"/>
              <w:rPr>
                <w:sz w:val="20"/>
                <w:szCs w:val="20"/>
                <w:color w:val="auto"/>
              </w:rPr>
            </w:pPr>
            <w:r>
              <w:rPr>
                <w:rFonts w:ascii="Arial" w:cs="Arial" w:eastAsia="Arial" w:hAnsi="Arial"/>
                <w:sz w:val="18"/>
                <w:szCs w:val="18"/>
                <w:color w:val="auto"/>
                <w:w w:val="93"/>
              </w:rPr>
              <w:t>OF STOCK</w:t>
            </w:r>
          </w:p>
        </w:tc>
        <w:tc>
          <w:tcPr>
            <w:tcW w:w="10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2960" w:type="dxa"/>
            <w:vAlign w:val="bottom"/>
          </w:tcPr>
          <w:p>
            <w:pPr>
              <w:jc w:val="center"/>
              <w:ind w:left="30"/>
              <w:spacing w:after="0"/>
              <w:rPr>
                <w:sz w:val="20"/>
                <w:szCs w:val="20"/>
                <w:color w:val="auto"/>
              </w:rPr>
            </w:pPr>
            <w:r>
              <w:rPr>
                <w:rFonts w:ascii="Arial" w:cs="Arial" w:eastAsia="Arial" w:hAnsi="Arial"/>
                <w:sz w:val="18"/>
                <w:szCs w:val="18"/>
                <w:color w:val="auto"/>
                <w:w w:val="97"/>
              </w:rPr>
              <w:t>ALL ISSUED CAPITAL</w:t>
            </w:r>
          </w:p>
        </w:tc>
      </w:tr>
      <w:tr>
        <w:trPr>
          <w:trHeight w:val="230"/>
        </w:trPr>
        <w:tc>
          <w:tcPr>
            <w:tcW w:w="3520" w:type="dxa"/>
            <w:vAlign w:val="bottom"/>
          </w:tcPr>
          <w:p>
            <w:pPr>
              <w:jc w:val="center"/>
              <w:ind w:left="1710"/>
              <w:spacing w:after="0"/>
              <w:rPr>
                <w:sz w:val="20"/>
                <w:szCs w:val="20"/>
                <w:color w:val="auto"/>
              </w:rPr>
            </w:pPr>
            <w:r>
              <w:rPr>
                <w:rFonts w:ascii="Arial" w:cs="Arial" w:eastAsia="Arial" w:hAnsi="Arial"/>
                <w:sz w:val="18"/>
                <w:szCs w:val="18"/>
                <w:color w:val="auto"/>
                <w:w w:val="93"/>
              </w:rPr>
              <w:t>OR INTERESTS</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PAR</w:t>
            </w:r>
          </w:p>
        </w:tc>
        <w:tc>
          <w:tcPr>
            <w:tcW w:w="2360" w:type="dxa"/>
            <w:vAlign w:val="bottom"/>
          </w:tcPr>
          <w:p>
            <w:pPr>
              <w:jc w:val="center"/>
              <w:spacing w:after="0"/>
              <w:rPr>
                <w:sz w:val="20"/>
                <w:szCs w:val="20"/>
                <w:color w:val="auto"/>
              </w:rPr>
            </w:pPr>
            <w:r>
              <w:rPr>
                <w:rFonts w:ascii="Arial" w:cs="Arial" w:eastAsia="Arial" w:hAnsi="Arial"/>
                <w:sz w:val="18"/>
                <w:szCs w:val="18"/>
                <w:color w:val="auto"/>
                <w:w w:val="94"/>
              </w:rPr>
              <w:t>CERTIFICATE</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OR</w:t>
            </w:r>
          </w:p>
        </w:tc>
        <w:tc>
          <w:tcPr>
            <w:tcW w:w="2960" w:type="dxa"/>
            <w:vAlign w:val="bottom"/>
          </w:tcPr>
          <w:p>
            <w:pPr>
              <w:jc w:val="center"/>
              <w:ind w:left="30"/>
              <w:spacing w:after="0"/>
              <w:rPr>
                <w:sz w:val="20"/>
                <w:szCs w:val="20"/>
                <w:color w:val="auto"/>
              </w:rPr>
            </w:pPr>
            <w:r>
              <w:rPr>
                <w:rFonts w:ascii="Arial" w:cs="Arial" w:eastAsia="Arial" w:hAnsi="Arial"/>
                <w:sz w:val="18"/>
                <w:szCs w:val="18"/>
                <w:color w:val="auto"/>
                <w:w w:val="95"/>
              </w:rPr>
              <w:t>OR OTHER EQUITY INTERESTS</w:t>
            </w:r>
          </w:p>
        </w:tc>
      </w:tr>
      <w:tr>
        <w:trPr>
          <w:trHeight w:val="297"/>
        </w:trPr>
        <w:tc>
          <w:tcPr>
            <w:tcW w:w="3520" w:type="dxa"/>
            <w:vAlign w:val="bottom"/>
          </w:tcPr>
          <w:p>
            <w:pPr>
              <w:ind w:left="660"/>
              <w:spacing w:after="0"/>
              <w:rPr>
                <w:sz w:val="20"/>
                <w:szCs w:val="20"/>
                <w:color w:val="auto"/>
              </w:rPr>
            </w:pPr>
            <w:r>
              <w:rPr>
                <w:rFonts w:ascii="Arial" w:cs="Arial" w:eastAsia="Arial" w:hAnsi="Arial"/>
                <w:sz w:val="18"/>
                <w:szCs w:val="18"/>
                <w:color w:val="auto"/>
              </w:rPr>
              <w:t>ISSUER</w:t>
            </w: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VALUE</w:t>
            </w:r>
          </w:p>
        </w:tc>
        <w:tc>
          <w:tcPr>
            <w:tcW w:w="2360" w:type="dxa"/>
            <w:vAlign w:val="bottom"/>
          </w:tcPr>
          <w:p>
            <w:pPr>
              <w:jc w:val="center"/>
              <w:spacing w:after="0"/>
              <w:rPr>
                <w:sz w:val="20"/>
                <w:szCs w:val="20"/>
                <w:color w:val="auto"/>
              </w:rPr>
            </w:pPr>
            <w:r>
              <w:rPr>
                <w:rFonts w:ascii="Arial" w:cs="Arial" w:eastAsia="Arial" w:hAnsi="Arial"/>
                <w:sz w:val="18"/>
                <w:szCs w:val="18"/>
                <w:color w:val="auto"/>
                <w:w w:val="92"/>
              </w:rPr>
              <w:t>NO(S).</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INTERESTS</w:t>
            </w:r>
          </w:p>
        </w:tc>
        <w:tc>
          <w:tcPr>
            <w:tcW w:w="2960" w:type="dxa"/>
            <w:vAlign w:val="bottom"/>
          </w:tcPr>
          <w:p>
            <w:pPr>
              <w:jc w:val="center"/>
              <w:ind w:left="30"/>
              <w:spacing w:after="0"/>
              <w:rPr>
                <w:sz w:val="20"/>
                <w:szCs w:val="20"/>
                <w:color w:val="auto"/>
              </w:rPr>
            </w:pPr>
            <w:r>
              <w:rPr>
                <w:rFonts w:ascii="Arial" w:cs="Arial" w:eastAsia="Arial" w:hAnsi="Arial"/>
                <w:sz w:val="18"/>
                <w:szCs w:val="18"/>
                <w:color w:val="auto"/>
                <w:w w:val="90"/>
              </w:rPr>
              <w:t>OF ISSUER</w:t>
            </w:r>
          </w:p>
        </w:tc>
      </w:tr>
      <w:tr>
        <w:trPr>
          <w:trHeight w:val="250"/>
        </w:trPr>
        <w:tc>
          <w:tcPr>
            <w:tcW w:w="3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tcPr>
          <w:p>
            <w:pPr>
              <w:spacing w:after="0"/>
              <w:rPr>
                <w:sz w:val="21"/>
                <w:szCs w:val="21"/>
                <w:color w:val="auto"/>
              </w:rPr>
            </w:pPr>
          </w:p>
        </w:tc>
      </w:tr>
      <w:tr>
        <w:trPr>
          <w:trHeight w:val="1685"/>
        </w:trPr>
        <w:tc>
          <w:tcPr>
            <w:tcW w:w="35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6"/>
              </w:rPr>
              <w:t>INTERCOMPANY NOTES</w:t>
            </w:r>
          </w:p>
        </w:tc>
        <w:tc>
          <w:tcPr>
            <w:tcW w:w="19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45"/>
        </w:trPr>
        <w:tc>
          <w:tcPr>
            <w:tcW w:w="2220" w:type="dxa"/>
            <w:vAlign w:val="bottom"/>
          </w:tcPr>
          <w:p>
            <w:pPr>
              <w:ind w:left="840"/>
              <w:spacing w:after="0"/>
              <w:rPr>
                <w:sz w:val="20"/>
                <w:szCs w:val="20"/>
                <w:color w:val="auto"/>
              </w:rPr>
            </w:pPr>
            <w:r>
              <w:rPr>
                <w:rFonts w:ascii="Arial" w:cs="Arial" w:eastAsia="Arial" w:hAnsi="Arial"/>
                <w:sz w:val="18"/>
                <w:szCs w:val="18"/>
                <w:color w:val="auto"/>
              </w:rPr>
              <w:t>ISSUER</w:t>
            </w:r>
          </w:p>
        </w:tc>
        <w:tc>
          <w:tcPr>
            <w:tcW w:w="2080" w:type="dxa"/>
            <w:vAlign w:val="bottom"/>
          </w:tcPr>
          <w:p>
            <w:pPr>
              <w:jc w:val="center"/>
              <w:ind w:left="250"/>
              <w:spacing w:after="0"/>
              <w:rPr>
                <w:sz w:val="20"/>
                <w:szCs w:val="20"/>
                <w:color w:val="auto"/>
              </w:rPr>
            </w:pPr>
            <w:r>
              <w:rPr>
                <w:rFonts w:ascii="Arial" w:cs="Arial" w:eastAsia="Arial" w:hAnsi="Arial"/>
                <w:sz w:val="18"/>
                <w:szCs w:val="18"/>
                <w:color w:val="auto"/>
                <w:w w:val="94"/>
              </w:rPr>
              <w:t>PRINCIPAL</w:t>
            </w:r>
          </w:p>
        </w:tc>
        <w:tc>
          <w:tcPr>
            <w:tcW w:w="2860" w:type="dxa"/>
            <w:vAlign w:val="bottom"/>
          </w:tcPr>
          <w:p>
            <w:pPr>
              <w:jc w:val="center"/>
              <w:spacing w:after="0"/>
              <w:rPr>
                <w:sz w:val="20"/>
                <w:szCs w:val="20"/>
                <w:color w:val="auto"/>
              </w:rPr>
            </w:pPr>
            <w:r>
              <w:rPr>
                <w:rFonts w:ascii="Arial" w:cs="Arial" w:eastAsia="Arial" w:hAnsi="Arial"/>
                <w:sz w:val="18"/>
                <w:szCs w:val="18"/>
                <w:color w:val="auto"/>
                <w:w w:val="94"/>
              </w:rPr>
              <w:t>DATE OF</w:t>
            </w:r>
          </w:p>
        </w:tc>
        <w:tc>
          <w:tcPr>
            <w:tcW w:w="1960" w:type="dxa"/>
            <w:vAlign w:val="bottom"/>
          </w:tcPr>
          <w:p>
            <w:pPr>
              <w:jc w:val="center"/>
              <w:ind w:right="190"/>
              <w:spacing w:after="0"/>
              <w:rPr>
                <w:sz w:val="20"/>
                <w:szCs w:val="20"/>
                <w:color w:val="auto"/>
              </w:rPr>
            </w:pPr>
            <w:r>
              <w:rPr>
                <w:rFonts w:ascii="Arial" w:cs="Arial" w:eastAsia="Arial" w:hAnsi="Arial"/>
                <w:sz w:val="18"/>
                <w:szCs w:val="18"/>
                <w:color w:val="auto"/>
                <w:w w:val="94"/>
              </w:rPr>
              <w:t>INTEREST</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MATURITY</w:t>
            </w:r>
          </w:p>
        </w:tc>
      </w:tr>
      <w:tr>
        <w:trPr>
          <w:trHeight w:val="230"/>
        </w:trPr>
        <w:tc>
          <w:tcPr>
            <w:tcW w:w="2220" w:type="dxa"/>
            <w:vAlign w:val="bottom"/>
          </w:tcPr>
          <w:p>
            <w:pPr>
              <w:spacing w:after="0"/>
              <w:rPr>
                <w:sz w:val="20"/>
                <w:szCs w:val="20"/>
                <w:color w:val="auto"/>
              </w:rPr>
            </w:pPr>
          </w:p>
        </w:tc>
        <w:tc>
          <w:tcPr>
            <w:tcW w:w="2080" w:type="dxa"/>
            <w:vAlign w:val="bottom"/>
          </w:tcPr>
          <w:p>
            <w:pPr>
              <w:jc w:val="center"/>
              <w:ind w:left="250"/>
              <w:spacing w:after="0"/>
              <w:rPr>
                <w:sz w:val="20"/>
                <w:szCs w:val="20"/>
                <w:color w:val="auto"/>
              </w:rPr>
            </w:pPr>
            <w:r>
              <w:rPr>
                <w:rFonts w:ascii="Arial" w:cs="Arial" w:eastAsia="Arial" w:hAnsi="Arial"/>
                <w:sz w:val="18"/>
                <w:szCs w:val="18"/>
                <w:color w:val="auto"/>
                <w:w w:val="99"/>
              </w:rPr>
              <w:t>AMOUNT</w:t>
            </w:r>
          </w:p>
        </w:tc>
        <w:tc>
          <w:tcPr>
            <w:tcW w:w="2860" w:type="dxa"/>
            <w:vAlign w:val="bottom"/>
          </w:tcPr>
          <w:p>
            <w:pPr>
              <w:jc w:val="center"/>
              <w:spacing w:after="0"/>
              <w:rPr>
                <w:sz w:val="20"/>
                <w:szCs w:val="20"/>
                <w:color w:val="auto"/>
              </w:rPr>
            </w:pPr>
            <w:r>
              <w:rPr>
                <w:rFonts w:ascii="Arial" w:cs="Arial" w:eastAsia="Arial" w:hAnsi="Arial"/>
                <w:sz w:val="18"/>
                <w:szCs w:val="18"/>
                <w:color w:val="auto"/>
                <w:w w:val="95"/>
              </w:rPr>
              <w:t>ISSUANCE</w:t>
            </w:r>
          </w:p>
        </w:tc>
        <w:tc>
          <w:tcPr>
            <w:tcW w:w="1960" w:type="dxa"/>
            <w:vAlign w:val="bottom"/>
          </w:tcPr>
          <w:p>
            <w:pPr>
              <w:jc w:val="center"/>
              <w:ind w:right="190"/>
              <w:spacing w:after="0"/>
              <w:rPr>
                <w:sz w:val="20"/>
                <w:szCs w:val="20"/>
                <w:color w:val="auto"/>
              </w:rPr>
            </w:pPr>
            <w:r>
              <w:rPr>
                <w:rFonts w:ascii="Arial" w:cs="Arial" w:eastAsia="Arial" w:hAnsi="Arial"/>
                <w:sz w:val="18"/>
                <w:szCs w:val="18"/>
                <w:color w:val="auto"/>
                <w:w w:val="91"/>
              </w:rPr>
              <w:t>RATE</w:t>
            </w:r>
          </w:p>
        </w:tc>
        <w:tc>
          <w:tcPr>
            <w:tcW w:w="2300" w:type="dxa"/>
            <w:vAlign w:val="bottom"/>
          </w:tcPr>
          <w:p>
            <w:pPr>
              <w:jc w:val="center"/>
              <w:spacing w:after="0"/>
              <w:rPr>
                <w:sz w:val="20"/>
                <w:szCs w:val="20"/>
                <w:color w:val="auto"/>
              </w:rPr>
            </w:pPr>
            <w:r>
              <w:rPr>
                <w:rFonts w:ascii="Arial" w:cs="Arial" w:eastAsia="Arial" w:hAnsi="Arial"/>
                <w:sz w:val="18"/>
                <w:szCs w:val="18"/>
                <w:color w:val="auto"/>
                <w:w w:val="95"/>
              </w:rPr>
              <w:t>DATE</w:t>
            </w:r>
          </w:p>
        </w:tc>
      </w:tr>
      <w:tr>
        <w:trPr>
          <w:trHeight w:val="250"/>
        </w:trPr>
        <w:tc>
          <w:tcPr>
            <w:tcW w:w="22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6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as Pledgor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07" w:lineRule="exact"/>
        <w:rPr>
          <w:sz w:val="20"/>
          <w:szCs w:val="20"/>
          <w:color w:val="auto"/>
        </w:rPr>
      </w:pPr>
    </w:p>
    <w:p>
      <w:pPr>
        <w:sectPr>
          <w:pgSz w:w="11900" w:h="16838" w:orient="portrait"/>
          <w:cols w:equalWidth="0" w:num="2">
            <w:col w:w="6480" w:space="720"/>
            <w:col w:w="4220"/>
          </w:cols>
          <w:pgMar w:left="240" w:top="612" w:right="239" w:bottom="1440" w:gutter="0" w:footer="0" w:header="0"/>
          <w:type w:val="continuous"/>
        </w:sectPr>
      </w:pPr>
    </w:p>
    <w:p>
      <w:pPr>
        <w:spacing w:after="0" w:line="3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Name:</w:t>
      </w:r>
    </w:p>
    <w:p>
      <w:pPr>
        <w:spacing w:after="0" w:line="5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Collateral Agent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870585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type w:val="continuous"/>
        </w:sectPr>
      </w:pPr>
    </w:p>
    <w:bookmarkStart w:id="168" w:name="page169"/>
    <w:bookmarkEnd w:id="168"/>
    <w:p>
      <w:pPr>
        <w:jc w:val="right"/>
        <w:spacing w:after="0"/>
        <w:rPr>
          <w:sz w:val="20"/>
          <w:szCs w:val="20"/>
          <w:color w:val="auto"/>
        </w:rPr>
      </w:pPr>
      <w:r>
        <w:rPr>
          <w:rFonts w:ascii="Arial" w:cs="Arial" w:eastAsia="Arial" w:hAnsi="Arial"/>
          <w:sz w:val="18"/>
          <w:szCs w:val="18"/>
          <w:color w:val="auto"/>
        </w:rPr>
        <w:t>EXHIBIT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AGREEMENT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of New Pledgor]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[Address of New Pledgor]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Reference is made to the Security Agreement (as amended, amended and restated, supplemented or otherwise modified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capitalized terms used but not otherwise defined herein shall have the meanings assigned to such terms in the Security Agreement), dated as of April 18, 2007, made by ITRON, INC., a Washington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Guarantors party thereto and WELLS FARGO BANK, NATIONAL ASSOCIATION, as collateral agent (in such capacity and together with any successors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215" w:lineRule="exact"/>
        <w:rPr>
          <w:sz w:val="20"/>
          <w:szCs w:val="20"/>
          <w:color w:val="auto"/>
        </w:rPr>
      </w:pPr>
    </w:p>
    <w:p>
      <w:pPr>
        <w:ind w:right="100" w:firstLine="1297"/>
        <w:spacing w:after="0" w:line="269" w:lineRule="auto"/>
        <w:rPr>
          <w:sz w:val="20"/>
          <w:szCs w:val="20"/>
          <w:color w:val="auto"/>
        </w:rPr>
      </w:pPr>
      <w:r>
        <w:rPr>
          <w:rFonts w:ascii="Arial" w:cs="Arial" w:eastAsia="Arial" w:hAnsi="Arial"/>
          <w:sz w:val="17"/>
          <w:szCs w:val="17"/>
          <w:color w:val="auto"/>
        </w:rPr>
        <w:t>This Joinder Agreement supplements the Security Agreement and is delivered by the undersigned, [ ] (the “</w:t>
      </w:r>
      <w:r>
        <w:rPr>
          <w:rFonts w:ascii="Arial" w:cs="Arial" w:eastAsia="Arial" w:hAnsi="Arial"/>
          <w:sz w:val="17"/>
          <w:szCs w:val="17"/>
          <w:u w:val="single" w:color="auto"/>
          <w:color w:val="auto"/>
        </w:rPr>
        <w:t>New Pledgor</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of the Security Agreement. The New Pledgor hereby agrees to be bound as a Subsidiary Guarantor and as a Pledgor party to the Security Agreement by all of the terms, covenants and conditions set forth in the Security Agreement to the same extent that it would have been bound if it had been a signatory to the Security Agreement on the date of the Security Agreement. The New Pledgor also hereby agrees to be bound as a party by all of the terms, covenants and conditions applicable to it set forth in </w:t>
      </w:r>
      <w:r>
        <w:rPr>
          <w:rFonts w:ascii="Arial" w:cs="Arial" w:eastAsia="Arial" w:hAnsi="Arial"/>
          <w:sz w:val="17"/>
          <w:szCs w:val="17"/>
          <w:u w:val="single" w:color="auto"/>
          <w:color w:val="auto"/>
        </w:rPr>
        <w:t>Articles 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the Credit Agreement to the same extent that it would have been bound if it had been a signatory to the Credit Agreement on the execution date of the Credit Agreement. Without limiting the generality of the foregoing, the New Pledgor hereby grants and pledges to the Collateral Agent, as collateral security for the full, prompt and complete payment and performance when due (whether at stated maturity, by acceleration or otherwise) of the Secured Obligations, a Lien on and security interest in, all of its right, title and interest in, to and under the Pledged Collateral and expressly assumes all obligations and liabilities of a Subsidiary Guarantor and Pledgor thereunder. The New Pledgor hereby makes each of the representations and warranties and agrees to each of the covenants applicable to the Pledgors contained in the Security Agreement and the Credit Agreement.</w:t>
      </w:r>
    </w:p>
    <w:p>
      <w:pPr>
        <w:spacing w:after="0" w:line="210"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Annexed hereto are supplements to each of the schedules to the Security Agreement and the Credit Agreement, as applicable, with respect to the New Pledgor. Such supplements shall be deemed to be part of the Security Agreement or the Credit Agreement, as applicable.</w:t>
      </w:r>
    </w:p>
    <w:p>
      <w:pPr>
        <w:spacing w:after="0" w:line="174"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This Joinder Agreement and any amendments, waivers, consents or supplements hereto may be executed in any number of counterparts and by different parties hereto in separate counterparts, each of which when so executed and delivered shall be deemed to be an original, but all such counterparts together shall constitute one and the same agreement.</w:t>
      </w:r>
    </w:p>
    <w:p>
      <w:pPr>
        <w:spacing w:after="0" w:line="208" w:lineRule="exact"/>
        <w:rPr>
          <w:sz w:val="20"/>
          <w:szCs w:val="20"/>
          <w:color w:val="auto"/>
        </w:rPr>
      </w:pPr>
    </w:p>
    <w:p>
      <w:pPr>
        <w:jc w:val="both"/>
        <w:ind w:right="440" w:firstLine="1297"/>
        <w:spacing w:after="0" w:line="264" w:lineRule="auto"/>
        <w:rPr>
          <w:sz w:val="20"/>
          <w:szCs w:val="20"/>
          <w:color w:val="auto"/>
        </w:rPr>
      </w:pPr>
      <w:r>
        <w:rPr>
          <w:rFonts w:ascii="Arial" w:cs="Arial" w:eastAsia="Arial" w:hAnsi="Arial"/>
          <w:sz w:val="18"/>
          <w:szCs w:val="18"/>
          <w:color w:val="auto"/>
        </w:rPr>
        <w:t>THIS JOINDER AGREEMENT SHALL BE CONSTRUED IN ACCORDANCE WITH AND GOVERNED BY THE LAW OF THE STATE OF NEW YORK, WITHOUT REGARD TO CONFLICTS OF LAW PRINCIPLES THAT WOULD REQUIRE THE APPLICATION OF THE LAWS OF ANOTHER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9" w:name="page170"/>
    <w:bookmarkEnd w:id="169"/>
    <w:p>
      <w:pPr>
        <w:ind w:firstLine="1297"/>
        <w:spacing w:after="0" w:line="277" w:lineRule="auto"/>
        <w:rPr>
          <w:sz w:val="20"/>
          <w:szCs w:val="20"/>
          <w:color w:val="auto"/>
        </w:rPr>
      </w:pPr>
      <w:r>
        <w:rPr>
          <w:rFonts w:ascii="Arial" w:cs="Arial" w:eastAsia="Arial" w:hAnsi="Arial"/>
          <w:sz w:val="18"/>
          <w:szCs w:val="18"/>
          <w:color w:val="auto"/>
        </w:rPr>
        <w:t>IN WITNESS WHEREOF, the New Pledgor has caused this Joinder Agreement to be executed and delivered by its duly authorized officer as of the date first above written.</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PLEDGOR]</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Collateral Agent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[Schedules 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70" w:name="page171"/>
    <w:bookmarkEnd w:id="170"/>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40" w:type="dxa"/>
            <w:vAlign w:val="bottom"/>
            <w:gridSpan w:val="4"/>
            <w:vMerge w:val="restart"/>
          </w:tcPr>
          <w:p>
            <w:pPr>
              <w:ind w:left="800"/>
              <w:spacing w:after="0"/>
              <w:rPr>
                <w:sz w:val="20"/>
                <w:szCs w:val="20"/>
                <w:color w:val="auto"/>
              </w:rPr>
            </w:pPr>
            <w:r>
              <w:rPr>
                <w:rFonts w:ascii="Arial" w:cs="Arial" w:eastAsia="Arial" w:hAnsi="Arial"/>
                <w:sz w:val="18"/>
                <w:szCs w:val="18"/>
                <w:color w:val="auto"/>
              </w:rPr>
              <w:t>CONTROL AGREEMENT CONCERNING SECURITIES ACCOUNTS</w:t>
            </w:r>
          </w:p>
        </w:tc>
        <w:tc>
          <w:tcPr>
            <w:tcW w:w="1000" w:type="dxa"/>
            <w:vAlign w:val="bottom"/>
          </w:tcPr>
          <w:p>
            <w:pPr>
              <w:spacing w:after="0"/>
              <w:rPr>
                <w:sz w:val="20"/>
                <w:szCs w:val="20"/>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w w:val="98"/>
              </w:rPr>
              <w:t>EXHIBIT 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40" w:type="dxa"/>
            <w:vAlign w:val="bottom"/>
            <w:gridSpan w:val="4"/>
            <w:vMerge w:val="continue"/>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640" w:type="dxa"/>
            <w:vAlign w:val="bottom"/>
          </w:tcPr>
          <w:p>
            <w:pPr>
              <w:spacing w:after="0"/>
              <w:rPr>
                <w:sz w:val="24"/>
                <w:szCs w:val="24"/>
                <w:color w:val="auto"/>
              </w:rPr>
            </w:pPr>
          </w:p>
        </w:tc>
        <w:tc>
          <w:tcPr>
            <w:tcW w:w="8560" w:type="dxa"/>
            <w:vAlign w:val="bottom"/>
            <w:gridSpan w:val="6"/>
          </w:tcPr>
          <w:p>
            <w:pPr>
              <w:ind w:left="660"/>
              <w:spacing w:after="0"/>
              <w:rPr>
                <w:sz w:val="20"/>
                <w:szCs w:val="20"/>
                <w:color w:val="auto"/>
              </w:rPr>
            </w:pPr>
            <w:r>
              <w:rPr>
                <w:rFonts w:ascii="Arial" w:cs="Arial" w:eastAsia="Arial" w:hAnsi="Arial"/>
                <w:sz w:val="18"/>
                <w:szCs w:val="18"/>
                <w:color w:val="auto"/>
              </w:rPr>
              <w:t>This Control Agreement Concerning Securities Accounts (this “Control Agreement”), dated as of [</w:t>
            </w:r>
          </w:p>
        </w:tc>
        <w:tc>
          <w:tcPr>
            <w:tcW w:w="2220" w:type="dxa"/>
            <w:vAlign w:val="bottom"/>
            <w:gridSpan w:val="3"/>
          </w:tcPr>
          <w:p>
            <w:pPr>
              <w:ind w:left="120"/>
              <w:spacing w:after="0"/>
              <w:rPr>
                <w:sz w:val="20"/>
                <w:szCs w:val="20"/>
                <w:color w:val="auto"/>
              </w:rPr>
            </w:pPr>
            <w:r>
              <w:rPr>
                <w:rFonts w:ascii="Arial" w:cs="Arial" w:eastAsia="Arial" w:hAnsi="Arial"/>
                <w:sz w:val="18"/>
                <w:szCs w:val="18"/>
                <w:color w:val="auto"/>
              </w:rPr>
              <w:t>], by and among</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78"/>
              </w:rPr>
              <w:t>[</w:t>
            </w:r>
          </w:p>
        </w:tc>
        <w:tc>
          <w:tcPr>
            <w:tcW w:w="8560" w:type="dxa"/>
            <w:vAlign w:val="bottom"/>
            <w:gridSpan w:val="6"/>
          </w:tcPr>
          <w:p>
            <w:pPr>
              <w:ind w:left="560"/>
              <w:spacing w:after="0" w:line="196" w:lineRule="exact"/>
              <w:rPr>
                <w:sz w:val="20"/>
                <w:szCs w:val="20"/>
                <w:color w:val="auto"/>
              </w:rPr>
            </w:pPr>
            <w:r>
              <w:rPr>
                <w:rFonts w:ascii="Arial" w:cs="Arial" w:eastAsia="Arial" w:hAnsi="Arial"/>
                <w:sz w:val="18"/>
                <w:szCs w:val="18"/>
                <w:color w:val="auto"/>
                <w:w w:val="94"/>
              </w:rPr>
              <w:t>] (the “Pledgor”), Wells Fargo Bank, National Association, as Collateral Agent (the “Collateral Agent”) and [</w:t>
            </w:r>
          </w:p>
        </w:tc>
        <w:tc>
          <w:tcPr>
            <w:tcW w:w="2220" w:type="dxa"/>
            <w:vAlign w:val="bottom"/>
            <w:gridSpan w:val="3"/>
          </w:tcPr>
          <w:p>
            <w:pPr>
              <w:ind w:left="500"/>
              <w:spacing w:after="0" w:line="196" w:lineRule="exact"/>
              <w:rPr>
                <w:sz w:val="20"/>
                <w:szCs w:val="20"/>
                <w:color w:val="auto"/>
              </w:rPr>
            </w:pPr>
            <w:r>
              <w:rPr>
                <w:rFonts w:ascii="Arial" w:cs="Arial" w:eastAsia="Arial" w:hAnsi="Arial"/>
                <w:sz w:val="18"/>
                <w:szCs w:val="18"/>
                <w:color w:val="auto"/>
              </w:rPr>
              <w:t>] (the “Securities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Intermediary</w:t>
      </w:r>
      <w:r>
        <w:rPr>
          <w:rFonts w:ascii="Arial" w:cs="Arial" w:eastAsia="Arial" w:hAnsi="Arial"/>
          <w:sz w:val="18"/>
          <w:szCs w:val="18"/>
          <w:color w:val="auto"/>
        </w:rPr>
        <w:t xml:space="preserve">”), is delivered pursuant to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of that certain security agreement (as amended, amended and restated, supplemented or otherwise modified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dated as of April 18, 2007, made by [Itron, Inc., a Washington corporation,] [the Pledgor] and each of the Subsidiary Guarantors listed on the signature pages thereto in favor of Wells Fargo Bank, National Association, as collateral agent, as pledgee, assignee and secured party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This Control Agreement is for the purpose of perfecting the security interests of the Secured Parties granted by the Pledgor in the Designated Accounts described below. All references herein to the “UCC” shall mean the Uniform Commercial Code as in effect from time to time in the State of New York. Capitalized terms used but not defined herein shall have the meanings assigned to such terms in the Security Agreement.</w:t>
      </w:r>
    </w:p>
    <w:p>
      <w:pPr>
        <w:spacing w:after="0" w:line="216"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Confirmation of Establishment and Maintenance of DesignatedAccounts</w:t>
      </w:r>
      <w:r>
        <w:rPr>
          <w:rFonts w:ascii="Arial" w:cs="Arial" w:eastAsia="Arial" w:hAnsi="Arial"/>
          <w:sz w:val="17"/>
          <w:szCs w:val="17"/>
          <w:color w:val="auto"/>
        </w:rPr>
        <w:t xml:space="preserve">. The Securities Intermediary hereby confirms and agrees that (i) the Securities Intermediary has established for the Pledgor and maintains the account(s) listed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annexed hereto (such account(s), together with each such other securities account maintained by the Pledgor with the Securities Intermediary collectively, the “</w:t>
      </w:r>
      <w:r>
        <w:rPr>
          <w:rFonts w:ascii="Arial" w:cs="Arial" w:eastAsia="Arial" w:hAnsi="Arial"/>
          <w:sz w:val="17"/>
          <w:szCs w:val="17"/>
          <w:u w:val="single" w:color="auto"/>
          <w:color w:val="auto"/>
        </w:rPr>
        <w:t>Designated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Accounts</w:t>
      </w:r>
      <w:r>
        <w:rPr>
          <w:rFonts w:ascii="Arial" w:cs="Arial" w:eastAsia="Arial" w:hAnsi="Arial"/>
          <w:sz w:val="17"/>
          <w:szCs w:val="17"/>
          <w:color w:val="auto"/>
        </w:rPr>
        <w:t>” and each a “</w:t>
      </w:r>
      <w:r>
        <w:rPr>
          <w:rFonts w:ascii="Arial" w:cs="Arial" w:eastAsia="Arial" w:hAnsi="Arial"/>
          <w:sz w:val="17"/>
          <w:szCs w:val="17"/>
          <w:u w:val="single" w:color="auto"/>
          <w:color w:val="auto"/>
        </w:rPr>
        <w:t>Designated Account</w:t>
      </w:r>
      <w:r>
        <w:rPr>
          <w:rFonts w:ascii="Arial" w:cs="Arial" w:eastAsia="Arial" w:hAnsi="Arial"/>
          <w:sz w:val="17"/>
          <w:szCs w:val="17"/>
          <w:color w:val="auto"/>
        </w:rPr>
        <w:t>”), (ii) each Designated Account will be maintained in the manner set forth herein until termination of this Control Agreement, (iii) this Control Agreement is the valid and legally binding obligation of the Securities Intermediary, (iv) the Securities Intermediary is a “securities intermediary” as defined in Section 8-102(a)(14) of the UCC, (v) each of the Designated Accounts is a “securities account” as such term is defined in Section 8-501(a) of the UCC and (vi) all securities or other property underlying any financial assets which are credited to any Designated Account shall be registered in the name of the Securities Intermediary, endorsed to the Securities Intermediary or in blank or credited to another securities account maintained in the name of the Securities Intermediary and in no case will any financial asset credited to any Designated Account be registered in the name of the Pledgor, payable to the order of the Pledgor or specially endorsed to the Pledgor, except to the extent the foregoing have been specially endorsed to the Securities Intermediary or in blank.</w:t>
      </w:r>
    </w:p>
    <w:p>
      <w:pPr>
        <w:spacing w:after="0" w:line="21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“Financial Assets” Election</w:t>
      </w:r>
      <w:r>
        <w:rPr>
          <w:rFonts w:ascii="Arial" w:cs="Arial" w:eastAsia="Arial" w:hAnsi="Arial"/>
          <w:sz w:val="18"/>
          <w:szCs w:val="18"/>
          <w:color w:val="auto"/>
        </w:rPr>
        <w:t>. All parties hereto agree that each item of Investment Property and all other property held in or credited to any Designated Account (the “</w:t>
      </w:r>
      <w:r>
        <w:rPr>
          <w:rFonts w:ascii="Arial" w:cs="Arial" w:eastAsia="Arial" w:hAnsi="Arial"/>
          <w:sz w:val="18"/>
          <w:szCs w:val="18"/>
          <w:u w:val="single" w:color="auto"/>
          <w:color w:val="auto"/>
        </w:rPr>
        <w:t>Account Property</w:t>
      </w:r>
      <w:r>
        <w:rPr>
          <w:rFonts w:ascii="Arial" w:cs="Arial" w:eastAsia="Arial" w:hAnsi="Arial"/>
          <w:sz w:val="18"/>
          <w:szCs w:val="18"/>
          <w:color w:val="auto"/>
        </w:rPr>
        <w:t>”) shall be treated as a “financial asset” within the meaning of Section 8-102(a)(9) of the UCC.</w:t>
      </w:r>
    </w:p>
    <w:p>
      <w:pPr>
        <w:spacing w:after="0" w:line="208" w:lineRule="exact"/>
        <w:rPr>
          <w:sz w:val="20"/>
          <w:szCs w:val="20"/>
          <w:color w:val="auto"/>
        </w:rPr>
      </w:pPr>
    </w:p>
    <w:p>
      <w:pPr>
        <w:ind w:right="60" w:firstLine="1297"/>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Entitlement Order</w:t>
      </w:r>
      <w:r>
        <w:rPr>
          <w:rFonts w:ascii="Arial" w:cs="Arial" w:eastAsia="Arial" w:hAnsi="Arial"/>
          <w:sz w:val="18"/>
          <w:szCs w:val="18"/>
          <w:color w:val="auto"/>
        </w:rPr>
        <w:t xml:space="preserve">. If at any time the Securities Intermediary shall receive an “entitlement order” (within the meaning of Section 8-102(a)(8) of the UCC) issued by the Collateral Agent and relating to any financial asset maintained in one or more of the Designated Accounts, the Securities Intermediary shall comply with such entitlement order without further consent by the Pledgor or any other person. The Securities Intermediary shall also comply with instructions directing the Securities Intermediary with respect to the sale, exchange or transfer of any Account Property held in each Designated Account originated by a Pledgor, or any representative of, or investment manager appointed by, a Pledgor until such time as the Collateral Agent delivers a Notice of Sole Control pursuant to </w:t>
      </w:r>
      <w:r>
        <w:rPr>
          <w:rFonts w:ascii="Arial" w:cs="Arial" w:eastAsia="Arial" w:hAnsi="Arial"/>
          <w:sz w:val="18"/>
          <w:szCs w:val="18"/>
          <w:u w:val="single" w:color="auto"/>
          <w:color w:val="auto"/>
        </w:rPr>
        <w:t>Section 9(i)</w:t>
      </w:r>
      <w:r>
        <w:rPr>
          <w:rFonts w:ascii="Arial" w:cs="Arial" w:eastAsia="Arial" w:hAnsi="Arial"/>
          <w:sz w:val="18"/>
          <w:szCs w:val="18"/>
          <w:color w:val="auto"/>
        </w:rPr>
        <w:t xml:space="preserve"> to the Securities Intermediary. The Securities Intermediary shall comply with, and is fully entitled to rely upon, any entitlement order from the Collateral Agent, even if such entitlement order is contrary to any entitlement order that the Pledgor may give or may have given to the Securities Intermediary.</w:t>
      </w:r>
    </w:p>
    <w:p>
      <w:pPr>
        <w:spacing w:after="0" w:line="219" w:lineRule="exact"/>
        <w:rPr>
          <w:sz w:val="20"/>
          <w:szCs w:val="20"/>
          <w:color w:val="auto"/>
        </w:rPr>
      </w:pPr>
    </w:p>
    <w:p>
      <w:pPr>
        <w:ind w:right="100" w:firstLine="1297"/>
        <w:spacing w:after="0" w:line="25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Subordination of Lien; Waiver of Set-Off</w:t>
      </w:r>
      <w:r>
        <w:rPr>
          <w:rFonts w:ascii="Arial" w:cs="Arial" w:eastAsia="Arial" w:hAnsi="Arial"/>
          <w:sz w:val="18"/>
          <w:szCs w:val="18"/>
          <w:color w:val="auto"/>
        </w:rPr>
        <w:t xml:space="preserve">. The Securities Intermediary hereby agrees that any security interest in, lien on, encumbrance, claim or (except as provided in the next sentence) right of setoff against, any Designated Account or any Account Property it now has or subsequently obtains shall be subordinate to the security interest of the Collateral Agent in the Designated Accounts and the Account Property therein or credited thereto. The Securities Intermediary agrees not to exercise any present or future right of recoupment or set-off against any of the Designated Accounts or to assert against any of the Designated Accounts any present or future security interest, banker’s lien or any other lien or claim (including claim for penalties) that the Securities Intermediary may at any time have against or in any of the Designated Accounts or any Account Property therein or credited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Securities Intermediary may set off all amounts due to the Securities Intermediary in respect of its customary fees and expenses for the routine maintenance and operation of the Designated Accounts, including overdraft fees and amounts advanced to settle authorized transactions.</w:t>
      </w:r>
    </w:p>
    <w:p>
      <w:pPr>
        <w:spacing w:after="0" w:line="224" w:lineRule="exact"/>
        <w:rPr>
          <w:sz w:val="20"/>
          <w:szCs w:val="20"/>
          <w:color w:val="auto"/>
        </w:rPr>
      </w:pPr>
    </w:p>
    <w:p>
      <w:pPr>
        <w:ind w:right="320" w:firstLine="1297"/>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Choice of Law</w:t>
      </w:r>
      <w:r>
        <w:rPr>
          <w:rFonts w:ascii="Arial" w:cs="Arial" w:eastAsia="Arial" w:hAnsi="Arial"/>
          <w:sz w:val="18"/>
          <w:szCs w:val="18"/>
          <w:color w:val="auto"/>
        </w:rPr>
        <w:t>. Both this Control Agreement and the Designated Accounts shall be governed by the laws of the State of New York. Regardless of any provision in any other agreement, for purposes of the UCC, New York shall be deemed to be the Securities Intermediary’s jurisdiction and the Designated Accounts (as well as the security entitlements related thereto) shall be governed by the laws of the State of New York.</w:t>
      </w:r>
    </w:p>
    <w:p>
      <w:pPr>
        <w:spacing w:after="0" w:line="214" w:lineRule="exact"/>
        <w:rPr>
          <w:sz w:val="20"/>
          <w:szCs w:val="20"/>
          <w:color w:val="auto"/>
        </w:rPr>
      </w:pPr>
    </w:p>
    <w:p>
      <w:pPr>
        <w:ind w:right="40" w:firstLine="1297"/>
        <w:spacing w:after="0" w:line="26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Conflict with Other Agreements; Amendments</w:t>
      </w:r>
      <w:r>
        <w:rPr>
          <w:rFonts w:ascii="Arial" w:cs="Arial" w:eastAsia="Arial" w:hAnsi="Arial"/>
          <w:sz w:val="17"/>
          <w:szCs w:val="17"/>
          <w:color w:val="auto"/>
        </w:rPr>
        <w:t xml:space="preserve">. As of the date hereof, there are no other agreements entered into between the Securities Intermediary and the Pledgor with respect to any Designated Account or any security entitlements or other financial assets credited thereto (other than standard and customary documentation with respect to the establishment and maintenance of such Designated Accounts). The Securities Intermediary and the Pledgor will not enter into any other agreement with respect to any Designated Account unless the Collateral Agent shall have received prior written notice thereof. The Securities Intermediary and the Pledgor have not and will not enter into any other agreement with respect to (i) creation or perfection of any security interest in or (ii) control of security entitlements maintained in any of the Designated Accounts or purporting to limit or condition the obligation of the Securities Intermediary to comply with entitlement orders with respect to any Account Property held in or credited to any Designated Account as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hereof without the prior written consent of the Collateral Agent acting in its sole discretion. In the event of any conflict with respect to control over any Designated Account between this Control Agreement (or any portion hereof) and any other agreement now existing or hereafter entered into, the terms of this Control Agreement shall prevail. No amendment or modification of this Control Agreement or waiver of any rights hereunder shall be binding on any party hereto unless it is in writing and is signed by all the parties hereto.</w:t>
      </w:r>
    </w:p>
    <w:p>
      <w:pPr>
        <w:spacing w:after="0" w:line="210" w:lineRule="exact"/>
        <w:rPr>
          <w:sz w:val="20"/>
          <w:szCs w:val="20"/>
          <w:color w:val="auto"/>
        </w:rPr>
      </w:pPr>
    </w:p>
    <w:p>
      <w:pPr>
        <w:ind w:left="1300"/>
        <w:spacing w:after="0"/>
        <w:tabs>
          <w:tab w:leader="none" w:pos="30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Certain Agreements</w:t>
      </w:r>
      <w:r>
        <w:rPr>
          <w:rFonts w:ascii="Arial" w:cs="Arial" w:eastAsia="Arial" w:hAnsi="Arial"/>
          <w:sz w:val="16"/>
          <w:szCs w:val="16"/>
          <w:color w:val="auto"/>
        </w:rPr>
        <w:t>.</w:t>
      </w:r>
    </w:p>
    <w:p>
      <w:pPr>
        <w:spacing w:after="0" w:line="252" w:lineRule="exact"/>
        <w:rPr>
          <w:sz w:val="20"/>
          <w:szCs w:val="20"/>
          <w:color w:val="auto"/>
        </w:rPr>
      </w:pPr>
    </w:p>
    <w:p>
      <w:pPr>
        <w:jc w:val="both"/>
        <w:ind w:right="180" w:firstLine="1133"/>
        <w:spacing w:after="0" w:line="259" w:lineRule="auto"/>
        <w:tabs>
          <w:tab w:leader="none" w:pos="1722"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As of the date hereof, the Securities Intermediary has furnished to the Collateral Agent the most recent account statement issued by the Securities Intermediary with respect to each of the Designated Accounts and the financial assets and cash balances held therein, identifying the financial assets held therein in a manner acceptable to the Collateral Agent. Each such statement accurately reflects the assets held in such Designated Account as of the date thereof.</w:t>
      </w:r>
    </w:p>
    <w:p>
      <w:pPr>
        <w:spacing w:after="0" w:line="213" w:lineRule="exact"/>
        <w:rPr>
          <w:rFonts w:ascii="Arial" w:cs="Arial" w:eastAsia="Arial" w:hAnsi="Arial"/>
          <w:sz w:val="18"/>
          <w:szCs w:val="18"/>
          <w:color w:val="auto"/>
        </w:rPr>
      </w:pPr>
    </w:p>
    <w:p>
      <w:pPr>
        <w:ind w:right="40" w:firstLine="1133"/>
        <w:spacing w:after="0" w:line="342" w:lineRule="auto"/>
        <w:tabs>
          <w:tab w:leader="none" w:pos="1772" w:val="left"/>
        </w:tabs>
        <w:numPr>
          <w:ilvl w:val="0"/>
          <w:numId w:val="384"/>
        </w:numPr>
        <w:rPr>
          <w:rFonts w:ascii="Arial" w:cs="Arial" w:eastAsia="Arial" w:hAnsi="Arial"/>
          <w:sz w:val="16"/>
          <w:szCs w:val="16"/>
          <w:color w:val="auto"/>
        </w:rPr>
      </w:pPr>
      <w:r>
        <w:rPr>
          <w:rFonts w:ascii="Arial" w:cs="Arial" w:eastAsia="Arial" w:hAnsi="Arial"/>
          <w:sz w:val="16"/>
          <w:szCs w:val="16"/>
          <w:color w:val="auto"/>
        </w:rPr>
        <w:t>The Securities Intermediary will, upon its receipt of each supplement to the Security Agreement signed by the Pledgor and identifying one or more financial assets as “Pledged Collateral”, enter into its records, including computer records, with respect to each Designated Account a</w:t>
      </w:r>
    </w:p>
    <w:p>
      <w:pPr>
        <w:sectPr>
          <w:pgSz w:w="11900" w:h="16921" w:orient="portrait"/>
          <w:cols w:equalWidth="0" w:num="1">
            <w:col w:w="11420"/>
          </w:cols>
          <w:pgMar w:left="240" w:top="368" w:right="239" w:bottom="0" w:gutter="0" w:footer="0" w:header="0"/>
        </w:sectPr>
      </w:pPr>
    </w:p>
    <w:bookmarkStart w:id="171" w:name="page172"/>
    <w:bookmarkEnd w:id="171"/>
    <w:p>
      <w:pPr>
        <w:spacing w:after="0"/>
        <w:rPr>
          <w:sz w:val="20"/>
          <w:szCs w:val="20"/>
          <w:color w:val="auto"/>
        </w:rPr>
      </w:pPr>
      <w:r>
        <w:rPr>
          <w:rFonts w:ascii="Arial" w:cs="Arial" w:eastAsia="Arial" w:hAnsi="Arial"/>
          <w:sz w:val="16"/>
          <w:szCs w:val="16"/>
          <w:color w:val="auto"/>
        </w:rPr>
        <w:t>notation with respect to any such financial asset so that such records and reports generated with respect thereto identify such financial asset as “Pledged.”</w:t>
      </w:r>
    </w:p>
    <w:p>
      <w:pPr>
        <w:spacing w:after="0" w:line="275"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Notice of Adverse Claims</w:t>
      </w:r>
      <w:r>
        <w:rPr>
          <w:rFonts w:ascii="Arial" w:cs="Arial" w:eastAsia="Arial" w:hAnsi="Arial"/>
          <w:sz w:val="18"/>
          <w:szCs w:val="18"/>
          <w:color w:val="auto"/>
        </w:rPr>
        <w:t>. Except for the claims and interest of the Collateral Agent and of the Pledgor in the Account Property held in or credited to the Designated Accounts, the Securities Intermediary on the date hereof does not know of any claim to, security interest in, lien on, or encumbrance against, any Designated Account or Account Property held in or credited thereto and does not know of any claim that any person or entity other than the Collateral Agent has been given “control” (within the meaning of Section 8-106 of the UCC) of any Designated Account or any such Account Property. If the Securities Intermediary becomes aware that any person or entity is asserting any lien, encumbrance, security interest or adverse claim (including any writ, garnishment, judgment, warrant of attachment, execution or similar process or any claim of control) against any of the Account Property held in or credited to any Designated Account, the Securities Intermediary shall promptly notify the Collateral Agent and the Pledgor thereof.</w:t>
      </w:r>
    </w:p>
    <w:p>
      <w:pPr>
        <w:spacing w:after="0" w:line="219" w:lineRule="exact"/>
        <w:rPr>
          <w:sz w:val="20"/>
          <w:szCs w:val="20"/>
          <w:color w:val="auto"/>
        </w:rPr>
      </w:pPr>
    </w:p>
    <w:p>
      <w:pPr>
        <w:ind w:left="1300"/>
        <w:spacing w:after="0"/>
        <w:tabs>
          <w:tab w:leader="none" w:pos="300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Maintenance of Designated Accounts</w:t>
      </w:r>
      <w:r>
        <w:rPr>
          <w:rFonts w:ascii="Arial" w:cs="Arial" w:eastAsia="Arial" w:hAnsi="Arial"/>
          <w:sz w:val="16"/>
          <w:szCs w:val="16"/>
          <w:color w:val="auto"/>
        </w:rPr>
        <w:t>. In addition to the obligations of the Securities Intermediary in</w:t>
      </w:r>
      <w:r>
        <w:rPr>
          <w:rFonts w:ascii="Arial" w:cs="Arial" w:eastAsia="Arial" w:hAnsi="Arial"/>
          <w:sz w:val="16"/>
          <w:szCs w:val="16"/>
          <w:u w:val="single" w:color="auto"/>
          <w:color w:val="auto"/>
        </w:rPr>
        <w:t xml:space="preserve"> 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w:t>
      </w:r>
      <w:r>
        <w:rPr>
          <w:rFonts w:ascii="Arial" w:cs="Arial" w:eastAsia="Arial" w:hAnsi="Arial"/>
          <w:sz w:val="18"/>
          <w:szCs w:val="18"/>
          <w:color w:val="auto"/>
        </w:rPr>
        <w:t xml:space="preserve"> hereof, the Securities Intermediary agrees to maintain the Designated Accounts as follows:</w:t>
      </w:r>
    </w:p>
    <w:p>
      <w:pPr>
        <w:spacing w:after="0" w:line="238" w:lineRule="exact"/>
        <w:rPr>
          <w:sz w:val="20"/>
          <w:szCs w:val="20"/>
          <w:color w:val="auto"/>
        </w:rPr>
      </w:pPr>
    </w:p>
    <w:p>
      <w:pPr>
        <w:ind w:left="660" w:firstLine="671"/>
        <w:spacing w:after="0" w:line="255" w:lineRule="auto"/>
        <w:tabs>
          <w:tab w:leader="none" w:pos="1932"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Notice of Sole Control</w:t>
      </w:r>
      <w:r>
        <w:rPr>
          <w:rFonts w:ascii="Arial" w:cs="Arial" w:eastAsia="Arial" w:hAnsi="Arial"/>
          <w:sz w:val="18"/>
          <w:szCs w:val="18"/>
          <w:color w:val="auto"/>
        </w:rPr>
        <w:t>. If at any time the Collateral Agent delivers to the Securities Intermediary a notice instructing the Securities Intermediary to terminate Pledgor’s access to any Designated Account (the “</w:t>
      </w:r>
      <w:r>
        <w:rPr>
          <w:rFonts w:ascii="Arial" w:cs="Arial" w:eastAsia="Arial" w:hAnsi="Arial"/>
          <w:sz w:val="18"/>
          <w:szCs w:val="18"/>
          <w:u w:val="single" w:color="auto"/>
          <w:color w:val="auto"/>
        </w:rPr>
        <w:t>Notice of Sole Control</w:t>
      </w:r>
      <w:r>
        <w:rPr>
          <w:rFonts w:ascii="Arial" w:cs="Arial" w:eastAsia="Arial" w:hAnsi="Arial"/>
          <w:sz w:val="18"/>
          <w:szCs w:val="18"/>
          <w:color w:val="auto"/>
        </w:rPr>
        <w:t>”), the Securities Intermediary agrees that, after receipt of such notice, it will take all instructions with respect to such Designated Account solely from the Collateral Agent, terminate all instructions and orders originated by the Pledgor with respect to the Designated Accounts or any Account Property therein, and cease taking instructions from Pledgor, including, without limitation, instructions for investment, distribution or transfer of any financial asset maintained in any Designated Account. Permitting settlement of trades pending at the time of receipt of such notice shall not constitute a violation of the immediately preceding sentence.</w:t>
      </w:r>
    </w:p>
    <w:p>
      <w:pPr>
        <w:spacing w:after="0" w:line="216" w:lineRule="exact"/>
        <w:rPr>
          <w:rFonts w:ascii="Arial" w:cs="Arial" w:eastAsia="Arial" w:hAnsi="Arial"/>
          <w:sz w:val="18"/>
          <w:szCs w:val="18"/>
          <w:color w:val="auto"/>
        </w:rPr>
      </w:pPr>
    </w:p>
    <w:p>
      <w:pPr>
        <w:ind w:left="660" w:firstLine="671"/>
        <w:spacing w:after="0" w:line="264" w:lineRule="auto"/>
        <w:tabs>
          <w:tab w:leader="none" w:pos="1982"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Until such time as the Securities Intermediary receives a Notice of Sole Control, the Pledgor, or an investment manager on behalf of the Pledgor, shall direct the Securities Intermediary with respect to the voting of any financial assets credited to any Designated Account.</w:t>
      </w:r>
    </w:p>
    <w:p>
      <w:pPr>
        <w:spacing w:after="0" w:line="208" w:lineRule="exact"/>
        <w:rPr>
          <w:rFonts w:ascii="Arial" w:cs="Arial" w:eastAsia="Arial" w:hAnsi="Arial"/>
          <w:sz w:val="18"/>
          <w:szCs w:val="18"/>
          <w:color w:val="auto"/>
        </w:rPr>
      </w:pPr>
    </w:p>
    <w:p>
      <w:pPr>
        <w:ind w:left="660" w:right="100" w:firstLine="671"/>
        <w:spacing w:after="0" w:line="273" w:lineRule="auto"/>
        <w:tabs>
          <w:tab w:leader="none" w:pos="2032"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Statements and Confirmations</w:t>
      </w:r>
      <w:r>
        <w:rPr>
          <w:rFonts w:ascii="Arial" w:cs="Arial" w:eastAsia="Arial" w:hAnsi="Arial"/>
          <w:sz w:val="17"/>
          <w:szCs w:val="17"/>
          <w:color w:val="auto"/>
        </w:rPr>
        <w:t xml:space="preserve">. The Securities Intermediary will send copies of all statements and other correspondence (excluding routine confirmations) concerning any Designated Account or any financial assets credited thereto simultaneously to each of the Pledgor and the Collateral Agent at the address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hereof. The Securities Intermediary will provide to the Collateral Agent, upon the Collateral Agent’s request therefor from time to time and, in any event, as of the last business day of each calendar month, a statement of the market value of each financial asset maintained in each Designated Account. The Securities Intermediary shall not change the name or account number of any Designated Account without the prior written consent of the Collateral Agent.</w:t>
      </w:r>
    </w:p>
    <w:p>
      <w:pPr>
        <w:spacing w:after="0" w:line="205" w:lineRule="exact"/>
        <w:rPr>
          <w:rFonts w:ascii="Arial" w:cs="Arial" w:eastAsia="Arial" w:hAnsi="Arial"/>
          <w:sz w:val="17"/>
          <w:szCs w:val="17"/>
          <w:color w:val="auto"/>
        </w:rPr>
      </w:pPr>
    </w:p>
    <w:p>
      <w:pPr>
        <w:ind w:left="660" w:right="40" w:firstLine="671"/>
        <w:spacing w:after="0" w:line="293" w:lineRule="auto"/>
        <w:tabs>
          <w:tab w:leader="none" w:pos="2022"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Perfection in Certificated Securities</w:t>
      </w:r>
      <w:r>
        <w:rPr>
          <w:rFonts w:ascii="Arial" w:cs="Arial" w:eastAsia="Arial" w:hAnsi="Arial"/>
          <w:sz w:val="16"/>
          <w:szCs w:val="16"/>
          <w:color w:val="auto"/>
        </w:rPr>
        <w:t>. The Securities Intermediary acknowledges that, in the event that it should come into possession of any certificate representing any security or other Account Property held in or credited to any of the Designated Accounts, the Securities Intermediary shall retain possession of the same on behalf and for the benefit of the Collateral Agent and such act shall cause the Securities Intermediary to be deemed holding such certificate for the Collateral Agent, if necessary to perfect the Collateral Agent’s security interest in such securities or assets. The Securities Intermediary hereby acknowledges its receipt of a copy of the Security Agreement, which shall also serve as notice to the Securities Intermediary of a security interest in collateral held on behalf and for the benefit of the Collateral Agent.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ind w:left="1300"/>
              <w:spacing w:after="0"/>
              <w:rPr>
                <w:sz w:val="20"/>
                <w:szCs w:val="20"/>
                <w:color w:val="auto"/>
              </w:rPr>
            </w:pPr>
            <w:r>
              <w:rPr>
                <w:rFonts w:ascii="Arial" w:cs="Arial" w:eastAsia="Arial" w:hAnsi="Arial"/>
                <w:sz w:val="18"/>
                <w:szCs w:val="18"/>
                <w:color w:val="auto"/>
              </w:rPr>
              <w:t>Section 10.</w:t>
            </w:r>
          </w:p>
        </w:tc>
        <w:tc>
          <w:tcPr>
            <w:tcW w:w="7740" w:type="dxa"/>
            <w:vAlign w:val="bottom"/>
            <w:gridSpan w:val="3"/>
          </w:tcPr>
          <w:p>
            <w:pPr>
              <w:spacing w:after="0"/>
              <w:rPr>
                <w:sz w:val="20"/>
                <w:szCs w:val="20"/>
                <w:color w:val="auto"/>
              </w:rPr>
            </w:pPr>
            <w:r>
              <w:rPr>
                <w:rFonts w:ascii="Arial" w:cs="Arial" w:eastAsia="Arial" w:hAnsi="Arial"/>
                <w:sz w:val="18"/>
                <w:szCs w:val="18"/>
                <w:color w:val="auto"/>
                <w:w w:val="90"/>
              </w:rPr>
              <w:t>Successors; Assignment. The terms of this Control Agreement shall be binding upon, and shall inure to the</w:t>
            </w:r>
          </w:p>
        </w:tc>
      </w:tr>
      <w:tr>
        <w:trPr>
          <w:trHeight w:val="20"/>
        </w:trPr>
        <w:tc>
          <w:tcPr>
            <w:tcW w:w="3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237"/>
        </w:trPr>
        <w:tc>
          <w:tcPr>
            <w:tcW w:w="11300" w:type="dxa"/>
            <w:vAlign w:val="bottom"/>
            <w:gridSpan w:val="4"/>
          </w:tcPr>
          <w:p>
            <w:pPr>
              <w:spacing w:after="0"/>
              <w:rPr>
                <w:sz w:val="20"/>
                <w:szCs w:val="20"/>
                <w:color w:val="auto"/>
              </w:rPr>
            </w:pPr>
            <w:r>
              <w:rPr>
                <w:rFonts w:ascii="Arial" w:cs="Arial" w:eastAsia="Arial" w:hAnsi="Arial"/>
                <w:sz w:val="18"/>
                <w:szCs w:val="18"/>
                <w:color w:val="auto"/>
              </w:rPr>
              <w:t>benefit of, the parties hereto and their respective corporate successors and permitted assignees.</w:t>
            </w:r>
          </w:p>
        </w:tc>
      </w:tr>
      <w:tr>
        <w:trPr>
          <w:trHeight w:val="419"/>
        </w:trPr>
        <w:tc>
          <w:tcPr>
            <w:tcW w:w="3560" w:type="dxa"/>
            <w:vAlign w:val="bottom"/>
          </w:tcPr>
          <w:p>
            <w:pPr>
              <w:ind w:left="1300"/>
              <w:spacing w:after="0"/>
              <w:rPr>
                <w:sz w:val="20"/>
                <w:szCs w:val="20"/>
                <w:color w:val="auto"/>
              </w:rPr>
            </w:pPr>
            <w:r>
              <w:rPr>
                <w:rFonts w:ascii="Arial" w:cs="Arial" w:eastAsia="Arial" w:hAnsi="Arial"/>
                <w:sz w:val="18"/>
                <w:szCs w:val="18"/>
                <w:color w:val="auto"/>
              </w:rPr>
              <w:t>Section 11.</w:t>
            </w:r>
          </w:p>
        </w:tc>
        <w:tc>
          <w:tcPr>
            <w:tcW w:w="7740" w:type="dxa"/>
            <w:vAlign w:val="bottom"/>
            <w:gridSpan w:val="3"/>
          </w:tcPr>
          <w:p>
            <w:pPr>
              <w:spacing w:after="0"/>
              <w:rPr>
                <w:sz w:val="20"/>
                <w:szCs w:val="20"/>
                <w:color w:val="auto"/>
              </w:rPr>
            </w:pPr>
            <w:r>
              <w:rPr>
                <w:rFonts w:ascii="Arial" w:cs="Arial" w:eastAsia="Arial" w:hAnsi="Arial"/>
                <w:sz w:val="18"/>
                <w:szCs w:val="18"/>
                <w:color w:val="auto"/>
                <w:w w:val="93"/>
              </w:rPr>
              <w:t>Notices. Any notice, request or other communication required or permitted to be given under this Control</w:t>
            </w:r>
          </w:p>
        </w:tc>
      </w:tr>
      <w:tr>
        <w:trPr>
          <w:trHeight w:val="20"/>
        </w:trPr>
        <w:tc>
          <w:tcPr>
            <w:tcW w:w="35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bl>
    <w:p>
      <w:pPr>
        <w:spacing w:after="0" w:line="1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Agreement shall be in writing and deemed to have been properly given when delivered in person, or when sent by telecopy or other electronic means and electronic confirmation of error free receipt is received or two (2) days after being sent by certified or registered United States mail, return receipt requested, postage prepaid, addressed to the party at the address set forth below.</w:t>
      </w:r>
    </w:p>
    <w:p>
      <w:pPr>
        <w:spacing w:after="0" w:line="208" w:lineRule="exact"/>
        <w:rPr>
          <w:sz w:val="20"/>
          <w:szCs w:val="20"/>
          <w:color w:val="auto"/>
        </w:rPr>
      </w:pPr>
    </w:p>
    <w:p>
      <w:pPr>
        <w:jc w:val="center"/>
        <w:ind w:right="5600"/>
        <w:spacing w:after="0"/>
        <w:tabs>
          <w:tab w:leader="none" w:pos="660" w:val="left"/>
          <w:tab w:leader="none" w:pos="1780" w:val="left"/>
        </w:tabs>
        <w:rPr>
          <w:sz w:val="20"/>
          <w:szCs w:val="20"/>
          <w:color w:val="auto"/>
        </w:rPr>
      </w:pPr>
      <w:r>
        <w:rPr>
          <w:rFonts w:ascii="Arial" w:cs="Arial" w:eastAsia="Arial" w:hAnsi="Arial"/>
          <w:sz w:val="18"/>
          <w:szCs w:val="18"/>
          <w:color w:val="auto"/>
        </w:rPr>
        <w:t>Pledgor: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jc w:val="center"/>
        <w:ind w:right="5500"/>
        <w:spacing w:after="0"/>
        <w:rPr>
          <w:sz w:val="20"/>
          <w:szCs w:val="20"/>
          <w:color w:val="auto"/>
        </w:rPr>
      </w:pPr>
      <w:r>
        <w:rPr>
          <w:rFonts w:ascii="Arial" w:cs="Arial" w:eastAsia="Arial" w:hAnsi="Arial"/>
          <w:sz w:val="18"/>
          <w:szCs w:val="18"/>
          <w:color w:val="auto"/>
        </w:rPr>
        <w:t>[Address]</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Telecopy:</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copy to:</w:t>
      </w:r>
    </w:p>
    <w:p>
      <w:pPr>
        <w:spacing w:after="0" w:line="279" w:lineRule="exact"/>
        <w:rPr>
          <w:sz w:val="20"/>
          <w:szCs w:val="20"/>
          <w:color w:val="auto"/>
        </w:rPr>
      </w:pPr>
    </w:p>
    <w:p>
      <w:pPr>
        <w:ind w:left="2600"/>
        <w:spacing w:after="0"/>
        <w:tabs>
          <w:tab w:leader="none" w:pos="4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[Address]</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Telecopy:</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Securities</w:t>
      </w:r>
    </w:p>
    <w:p>
      <w:pPr>
        <w:spacing w:after="0" w:line="279" w:lineRule="exact"/>
        <w:rPr>
          <w:sz w:val="20"/>
          <w:szCs w:val="20"/>
          <w:color w:val="auto"/>
        </w:rPr>
      </w:pPr>
    </w:p>
    <w:p>
      <w:pPr>
        <w:ind w:left="460"/>
        <w:spacing w:after="0"/>
        <w:tabs>
          <w:tab w:leader="none" w:pos="1980" w:val="left"/>
          <w:tab w:leader="none" w:pos="3840" w:val="left"/>
        </w:tabs>
        <w:rPr>
          <w:sz w:val="20"/>
          <w:szCs w:val="20"/>
          <w:color w:val="auto"/>
        </w:rPr>
      </w:pPr>
      <w:r>
        <w:rPr>
          <w:rFonts w:ascii="Arial" w:cs="Arial" w:eastAsia="Arial" w:hAnsi="Arial"/>
          <w:sz w:val="18"/>
          <w:szCs w:val="18"/>
          <w:color w:val="auto"/>
        </w:rPr>
        <w:t>Intermediary: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[Address]</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Telecopy:</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Collateral</w:t>
      </w:r>
    </w:p>
    <w:p>
      <w:pPr>
        <w:spacing w:after="0" w:line="2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Agent:</w:t>
      </w:r>
      <w:r>
        <w:rPr>
          <w:sz w:val="20"/>
          <w:szCs w:val="20"/>
          <w:color w:val="auto"/>
        </w:rPr>
        <w:tab/>
      </w:r>
      <w:r>
        <w:rPr>
          <w:rFonts w:ascii="Arial" w:cs="Arial" w:eastAsia="Arial" w:hAnsi="Arial"/>
          <w:sz w:val="18"/>
          <w:szCs w:val="18"/>
          <w:color w:val="auto"/>
        </w:rPr>
        <w:t>Wells Fargo Bank</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Inland Northwest RCBO</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601 West First Avenue, Suite 900</w:t>
      </w:r>
    </w:p>
    <w:p>
      <w:pPr>
        <w:sectPr>
          <w:pgSz w:w="11900" w:h="16838" w:orient="portrait"/>
          <w:cols w:equalWidth="0" w:num="1">
            <w:col w:w="11420"/>
          </w:cols>
          <w:pgMar w:left="240" w:top="125" w:right="239" w:bottom="0" w:gutter="0" w:footer="0" w:header="0"/>
        </w:sectPr>
      </w:pPr>
    </w:p>
    <w:bookmarkStart w:id="172" w:name="page173"/>
    <w:bookmarkEnd w:id="172"/>
    <w:p>
      <w:pPr>
        <w:ind w:left="2600"/>
        <w:spacing w:after="0"/>
        <w:rPr>
          <w:sz w:val="20"/>
          <w:szCs w:val="20"/>
          <w:color w:val="auto"/>
        </w:rPr>
      </w:pPr>
      <w:r>
        <w:rPr>
          <w:rFonts w:ascii="Arial" w:cs="Arial" w:eastAsia="Arial" w:hAnsi="Arial"/>
          <w:sz w:val="18"/>
          <w:szCs w:val="18"/>
          <w:color w:val="auto"/>
        </w:rPr>
        <w:t>Spokane, WA 99201</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Tom Beil</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Telecopier No.: (509) 455-5760</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beilt@wellsfargo.com</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party may change its address for notices in the manner set forth above.</w:t>
      </w:r>
    </w:p>
    <w:p>
      <w:pPr>
        <w:spacing w:after="0" w:line="252" w:lineRule="exact"/>
        <w:rPr>
          <w:sz w:val="20"/>
          <w:szCs w:val="20"/>
          <w:color w:val="auto"/>
        </w:rPr>
      </w:pPr>
    </w:p>
    <w:p>
      <w:pPr>
        <w:ind w:left="1300"/>
        <w:spacing w:after="0"/>
        <w:tabs>
          <w:tab w:leader="none" w:pos="35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52" w:lineRule="exact"/>
        <w:rPr>
          <w:sz w:val="20"/>
          <w:szCs w:val="20"/>
          <w:color w:val="auto"/>
        </w:rPr>
      </w:pPr>
    </w:p>
    <w:p>
      <w:pPr>
        <w:ind w:right="480" w:firstLine="1305"/>
        <w:spacing w:after="0" w:line="259" w:lineRule="auto"/>
        <w:tabs>
          <w:tab w:leader="none" w:pos="1961"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w:t>
      </w:r>
      <w:r>
        <w:rPr>
          <w:rFonts w:ascii="Arial" w:cs="Arial" w:eastAsia="Arial" w:hAnsi="Arial"/>
          <w:sz w:val="18"/>
          <w:szCs w:val="18"/>
          <w:u w:val="single" w:color="auto"/>
          <w:color w:val="auto"/>
        </w:rPr>
        <w:t>Section 12</w:t>
      </w:r>
      <w:r>
        <w:rPr>
          <w:rFonts w:ascii="Arial" w:cs="Arial" w:eastAsia="Arial" w:hAnsi="Arial"/>
          <w:sz w:val="18"/>
          <w:szCs w:val="18"/>
          <w:color w:val="auto"/>
        </w:rPr>
        <w:t>, the obligations of the Securities Intermediary hereunder and this Control Agreement shall continue in effect until the security interests of the Collateral Agent in the Designated Accounts and any and all Account Property held therein or credited thereto have been terminated pursuant to the terms of the Security Agreement and the Collateral Agent has notified the Securities Intermediary of such termination in writing.</w:t>
      </w:r>
    </w:p>
    <w:p>
      <w:pPr>
        <w:spacing w:after="0" w:line="213" w:lineRule="exact"/>
        <w:rPr>
          <w:rFonts w:ascii="Arial" w:cs="Arial" w:eastAsia="Arial" w:hAnsi="Arial"/>
          <w:sz w:val="18"/>
          <w:szCs w:val="18"/>
          <w:color w:val="auto"/>
        </w:rPr>
      </w:pPr>
    </w:p>
    <w:p>
      <w:pPr>
        <w:ind w:right="80" w:firstLine="1305"/>
        <w:spacing w:after="0" w:line="277" w:lineRule="auto"/>
        <w:tabs>
          <w:tab w:leader="none" w:pos="2008"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Securities Intermediary, acting alone, may terminate this Control Agreement at any time and for any reason by written notice delivered to the Collateral Agent and the Pledgor not less than thirty (30) days prior to the effective termination date.</w:t>
      </w:r>
    </w:p>
    <w:p>
      <w:pPr>
        <w:spacing w:after="0" w:line="197" w:lineRule="exact"/>
        <w:rPr>
          <w:rFonts w:ascii="Arial" w:cs="Arial" w:eastAsia="Arial" w:hAnsi="Arial"/>
          <w:sz w:val="18"/>
          <w:szCs w:val="18"/>
          <w:color w:val="auto"/>
        </w:rPr>
      </w:pPr>
    </w:p>
    <w:p>
      <w:pPr>
        <w:ind w:right="100" w:firstLine="1305"/>
        <w:spacing w:after="0" w:line="279" w:lineRule="auto"/>
        <w:tabs>
          <w:tab w:leader="none" w:pos="2061" w:val="left"/>
        </w:tabs>
        <w:numPr>
          <w:ilvl w:val="0"/>
          <w:numId w:val="386"/>
        </w:numPr>
        <w:rPr>
          <w:rFonts w:ascii="Arial" w:cs="Arial" w:eastAsia="Arial" w:hAnsi="Arial"/>
          <w:sz w:val="17"/>
          <w:szCs w:val="17"/>
          <w:color w:val="auto"/>
        </w:rPr>
      </w:pPr>
      <w:r>
        <w:rPr>
          <w:rFonts w:ascii="Arial" w:cs="Arial" w:eastAsia="Arial" w:hAnsi="Arial"/>
          <w:sz w:val="17"/>
          <w:szCs w:val="17"/>
          <w:color w:val="auto"/>
        </w:rPr>
        <w:t xml:space="preserve">Prior to any termination of this Control Agreement pursuant to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the Securities Intermediary hereby agrees that it shall promptly take, at Pledgor’s sole cost and expense, all reasonable actions necessary to facilitate the transfer of any Account Property in or credited to the Designated Accounts as follows: (i) in the case of a termination of this Control Agreement under </w:t>
      </w:r>
      <w:r>
        <w:rPr>
          <w:rFonts w:ascii="Arial" w:cs="Arial" w:eastAsia="Arial" w:hAnsi="Arial"/>
          <w:sz w:val="17"/>
          <w:szCs w:val="17"/>
          <w:u w:val="single" w:color="auto"/>
          <w:color w:val="auto"/>
        </w:rPr>
        <w:t>Section 12(i)</w:t>
      </w:r>
      <w:r>
        <w:rPr>
          <w:rFonts w:ascii="Arial" w:cs="Arial" w:eastAsia="Arial" w:hAnsi="Arial"/>
          <w:sz w:val="17"/>
          <w:szCs w:val="17"/>
          <w:color w:val="auto"/>
        </w:rPr>
        <w:t>, if requested by Pledgor, to the institution designated in writing by Pledgor; and (ii) in all other cases, to the institution designated in writing by the Collateral Agent.</w:t>
      </w:r>
    </w:p>
    <w:p>
      <w:pPr>
        <w:spacing w:after="0" w:line="19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Fees and Expenses.</w:t>
      </w:r>
      <w:r>
        <w:rPr>
          <w:rFonts w:ascii="Arial" w:cs="Arial" w:eastAsia="Arial" w:hAnsi="Arial"/>
          <w:sz w:val="17"/>
          <w:szCs w:val="17"/>
          <w:color w:val="auto"/>
        </w:rPr>
        <w:t xml:space="preserve"> The Securities Intermediary agrees to look solely to the Pledgor for payment of any and all fees, costs, charges and expenses incurred or otherwise relating to the Designated Accounts and services provided by the Securities Intermediary hereunder (collectively, the “</w:t>
      </w:r>
      <w:r>
        <w:rPr>
          <w:rFonts w:ascii="Arial" w:cs="Arial" w:eastAsia="Arial" w:hAnsi="Arial"/>
          <w:sz w:val="17"/>
          <w:szCs w:val="17"/>
          <w:u w:val="single" w:color="auto"/>
          <w:color w:val="auto"/>
        </w:rPr>
        <w:t>Account Expenses</w:t>
      </w:r>
      <w:r>
        <w:rPr>
          <w:rFonts w:ascii="Arial" w:cs="Arial" w:eastAsia="Arial" w:hAnsi="Arial"/>
          <w:sz w:val="17"/>
          <w:szCs w:val="17"/>
          <w:color w:val="auto"/>
        </w:rPr>
        <w:t>”), and the Pledgor agrees to pay such Account Expenses to the Securities Intermediary on demand therefor. The Pledgor acknowledges and agrees that it shall be, and at all times remains, solely liable to the Securities Intermediary for all Account Expenses.</w:t>
      </w:r>
    </w:p>
    <w:p>
      <w:pPr>
        <w:spacing w:after="0" w:line="198"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set forth in this Control Agreement shall be invalid or unenforceable, the remainder of this Control Agreement, other than those provisions held invalid or unenforceable, shall be construed in all respects as if such invalid or unenforceable term or provision were omitted.</w:t>
      </w:r>
    </w:p>
    <w:p>
      <w:pPr>
        <w:spacing w:after="0" w:line="208" w:lineRule="exact"/>
        <w:rPr>
          <w:sz w:val="20"/>
          <w:szCs w:val="20"/>
          <w:color w:val="auto"/>
        </w:rPr>
      </w:pPr>
    </w:p>
    <w:p>
      <w:pPr>
        <w:jc w:val="both"/>
        <w:ind w:right="540" w:firstLine="990"/>
        <w:spacing w:after="0" w:line="308"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Counterparts</w:t>
      </w:r>
      <w:r>
        <w:rPr>
          <w:rFonts w:ascii="Arial" w:cs="Arial" w:eastAsia="Arial" w:hAnsi="Arial"/>
          <w:sz w:val="17"/>
          <w:szCs w:val="17"/>
          <w:color w:val="auto"/>
        </w:rPr>
        <w:t>. This Control Agreement may be executed in any number of counterparts, all of which shall constitute one and the same instrument, and any party hereto may execute this Control Agreement by signing and delivering one or more counterparts.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as Pledgor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07" w:lineRule="exact"/>
        <w:rPr>
          <w:sz w:val="20"/>
          <w:szCs w:val="20"/>
          <w:color w:val="auto"/>
        </w:rPr>
      </w:pPr>
    </w:p>
    <w:p>
      <w:pPr>
        <w:sectPr>
          <w:pgSz w:w="11900" w:h="16838" w:orient="portrait"/>
          <w:cols w:equalWidth="0" w:num="2">
            <w:col w:w="6300" w:space="720"/>
            <w:col w:w="4400"/>
          </w:cols>
          <w:pgMar w:left="240" w:top="126" w:right="239" w:bottom="1440" w:gutter="0" w:footer="0" w:header="0"/>
          <w:type w:val="continuous"/>
        </w:sectPr>
      </w:pPr>
    </w:p>
    <w:p>
      <w:pPr>
        <w:spacing w:after="0" w:line="7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Collateral Agent</w:t>
      </w:r>
    </w:p>
    <w:p>
      <w:pPr>
        <w:spacing w:after="0" w:line="2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4380"/>
              <w:spacing w:after="0"/>
              <w:rPr>
                <w:sz w:val="20"/>
                <w:szCs w:val="20"/>
                <w:color w:val="auto"/>
              </w:rPr>
            </w:pPr>
            <w:r>
              <w:rPr>
                <w:rFonts w:ascii="Arial" w:cs="Arial" w:eastAsia="Arial" w:hAnsi="Arial"/>
                <w:sz w:val="18"/>
                <w:szCs w:val="18"/>
                <w:color w:val="auto"/>
              </w:rPr>
              <w:t>Name:</w:t>
            </w:r>
          </w:p>
        </w:tc>
        <w:tc>
          <w:tcPr>
            <w:tcW w:w="5000" w:type="dxa"/>
            <w:vAlign w:val="bottom"/>
          </w:tcPr>
          <w:p>
            <w:pPr>
              <w:spacing w:after="0"/>
              <w:rPr>
                <w:sz w:val="20"/>
                <w:szCs w:val="20"/>
                <w:color w:val="auto"/>
              </w:rPr>
            </w:pPr>
          </w:p>
        </w:tc>
      </w:tr>
      <w:tr>
        <w:trPr>
          <w:trHeight w:val="243"/>
        </w:trPr>
        <w:tc>
          <w:tcPr>
            <w:tcW w:w="6420" w:type="dxa"/>
            <w:vAlign w:val="bottom"/>
          </w:tcPr>
          <w:p>
            <w:pPr>
              <w:ind w:left="4380"/>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1"/>
                <w:szCs w:val="21"/>
                <w:color w:val="auto"/>
              </w:rPr>
            </w:pPr>
          </w:p>
        </w:tc>
      </w:tr>
      <w:tr>
        <w:trPr>
          <w:trHeight w:val="472"/>
        </w:trPr>
        <w:tc>
          <w:tcPr>
            <w:tcW w:w="6420" w:type="dxa"/>
            <w:vAlign w:val="bottom"/>
          </w:tcPr>
          <w:p>
            <w:pPr>
              <w:ind w:left="3940"/>
              <w:spacing w:after="0"/>
              <w:rPr>
                <w:sz w:val="20"/>
                <w:szCs w:val="20"/>
                <w:color w:val="auto"/>
              </w:rPr>
            </w:pPr>
            <w:r>
              <w:rPr>
                <w:rFonts w:ascii="Arial" w:cs="Arial" w:eastAsia="Arial" w:hAnsi="Arial"/>
                <w:sz w:val="18"/>
                <w:szCs w:val="18"/>
                <w:color w:val="auto"/>
              </w:rPr>
              <w:t>[</w:t>
            </w:r>
          </w:p>
        </w:tc>
        <w:tc>
          <w:tcPr>
            <w:tcW w:w="5000" w:type="dxa"/>
            <w:vAlign w:val="bottom"/>
          </w:tcPr>
          <w:p>
            <w:pPr>
              <w:jc w:val="right"/>
              <w:ind w:right="4170"/>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tcPr>
          <w:p>
            <w:pPr>
              <w:ind w:left="3900"/>
              <w:spacing w:after="0"/>
              <w:rPr>
                <w:sz w:val="20"/>
                <w:szCs w:val="20"/>
                <w:color w:val="auto"/>
              </w:rPr>
            </w:pPr>
            <w:r>
              <w:rPr>
                <w:rFonts w:ascii="Arial" w:cs="Arial" w:eastAsia="Arial" w:hAnsi="Arial"/>
                <w:sz w:val="18"/>
                <w:szCs w:val="18"/>
                <w:color w:val="auto"/>
              </w:rPr>
              <w:t>as Securities Intermediary</w:t>
            </w:r>
          </w:p>
        </w:tc>
        <w:tc>
          <w:tcPr>
            <w:tcW w:w="5000" w:type="dxa"/>
            <w:vAlign w:val="bottom"/>
          </w:tcPr>
          <w:p>
            <w:pPr>
              <w:spacing w:after="0"/>
              <w:rPr>
                <w:sz w:val="20"/>
                <w:szCs w:val="20"/>
                <w:color w:val="auto"/>
              </w:rPr>
            </w:pPr>
          </w:p>
        </w:tc>
      </w:tr>
      <w:tr>
        <w:trPr>
          <w:trHeight w:val="459"/>
        </w:trPr>
        <w:tc>
          <w:tcPr>
            <w:tcW w:w="6420" w:type="dxa"/>
            <w:vAlign w:val="bottom"/>
          </w:tcPr>
          <w:p>
            <w:pPr>
              <w:ind w:left="3900"/>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4"/>
                <w:szCs w:val="24"/>
                <w:color w:val="auto"/>
              </w:rPr>
            </w:pPr>
          </w:p>
        </w:tc>
      </w:tr>
      <w:tr>
        <w:trPr>
          <w:trHeight w:val="243"/>
        </w:trPr>
        <w:tc>
          <w:tcPr>
            <w:tcW w:w="6420" w:type="dxa"/>
            <w:vAlign w:val="bottom"/>
          </w:tcPr>
          <w:p>
            <w:pPr>
              <w:ind w:left="4380"/>
              <w:spacing w:after="0"/>
              <w:rPr>
                <w:sz w:val="20"/>
                <w:szCs w:val="20"/>
                <w:color w:val="auto"/>
              </w:rPr>
            </w:pPr>
            <w:r>
              <w:rPr>
                <w:rFonts w:ascii="Arial" w:cs="Arial" w:eastAsia="Arial" w:hAnsi="Arial"/>
                <w:sz w:val="18"/>
                <w:szCs w:val="18"/>
                <w:color w:val="auto"/>
              </w:rPr>
              <w:t>Name:</w:t>
            </w:r>
          </w:p>
        </w:tc>
        <w:tc>
          <w:tcPr>
            <w:tcW w:w="5000" w:type="dxa"/>
            <w:vAlign w:val="bottom"/>
          </w:tcPr>
          <w:p>
            <w:pPr>
              <w:spacing w:after="0"/>
              <w:rPr>
                <w:sz w:val="21"/>
                <w:szCs w:val="21"/>
                <w:color w:val="auto"/>
              </w:rPr>
            </w:pPr>
          </w:p>
        </w:tc>
      </w:tr>
      <w:tr>
        <w:trPr>
          <w:trHeight w:val="243"/>
        </w:trPr>
        <w:tc>
          <w:tcPr>
            <w:tcW w:w="6420" w:type="dxa"/>
            <w:vAlign w:val="bottom"/>
          </w:tcPr>
          <w:p>
            <w:pPr>
              <w:ind w:left="4380"/>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1"/>
                <w:szCs w:val="21"/>
                <w:color w:val="auto"/>
              </w:rPr>
            </w:pPr>
          </w:p>
        </w:tc>
      </w:tr>
      <w:tr>
        <w:trPr>
          <w:trHeight w:val="632"/>
        </w:trPr>
        <w:tc>
          <w:tcPr>
            <w:tcW w:w="64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73" w:name="page174"/>
    <w:bookmarkEnd w:id="173"/>
    <w:p>
      <w:pPr>
        <w:jc w:val="center"/>
        <w:spacing w:after="0"/>
        <w:rPr>
          <w:sz w:val="20"/>
          <w:szCs w:val="20"/>
          <w:color w:val="auto"/>
        </w:rPr>
      </w:pPr>
      <w:r>
        <w:rPr>
          <w:rFonts w:ascii="Arial" w:cs="Arial" w:eastAsia="Arial" w:hAnsi="Arial"/>
          <w:sz w:val="18"/>
          <w:szCs w:val="18"/>
          <w:color w:val="auto"/>
        </w:rPr>
        <w:t>SCHEDULE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Designated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404495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ind w:left="380"/>
              <w:spacing w:after="0"/>
              <w:rPr>
                <w:sz w:val="20"/>
                <w:szCs w:val="20"/>
                <w:color w:val="auto"/>
              </w:rPr>
            </w:pPr>
            <w:r>
              <w:rPr>
                <w:rFonts w:ascii="Arial" w:cs="Arial" w:eastAsia="Arial" w:hAnsi="Arial"/>
                <w:sz w:val="18"/>
                <w:szCs w:val="18"/>
                <w:color w:val="auto"/>
                <w:w w:val="98"/>
              </w:rPr>
              <w:t>EXHIBIT 5</w:t>
            </w:r>
          </w:p>
        </w:tc>
      </w:tr>
      <w:tr>
        <w:trPr>
          <w:trHeight w:val="459"/>
        </w:trPr>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80" w:type="dxa"/>
            <w:vAlign w:val="bottom"/>
            <w:gridSpan w:val="4"/>
          </w:tcPr>
          <w:p>
            <w:pPr>
              <w:ind w:left="400"/>
              <w:spacing w:after="0"/>
              <w:rPr>
                <w:sz w:val="20"/>
                <w:szCs w:val="20"/>
                <w:color w:val="auto"/>
              </w:rPr>
            </w:pPr>
            <w:r>
              <w:rPr>
                <w:rFonts w:ascii="Arial" w:cs="Arial" w:eastAsia="Arial" w:hAnsi="Arial"/>
                <w:sz w:val="18"/>
                <w:szCs w:val="18"/>
                <w:color w:val="auto"/>
              </w:rPr>
              <w:t>CONTROL AGREEMENT CONCERNING DEPOSIT ACCOUNTS</w:t>
            </w:r>
          </w:p>
        </w:tc>
        <w:tc>
          <w:tcPr>
            <w:tcW w:w="1240" w:type="dxa"/>
            <w:vAlign w:val="bottom"/>
          </w:tcPr>
          <w:p>
            <w:pPr>
              <w:spacing w:after="0"/>
              <w:rPr>
                <w:sz w:val="24"/>
                <w:szCs w:val="24"/>
                <w:color w:val="auto"/>
              </w:rPr>
            </w:pPr>
          </w:p>
        </w:tc>
      </w:tr>
      <w:tr>
        <w:trPr>
          <w:trHeight w:val="419"/>
        </w:trPr>
        <w:tc>
          <w:tcPr>
            <w:tcW w:w="960" w:type="dxa"/>
            <w:vAlign w:val="bottom"/>
          </w:tcPr>
          <w:p>
            <w:pPr>
              <w:spacing w:after="0"/>
              <w:rPr>
                <w:sz w:val="24"/>
                <w:szCs w:val="24"/>
                <w:color w:val="auto"/>
              </w:rPr>
            </w:pPr>
          </w:p>
        </w:tc>
        <w:tc>
          <w:tcPr>
            <w:tcW w:w="9220" w:type="dxa"/>
            <w:vAlign w:val="bottom"/>
            <w:gridSpan w:val="6"/>
          </w:tcPr>
          <w:p>
            <w:pPr>
              <w:ind w:left="340"/>
              <w:spacing w:after="0"/>
              <w:rPr>
                <w:sz w:val="20"/>
                <w:szCs w:val="20"/>
                <w:color w:val="auto"/>
              </w:rPr>
            </w:pPr>
            <w:r>
              <w:rPr>
                <w:rFonts w:ascii="Arial" w:cs="Arial" w:eastAsia="Arial" w:hAnsi="Arial"/>
                <w:sz w:val="18"/>
                <w:szCs w:val="18"/>
                <w:color w:val="auto"/>
                <w:w w:val="99"/>
              </w:rPr>
              <w:t>This CONTROL AGREEMENT CONCERNING DEPOSIT ACCOUNTS (this “Control Agreement”), dated as of [</w:t>
            </w:r>
          </w:p>
        </w:tc>
        <w:tc>
          <w:tcPr>
            <w:tcW w:w="1240" w:type="dxa"/>
            <w:vAlign w:val="bottom"/>
          </w:tcPr>
          <w:p>
            <w:pPr>
              <w:ind w:left="420"/>
              <w:spacing w:after="0"/>
              <w:rPr>
                <w:sz w:val="20"/>
                <w:szCs w:val="20"/>
                <w:color w:val="auto"/>
              </w:rPr>
            </w:pPr>
            <w:r>
              <w:rPr>
                <w:rFonts w:ascii="Arial" w:cs="Arial" w:eastAsia="Arial" w:hAnsi="Arial"/>
                <w:sz w:val="18"/>
                <w:szCs w:val="18"/>
                <w:color w:val="auto"/>
              </w:rPr>
              <w:t>], by and</w:t>
            </w:r>
          </w:p>
        </w:tc>
      </w:tr>
      <w:tr>
        <w:trPr>
          <w:trHeight w:val="20"/>
        </w:trPr>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among [</w:t>
            </w:r>
          </w:p>
        </w:tc>
        <w:tc>
          <w:tcPr>
            <w:tcW w:w="10460" w:type="dxa"/>
            <w:vAlign w:val="bottom"/>
            <w:gridSpan w:val="7"/>
          </w:tcPr>
          <w:p>
            <w:pPr>
              <w:ind w:left="760"/>
              <w:spacing w:after="0" w:line="196" w:lineRule="exact"/>
              <w:rPr>
                <w:sz w:val="20"/>
                <w:szCs w:val="20"/>
                <w:color w:val="auto"/>
              </w:rPr>
            </w:pPr>
            <w:r>
              <w:rPr>
                <w:rFonts w:ascii="Arial" w:cs="Arial" w:eastAsia="Arial" w:hAnsi="Arial"/>
                <w:sz w:val="18"/>
                <w:szCs w:val="18"/>
                <w:color w:val="auto"/>
              </w:rPr>
              <w:t>] (the “Pledgor”), WELLS FARGO BANK, NATIONAL ASSOCIATION, as Collateral Agent (the “Collateral Agent”) and</w:t>
            </w:r>
          </w:p>
        </w:tc>
      </w:tr>
      <w:tr>
        <w:trPr>
          <w:trHeight w:val="20"/>
        </w:trPr>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firstLine="8"/>
        <w:spacing w:after="0" w:line="255" w:lineRule="auto"/>
        <w:tabs>
          <w:tab w:leader="none" w:pos="1185"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(the “</w:t>
      </w:r>
      <w:r>
        <w:rPr>
          <w:rFonts w:ascii="Arial" w:cs="Arial" w:eastAsia="Arial" w:hAnsi="Arial"/>
          <w:sz w:val="18"/>
          <w:szCs w:val="18"/>
          <w:u w:val="single" w:color="auto"/>
          <w:color w:val="auto"/>
        </w:rPr>
        <w:t>Bank</w:t>
      </w:r>
      <w:r>
        <w:rPr>
          <w:rFonts w:ascii="Arial" w:cs="Arial" w:eastAsia="Arial" w:hAnsi="Arial"/>
          <w:sz w:val="18"/>
          <w:szCs w:val="18"/>
          <w:color w:val="auto"/>
        </w:rPr>
        <w:t xml:space="preserve">”), is delivered pursuant to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of that certain security agreement (as amended, amended and restated, supplemented or otherwise modified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dated as of April 18, 2007, made by [Itron, Inc., a Washington corporation,] [the Pledgor] and each of the Subsidiary Guarantors listed on the signature pages thereto in favor of WELLS FARGO BANK, NATIONAL ASSOCIATION, as collateral agent, as pledgee, assignee and secured party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This Control Agreement is for the purpose of perfecting the security interests of the Secured Parties granted by the Pledgor in the Designated Accounts described below. All references herein to the “UCC” shall mean the Uniform Commercial Code as in effect from time to time in the State of New York. Capitalized terms used but not defined herein shall have the meanings assigned to such terms in the Security Agreement.</w:t>
      </w:r>
    </w:p>
    <w:p>
      <w:pPr>
        <w:spacing w:after="0" w:line="216"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Confirmation of Establishment and Maintenance of DesignatedAccounts</w:t>
      </w:r>
      <w:r>
        <w:rPr>
          <w:rFonts w:ascii="Arial" w:cs="Arial" w:eastAsia="Arial" w:hAnsi="Arial"/>
          <w:sz w:val="18"/>
          <w:szCs w:val="18"/>
          <w:color w:val="auto"/>
        </w:rPr>
        <w:t xml:space="preserve">. The Bank hereby confirms and agrees that (i) the Bank has established for the Pledgor and maintains the deposit account(s) listed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annexed hereto (such account(s), together with each such other deposit account maintained by the Pledgor with the Bank collectively, the “</w:t>
      </w:r>
      <w:r>
        <w:rPr>
          <w:rFonts w:ascii="Arial" w:cs="Arial" w:eastAsia="Arial" w:hAnsi="Arial"/>
          <w:sz w:val="18"/>
          <w:szCs w:val="18"/>
          <w:u w:val="single" w:color="auto"/>
          <w:color w:val="auto"/>
        </w:rPr>
        <w:t>Designated Accounts</w:t>
      </w:r>
      <w:r>
        <w:rPr>
          <w:rFonts w:ascii="Arial" w:cs="Arial" w:eastAsia="Arial" w:hAnsi="Arial"/>
          <w:sz w:val="18"/>
          <w:szCs w:val="18"/>
          <w:color w:val="auto"/>
        </w:rPr>
        <w:t>” and each a “</w:t>
      </w:r>
      <w:r>
        <w:rPr>
          <w:rFonts w:ascii="Arial" w:cs="Arial" w:eastAsia="Arial" w:hAnsi="Arial"/>
          <w:sz w:val="18"/>
          <w:szCs w:val="18"/>
          <w:u w:val="single" w:color="auto"/>
          <w:color w:val="auto"/>
        </w:rPr>
        <w:t>Designated Account</w:t>
      </w:r>
      <w:r>
        <w:rPr>
          <w:rFonts w:ascii="Arial" w:cs="Arial" w:eastAsia="Arial" w:hAnsi="Arial"/>
          <w:sz w:val="18"/>
          <w:szCs w:val="18"/>
          <w:color w:val="auto"/>
        </w:rPr>
        <w:t>”), (ii) each Designated Account will be maintained in the manner set forth herein until termination of this Control Agreement, (iii) the Bank is a “bank”, as such term is defined in the UCC, (iv) this Control Agreement is the valid and legally binding obligation of the Bank and (v) each Designated Account is a “deposit account” as such term is defined in Article 9 of the UCC.</w:t>
      </w:r>
    </w:p>
    <w:p>
      <w:pPr>
        <w:spacing w:after="0" w:line="220"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Control</w:t>
      </w:r>
      <w:r>
        <w:rPr>
          <w:rFonts w:ascii="Arial" w:cs="Arial" w:eastAsia="Arial" w:hAnsi="Arial"/>
          <w:sz w:val="18"/>
          <w:szCs w:val="18"/>
          <w:color w:val="auto"/>
        </w:rPr>
        <w:t xml:space="preserve">. The Bank shall comply with instructions originated by the Collateral Agent without further consent of the Pledgor or any person acting or purporting to act for the Pledgor being required, including, without limitation, directing disposition of the funds in each Designated Account. The Bank shall also comply with instructions directing the disposition of funds in each Designated Account originated by the Pledgor or its authorized representatives until such time as the Collateral Agent delivers a Notice of Sole Control pursuant to </w:t>
      </w:r>
      <w:r>
        <w:rPr>
          <w:rFonts w:ascii="Arial" w:cs="Arial" w:eastAsia="Arial" w:hAnsi="Arial"/>
          <w:sz w:val="18"/>
          <w:szCs w:val="18"/>
          <w:u w:val="single" w:color="auto"/>
          <w:color w:val="auto"/>
        </w:rPr>
        <w:t>Section 8(i)</w:t>
      </w:r>
      <w:r>
        <w:rPr>
          <w:rFonts w:ascii="Arial" w:cs="Arial" w:eastAsia="Arial" w:hAnsi="Arial"/>
          <w:sz w:val="18"/>
          <w:szCs w:val="18"/>
          <w:color w:val="auto"/>
        </w:rPr>
        <w:t xml:space="preserve"> hereof to the Bank. The Bank shall comply with, and is fully entitled to rely upon, any instruction from the Collateral Agent, even if such instruction is contrary to any instruction that the Pledgor may give or may have given to the Bank.</w:t>
      </w:r>
    </w:p>
    <w:p>
      <w:pPr>
        <w:spacing w:after="0" w:line="220" w:lineRule="exact"/>
        <w:rPr>
          <w:sz w:val="20"/>
          <w:szCs w:val="20"/>
          <w:color w:val="auto"/>
        </w:rPr>
      </w:pPr>
    </w:p>
    <w:p>
      <w:pPr>
        <w:ind w:right="20" w:firstLine="1297"/>
        <w:spacing w:after="0" w:line="25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 of Lien; Waiver of Set-Off</w:t>
      </w:r>
      <w:r>
        <w:rPr>
          <w:rFonts w:ascii="Arial" w:cs="Arial" w:eastAsia="Arial" w:hAnsi="Arial"/>
          <w:sz w:val="18"/>
          <w:szCs w:val="18"/>
          <w:color w:val="auto"/>
        </w:rPr>
        <w:t xml:space="preserve">. The Bank hereby agrees that any security interest in, lien on, encumbrance, claim or (except as provided in the next sentence) right of setoff against, any Designated Account or any funds therein it now has or subsequently obtains shall be subordinate to the security interest of the Collateral Agent in the Designated Accounts and the funds therein or credited thereto. The Bank agrees not to exercise any present or future right of recoupment or set-off against any of the Designated Accounts or to assert against any of the Designated Accounts any present or future security interest, banker’s lien or any other lien or claim (including claim for penalties) that the Bank may at any time have against or in any of the Designated Accounts or any funds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Bank may set off (i) all amounts due to the Bank in respect of its customary fees and expenses for the routine maintenance and operation of the Designated Accounts, including overdraft fees, and (ii) the face amount of any checks or other items which have been credited to any Designated Account but are subsequently returned unpaid because of uncollected or insufficient funds).</w:t>
      </w:r>
    </w:p>
    <w:p>
      <w:pPr>
        <w:spacing w:after="0" w:line="224"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Choice of Law</w:t>
      </w:r>
      <w:r>
        <w:rPr>
          <w:rFonts w:ascii="Arial" w:cs="Arial" w:eastAsia="Arial" w:hAnsi="Arial"/>
          <w:sz w:val="18"/>
          <w:szCs w:val="18"/>
          <w:color w:val="auto"/>
        </w:rPr>
        <w:t>. Both this Control Agreement and the Designated Accounts shall be governed by the laws of the State of New York. Regardless of any provision in any other agreement, for purposes of the UCC, New York shall be deemed to be the Bank’s jurisdiction and the Designated Account(s) shall be governed by the law of the State of New York.</w:t>
      </w:r>
    </w:p>
    <w:p>
      <w:pPr>
        <w:spacing w:after="0" w:line="208" w:lineRule="exact"/>
        <w:rPr>
          <w:sz w:val="20"/>
          <w:szCs w:val="20"/>
          <w:color w:val="auto"/>
        </w:rPr>
      </w:pPr>
    </w:p>
    <w:p>
      <w:pPr>
        <w:ind w:right="60" w:firstLine="1297"/>
        <w:spacing w:after="0" w:line="25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Conflict with Other Agreements; Amendments</w:t>
      </w:r>
      <w:r>
        <w:rPr>
          <w:rFonts w:ascii="Arial" w:cs="Arial" w:eastAsia="Arial" w:hAnsi="Arial"/>
          <w:sz w:val="18"/>
          <w:szCs w:val="18"/>
          <w:color w:val="auto"/>
        </w:rPr>
        <w:t xml:space="preserve">. As of the date hereof, there are no other agreements entered into between the Bank and the Pledgor with respect to any Designated Account or any funds credited thereto (other than standard and customary documentation with respect to the establishment and maintenance of such Designated Accounts). The Bank and the Pledgor will not enter into any other agreement with respect to any Designated Account unless the Collateral Agent shall have received prior written notice thereof. The Bank and the Pledgor have not and will not enter into any other agreement with respect to control of the Designated Accounts or purporting to limit or condition the obligation of the Bank to comply with any orders or instructions with respect to any Designated Account as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without the prior written consent of the Collateral Agent acting in its sole discretion. In the event of any conflict with respect to control over any Designated Account between this Control Agreement (or any portion hereof) and any other agreement now existing or hereafter entered into, the terms of this Control Agreement shall prevail. No amendment or modification of this Control Agreement or waiver of any right hereunder shall be binding on any party hereto unless it is in writing and is signed by all the parties hereto.</w:t>
      </w:r>
    </w:p>
    <w:p>
      <w:pPr>
        <w:spacing w:after="0" w:line="222"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Certain Agreements</w:t>
      </w:r>
      <w:r>
        <w:rPr>
          <w:rFonts w:ascii="Arial" w:cs="Arial" w:eastAsia="Arial" w:hAnsi="Arial"/>
          <w:sz w:val="18"/>
          <w:szCs w:val="18"/>
          <w:color w:val="auto"/>
        </w:rPr>
        <w:t>. As of the date hereof, the Bank has furnished to the Collateral Agent the most recent account statement issued by the Bank with respect to each of the Designated Accounts and the cash balances held therein. Each such statement accurately reflects the assets held in such Designated Account as of the date thereof.</w:t>
      </w:r>
    </w:p>
    <w:p>
      <w:pPr>
        <w:spacing w:after="0" w:line="208" w:lineRule="exact"/>
        <w:rPr>
          <w:sz w:val="20"/>
          <w:szCs w:val="20"/>
          <w:color w:val="auto"/>
        </w:rPr>
      </w:pPr>
    </w:p>
    <w:p>
      <w:pPr>
        <w:ind w:right="240" w:firstLine="1297"/>
        <w:spacing w:after="0" w:line="293"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Notice of Adverse Claims</w:t>
      </w:r>
      <w:r>
        <w:rPr>
          <w:rFonts w:ascii="Arial" w:cs="Arial" w:eastAsia="Arial" w:hAnsi="Arial"/>
          <w:sz w:val="16"/>
          <w:szCs w:val="16"/>
          <w:color w:val="auto"/>
        </w:rPr>
        <w:t>. Except for the claims and interest of the Secured Parties and of the Pledgor in the Designated Accounts, the Bank on the date hereof does not know of any claim to, security interest in, lien on, or encumbrance against, any Designated Account or in any funds credited thereto and does not know of any claim that any person or entity other than the Collateral Agent has been given control (within the meaning of Section 9-104 of the UCC) of any Designated Account or any such funds. If the Bank becomes aware that any person or entity is asserting any lien, encumbrance, security interest or adverse claim (including any writ, garnishment, judgment, warrant of attachment, execution or similar process or any claim of control) against any funds in any Designated Account, the Bank shall promptly notify the Collateral Agent and the Pledgor thereof.</w:t>
      </w:r>
    </w:p>
    <w:p>
      <w:pPr>
        <w:spacing w:after="0" w:line="192"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Maintenance of Designated Accounts</w:t>
      </w:r>
      <w:r>
        <w:rPr>
          <w:rFonts w:ascii="Arial" w:cs="Arial" w:eastAsia="Arial" w:hAnsi="Arial"/>
          <w:sz w:val="18"/>
          <w:szCs w:val="18"/>
          <w:color w:val="auto"/>
        </w:rPr>
        <w:t xml:space="preserve">. In addition to the obligations of the Bank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the Bank agrees to maintain the Designated Accounts as follows:</w:t>
      </w:r>
    </w:p>
    <w:p>
      <w:pPr>
        <w:spacing w:after="0" w:line="197" w:lineRule="exact"/>
        <w:rPr>
          <w:sz w:val="20"/>
          <w:szCs w:val="20"/>
          <w:color w:val="auto"/>
        </w:rPr>
      </w:pPr>
    </w:p>
    <w:p>
      <w:pPr>
        <w:ind w:left="660" w:firstLine="671"/>
        <w:spacing w:after="0" w:line="257" w:lineRule="auto"/>
        <w:tabs>
          <w:tab w:leader="none" w:pos="1932"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Notice of Sole Control</w:t>
      </w:r>
      <w:r>
        <w:rPr>
          <w:rFonts w:ascii="Arial" w:cs="Arial" w:eastAsia="Arial" w:hAnsi="Arial"/>
          <w:sz w:val="18"/>
          <w:szCs w:val="18"/>
          <w:color w:val="auto"/>
        </w:rPr>
        <w:t>. If at any time the Collateral Agent delivers to the Bank a notice instructing the Bank to terminate Pledgor’s access to any Designated Account (the “</w:t>
      </w:r>
      <w:r>
        <w:rPr>
          <w:rFonts w:ascii="Arial" w:cs="Arial" w:eastAsia="Arial" w:hAnsi="Arial"/>
          <w:sz w:val="18"/>
          <w:szCs w:val="18"/>
          <w:u w:val="single" w:color="auto"/>
          <w:color w:val="auto"/>
        </w:rPr>
        <w:t>Notice of Sole Control</w:t>
      </w:r>
      <w:r>
        <w:rPr>
          <w:rFonts w:ascii="Arial" w:cs="Arial" w:eastAsia="Arial" w:hAnsi="Arial"/>
          <w:sz w:val="18"/>
          <w:szCs w:val="18"/>
          <w:color w:val="auto"/>
        </w:rPr>
        <w:t>”), the Bank agrees that, after receipt of such notice, it will take all instruction with respect to such Designated Account solely from the Collateral Agent, terminate all instructions and orders originated by the Pledgor with respect to the Designated Accounts or any funds therein, and cease taking instructions from the Pledgor, including, without limitation, instructions for distribution or transfer of any funds in any Designated Account.</w:t>
      </w:r>
    </w:p>
    <w:p>
      <w:pPr>
        <w:sectPr>
          <w:pgSz w:w="11900" w:h="16838" w:orient="portrait"/>
          <w:cols w:equalWidth="0" w:num="1">
            <w:col w:w="11420"/>
          </w:cols>
          <w:pgMar w:left="240" w:top="369" w:right="239" w:bottom="22" w:gutter="0" w:footer="0" w:header="0"/>
        </w:sectPr>
      </w:pPr>
    </w:p>
    <w:bookmarkStart w:id="175" w:name="page176"/>
    <w:bookmarkEnd w:id="175"/>
    <w:p>
      <w:pPr>
        <w:ind w:left="660" w:right="40" w:firstLine="671"/>
        <w:spacing w:after="0" w:line="257" w:lineRule="auto"/>
        <w:tabs>
          <w:tab w:leader="none" w:pos="1982"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Statements and Confirmations</w:t>
      </w:r>
      <w:r>
        <w:rPr>
          <w:rFonts w:ascii="Arial" w:cs="Arial" w:eastAsia="Arial" w:hAnsi="Arial"/>
          <w:sz w:val="18"/>
          <w:szCs w:val="18"/>
          <w:color w:val="auto"/>
        </w:rPr>
        <w:t xml:space="preserve">. The Bank will send copies of all statements and other correspondence (excluding routine confirmations) concerning any Designated Account simultaneously to the Pledgor and the Collateral Agent at the address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The Bank will promptly provide to the Collateral Agent, upon request therefor from time to time and, in any event, as of the last business day of each calendar month, a statement of the cash balance in each Designated Account. The Bank shall not change the name or account number of any Designated Account without the prior written consent of the Collateral Agent.</w:t>
      </w:r>
    </w:p>
    <w:p>
      <w:pPr>
        <w:spacing w:after="0" w:line="21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Successors; Assignment</w:t>
      </w:r>
      <w:r>
        <w:rPr>
          <w:rFonts w:ascii="Arial" w:cs="Arial" w:eastAsia="Arial" w:hAnsi="Arial"/>
          <w:sz w:val="18"/>
          <w:szCs w:val="18"/>
          <w:color w:val="auto"/>
        </w:rPr>
        <w:t>. The terms of this Control Agreement shall be binding upon, and shall inure to the benefit of, the parties hereto and their respective corporate successors and permitted assignees.</w:t>
      </w:r>
    </w:p>
    <w:p>
      <w:pPr>
        <w:spacing w:after="0" w:line="197"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communication required or permitted to be given under this Control Agreement shall be in writing and deemed to have been properly given when delivered in person, or when sent by telecopy or other electronic means and electronic confirmation of error free receipt is received or two (2) days after being sent by certified or registered United States mail, return receipt requested, postage prepaid, addressed to the party at the address set forth below.</w:t>
      </w:r>
    </w:p>
    <w:p>
      <w:pPr>
        <w:spacing w:after="0" w:line="214" w:lineRule="exact"/>
        <w:rPr>
          <w:sz w:val="20"/>
          <w:szCs w:val="20"/>
          <w:color w:val="auto"/>
        </w:rPr>
      </w:pPr>
    </w:p>
    <w:p>
      <w:pPr>
        <w:jc w:val="center"/>
        <w:ind w:right="5600"/>
        <w:spacing w:after="0"/>
        <w:tabs>
          <w:tab w:leader="none" w:pos="660" w:val="left"/>
          <w:tab w:leader="none" w:pos="1780" w:val="left"/>
        </w:tabs>
        <w:rPr>
          <w:sz w:val="20"/>
          <w:szCs w:val="20"/>
          <w:color w:val="auto"/>
        </w:rPr>
      </w:pPr>
      <w:r>
        <w:rPr>
          <w:rFonts w:ascii="Arial" w:cs="Arial" w:eastAsia="Arial" w:hAnsi="Arial"/>
          <w:sz w:val="18"/>
          <w:szCs w:val="18"/>
          <w:color w:val="auto"/>
        </w:rPr>
        <w:t>Pledgor: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jc w:val="center"/>
        <w:ind w:right="5520"/>
        <w:spacing w:after="0"/>
        <w:rPr>
          <w:sz w:val="20"/>
          <w:szCs w:val="20"/>
          <w:color w:val="auto"/>
        </w:rPr>
      </w:pPr>
      <w:r>
        <w:rPr>
          <w:rFonts w:ascii="Arial" w:cs="Arial" w:eastAsia="Arial" w:hAnsi="Arial"/>
          <w:sz w:val="18"/>
          <w:szCs w:val="18"/>
          <w:color w:val="auto"/>
        </w:rPr>
        <w:t>[Address]</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Telecopy:</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copy to:</w:t>
      </w:r>
    </w:p>
    <w:p>
      <w:pPr>
        <w:spacing w:after="0" w:line="279" w:lineRule="exact"/>
        <w:rPr>
          <w:sz w:val="20"/>
          <w:szCs w:val="20"/>
          <w:color w:val="auto"/>
        </w:rPr>
      </w:pPr>
    </w:p>
    <w:p>
      <w:pPr>
        <w:ind w:left="2600"/>
        <w:spacing w:after="0"/>
        <w:tabs>
          <w:tab w:leader="none" w:pos="4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[Address]</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Telecopy:</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w:t>
      </w:r>
    </w:p>
    <w:p>
      <w:pPr>
        <w:spacing w:after="0" w:line="279" w:lineRule="exact"/>
        <w:rPr>
          <w:sz w:val="20"/>
          <w:szCs w:val="20"/>
          <w:color w:val="auto"/>
        </w:rPr>
      </w:pPr>
    </w:p>
    <w:p>
      <w:pPr>
        <w:ind w:left="1300"/>
        <w:spacing w:after="0"/>
        <w:tabs>
          <w:tab w:leader="none" w:pos="2580" w:val="left"/>
          <w:tab w:leader="none" w:pos="4660" w:val="left"/>
        </w:tabs>
        <w:rPr>
          <w:sz w:val="20"/>
          <w:szCs w:val="20"/>
          <w:color w:val="auto"/>
        </w:rPr>
      </w:pPr>
      <w:r>
        <w:rPr>
          <w:rFonts w:ascii="Arial" w:cs="Arial" w:eastAsia="Arial" w:hAnsi="Arial"/>
          <w:sz w:val="18"/>
          <w:szCs w:val="18"/>
          <w:color w:val="auto"/>
        </w:rPr>
        <w:t>Bank: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600"/>
        <w:spacing w:after="0"/>
        <w:tabs>
          <w:tab w:leader="none" w:pos="4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600"/>
        <w:spacing w:after="0"/>
        <w:tabs>
          <w:tab w:leader="none" w:pos="4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Telecopy:</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w:t>
      </w:r>
    </w:p>
    <w:p>
      <w:pPr>
        <w:spacing w:after="0" w:line="27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Collateral</w:t>
      </w:r>
    </w:p>
    <w:p>
      <w:pPr>
        <w:spacing w:after="0" w:line="2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Agent:</w:t>
      </w:r>
      <w:r>
        <w:rPr>
          <w:sz w:val="20"/>
          <w:szCs w:val="20"/>
          <w:color w:val="auto"/>
        </w:rPr>
        <w:tab/>
      </w:r>
      <w:r>
        <w:rPr>
          <w:rFonts w:ascii="Arial" w:cs="Arial" w:eastAsia="Arial" w:hAnsi="Arial"/>
          <w:sz w:val="18"/>
          <w:szCs w:val="18"/>
          <w:color w:val="auto"/>
        </w:rPr>
        <w:t>Wells Fargo Bank</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Inland Northwest RCBO</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601 West First Avenue, Suite 900</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Spokane, WA 99201</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Tom Beil</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Telecopier No.: (509) 455-5760</w:t>
      </w:r>
    </w:p>
    <w:p>
      <w:pPr>
        <w:spacing w:after="0" w:line="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beilt@wellsfargo.com</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party may change its address for notices in the manner set forth above.</w:t>
      </w:r>
    </w:p>
    <w:p>
      <w:pPr>
        <w:spacing w:after="0" w:line="252" w:lineRule="exact"/>
        <w:rPr>
          <w:sz w:val="20"/>
          <w:szCs w:val="20"/>
          <w:color w:val="auto"/>
        </w:rPr>
      </w:pPr>
    </w:p>
    <w:p>
      <w:pPr>
        <w:ind w:left="1300"/>
        <w:spacing w:after="0"/>
        <w:tabs>
          <w:tab w:leader="none" w:pos="35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52" w:lineRule="exact"/>
        <w:rPr>
          <w:sz w:val="20"/>
          <w:szCs w:val="20"/>
          <w:color w:val="auto"/>
        </w:rPr>
      </w:pPr>
    </w:p>
    <w:p>
      <w:pPr>
        <w:ind w:right="120" w:firstLine="1305"/>
        <w:spacing w:after="0" w:line="264" w:lineRule="auto"/>
        <w:tabs>
          <w:tab w:leader="none" w:pos="1961"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the obligations of the Bank hereunder and this Control Agreement shall continue in effect until the security interests of the Collateral Agent in the Designated Accounts and any and all funds therein have been terminated pursuant to the terms of the Security Agreement and the Collateral Agent has notified the Bank of such termination in writing.</w:t>
      </w:r>
    </w:p>
    <w:p>
      <w:pPr>
        <w:spacing w:after="0" w:line="208" w:lineRule="exact"/>
        <w:rPr>
          <w:rFonts w:ascii="Arial" w:cs="Arial" w:eastAsia="Arial" w:hAnsi="Arial"/>
          <w:sz w:val="18"/>
          <w:szCs w:val="18"/>
          <w:color w:val="auto"/>
        </w:rPr>
      </w:pPr>
    </w:p>
    <w:p>
      <w:pPr>
        <w:ind w:right="220" w:firstLine="1305"/>
        <w:spacing w:after="0" w:line="277" w:lineRule="auto"/>
        <w:tabs>
          <w:tab w:leader="none" w:pos="2008"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Bank, acting alone, may terminate this Control Agreement at any time and for any reason by written notice delivered to the Collateral Agent and the Pledgor not less than thirty (30) days prior to the effective termination date.</w:t>
      </w:r>
    </w:p>
    <w:p>
      <w:pPr>
        <w:spacing w:after="0" w:line="197" w:lineRule="exact"/>
        <w:rPr>
          <w:rFonts w:ascii="Arial" w:cs="Arial" w:eastAsia="Arial" w:hAnsi="Arial"/>
          <w:sz w:val="18"/>
          <w:szCs w:val="18"/>
          <w:color w:val="auto"/>
        </w:rPr>
      </w:pPr>
    </w:p>
    <w:p>
      <w:pPr>
        <w:ind w:right="20" w:firstLine="1305"/>
        <w:spacing w:after="0" w:line="259" w:lineRule="auto"/>
        <w:tabs>
          <w:tab w:leader="none" w:pos="2061"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Prior to any termination of this Control Agreement pursuant to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 Bank hereby agrees that it shall promptly take, at Pledgor’s sole cost and expense, all reasonable actions necessary to facilitate the transfer of any funds in the Designated Accounts as follows: (a) in the case of a termination of this Control Agreement under </w:t>
      </w:r>
      <w:r>
        <w:rPr>
          <w:rFonts w:ascii="Arial" w:cs="Arial" w:eastAsia="Arial" w:hAnsi="Arial"/>
          <w:sz w:val="18"/>
          <w:szCs w:val="18"/>
          <w:u w:val="single" w:color="auto"/>
          <w:color w:val="auto"/>
        </w:rPr>
        <w:t>Section 11(i)</w:t>
      </w:r>
      <w:r>
        <w:rPr>
          <w:rFonts w:ascii="Arial" w:cs="Arial" w:eastAsia="Arial" w:hAnsi="Arial"/>
          <w:sz w:val="18"/>
          <w:szCs w:val="18"/>
          <w:color w:val="auto"/>
        </w:rPr>
        <w:t>, if requested by Pledgor, to the institution designated in writing by Pledgor; and (b) in all other cases, to the institution designated in writing by the Collateral Agent.</w:t>
      </w:r>
    </w:p>
    <w:p>
      <w:pPr>
        <w:spacing w:after="0" w:line="214"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Fees and Expenses.</w:t>
      </w:r>
      <w:r>
        <w:rPr>
          <w:rFonts w:ascii="Arial" w:cs="Arial" w:eastAsia="Arial" w:hAnsi="Arial"/>
          <w:sz w:val="18"/>
          <w:szCs w:val="18"/>
          <w:color w:val="auto"/>
        </w:rPr>
        <w:t xml:space="preserve"> The Bank agrees to look solely to the Pledgor for payment of any and all fees, costs, charges and expenses incurred or otherwise relating to the Designated Accounts and services provided by the Bank hereunder (collectively, the “</w:t>
      </w:r>
      <w:r>
        <w:rPr>
          <w:rFonts w:ascii="Arial" w:cs="Arial" w:eastAsia="Arial" w:hAnsi="Arial"/>
          <w:sz w:val="18"/>
          <w:szCs w:val="18"/>
          <w:u w:val="single" w:color="auto"/>
          <w:color w:val="auto"/>
        </w:rPr>
        <w:t>Account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Expenses</w:t>
      </w:r>
      <w:r>
        <w:rPr>
          <w:rFonts w:ascii="Arial" w:cs="Arial" w:eastAsia="Arial" w:hAnsi="Arial"/>
          <w:sz w:val="18"/>
          <w:szCs w:val="18"/>
          <w:color w:val="auto"/>
        </w:rPr>
        <w:t>”), and the Pledgor agrees to pay such Account Expenses to the Bank on demand therefor. The Pledgor acknowledges and agrees that it shall be, and at all times remains, solely liable to the Bank for all Account Expenses.</w:t>
      </w:r>
    </w:p>
    <w:p>
      <w:pPr>
        <w:spacing w:after="0" w:line="214"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set forth in this Control Agreement shall be invalid or unenforceable, the remainder of this Control Agreement, other than those provisions held invalid or unenforceable, shall be construed in all respects as if such invalid or unenforceable term or provision were omitted.</w:t>
      </w:r>
    </w:p>
    <w:p>
      <w:pPr>
        <w:spacing w:after="0" w:line="208" w:lineRule="exact"/>
        <w:rPr>
          <w:sz w:val="20"/>
          <w:szCs w:val="20"/>
          <w:color w:val="auto"/>
        </w:rPr>
      </w:pPr>
    </w:p>
    <w:p>
      <w:pPr>
        <w:ind w:right="240" w:firstLine="1297"/>
        <w:spacing w:after="0" w:line="308"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Counterparts</w:t>
      </w:r>
      <w:r>
        <w:rPr>
          <w:rFonts w:ascii="Arial" w:cs="Arial" w:eastAsia="Arial" w:hAnsi="Arial"/>
          <w:sz w:val="17"/>
          <w:szCs w:val="17"/>
          <w:color w:val="auto"/>
        </w:rPr>
        <w:t>. This Control Agreement may be executed in any number of counterparts, all of which shall constitute one and the same instrument, and any party hereto may execute this Control Agreement by signing and delivering one or more counterparts.</w:t>
      </w:r>
    </w:p>
    <w:p>
      <w:pPr>
        <w:sectPr>
          <w:pgSz w:w="11900" w:h="16838" w:orient="portrait"/>
          <w:cols w:equalWidth="0" w:num="1">
            <w:col w:w="11420"/>
          </w:cols>
          <w:pgMar w:left="240" w:top="125" w:right="239" w:bottom="0" w:gutter="0" w:footer="0" w:header="0"/>
        </w:sectPr>
      </w:pPr>
    </w:p>
    <w:bookmarkStart w:id="176" w:name="page177"/>
    <w:bookmarkEnd w:id="176"/>
    <w:p>
      <w:pPr>
        <w:jc w:val="center"/>
        <w:spacing w:after="0"/>
        <w:rPr>
          <w:sz w:val="20"/>
          <w:szCs w:val="20"/>
          <w:color w:val="auto"/>
        </w:rPr>
      </w:pPr>
      <w:r>
        <w:rPr>
          <w:rFonts w:ascii="Arial" w:cs="Arial" w:eastAsia="Arial" w:hAnsi="Arial"/>
          <w:sz w:val="16"/>
          <w:szCs w:val="16"/>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404495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77" w:name="page178"/>
    <w:bookmarkEnd w:id="177"/>
    <w:p>
      <w:pPr>
        <w:ind w:left="3900"/>
        <w:spacing w:after="0"/>
        <w:tabs>
          <w:tab w:leader="none" w:pos="6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Collateral Agent</w:t>
      </w:r>
    </w:p>
    <w:p>
      <w:pPr>
        <w:spacing w:after="0" w:line="2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ind w:left="4380"/>
              <w:spacing w:after="0"/>
              <w:rPr>
                <w:sz w:val="20"/>
                <w:szCs w:val="20"/>
                <w:color w:val="auto"/>
              </w:rPr>
            </w:pPr>
            <w:r>
              <w:rPr>
                <w:rFonts w:ascii="Arial" w:cs="Arial" w:eastAsia="Arial" w:hAnsi="Arial"/>
                <w:sz w:val="18"/>
                <w:szCs w:val="18"/>
                <w:color w:val="auto"/>
              </w:rPr>
              <w:t>Name:</w:t>
            </w:r>
          </w:p>
        </w:tc>
        <w:tc>
          <w:tcPr>
            <w:tcW w:w="5640" w:type="dxa"/>
            <w:vAlign w:val="bottom"/>
          </w:tcPr>
          <w:p>
            <w:pPr>
              <w:spacing w:after="0"/>
              <w:rPr>
                <w:sz w:val="20"/>
                <w:szCs w:val="20"/>
                <w:color w:val="auto"/>
              </w:rPr>
            </w:pPr>
          </w:p>
        </w:tc>
      </w:tr>
      <w:tr>
        <w:trPr>
          <w:trHeight w:val="243"/>
        </w:trPr>
        <w:tc>
          <w:tcPr>
            <w:tcW w:w="5780" w:type="dxa"/>
            <w:vAlign w:val="bottom"/>
          </w:tcPr>
          <w:p>
            <w:pPr>
              <w:ind w:left="4380"/>
              <w:spacing w:after="0"/>
              <w:rPr>
                <w:sz w:val="20"/>
                <w:szCs w:val="20"/>
                <w:color w:val="auto"/>
              </w:rPr>
            </w:pPr>
            <w:r>
              <w:rPr>
                <w:rFonts w:ascii="Arial" w:cs="Arial" w:eastAsia="Arial" w:hAnsi="Arial"/>
                <w:sz w:val="18"/>
                <w:szCs w:val="18"/>
                <w:color w:val="auto"/>
              </w:rPr>
              <w:t>Title:</w:t>
            </w:r>
          </w:p>
        </w:tc>
        <w:tc>
          <w:tcPr>
            <w:tcW w:w="5640" w:type="dxa"/>
            <w:vAlign w:val="bottom"/>
          </w:tcPr>
          <w:p>
            <w:pPr>
              <w:spacing w:after="0"/>
              <w:rPr>
                <w:sz w:val="21"/>
                <w:szCs w:val="21"/>
                <w:color w:val="auto"/>
              </w:rPr>
            </w:pPr>
          </w:p>
        </w:tc>
      </w:tr>
      <w:tr>
        <w:trPr>
          <w:trHeight w:val="472"/>
        </w:trPr>
        <w:tc>
          <w:tcPr>
            <w:tcW w:w="5780" w:type="dxa"/>
            <w:vAlign w:val="bottom"/>
          </w:tcPr>
          <w:p>
            <w:pPr>
              <w:ind w:left="3940"/>
              <w:spacing w:after="0"/>
              <w:rPr>
                <w:sz w:val="20"/>
                <w:szCs w:val="20"/>
                <w:color w:val="auto"/>
              </w:rPr>
            </w:pPr>
            <w:r>
              <w:rPr>
                <w:rFonts w:ascii="Arial" w:cs="Arial" w:eastAsia="Arial" w:hAnsi="Arial"/>
                <w:sz w:val="18"/>
                <w:szCs w:val="18"/>
                <w:color w:val="auto"/>
              </w:rPr>
              <w:t>[</w:t>
            </w:r>
          </w:p>
        </w:tc>
        <w:tc>
          <w:tcPr>
            <w:tcW w:w="5640" w:type="dxa"/>
            <w:vAlign w:val="bottom"/>
          </w:tcPr>
          <w:p>
            <w:pPr>
              <w:jc w:val="right"/>
              <w:ind w:right="4530"/>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ind w:left="3900"/>
              <w:spacing w:after="0"/>
              <w:rPr>
                <w:sz w:val="20"/>
                <w:szCs w:val="20"/>
                <w:color w:val="auto"/>
              </w:rPr>
            </w:pPr>
            <w:r>
              <w:rPr>
                <w:rFonts w:ascii="Arial" w:cs="Arial" w:eastAsia="Arial" w:hAnsi="Arial"/>
                <w:sz w:val="18"/>
                <w:szCs w:val="18"/>
                <w:color w:val="auto"/>
              </w:rPr>
              <w:t>as Bank</w:t>
            </w:r>
          </w:p>
        </w:tc>
        <w:tc>
          <w:tcPr>
            <w:tcW w:w="5640" w:type="dxa"/>
            <w:vAlign w:val="bottom"/>
          </w:tcPr>
          <w:p>
            <w:pPr>
              <w:spacing w:after="0"/>
              <w:rPr>
                <w:sz w:val="20"/>
                <w:szCs w:val="20"/>
                <w:color w:val="auto"/>
              </w:rPr>
            </w:pPr>
          </w:p>
        </w:tc>
      </w:tr>
      <w:tr>
        <w:trPr>
          <w:trHeight w:val="702"/>
        </w:trPr>
        <w:tc>
          <w:tcPr>
            <w:tcW w:w="5780" w:type="dxa"/>
            <w:vAlign w:val="bottom"/>
          </w:tcPr>
          <w:p>
            <w:pPr>
              <w:ind w:left="3900"/>
              <w:spacing w:after="0"/>
              <w:rPr>
                <w:sz w:val="20"/>
                <w:szCs w:val="20"/>
                <w:color w:val="auto"/>
              </w:rPr>
            </w:pPr>
            <w:r>
              <w:rPr>
                <w:rFonts w:ascii="Arial" w:cs="Arial" w:eastAsia="Arial" w:hAnsi="Arial"/>
                <w:sz w:val="18"/>
                <w:szCs w:val="18"/>
                <w:color w:val="auto"/>
              </w:rPr>
              <w:t>By:</w:t>
            </w:r>
          </w:p>
        </w:tc>
        <w:tc>
          <w:tcPr>
            <w:tcW w:w="5640" w:type="dxa"/>
            <w:vAlign w:val="bottom"/>
          </w:tcPr>
          <w:p>
            <w:pPr>
              <w:spacing w:after="0"/>
              <w:rPr>
                <w:sz w:val="24"/>
                <w:szCs w:val="24"/>
                <w:color w:val="auto"/>
              </w:rPr>
            </w:pPr>
          </w:p>
        </w:tc>
      </w:tr>
      <w:tr>
        <w:trPr>
          <w:trHeight w:val="243"/>
        </w:trPr>
        <w:tc>
          <w:tcPr>
            <w:tcW w:w="5780" w:type="dxa"/>
            <w:vAlign w:val="bottom"/>
          </w:tcPr>
          <w:p>
            <w:pPr>
              <w:ind w:left="4380"/>
              <w:spacing w:after="0"/>
              <w:rPr>
                <w:sz w:val="20"/>
                <w:szCs w:val="20"/>
                <w:color w:val="auto"/>
              </w:rPr>
            </w:pPr>
            <w:r>
              <w:rPr>
                <w:rFonts w:ascii="Arial" w:cs="Arial" w:eastAsia="Arial" w:hAnsi="Arial"/>
                <w:sz w:val="18"/>
                <w:szCs w:val="18"/>
                <w:color w:val="auto"/>
              </w:rPr>
              <w:t>Name:</w:t>
            </w:r>
          </w:p>
        </w:tc>
        <w:tc>
          <w:tcPr>
            <w:tcW w:w="5640" w:type="dxa"/>
            <w:vAlign w:val="bottom"/>
          </w:tcPr>
          <w:p>
            <w:pPr>
              <w:spacing w:after="0"/>
              <w:rPr>
                <w:sz w:val="21"/>
                <w:szCs w:val="21"/>
                <w:color w:val="auto"/>
              </w:rPr>
            </w:pPr>
          </w:p>
        </w:tc>
      </w:tr>
      <w:tr>
        <w:trPr>
          <w:trHeight w:val="243"/>
        </w:trPr>
        <w:tc>
          <w:tcPr>
            <w:tcW w:w="5780" w:type="dxa"/>
            <w:vAlign w:val="bottom"/>
          </w:tcPr>
          <w:p>
            <w:pPr>
              <w:ind w:left="4380"/>
              <w:spacing w:after="0"/>
              <w:rPr>
                <w:sz w:val="20"/>
                <w:szCs w:val="20"/>
                <w:color w:val="auto"/>
              </w:rPr>
            </w:pPr>
            <w:r>
              <w:rPr>
                <w:rFonts w:ascii="Arial" w:cs="Arial" w:eastAsia="Arial" w:hAnsi="Arial"/>
                <w:sz w:val="18"/>
                <w:szCs w:val="18"/>
                <w:color w:val="auto"/>
              </w:rPr>
              <w:t>Title:</w:t>
            </w:r>
          </w:p>
        </w:tc>
        <w:tc>
          <w:tcPr>
            <w:tcW w:w="5640" w:type="dxa"/>
            <w:vAlign w:val="bottom"/>
          </w:tcPr>
          <w:p>
            <w:pPr>
              <w:spacing w:after="0"/>
              <w:rPr>
                <w:sz w:val="21"/>
                <w:szCs w:val="21"/>
                <w:color w:val="auto"/>
              </w:rPr>
            </w:pPr>
          </w:p>
        </w:tc>
      </w:tr>
      <w:tr>
        <w:trPr>
          <w:trHeight w:val="632"/>
        </w:trPr>
        <w:tc>
          <w:tcPr>
            <w:tcW w:w="578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Designated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404495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t>EXHIBIT 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COPYRIGHT SECURITY AGREEMENT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COPYRIGHT SECURITY AGREEMENT, dated as of April 18, 2007 (this “</w:t>
      </w:r>
      <w:r>
        <w:rPr>
          <w:rFonts w:ascii="Arial" w:cs="Arial" w:eastAsia="Arial" w:hAnsi="Arial"/>
          <w:sz w:val="17"/>
          <w:szCs w:val="17"/>
          <w:u w:val="single" w:color="auto"/>
          <w:color w:val="auto"/>
        </w:rPr>
        <w:t>Copyright Security Agreement</w:t>
      </w:r>
      <w:r>
        <w:rPr>
          <w:rFonts w:ascii="Arial" w:cs="Arial" w:eastAsia="Arial" w:hAnsi="Arial"/>
          <w:sz w:val="17"/>
          <w:szCs w:val="17"/>
          <w:color w:val="auto"/>
        </w:rPr>
        <w:t>”), by [__________]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 (individually, a “</w:t>
      </w:r>
      <w:r>
        <w:rPr>
          <w:rFonts w:ascii="Arial" w:cs="Arial" w:eastAsia="Arial" w:hAnsi="Arial"/>
          <w:sz w:val="18"/>
          <w:szCs w:val="18"/>
          <w:u w:val="single" w:color="auto"/>
          <w:color w:val="auto"/>
        </w:rPr>
        <w:t>Pledgor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Pledgors</w:t>
      </w:r>
      <w:r>
        <w:rPr>
          <w:rFonts w:ascii="Arial" w:cs="Arial" w:eastAsia="Arial" w:hAnsi="Arial"/>
          <w:sz w:val="18"/>
          <w:szCs w:val="18"/>
          <w:color w:val="auto"/>
        </w:rPr>
        <w:t>”), in favor of WELLS FARGO BANK, NATIONAL ASSOCIATION, in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capacity as collateral agent pursuant to the Credit Agreement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52"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WHEREAS, the Pledgors are party to a Security Agreement of even date herewith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in favor of the Collateral Agent pursuant to which the Pledgors are required to execute and deliver this Copyright Security Agreement;</w:t>
      </w:r>
    </w:p>
    <w:p>
      <w:pPr>
        <w:spacing w:after="0" w:line="197"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NOW, THEREFORE, in consideration of the premises and to induce the Collateral Agent, for the benefit of the Secured Parties, to enter into the Credit Agreement, the Pledgors hereby agree with the Collateral Agent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ind w:left="1300"/>
              <w:spacing w:after="0"/>
              <w:rPr>
                <w:sz w:val="20"/>
                <w:szCs w:val="20"/>
                <w:color w:val="auto"/>
              </w:rPr>
            </w:pPr>
            <w:r>
              <w:rPr>
                <w:rFonts w:ascii="Arial" w:cs="Arial" w:eastAsia="Arial" w:hAnsi="Arial"/>
                <w:sz w:val="18"/>
                <w:szCs w:val="18"/>
                <w:color w:val="auto"/>
              </w:rPr>
              <w:t>SECTION 1.</w:t>
            </w:r>
          </w:p>
        </w:tc>
        <w:tc>
          <w:tcPr>
            <w:tcW w:w="7720" w:type="dxa"/>
            <w:vAlign w:val="bottom"/>
            <w:gridSpan w:val="3"/>
          </w:tcPr>
          <w:p>
            <w:pPr>
              <w:spacing w:after="0"/>
              <w:rPr>
                <w:sz w:val="20"/>
                <w:szCs w:val="20"/>
                <w:color w:val="auto"/>
              </w:rPr>
            </w:pPr>
            <w:r>
              <w:rPr>
                <w:rFonts w:ascii="Arial" w:cs="Arial" w:eastAsia="Arial" w:hAnsi="Arial"/>
                <w:sz w:val="18"/>
                <w:szCs w:val="18"/>
                <w:color w:val="auto"/>
                <w:w w:val="90"/>
              </w:rPr>
              <w:t>Defined Terms. Unless otherwise defined herein, terms defined in the Security Agreement and used herein</w:t>
            </w:r>
          </w:p>
        </w:tc>
      </w:tr>
      <w:tr>
        <w:trPr>
          <w:trHeight w:val="20"/>
        </w:trPr>
        <w:tc>
          <w:tcPr>
            <w:tcW w:w="3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37"/>
        </w:trPr>
        <w:tc>
          <w:tcPr>
            <w:tcW w:w="11400" w:type="dxa"/>
            <w:vAlign w:val="bottom"/>
            <w:gridSpan w:val="4"/>
          </w:tcPr>
          <w:p>
            <w:pPr>
              <w:spacing w:after="0"/>
              <w:rPr>
                <w:sz w:val="20"/>
                <w:szCs w:val="20"/>
                <w:color w:val="auto"/>
              </w:rPr>
            </w:pPr>
            <w:r>
              <w:rPr>
                <w:rFonts w:ascii="Arial" w:cs="Arial" w:eastAsia="Arial" w:hAnsi="Arial"/>
                <w:sz w:val="18"/>
                <w:szCs w:val="18"/>
                <w:color w:val="auto"/>
              </w:rPr>
              <w:t>have the meaning given to them in the Security Agreement.</w:t>
            </w:r>
          </w:p>
        </w:tc>
      </w:tr>
      <w:tr>
        <w:trPr>
          <w:trHeight w:val="419"/>
        </w:trPr>
        <w:tc>
          <w:tcPr>
            <w:tcW w:w="3680" w:type="dxa"/>
            <w:vAlign w:val="bottom"/>
          </w:tcPr>
          <w:p>
            <w:pPr>
              <w:ind w:left="1300"/>
              <w:spacing w:after="0"/>
              <w:rPr>
                <w:sz w:val="20"/>
                <w:szCs w:val="20"/>
                <w:color w:val="auto"/>
              </w:rPr>
            </w:pPr>
            <w:r>
              <w:rPr>
                <w:rFonts w:ascii="Arial" w:cs="Arial" w:eastAsia="Arial" w:hAnsi="Arial"/>
                <w:sz w:val="18"/>
                <w:szCs w:val="18"/>
                <w:color w:val="auto"/>
              </w:rPr>
              <w:t>SECTION 2.</w:t>
            </w:r>
          </w:p>
        </w:tc>
        <w:tc>
          <w:tcPr>
            <w:tcW w:w="7720" w:type="dxa"/>
            <w:vAlign w:val="bottom"/>
            <w:gridSpan w:val="3"/>
          </w:tcPr>
          <w:p>
            <w:pPr>
              <w:spacing w:after="0"/>
              <w:rPr>
                <w:sz w:val="20"/>
                <w:szCs w:val="20"/>
                <w:color w:val="auto"/>
              </w:rPr>
            </w:pPr>
            <w:r>
              <w:rPr>
                <w:rFonts w:ascii="Arial" w:cs="Arial" w:eastAsia="Arial" w:hAnsi="Arial"/>
                <w:sz w:val="18"/>
                <w:szCs w:val="18"/>
                <w:color w:val="auto"/>
                <w:w w:val="92"/>
              </w:rPr>
              <w:t>Grant of Security Interest in Copyright Collateral. As collateral security for the payment and performance</w:t>
            </w:r>
          </w:p>
        </w:tc>
      </w:tr>
      <w:tr>
        <w:trPr>
          <w:trHeight w:val="20"/>
        </w:trPr>
        <w:tc>
          <w:tcPr>
            <w:tcW w:w="3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1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full of all the Secured Obligations, each Pledgor hereby pledges and grants to the Collateral Agent for the benefit of the Secured Parties, a lien on and security interest in all of the right, title and interest of such Pledgor in, to and under the following property, wherever located, and whether now existing or hereafter arising or acquired from time to time:</w:t>
      </w:r>
    </w:p>
    <w:p>
      <w:pPr>
        <w:spacing w:after="0" w:line="208" w:lineRule="exact"/>
        <w:rPr>
          <w:sz w:val="20"/>
          <w:szCs w:val="20"/>
          <w:color w:val="auto"/>
        </w:rPr>
      </w:pPr>
    </w:p>
    <w:p>
      <w:pPr>
        <w:ind w:left="1600" w:hanging="295"/>
        <w:spacing w:after="0"/>
        <w:tabs>
          <w:tab w:leader="none" w:pos="160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all Copyrights of such Pledgor, including, without limitation, the Copyrights of such Pledgor listed on Schedule I attached hereto; and</w:t>
      </w:r>
    </w:p>
    <w:p>
      <w:pPr>
        <w:spacing w:after="0" w:line="275" w:lineRule="exact"/>
        <w:rPr>
          <w:rFonts w:ascii="Arial" w:cs="Arial" w:eastAsia="Arial" w:hAnsi="Arial"/>
          <w:sz w:val="16"/>
          <w:szCs w:val="16"/>
          <w:color w:val="auto"/>
        </w:rPr>
      </w:pPr>
    </w:p>
    <w:p>
      <w:pPr>
        <w:ind w:left="1600" w:hanging="295"/>
        <w:spacing w:after="0"/>
        <w:tabs>
          <w:tab w:leader="none" w:pos="16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all Proceeds of any and all of the foregoing.</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Notwithstanding anything to the contrary contained in clauses (a) and (b) above, the security interest created by this Copyright Security Agreement shall not extend to any Excluded Property.</w:t>
      </w:r>
    </w:p>
    <w:p>
      <w:pPr>
        <w:spacing w:after="0" w:line="197"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Security Agreement</w:t>
      </w:r>
      <w:r>
        <w:rPr>
          <w:rFonts w:ascii="Arial" w:cs="Arial" w:eastAsia="Arial" w:hAnsi="Arial"/>
          <w:sz w:val="18"/>
          <w:szCs w:val="18"/>
          <w:color w:val="auto"/>
        </w:rPr>
        <w:t>. The security interest granted pursuant to this Copyright Security Agreement is granted in conjunction with the security interest granted to the Collateral Agent pursuant to the Security Agreement and Pledgors hereby acknowledge and affirm that the rights and remedies of the Collateral Agent with respect to the security interest in the Copyrights made and granted hereby are more fully set forth in the Security Agreement. In the event that any provision of this Copyright Security Agreement is deemed to conflict with the Security Agreement, the provisions of the Security Agreement shall control unless the Collateral Agent shall otherwise determine.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ind w:left="1300"/>
              <w:spacing w:after="0"/>
              <w:rPr>
                <w:sz w:val="20"/>
                <w:szCs w:val="20"/>
                <w:color w:val="auto"/>
              </w:rPr>
            </w:pPr>
            <w:r>
              <w:rPr>
                <w:rFonts w:ascii="Arial" w:cs="Arial" w:eastAsia="Arial" w:hAnsi="Arial"/>
                <w:sz w:val="18"/>
                <w:szCs w:val="18"/>
                <w:color w:val="auto"/>
              </w:rPr>
              <w:t>SECTION 4.</w:t>
            </w:r>
          </w:p>
        </w:tc>
        <w:tc>
          <w:tcPr>
            <w:tcW w:w="7620" w:type="dxa"/>
            <w:vAlign w:val="bottom"/>
            <w:gridSpan w:val="2"/>
          </w:tcPr>
          <w:p>
            <w:pPr>
              <w:spacing w:after="0"/>
              <w:rPr>
                <w:sz w:val="20"/>
                <w:szCs w:val="20"/>
                <w:color w:val="auto"/>
              </w:rPr>
            </w:pPr>
            <w:r>
              <w:rPr>
                <w:rFonts w:ascii="Arial" w:cs="Arial" w:eastAsia="Arial" w:hAnsi="Arial"/>
                <w:sz w:val="18"/>
                <w:szCs w:val="18"/>
                <w:color w:val="auto"/>
                <w:w w:val="90"/>
              </w:rPr>
              <w:t>Recordation. Each Pledgor hereby authorizes and requests that the United States Copyright Office record</w:t>
            </w: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this Copyright Security Agreement.</w:t>
            </w:r>
          </w:p>
        </w:tc>
        <w:tc>
          <w:tcPr>
            <w:tcW w:w="880" w:type="dxa"/>
            <w:vAlign w:val="bottom"/>
            <w:tcBorders>
              <w:top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419"/>
        </w:trPr>
        <w:tc>
          <w:tcPr>
            <w:tcW w:w="3680" w:type="dxa"/>
            <w:vAlign w:val="bottom"/>
          </w:tcPr>
          <w:p>
            <w:pPr>
              <w:ind w:left="1300"/>
              <w:spacing w:after="0"/>
              <w:rPr>
                <w:sz w:val="20"/>
                <w:szCs w:val="20"/>
                <w:color w:val="auto"/>
              </w:rPr>
            </w:pPr>
            <w:r>
              <w:rPr>
                <w:rFonts w:ascii="Arial" w:cs="Arial" w:eastAsia="Arial" w:hAnsi="Arial"/>
                <w:sz w:val="18"/>
                <w:szCs w:val="18"/>
                <w:color w:val="auto"/>
              </w:rPr>
              <w:t>SECTION 5.</w:t>
            </w:r>
          </w:p>
        </w:tc>
        <w:tc>
          <w:tcPr>
            <w:tcW w:w="7620" w:type="dxa"/>
            <w:vAlign w:val="bottom"/>
            <w:gridSpan w:val="2"/>
          </w:tcPr>
          <w:p>
            <w:pPr>
              <w:spacing w:after="0"/>
              <w:rPr>
                <w:sz w:val="20"/>
                <w:szCs w:val="20"/>
                <w:color w:val="auto"/>
              </w:rPr>
            </w:pPr>
            <w:r>
              <w:rPr>
                <w:rFonts w:ascii="Arial" w:cs="Arial" w:eastAsia="Arial" w:hAnsi="Arial"/>
                <w:sz w:val="18"/>
                <w:szCs w:val="18"/>
                <w:color w:val="auto"/>
                <w:w w:val="99"/>
              </w:rPr>
              <w:t>Termination. Upon the payment in full of the Secured Obligations and termination of the Security</w:t>
            </w:r>
          </w:p>
        </w:tc>
      </w:tr>
      <w:tr>
        <w:trPr>
          <w:trHeight w:val="20"/>
        </w:trPr>
        <w:tc>
          <w:tcPr>
            <w:tcW w:w="3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pacing w:after="0" w:line="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Agreement, the Collateral Agent shall execute, acknowledge, and deliver to the Pledgors an instrument in writing in recordable form releasing the collateral pledge, grant, assignment, lien and security interest in the Copyrights under this Copyright Security Agreement.</w:t>
      </w:r>
    </w:p>
    <w:p>
      <w:pPr>
        <w:spacing w:after="0" w:line="19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Counterparts</w:t>
      </w:r>
      <w:r>
        <w:rPr>
          <w:rFonts w:ascii="Arial" w:cs="Arial" w:eastAsia="Arial" w:hAnsi="Arial"/>
          <w:sz w:val="18"/>
          <w:szCs w:val="18"/>
          <w:color w:val="auto"/>
        </w:rPr>
        <w:t>. This Copyright Security Agreement may be executed in any number of counterparts, all of which shall constitute one and the same instrument, and any party hereto may execute this Copyright Security Agreement by signing and delivering one or more counterparts.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0" w:name="page181"/>
    <w:bookmarkEnd w:id="180"/>
    <w:p>
      <w:pPr>
        <w:ind w:firstLine="1297"/>
        <w:spacing w:after="0" w:line="277" w:lineRule="auto"/>
        <w:rPr>
          <w:sz w:val="20"/>
          <w:szCs w:val="20"/>
          <w:color w:val="auto"/>
        </w:rPr>
      </w:pPr>
      <w:r>
        <w:rPr>
          <w:rFonts w:ascii="Arial" w:cs="Arial" w:eastAsia="Arial" w:hAnsi="Arial"/>
          <w:sz w:val="18"/>
          <w:szCs w:val="18"/>
          <w:color w:val="auto"/>
        </w:rPr>
        <w:t>IN WITNESS WHEREOF, each Pledgor has caused this Copyright Security Agreement to be executed and delivered by its duly authorized offer as of the date first set forth above.</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[PLEDGORS]</w:t>
      </w:r>
      <w:hyperlink w:anchor="page181">
        <w:r>
          <w:rPr>
            <w:rFonts w:ascii="Arial" w:cs="Arial" w:eastAsia="Arial" w:hAnsi="Arial"/>
            <w:sz w:val="18"/>
            <w:szCs w:val="18"/>
            <w:u w:val="single" w:color="auto"/>
            <w:color w:val="0000EE"/>
          </w:rPr>
          <w:t>1</w:t>
        </w:r>
      </w:hyperlink>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Collateral Agent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652"/>
        <w:spacing w:after="0"/>
        <w:tabs>
          <w:tab w:leader="none" w:pos="660" w:val="left"/>
        </w:tabs>
        <w:numPr>
          <w:ilvl w:val="0"/>
          <w:numId w:val="392"/>
        </w:numPr>
        <w:rPr>
          <w:rFonts w:ascii="Arial" w:cs="Arial" w:eastAsia="Arial" w:hAnsi="Arial"/>
          <w:sz w:val="30"/>
          <w:szCs w:val="30"/>
          <w:color w:val="auto"/>
          <w:vertAlign w:val="superscript"/>
        </w:rPr>
      </w:pPr>
      <w:r>
        <w:rPr>
          <w:rFonts w:ascii="Arial" w:cs="Arial" w:eastAsia="Arial" w:hAnsi="Arial"/>
          <w:sz w:val="18"/>
          <w:szCs w:val="18"/>
          <w:color w:val="auto"/>
        </w:rPr>
        <w:t>This document needs only to be executed by the Borrower and/or any Subsidiary Guarantor which owns a pledged Copyright.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SCHEDULE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COPYRIGHT SECURITY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COPYRIGHT REGISTRATIONS AND COPYRIGHT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 Registrations: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4260" w:type="dxa"/>
            <w:vAlign w:val="bottom"/>
          </w:tcPr>
          <w:p>
            <w:pPr>
              <w:ind w:left="2160"/>
              <w:spacing w:after="0"/>
              <w:rPr>
                <w:sz w:val="20"/>
                <w:szCs w:val="20"/>
                <w:color w:val="auto"/>
              </w:rPr>
            </w:pPr>
            <w:r>
              <w:rPr>
                <w:rFonts w:ascii="Arial" w:cs="Arial" w:eastAsia="Arial" w:hAnsi="Arial"/>
                <w:sz w:val="18"/>
                <w:szCs w:val="18"/>
                <w:b w:val="1"/>
                <w:bCs w:val="1"/>
                <w:color w:val="auto"/>
              </w:rPr>
              <w:t>registration</w:t>
            </w:r>
          </w:p>
        </w:tc>
        <w:tc>
          <w:tcPr>
            <w:tcW w:w="4500" w:type="dxa"/>
            <w:vAlign w:val="bottom"/>
          </w:tcPr>
          <w:p>
            <w:pPr>
              <w:spacing w:after="0"/>
              <w:rPr>
                <w:sz w:val="18"/>
                <w:szCs w:val="18"/>
                <w:color w:val="auto"/>
              </w:rPr>
            </w:pPr>
          </w:p>
        </w:tc>
      </w:tr>
      <w:tr>
        <w:trPr>
          <w:trHeight w:val="241"/>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426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number</w:t>
            </w:r>
          </w:p>
        </w:tc>
        <w:tc>
          <w:tcPr>
            <w:tcW w:w="450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title</w:t>
            </w:r>
          </w:p>
        </w:tc>
      </w:tr>
      <w:tr>
        <w:trPr>
          <w:trHeight w:val="223"/>
        </w:trPr>
        <w:tc>
          <w:tcPr>
            <w:tcW w:w="266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6760" w:val="left"/>
        </w:tabs>
        <w:rPr>
          <w:sz w:val="20"/>
          <w:szCs w:val="20"/>
          <w:color w:val="auto"/>
        </w:rPr>
      </w:pPr>
      <w:r>
        <w:rPr>
          <w:rFonts w:ascii="Arial" w:cs="Arial" w:eastAsia="Arial" w:hAnsi="Arial"/>
          <w:sz w:val="18"/>
          <w:szCs w:val="18"/>
          <w:b w:val="1"/>
          <w:bCs w:val="1"/>
          <w:color w:val="auto"/>
        </w:rPr>
        <w:t>owner</w:t>
      </w:r>
      <w:r>
        <w:rPr>
          <w:sz w:val="20"/>
          <w:szCs w:val="20"/>
          <w:color w:val="auto"/>
        </w:rPr>
        <w:tab/>
      </w: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1027430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t>EXHIBIT 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 SECURITY AGREEMENT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PATENT SECURITY AGREEMENT, dated as of April 18, 2007 (this “</w:t>
      </w:r>
      <w:r>
        <w:rPr>
          <w:rFonts w:ascii="Arial" w:cs="Arial" w:eastAsia="Arial" w:hAnsi="Arial"/>
          <w:sz w:val="17"/>
          <w:szCs w:val="17"/>
          <w:u w:val="single" w:color="auto"/>
          <w:color w:val="auto"/>
        </w:rPr>
        <w:t>Patent Security Agreement</w:t>
      </w:r>
      <w:r>
        <w:rPr>
          <w:rFonts w:ascii="Arial" w:cs="Arial" w:eastAsia="Arial" w:hAnsi="Arial"/>
          <w:sz w:val="17"/>
          <w:szCs w:val="17"/>
          <w:color w:val="auto"/>
        </w:rPr>
        <w:t>”), by [________] and [_________]</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(individually, a “Pledgor”, and, collectively, the “</w:t>
      </w:r>
      <w:r>
        <w:rPr>
          <w:rFonts w:ascii="Arial" w:cs="Arial" w:eastAsia="Arial" w:hAnsi="Arial"/>
          <w:sz w:val="18"/>
          <w:szCs w:val="18"/>
          <w:u w:val="single" w:color="auto"/>
          <w:color w:val="auto"/>
        </w:rPr>
        <w:t>Pledgors</w:t>
      </w:r>
      <w:r>
        <w:rPr>
          <w:rFonts w:ascii="Arial" w:cs="Arial" w:eastAsia="Arial" w:hAnsi="Arial"/>
          <w:sz w:val="18"/>
          <w:szCs w:val="18"/>
          <w:color w:val="auto"/>
        </w:rPr>
        <w:t>”), in favor of WELLS FARGO BANK, NATIONAL ASSOCIATION, in its capacity as collateral agent pursuant to the Credit Agreement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52"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WHEREAS, the Pledgors are party to a Security Agreement of even date herewith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in favor of the Collateral Agent pursuant to which the Pledgors are required to execute and deliver this Patent Security Agreement;</w:t>
      </w:r>
    </w:p>
    <w:p>
      <w:pPr>
        <w:spacing w:after="0" w:line="197"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NOW, THEREFORE, in consideration of the premises and to induce the Collateral Agent, for the benefit of the Secured Parties, to enter into the Credit Agreement, the Pledgors hereby agree with the Collateral Agent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ind w:left="1300"/>
              <w:spacing w:after="0"/>
              <w:rPr>
                <w:sz w:val="20"/>
                <w:szCs w:val="20"/>
                <w:color w:val="auto"/>
              </w:rPr>
            </w:pPr>
            <w:r>
              <w:rPr>
                <w:rFonts w:ascii="Arial" w:cs="Arial" w:eastAsia="Arial" w:hAnsi="Arial"/>
                <w:sz w:val="18"/>
                <w:szCs w:val="18"/>
                <w:color w:val="auto"/>
              </w:rPr>
              <w:t>SECTION 1.</w:t>
            </w:r>
          </w:p>
        </w:tc>
        <w:tc>
          <w:tcPr>
            <w:tcW w:w="7720" w:type="dxa"/>
            <w:vAlign w:val="bottom"/>
            <w:gridSpan w:val="3"/>
          </w:tcPr>
          <w:p>
            <w:pPr>
              <w:spacing w:after="0"/>
              <w:rPr>
                <w:sz w:val="20"/>
                <w:szCs w:val="20"/>
                <w:color w:val="auto"/>
              </w:rPr>
            </w:pPr>
            <w:r>
              <w:rPr>
                <w:rFonts w:ascii="Arial" w:cs="Arial" w:eastAsia="Arial" w:hAnsi="Arial"/>
                <w:sz w:val="18"/>
                <w:szCs w:val="18"/>
                <w:color w:val="auto"/>
                <w:w w:val="90"/>
              </w:rPr>
              <w:t>Defined Terms. Unless otherwise defined herein, terms defined in the Security Agreement and used herein</w:t>
            </w:r>
          </w:p>
        </w:tc>
      </w:tr>
      <w:tr>
        <w:trPr>
          <w:trHeight w:val="20"/>
        </w:trPr>
        <w:tc>
          <w:tcPr>
            <w:tcW w:w="3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37"/>
        </w:trPr>
        <w:tc>
          <w:tcPr>
            <w:tcW w:w="11400" w:type="dxa"/>
            <w:vAlign w:val="bottom"/>
            <w:gridSpan w:val="4"/>
          </w:tcPr>
          <w:p>
            <w:pPr>
              <w:spacing w:after="0"/>
              <w:rPr>
                <w:sz w:val="20"/>
                <w:szCs w:val="20"/>
                <w:color w:val="auto"/>
              </w:rPr>
            </w:pPr>
            <w:r>
              <w:rPr>
                <w:rFonts w:ascii="Arial" w:cs="Arial" w:eastAsia="Arial" w:hAnsi="Arial"/>
                <w:sz w:val="18"/>
                <w:szCs w:val="18"/>
                <w:color w:val="auto"/>
              </w:rPr>
              <w:t>have the meaning given to them in the Security Agreement.</w:t>
            </w:r>
          </w:p>
        </w:tc>
      </w:tr>
      <w:tr>
        <w:trPr>
          <w:trHeight w:val="419"/>
        </w:trPr>
        <w:tc>
          <w:tcPr>
            <w:tcW w:w="3680" w:type="dxa"/>
            <w:vAlign w:val="bottom"/>
          </w:tcPr>
          <w:p>
            <w:pPr>
              <w:ind w:left="1300"/>
              <w:spacing w:after="0"/>
              <w:rPr>
                <w:sz w:val="20"/>
                <w:szCs w:val="20"/>
                <w:color w:val="auto"/>
              </w:rPr>
            </w:pPr>
            <w:r>
              <w:rPr>
                <w:rFonts w:ascii="Arial" w:cs="Arial" w:eastAsia="Arial" w:hAnsi="Arial"/>
                <w:sz w:val="18"/>
                <w:szCs w:val="18"/>
                <w:color w:val="auto"/>
              </w:rPr>
              <w:t>SECTION 2.</w:t>
            </w:r>
          </w:p>
        </w:tc>
        <w:tc>
          <w:tcPr>
            <w:tcW w:w="7720" w:type="dxa"/>
            <w:vAlign w:val="bottom"/>
            <w:gridSpan w:val="3"/>
          </w:tcPr>
          <w:p>
            <w:pPr>
              <w:spacing w:after="0"/>
              <w:rPr>
                <w:sz w:val="20"/>
                <w:szCs w:val="20"/>
                <w:color w:val="auto"/>
              </w:rPr>
            </w:pPr>
            <w:r>
              <w:rPr>
                <w:rFonts w:ascii="Arial" w:cs="Arial" w:eastAsia="Arial" w:hAnsi="Arial"/>
                <w:sz w:val="18"/>
                <w:szCs w:val="18"/>
                <w:color w:val="auto"/>
                <w:w w:val="93"/>
              </w:rPr>
              <w:t>Grant of Security Interest in Patent Collateral. As collateral security for the payment and performance in</w:t>
            </w:r>
          </w:p>
        </w:tc>
      </w:tr>
      <w:tr>
        <w:trPr>
          <w:trHeight w:val="20"/>
        </w:trPr>
        <w:tc>
          <w:tcPr>
            <w:tcW w:w="3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full of all the Secured Obligations, each Pledgor hereby pledges and grants to the Collateral Agent for the benefit of the Secured Parties, a lien on and security interest in all of the right, title and interest of such Pledgor in, to and under the following property, wherever located, and whether now existing or hereafter arising or acquired from time to time:</w:t>
      </w:r>
    </w:p>
    <w:p>
      <w:pPr>
        <w:spacing w:after="0" w:line="208" w:lineRule="exact"/>
        <w:rPr>
          <w:sz w:val="20"/>
          <w:szCs w:val="20"/>
          <w:color w:val="auto"/>
        </w:rPr>
      </w:pPr>
    </w:p>
    <w:p>
      <w:pPr>
        <w:ind w:left="1600" w:hanging="295"/>
        <w:spacing w:after="0"/>
        <w:tabs>
          <w:tab w:leader="none" w:pos="160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all Patents of such Pledgor, including, without limitation, the Patents of such Pledgor listed on Schedule I attached hereto; and</w:t>
      </w:r>
    </w:p>
    <w:p>
      <w:pPr>
        <w:spacing w:after="0" w:line="263" w:lineRule="exact"/>
        <w:rPr>
          <w:rFonts w:ascii="Arial" w:cs="Arial" w:eastAsia="Arial" w:hAnsi="Arial"/>
          <w:sz w:val="17"/>
          <w:szCs w:val="17"/>
          <w:color w:val="auto"/>
        </w:rPr>
      </w:pPr>
    </w:p>
    <w:p>
      <w:pPr>
        <w:ind w:left="1600" w:hanging="295"/>
        <w:spacing w:after="0"/>
        <w:tabs>
          <w:tab w:leader="none" w:pos="16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all Proceeds of any and all of the foregoing.</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Notwithstanding anything to the contrary contained in clauses (a) and (b) above, the security interest created by this Patent Security Agreement shall not extend to any Excluded Property.</w:t>
      </w:r>
    </w:p>
    <w:p>
      <w:pPr>
        <w:spacing w:after="0" w:line="197"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Security Agreement</w:t>
      </w:r>
      <w:r>
        <w:rPr>
          <w:rFonts w:ascii="Arial" w:cs="Arial" w:eastAsia="Arial" w:hAnsi="Arial"/>
          <w:sz w:val="18"/>
          <w:szCs w:val="18"/>
          <w:color w:val="auto"/>
        </w:rPr>
        <w:t>. The security interest granted pursuant to this Patent Security Agreement is granted in conjunction with the security interest granted to the Collateral Agent pursuant to the Security Agreement and Pledgors hereby acknowledge and affirm that the rights and remedies of the Collateral Agent with respect to the security interest in the Patents made and granted hereby are more fully set forth in the Security Agreement. In the event that any provision of this Patent Security Agreement is deemed to conflict with the Security Agreement, the provisions of the Security Agreement shall control unless the Collateral Agent shall otherwise determine.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ind w:left="1300"/>
              <w:spacing w:after="0"/>
              <w:rPr>
                <w:sz w:val="20"/>
                <w:szCs w:val="20"/>
                <w:color w:val="auto"/>
              </w:rPr>
            </w:pPr>
            <w:r>
              <w:rPr>
                <w:rFonts w:ascii="Arial" w:cs="Arial" w:eastAsia="Arial" w:hAnsi="Arial"/>
                <w:sz w:val="18"/>
                <w:szCs w:val="18"/>
                <w:color w:val="auto"/>
              </w:rPr>
              <w:t>SECTION 4.</w:t>
            </w:r>
          </w:p>
        </w:tc>
        <w:tc>
          <w:tcPr>
            <w:tcW w:w="7080" w:type="dxa"/>
            <w:vAlign w:val="bottom"/>
            <w:gridSpan w:val="2"/>
          </w:tcPr>
          <w:p>
            <w:pPr>
              <w:spacing w:after="0"/>
              <w:rPr>
                <w:sz w:val="20"/>
                <w:szCs w:val="20"/>
                <w:color w:val="auto"/>
              </w:rPr>
            </w:pPr>
            <w:r>
              <w:rPr>
                <w:rFonts w:ascii="Arial" w:cs="Arial" w:eastAsia="Arial" w:hAnsi="Arial"/>
                <w:sz w:val="18"/>
                <w:szCs w:val="18"/>
                <w:color w:val="auto"/>
                <w:w w:val="90"/>
              </w:rPr>
              <w:t>Recordation. Each Pledgor hereby authorizes and requests that the Commissioner of Patents and</w:t>
            </w:r>
          </w:p>
        </w:tc>
      </w:tr>
      <w:tr>
        <w:trPr>
          <w:trHeight w:val="20"/>
        </w:trPr>
        <w:tc>
          <w:tcPr>
            <w:tcW w:w="3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237"/>
        </w:trPr>
        <w:tc>
          <w:tcPr>
            <w:tcW w:w="10760" w:type="dxa"/>
            <w:vAlign w:val="bottom"/>
            <w:gridSpan w:val="3"/>
          </w:tcPr>
          <w:p>
            <w:pPr>
              <w:spacing w:after="0"/>
              <w:rPr>
                <w:sz w:val="20"/>
                <w:szCs w:val="20"/>
                <w:color w:val="auto"/>
              </w:rPr>
            </w:pPr>
            <w:r>
              <w:rPr>
                <w:rFonts w:ascii="Arial" w:cs="Arial" w:eastAsia="Arial" w:hAnsi="Arial"/>
                <w:sz w:val="18"/>
                <w:szCs w:val="18"/>
                <w:color w:val="auto"/>
              </w:rPr>
              <w:t>Trademarks record this Patent and Security Agreement.</w:t>
            </w:r>
          </w:p>
        </w:tc>
      </w:tr>
      <w:tr>
        <w:trPr>
          <w:trHeight w:val="419"/>
        </w:trPr>
        <w:tc>
          <w:tcPr>
            <w:tcW w:w="3680" w:type="dxa"/>
            <w:vAlign w:val="bottom"/>
          </w:tcPr>
          <w:p>
            <w:pPr>
              <w:ind w:left="1300"/>
              <w:spacing w:after="0"/>
              <w:rPr>
                <w:sz w:val="20"/>
                <w:szCs w:val="20"/>
                <w:color w:val="auto"/>
              </w:rPr>
            </w:pPr>
            <w:r>
              <w:rPr>
                <w:rFonts w:ascii="Arial" w:cs="Arial" w:eastAsia="Arial" w:hAnsi="Arial"/>
                <w:sz w:val="18"/>
                <w:szCs w:val="18"/>
                <w:color w:val="auto"/>
              </w:rPr>
              <w:t>SECTION 5.</w:t>
            </w:r>
          </w:p>
        </w:tc>
        <w:tc>
          <w:tcPr>
            <w:tcW w:w="7080" w:type="dxa"/>
            <w:vAlign w:val="bottom"/>
            <w:gridSpan w:val="2"/>
          </w:tcPr>
          <w:p>
            <w:pPr>
              <w:spacing w:after="0"/>
              <w:rPr>
                <w:sz w:val="20"/>
                <w:szCs w:val="20"/>
                <w:color w:val="auto"/>
              </w:rPr>
            </w:pPr>
            <w:r>
              <w:rPr>
                <w:rFonts w:ascii="Arial" w:cs="Arial" w:eastAsia="Arial" w:hAnsi="Arial"/>
                <w:sz w:val="18"/>
                <w:szCs w:val="18"/>
                <w:color w:val="auto"/>
                <w:w w:val="92"/>
              </w:rPr>
              <w:t>Termination. Upon the payment in full of the Secured Obligations and termination of the Security</w:t>
            </w:r>
          </w:p>
        </w:tc>
      </w:tr>
      <w:tr>
        <w:trPr>
          <w:trHeight w:val="20"/>
        </w:trPr>
        <w:tc>
          <w:tcPr>
            <w:tcW w:w="3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bl>
    <w:p>
      <w:pPr>
        <w:spacing w:after="0" w:line="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Agreement, the Collateral Agent shall execute, acknowledge, and deliver to the Pledgors an instrument in writing in recordable form releasing the collateral pledge, grant, assignment, lien and security interest in the Patents under this Patent Security Agreement.</w:t>
      </w:r>
    </w:p>
    <w:p>
      <w:pPr>
        <w:spacing w:after="0" w:line="197"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Counterparts</w:t>
      </w:r>
      <w:r>
        <w:rPr>
          <w:rFonts w:ascii="Arial" w:cs="Arial" w:eastAsia="Arial" w:hAnsi="Arial"/>
          <w:sz w:val="18"/>
          <w:szCs w:val="18"/>
          <w:color w:val="auto"/>
        </w:rPr>
        <w:t>. This Patent Security Agreement may be executed in any number of counterparts, all of which shall constitute one and the same instrument, and any party hereto may execute this Patent Security Agreement by signing and delivering one or more counterparts.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83" w:name="page184"/>
    <w:bookmarkEnd w:id="183"/>
    <w:p>
      <w:pPr>
        <w:ind w:firstLine="1297"/>
        <w:spacing w:after="0" w:line="277" w:lineRule="auto"/>
        <w:rPr>
          <w:sz w:val="20"/>
          <w:szCs w:val="20"/>
          <w:color w:val="auto"/>
        </w:rPr>
      </w:pPr>
      <w:r>
        <w:rPr>
          <w:rFonts w:ascii="Arial" w:cs="Arial" w:eastAsia="Arial" w:hAnsi="Arial"/>
          <w:sz w:val="18"/>
          <w:szCs w:val="18"/>
          <w:color w:val="auto"/>
        </w:rPr>
        <w:t>IN WITNESS WHEREOF, each Pledgor has caused this Patent Security Agreement to be executed and delivered by its duly authorized offer as of the date first set forth above.</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6" w:lineRule="exact"/>
        <w:rPr>
          <w:sz w:val="20"/>
          <w:szCs w:val="20"/>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[PLEDGORS]</w:t>
      </w:r>
      <w:hyperlink w:anchor="page184">
        <w:r>
          <w:rPr>
            <w:rFonts w:ascii="Arial" w:cs="Arial" w:eastAsia="Arial" w:hAnsi="Arial"/>
            <w:sz w:val="30"/>
            <w:szCs w:val="30"/>
            <w:u w:val="single" w:color="auto"/>
            <w:color w:val="0000EE"/>
            <w:vertAlign w:val="superscript"/>
          </w:rPr>
          <w:t>2</w:t>
        </w:r>
      </w:hyperlink>
    </w:p>
    <w:p>
      <w:pPr>
        <w:spacing w:after="0" w:line="15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Collateral Agent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652"/>
        <w:spacing w:after="0"/>
        <w:tabs>
          <w:tab w:leader="none" w:pos="660" w:val="left"/>
        </w:tabs>
        <w:numPr>
          <w:ilvl w:val="0"/>
          <w:numId w:val="394"/>
        </w:numPr>
        <w:rPr>
          <w:rFonts w:ascii="Arial" w:cs="Arial" w:eastAsia="Arial" w:hAnsi="Arial"/>
          <w:sz w:val="30"/>
          <w:szCs w:val="30"/>
          <w:color w:val="auto"/>
          <w:vertAlign w:val="superscript"/>
        </w:rPr>
      </w:pPr>
      <w:r>
        <w:rPr>
          <w:rFonts w:ascii="Arial" w:cs="Arial" w:eastAsia="Arial" w:hAnsi="Arial"/>
          <w:sz w:val="18"/>
          <w:szCs w:val="18"/>
          <w:color w:val="auto"/>
        </w:rPr>
        <w:t>This document needs only to be executed by the Borrower and/or any Subsidiary Guarantor which owns a pledged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68" w:right="59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SCHEDULE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SECURITY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PATENT REGISTRATIONS AND PATENT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Registrations: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4260" w:type="dxa"/>
            <w:vAlign w:val="bottom"/>
          </w:tcPr>
          <w:p>
            <w:pPr>
              <w:ind w:left="2160"/>
              <w:spacing w:after="0"/>
              <w:rPr>
                <w:sz w:val="20"/>
                <w:szCs w:val="20"/>
                <w:color w:val="auto"/>
              </w:rPr>
            </w:pPr>
            <w:r>
              <w:rPr>
                <w:rFonts w:ascii="Arial" w:cs="Arial" w:eastAsia="Arial" w:hAnsi="Arial"/>
                <w:sz w:val="18"/>
                <w:szCs w:val="18"/>
                <w:b w:val="1"/>
                <w:bCs w:val="1"/>
                <w:color w:val="auto"/>
              </w:rPr>
              <w:t>registration</w:t>
            </w:r>
          </w:p>
        </w:tc>
        <w:tc>
          <w:tcPr>
            <w:tcW w:w="4500" w:type="dxa"/>
            <w:vAlign w:val="bottom"/>
          </w:tcPr>
          <w:p>
            <w:pPr>
              <w:spacing w:after="0"/>
              <w:rPr>
                <w:sz w:val="18"/>
                <w:szCs w:val="18"/>
                <w:color w:val="auto"/>
              </w:rPr>
            </w:pPr>
          </w:p>
        </w:tc>
      </w:tr>
      <w:tr>
        <w:trPr>
          <w:trHeight w:val="241"/>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426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number</w:t>
            </w:r>
          </w:p>
        </w:tc>
        <w:tc>
          <w:tcPr>
            <w:tcW w:w="450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name</w:t>
            </w:r>
          </w:p>
        </w:tc>
      </w:tr>
      <w:tr>
        <w:trPr>
          <w:trHeight w:val="223"/>
        </w:trPr>
        <w:tc>
          <w:tcPr>
            <w:tcW w:w="266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4240" w:type="dxa"/>
            <w:vAlign w:val="bottom"/>
          </w:tcPr>
          <w:p>
            <w:pPr>
              <w:ind w:left="2160"/>
              <w:spacing w:after="0"/>
              <w:rPr>
                <w:sz w:val="20"/>
                <w:szCs w:val="20"/>
                <w:color w:val="auto"/>
              </w:rPr>
            </w:pPr>
            <w:r>
              <w:rPr>
                <w:rFonts w:ascii="Arial" w:cs="Arial" w:eastAsia="Arial" w:hAnsi="Arial"/>
                <w:sz w:val="18"/>
                <w:szCs w:val="18"/>
                <w:b w:val="1"/>
                <w:bCs w:val="1"/>
                <w:color w:val="auto"/>
              </w:rPr>
              <w:t>application</w:t>
            </w:r>
          </w:p>
        </w:tc>
        <w:tc>
          <w:tcPr>
            <w:tcW w:w="4520" w:type="dxa"/>
            <w:vAlign w:val="bottom"/>
          </w:tcPr>
          <w:p>
            <w:pPr>
              <w:spacing w:after="0"/>
              <w:rPr>
                <w:sz w:val="18"/>
                <w:szCs w:val="18"/>
                <w:color w:val="auto"/>
              </w:rPr>
            </w:pPr>
          </w:p>
        </w:tc>
      </w:tr>
      <w:tr>
        <w:trPr>
          <w:trHeight w:val="241"/>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424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number</w:t>
            </w:r>
          </w:p>
        </w:tc>
        <w:tc>
          <w:tcPr>
            <w:tcW w:w="452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name</w:t>
            </w:r>
          </w:p>
        </w:tc>
      </w:tr>
      <w:tr>
        <w:trPr>
          <w:trHeight w:val="223"/>
        </w:trPr>
        <w:tc>
          <w:tcPr>
            <w:tcW w:w="266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r>
      <w:tr>
        <w:trPr>
          <w:trHeight w:val="1091"/>
        </w:trPr>
        <w:tc>
          <w:tcPr>
            <w:tcW w:w="266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auto"/>
        </w:rPr>
        <w:t>EXHIBIT 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TRADEMARK SECURITY AGREEMENT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TRADEMARK SECURITY AGREEMENT, dated as of April 18, 2007 (this “</w:t>
      </w:r>
      <w:r>
        <w:rPr>
          <w:rFonts w:ascii="Arial" w:cs="Arial" w:eastAsia="Arial" w:hAnsi="Arial"/>
          <w:sz w:val="17"/>
          <w:szCs w:val="17"/>
          <w:u w:val="single" w:color="auto"/>
          <w:color w:val="auto"/>
        </w:rPr>
        <w:t>Trademark Security Agreement</w:t>
      </w:r>
      <w:r>
        <w:rPr>
          <w:rFonts w:ascii="Arial" w:cs="Arial" w:eastAsia="Arial" w:hAnsi="Arial"/>
          <w:sz w:val="17"/>
          <w:szCs w:val="17"/>
          <w:color w:val="auto"/>
        </w:rPr>
        <w:t>”), by [________]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[________] (individually, a “Pledgor”, and, collectively, the “</w:t>
      </w:r>
      <w:r>
        <w:rPr>
          <w:rFonts w:ascii="Arial" w:cs="Arial" w:eastAsia="Arial" w:hAnsi="Arial"/>
          <w:sz w:val="17"/>
          <w:szCs w:val="17"/>
          <w:u w:val="single" w:color="auto"/>
          <w:color w:val="auto"/>
        </w:rPr>
        <w:t>Pledgors</w:t>
      </w:r>
      <w:r>
        <w:rPr>
          <w:rFonts w:ascii="Arial" w:cs="Arial" w:eastAsia="Arial" w:hAnsi="Arial"/>
          <w:sz w:val="17"/>
          <w:szCs w:val="17"/>
          <w:color w:val="auto"/>
        </w:rPr>
        <w:t>”), in favor of WELLS FARGO BANK, NATIONAL ASSOCIATION, in its capacity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collateral agent pursuant to the Credit Agreement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52"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WHEREAS, the Pledgors are party to a Security Agreement of even date herewith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in favor of the Collateral Agent pursuant to which the Pledgors are required to execute and deliver this Trademark Security Agreement;</w:t>
      </w:r>
    </w:p>
    <w:p>
      <w:pPr>
        <w:spacing w:after="0" w:line="197"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NOW, THEREFORE, in consideration of the premises and to induce the Collateral Agent, for the benefit of the Secured Parties, to enter into the Credit Agreement, the Pledgors hereby agree with the Collateral Agent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ind w:left="1300"/>
              <w:spacing w:after="0"/>
              <w:rPr>
                <w:sz w:val="20"/>
                <w:szCs w:val="20"/>
                <w:color w:val="auto"/>
              </w:rPr>
            </w:pPr>
            <w:r>
              <w:rPr>
                <w:rFonts w:ascii="Arial" w:cs="Arial" w:eastAsia="Arial" w:hAnsi="Arial"/>
                <w:sz w:val="18"/>
                <w:szCs w:val="18"/>
                <w:color w:val="auto"/>
              </w:rPr>
              <w:t>SECTION 1.</w:t>
            </w:r>
          </w:p>
        </w:tc>
        <w:tc>
          <w:tcPr>
            <w:tcW w:w="7720" w:type="dxa"/>
            <w:vAlign w:val="bottom"/>
            <w:gridSpan w:val="3"/>
          </w:tcPr>
          <w:p>
            <w:pPr>
              <w:spacing w:after="0"/>
              <w:rPr>
                <w:sz w:val="20"/>
                <w:szCs w:val="20"/>
                <w:color w:val="auto"/>
              </w:rPr>
            </w:pPr>
            <w:r>
              <w:rPr>
                <w:rFonts w:ascii="Arial" w:cs="Arial" w:eastAsia="Arial" w:hAnsi="Arial"/>
                <w:sz w:val="18"/>
                <w:szCs w:val="18"/>
                <w:color w:val="auto"/>
                <w:w w:val="90"/>
              </w:rPr>
              <w:t>Defined Terms. Unless otherwise defined herein, terms defined in the Security Agreement and used herein</w:t>
            </w:r>
          </w:p>
        </w:tc>
      </w:tr>
      <w:tr>
        <w:trPr>
          <w:trHeight w:val="20"/>
        </w:trPr>
        <w:tc>
          <w:tcPr>
            <w:tcW w:w="3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37"/>
        </w:trPr>
        <w:tc>
          <w:tcPr>
            <w:tcW w:w="11400" w:type="dxa"/>
            <w:vAlign w:val="bottom"/>
            <w:gridSpan w:val="4"/>
          </w:tcPr>
          <w:p>
            <w:pPr>
              <w:spacing w:after="0"/>
              <w:rPr>
                <w:sz w:val="20"/>
                <w:szCs w:val="20"/>
                <w:color w:val="auto"/>
              </w:rPr>
            </w:pPr>
            <w:r>
              <w:rPr>
                <w:rFonts w:ascii="Arial" w:cs="Arial" w:eastAsia="Arial" w:hAnsi="Arial"/>
                <w:sz w:val="18"/>
                <w:szCs w:val="18"/>
                <w:color w:val="auto"/>
              </w:rPr>
              <w:t>have the meaning given to them in the Security Agreement.</w:t>
            </w:r>
          </w:p>
        </w:tc>
      </w:tr>
      <w:tr>
        <w:trPr>
          <w:trHeight w:val="419"/>
        </w:trPr>
        <w:tc>
          <w:tcPr>
            <w:tcW w:w="3680" w:type="dxa"/>
            <w:vAlign w:val="bottom"/>
          </w:tcPr>
          <w:p>
            <w:pPr>
              <w:ind w:left="1300"/>
              <w:spacing w:after="0"/>
              <w:rPr>
                <w:sz w:val="20"/>
                <w:szCs w:val="20"/>
                <w:color w:val="auto"/>
              </w:rPr>
            </w:pPr>
            <w:r>
              <w:rPr>
                <w:rFonts w:ascii="Arial" w:cs="Arial" w:eastAsia="Arial" w:hAnsi="Arial"/>
                <w:sz w:val="18"/>
                <w:szCs w:val="18"/>
                <w:color w:val="auto"/>
              </w:rPr>
              <w:t>SECTION 2.</w:t>
            </w:r>
          </w:p>
        </w:tc>
        <w:tc>
          <w:tcPr>
            <w:tcW w:w="7720" w:type="dxa"/>
            <w:vAlign w:val="bottom"/>
            <w:gridSpan w:val="3"/>
          </w:tcPr>
          <w:p>
            <w:pPr>
              <w:spacing w:after="0"/>
              <w:rPr>
                <w:sz w:val="20"/>
                <w:szCs w:val="20"/>
                <w:color w:val="auto"/>
              </w:rPr>
            </w:pPr>
            <w:r>
              <w:rPr>
                <w:rFonts w:ascii="Arial" w:cs="Arial" w:eastAsia="Arial" w:hAnsi="Arial"/>
                <w:sz w:val="18"/>
                <w:szCs w:val="18"/>
                <w:color w:val="auto"/>
                <w:w w:val="91"/>
              </w:rPr>
              <w:t>Grant of Security Interest in Trademark Collateral. As collateral security for the payment and performance</w:t>
            </w:r>
          </w:p>
        </w:tc>
      </w:tr>
      <w:tr>
        <w:trPr>
          <w:trHeight w:val="20"/>
        </w:trPr>
        <w:tc>
          <w:tcPr>
            <w:tcW w:w="3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bl>
    <w:p>
      <w:pPr>
        <w:spacing w:after="0" w:line="1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full of all the Secured Obligations, each Pledgor hereby pledges and grants to the Collateral Agent for the benefit of the Secured Parties, a lien on and security interest in all of the right, title and interest of such Pledgor in, to and under the following property, wherever located, and whether now existing or hereafter arising or acquired from time to time:</w:t>
      </w:r>
    </w:p>
    <w:p>
      <w:pPr>
        <w:spacing w:after="0" w:line="208" w:lineRule="exact"/>
        <w:rPr>
          <w:sz w:val="20"/>
          <w:szCs w:val="20"/>
          <w:color w:val="auto"/>
        </w:rPr>
      </w:pPr>
    </w:p>
    <w:p>
      <w:pPr>
        <w:ind w:left="1600" w:hanging="295"/>
        <w:spacing w:after="0"/>
        <w:tabs>
          <w:tab w:leader="none" w:pos="160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all Trademarks of such Pledgor, including, without limitation, the Trademarks of such Pledgor listed on Schedule I attached hereto;</w:t>
      </w:r>
    </w:p>
    <w:p>
      <w:pPr>
        <w:spacing w:after="0" w:line="263" w:lineRule="exact"/>
        <w:rPr>
          <w:rFonts w:ascii="Arial" w:cs="Arial" w:eastAsia="Arial" w:hAnsi="Arial"/>
          <w:sz w:val="17"/>
          <w:szCs w:val="17"/>
          <w:color w:val="auto"/>
        </w:rPr>
      </w:pPr>
    </w:p>
    <w:p>
      <w:pPr>
        <w:ind w:left="1600" w:hanging="295"/>
        <w:spacing w:after="0"/>
        <w:tabs>
          <w:tab w:leader="none" w:pos="16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all Goodwill associated with such Trademarks; and</w:t>
      </w:r>
    </w:p>
    <w:p>
      <w:pPr>
        <w:spacing w:after="0" w:line="252" w:lineRule="exact"/>
        <w:rPr>
          <w:rFonts w:ascii="Arial" w:cs="Arial" w:eastAsia="Arial" w:hAnsi="Arial"/>
          <w:sz w:val="18"/>
          <w:szCs w:val="18"/>
          <w:color w:val="auto"/>
        </w:rPr>
      </w:pPr>
    </w:p>
    <w:p>
      <w:pPr>
        <w:ind w:left="1600" w:hanging="295"/>
        <w:spacing w:after="0"/>
        <w:tabs>
          <w:tab w:leader="none" w:pos="160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all Proceeds of any and all of the foregoing.</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Notwithstanding anything to the contrary contained in clauses (a) through (c) above, the security interest created by this Trademark Security Agreement shall not extend to any Excluded Property.</w:t>
      </w:r>
    </w:p>
    <w:p>
      <w:pPr>
        <w:spacing w:after="0" w:line="197" w:lineRule="exact"/>
        <w:rPr>
          <w:sz w:val="20"/>
          <w:szCs w:val="20"/>
          <w:color w:val="auto"/>
        </w:rPr>
      </w:pPr>
    </w:p>
    <w:p>
      <w:pPr>
        <w:ind w:right="160" w:firstLine="1297"/>
        <w:spacing w:after="0" w:line="27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Security Agreement</w:t>
      </w:r>
      <w:r>
        <w:rPr>
          <w:rFonts w:ascii="Arial" w:cs="Arial" w:eastAsia="Arial" w:hAnsi="Arial"/>
          <w:sz w:val="17"/>
          <w:szCs w:val="17"/>
          <w:color w:val="auto"/>
        </w:rPr>
        <w:t>. The security interest granted pursuant to this Trademark Security Agreement is granted in conjunction with the security interest granted to the Collateral Agent pursuant to the Security Agreement and Pledgors hereby acknowledge and affirm that the rights and remedies of the Collateral Agent with respect to the security interest in the Trademarks made and granted hereby are more fully set forth in the Security Agreement. In the event that any provision of this Trademark Security Agreement is deemed to conflict with the Security Agreement, the provisions of the Security Agreement shall control unless the Collateral Agent shall otherwise determine.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ind w:left="1300"/>
              <w:spacing w:after="0"/>
              <w:rPr>
                <w:sz w:val="20"/>
                <w:szCs w:val="20"/>
                <w:color w:val="auto"/>
              </w:rPr>
            </w:pPr>
            <w:r>
              <w:rPr>
                <w:rFonts w:ascii="Arial" w:cs="Arial" w:eastAsia="Arial" w:hAnsi="Arial"/>
                <w:sz w:val="18"/>
                <w:szCs w:val="18"/>
                <w:color w:val="auto"/>
              </w:rPr>
              <w:t>SECTION 4.</w:t>
            </w:r>
          </w:p>
        </w:tc>
        <w:tc>
          <w:tcPr>
            <w:tcW w:w="7080" w:type="dxa"/>
            <w:vAlign w:val="bottom"/>
            <w:gridSpan w:val="2"/>
          </w:tcPr>
          <w:p>
            <w:pPr>
              <w:spacing w:after="0"/>
              <w:rPr>
                <w:sz w:val="20"/>
                <w:szCs w:val="20"/>
                <w:color w:val="auto"/>
              </w:rPr>
            </w:pPr>
            <w:r>
              <w:rPr>
                <w:rFonts w:ascii="Arial" w:cs="Arial" w:eastAsia="Arial" w:hAnsi="Arial"/>
                <w:sz w:val="18"/>
                <w:szCs w:val="18"/>
                <w:color w:val="auto"/>
                <w:w w:val="90"/>
              </w:rPr>
              <w:t>Recordation. Each Pledgor hereby authorizes and requests that the Commissioner of Patents and</w:t>
            </w:r>
          </w:p>
        </w:tc>
      </w:tr>
      <w:tr>
        <w:trPr>
          <w:trHeight w:val="20"/>
        </w:trPr>
        <w:tc>
          <w:tcPr>
            <w:tcW w:w="3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237"/>
        </w:trPr>
        <w:tc>
          <w:tcPr>
            <w:tcW w:w="10760" w:type="dxa"/>
            <w:vAlign w:val="bottom"/>
            <w:gridSpan w:val="3"/>
          </w:tcPr>
          <w:p>
            <w:pPr>
              <w:spacing w:after="0"/>
              <w:rPr>
                <w:sz w:val="20"/>
                <w:szCs w:val="20"/>
                <w:color w:val="auto"/>
              </w:rPr>
            </w:pPr>
            <w:r>
              <w:rPr>
                <w:rFonts w:ascii="Arial" w:cs="Arial" w:eastAsia="Arial" w:hAnsi="Arial"/>
                <w:sz w:val="18"/>
                <w:szCs w:val="18"/>
                <w:color w:val="auto"/>
              </w:rPr>
              <w:t>Trademarks record this Trademark Security Agreement.</w:t>
            </w:r>
          </w:p>
        </w:tc>
      </w:tr>
      <w:tr>
        <w:trPr>
          <w:trHeight w:val="419"/>
        </w:trPr>
        <w:tc>
          <w:tcPr>
            <w:tcW w:w="3680" w:type="dxa"/>
            <w:vAlign w:val="bottom"/>
          </w:tcPr>
          <w:p>
            <w:pPr>
              <w:ind w:left="1300"/>
              <w:spacing w:after="0"/>
              <w:rPr>
                <w:sz w:val="20"/>
                <w:szCs w:val="20"/>
                <w:color w:val="auto"/>
              </w:rPr>
            </w:pPr>
            <w:r>
              <w:rPr>
                <w:rFonts w:ascii="Arial" w:cs="Arial" w:eastAsia="Arial" w:hAnsi="Arial"/>
                <w:sz w:val="18"/>
                <w:szCs w:val="18"/>
                <w:color w:val="auto"/>
              </w:rPr>
              <w:t>SECTION 5.</w:t>
            </w:r>
          </w:p>
        </w:tc>
        <w:tc>
          <w:tcPr>
            <w:tcW w:w="7080" w:type="dxa"/>
            <w:vAlign w:val="bottom"/>
            <w:gridSpan w:val="2"/>
          </w:tcPr>
          <w:p>
            <w:pPr>
              <w:spacing w:after="0"/>
              <w:rPr>
                <w:sz w:val="20"/>
                <w:szCs w:val="20"/>
                <w:color w:val="auto"/>
              </w:rPr>
            </w:pPr>
            <w:r>
              <w:rPr>
                <w:rFonts w:ascii="Arial" w:cs="Arial" w:eastAsia="Arial" w:hAnsi="Arial"/>
                <w:sz w:val="18"/>
                <w:szCs w:val="18"/>
                <w:color w:val="auto"/>
                <w:w w:val="92"/>
              </w:rPr>
              <w:t>Termination. Upon the payment in full of the Secured Obligations and termination of the Security</w:t>
            </w:r>
          </w:p>
        </w:tc>
      </w:tr>
      <w:tr>
        <w:trPr>
          <w:trHeight w:val="20"/>
        </w:trPr>
        <w:tc>
          <w:tcPr>
            <w:tcW w:w="3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bl>
    <w:p>
      <w:pPr>
        <w:spacing w:after="0" w:line="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Agreement, the Collateral Agent shall execute, acknowledge, and deliver to the Pledgors an instrument in writing in recordable form releasing the collateral pledge, grant, assignment, lien and security interest in the Trademarks under this Trademark Security Agreement.</w:t>
      </w:r>
    </w:p>
    <w:p>
      <w:pPr>
        <w:spacing w:after="0" w:line="197"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Counterparts</w:t>
      </w:r>
      <w:r>
        <w:rPr>
          <w:rFonts w:ascii="Arial" w:cs="Arial" w:eastAsia="Arial" w:hAnsi="Arial"/>
          <w:sz w:val="18"/>
          <w:szCs w:val="18"/>
          <w:color w:val="auto"/>
        </w:rPr>
        <w:t>. This Trademark Security Agreement may be executed in any number of counterparts, all of which shall constitute one and the same instrument, and any party hereto may execute this Trademark Security Agreement by signing and delivering one or more counterparts.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6" w:name="page187"/>
    <w:bookmarkEnd w:id="186"/>
    <w:p>
      <w:pPr>
        <w:ind w:firstLine="1297"/>
        <w:spacing w:after="0" w:line="277" w:lineRule="auto"/>
        <w:rPr>
          <w:sz w:val="20"/>
          <w:szCs w:val="20"/>
          <w:color w:val="auto"/>
        </w:rPr>
      </w:pPr>
      <w:r>
        <w:rPr>
          <w:rFonts w:ascii="Arial" w:cs="Arial" w:eastAsia="Arial" w:hAnsi="Arial"/>
          <w:sz w:val="18"/>
          <w:szCs w:val="18"/>
          <w:color w:val="auto"/>
        </w:rPr>
        <w:t>IN WITNESS WHEREOF, each Pledgor has caused this Trademark Security Agreement to be executed and delivered by its duly authorized offer as of the date first set forth above.</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56" w:lineRule="exact"/>
        <w:rPr>
          <w:sz w:val="20"/>
          <w:szCs w:val="20"/>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[PLEDGORS]</w:t>
      </w:r>
      <w:hyperlink w:anchor="page187">
        <w:r>
          <w:rPr>
            <w:rFonts w:ascii="Arial" w:cs="Arial" w:eastAsia="Arial" w:hAnsi="Arial"/>
            <w:sz w:val="30"/>
            <w:szCs w:val="30"/>
            <w:u w:val="single" w:color="auto"/>
            <w:color w:val="0000EE"/>
            <w:vertAlign w:val="superscript"/>
          </w:rPr>
          <w:t>3</w:t>
        </w:r>
      </w:hyperlink>
    </w:p>
    <w:p>
      <w:pPr>
        <w:spacing w:after="0" w:line="15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Collateral Agent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652"/>
        <w:spacing w:after="0"/>
        <w:tabs>
          <w:tab w:leader="none" w:pos="660" w:val="left"/>
        </w:tabs>
        <w:numPr>
          <w:ilvl w:val="0"/>
          <w:numId w:val="396"/>
        </w:numPr>
        <w:rPr>
          <w:rFonts w:ascii="Arial" w:cs="Arial" w:eastAsia="Arial" w:hAnsi="Arial"/>
          <w:sz w:val="30"/>
          <w:szCs w:val="30"/>
          <w:color w:val="auto"/>
          <w:vertAlign w:val="superscript"/>
        </w:rPr>
      </w:pPr>
      <w:r>
        <w:rPr>
          <w:rFonts w:ascii="Arial" w:cs="Arial" w:eastAsia="Arial" w:hAnsi="Arial"/>
          <w:sz w:val="18"/>
          <w:szCs w:val="18"/>
          <w:color w:val="auto"/>
        </w:rPr>
        <w:t>This document needs only to be executed by the Borrower and/or any Subsidiary Guarantor which owns a pledged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SCHEDULE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SECURITY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TRADEMARK REGISTRATIONS AND TRADEMARK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Registrations: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4260" w:type="dxa"/>
            <w:vAlign w:val="bottom"/>
          </w:tcPr>
          <w:p>
            <w:pPr>
              <w:ind w:left="2160"/>
              <w:spacing w:after="0"/>
              <w:rPr>
                <w:sz w:val="20"/>
                <w:szCs w:val="20"/>
                <w:color w:val="auto"/>
              </w:rPr>
            </w:pPr>
            <w:r>
              <w:rPr>
                <w:rFonts w:ascii="Arial" w:cs="Arial" w:eastAsia="Arial" w:hAnsi="Arial"/>
                <w:sz w:val="18"/>
                <w:szCs w:val="18"/>
                <w:b w:val="1"/>
                <w:bCs w:val="1"/>
                <w:color w:val="auto"/>
              </w:rPr>
              <w:t>registration</w:t>
            </w:r>
          </w:p>
        </w:tc>
        <w:tc>
          <w:tcPr>
            <w:tcW w:w="4500" w:type="dxa"/>
            <w:vAlign w:val="bottom"/>
          </w:tcPr>
          <w:p>
            <w:pPr>
              <w:spacing w:after="0"/>
              <w:rPr>
                <w:sz w:val="18"/>
                <w:szCs w:val="18"/>
                <w:color w:val="auto"/>
              </w:rPr>
            </w:pPr>
          </w:p>
        </w:tc>
      </w:tr>
      <w:tr>
        <w:trPr>
          <w:trHeight w:val="241"/>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426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number</w:t>
            </w:r>
          </w:p>
        </w:tc>
        <w:tc>
          <w:tcPr>
            <w:tcW w:w="450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TRADEMARK</w:t>
            </w:r>
          </w:p>
        </w:tc>
      </w:tr>
      <w:tr>
        <w:trPr>
          <w:trHeight w:val="223"/>
        </w:trPr>
        <w:tc>
          <w:tcPr>
            <w:tcW w:w="266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4240" w:type="dxa"/>
            <w:vAlign w:val="bottom"/>
          </w:tcPr>
          <w:p>
            <w:pPr>
              <w:ind w:left="2160"/>
              <w:spacing w:after="0"/>
              <w:rPr>
                <w:sz w:val="20"/>
                <w:szCs w:val="20"/>
                <w:color w:val="auto"/>
              </w:rPr>
            </w:pPr>
            <w:r>
              <w:rPr>
                <w:rFonts w:ascii="Arial" w:cs="Arial" w:eastAsia="Arial" w:hAnsi="Arial"/>
                <w:sz w:val="18"/>
                <w:szCs w:val="18"/>
                <w:b w:val="1"/>
                <w:bCs w:val="1"/>
                <w:color w:val="auto"/>
              </w:rPr>
              <w:t>application</w:t>
            </w:r>
          </w:p>
        </w:tc>
        <w:tc>
          <w:tcPr>
            <w:tcW w:w="4520" w:type="dxa"/>
            <w:vAlign w:val="bottom"/>
          </w:tcPr>
          <w:p>
            <w:pPr>
              <w:spacing w:after="0"/>
              <w:rPr>
                <w:sz w:val="18"/>
                <w:szCs w:val="18"/>
                <w:color w:val="auto"/>
              </w:rPr>
            </w:pPr>
          </w:p>
        </w:tc>
      </w:tr>
      <w:tr>
        <w:trPr>
          <w:trHeight w:val="241"/>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424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number</w:t>
            </w:r>
          </w:p>
        </w:tc>
        <w:tc>
          <w:tcPr>
            <w:tcW w:w="452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trademark</w:t>
            </w:r>
          </w:p>
        </w:tc>
      </w:tr>
      <w:tr>
        <w:trPr>
          <w:trHeight w:val="223"/>
        </w:trPr>
        <w:tc>
          <w:tcPr>
            <w:tcW w:w="266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r>
      <w:tr>
        <w:trPr>
          <w:trHeight w:val="1091"/>
        </w:trPr>
        <w:tc>
          <w:tcPr>
            <w:tcW w:w="266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t>EXHIBIT 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TO BAILEE OF SECURITY INTEREST IN INVENTORY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CERTIFIED MAIL — RETURN RECEIPT REQUESTED</w:t>
      </w:r>
    </w:p>
    <w:p>
      <w:pPr>
        <w:spacing w:after="0" w:line="252" w:lineRule="exact"/>
        <w:rPr>
          <w:sz w:val="20"/>
          <w:szCs w:val="20"/>
          <w:color w:val="auto"/>
        </w:rPr>
      </w:pPr>
    </w:p>
    <w:p>
      <w:pPr>
        <w:ind w:left="2260" w:hanging="955"/>
        <w:spacing w:after="0"/>
        <w:tabs>
          <w:tab w:leader="none" w:pos="22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200[ ]</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[Bailee’s 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[Bailee’s Address]</w:t>
      </w:r>
    </w:p>
    <w:p>
      <w:pPr>
        <w:spacing w:after="0" w:line="252"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Itron,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 w:lineRule="exact"/>
        <w:rPr>
          <w:sz w:val="20"/>
          <w:szCs w:val="20"/>
          <w:color w:val="auto"/>
        </w:rPr>
      </w:pPr>
    </w:p>
    <w:p>
      <w:pPr>
        <w:ind w:right="40" w:firstLine="1297"/>
        <w:spacing w:after="0" w:line="254" w:lineRule="auto"/>
        <w:rPr>
          <w:sz w:val="20"/>
          <w:szCs w:val="20"/>
          <w:color w:val="auto"/>
        </w:rPr>
      </w:pPr>
      <w:r>
        <w:rPr>
          <w:rFonts w:ascii="Arial" w:cs="Arial" w:eastAsia="Arial" w:hAnsi="Arial"/>
          <w:sz w:val="18"/>
          <w:szCs w:val="18"/>
          <w:color w:val="auto"/>
        </w:rPr>
        <w:t>In connection with that certain Security Agreement, dated as of April 18, 2007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made by Itron, Inc., a Washington corporation, and the Subsidiary Guarantors party thereto in favor of Wells Fargo Bank, National Association, as collateral agent (in such capacity and together with any successors in such capacity, “</w:t>
      </w:r>
      <w:r>
        <w:rPr>
          <w:rFonts w:ascii="Arial" w:cs="Arial" w:eastAsia="Arial" w:hAnsi="Arial"/>
          <w:sz w:val="18"/>
          <w:szCs w:val="18"/>
          <w:u w:val="single" w:color="auto"/>
          <w:color w:val="auto"/>
        </w:rPr>
        <w:t>Collateral Agent</w:t>
      </w:r>
      <w:r>
        <w:rPr>
          <w:rFonts w:ascii="Arial" w:cs="Arial" w:eastAsia="Arial" w:hAnsi="Arial"/>
          <w:sz w:val="18"/>
          <w:szCs w:val="18"/>
          <w:color w:val="auto"/>
        </w:rPr>
        <w:t>”), we have granted to Collateral Agent a security interest in substantially all of our personal property, including our inventory.</w:t>
      </w:r>
    </w:p>
    <w:p>
      <w:pPr>
        <w:spacing w:after="0" w:line="217"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This letter constitutes notice to you, and your signature below will constitute your acknowledgment, of Collateral Agent’s continuing first priority security interest in all goods with respect to which you are acting as bailee. Until you are notified in writing to the contrary by Collateral Agent, however, you may continue to accept instructions from us regarding the delivery of goods stored by you.</w:t>
      </w:r>
    </w:p>
    <w:p>
      <w:pPr>
        <w:spacing w:after="0" w:line="208"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Your acknowledgment also constitutes a waiver and release, for Collateral Agent’s benefit, of any and all claims, liens, including bailee’s liens, and demands of every kind which you have or may later have against such goods (including any right to include such goods in any secured financing to which you may become party).</w:t>
      </w:r>
    </w:p>
    <w:p>
      <w:pPr>
        <w:spacing w:after="0" w:line="208"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In order to complete our records, kindly have a duplicate of this letter signed by an officer of your company and return same to us at your earliest convenience.</w:t>
      </w:r>
    </w:p>
    <w:p>
      <w:pPr>
        <w:sectPr>
          <w:pgSz w:w="11900" w:h="16838" w:orient="portrait"/>
          <w:cols w:equalWidth="0" w:num="1">
            <w:col w:w="11420"/>
          </w:cols>
          <w:pgMar w:left="240" w:top="369"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Receipt acknowledged, confirmed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approved: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[BAILEE]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[APPLICABLE PLEDGOR]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ectPr>
          <w:pgSz w:w="11900" w:h="16838" w:orient="portrait"/>
          <w:cols w:equalWidth="0" w:num="2">
            <w:col w:w="4980" w:space="720"/>
            <w:col w:w="5720"/>
          </w:cols>
          <w:pgMar w:left="240" w:top="369" w:right="239" w:bottom="1440" w:gutter="0" w:footer="0" w:header="0"/>
          <w:type w:val="continuous"/>
        </w:sectPr>
      </w:pPr>
    </w:p>
    <w:p>
      <w:pPr>
        <w:ind w:left="700" w:hanging="692"/>
        <w:spacing w:after="0"/>
        <w:tabs>
          <w:tab w:leader="none" w:pos="70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Wells Fargo Bank, National Association</w:t>
      </w:r>
    </w:p>
    <w:p>
      <w:pPr>
        <w:sectPr>
          <w:pgSz w:w="11900" w:h="16838" w:orient="portrait"/>
          <w:cols w:equalWidth="0" w:num="1">
            <w:col w:w="11420"/>
          </w:cols>
          <w:pgMar w:left="240" w:top="369" w:right="239" w:bottom="1440" w:gutter="0" w:footer="0" w:header="0"/>
          <w:type w:val="continuous"/>
        </w:sectPr>
      </w:pPr>
    </w:p>
    <w:bookmarkStart w:id="189" w:name="page190"/>
    <w:bookmarkEnd w:id="189"/>
    <w:p>
      <w:pPr>
        <w:spacing w:after="0" w:line="3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82" w:lineRule="exact"/>
        <w:rPr>
          <w:sz w:val="20"/>
          <w:szCs w:val="20"/>
          <w:color w:val="auto"/>
        </w:rPr>
      </w:pPr>
    </w:p>
    <w:p>
      <w:pPr>
        <w:ind w:left="4380"/>
        <w:spacing w:after="0"/>
        <w:rPr>
          <w:sz w:val="20"/>
          <w:szCs w:val="20"/>
          <w:color w:val="auto"/>
        </w:rPr>
      </w:pPr>
      <w:r>
        <w:rPr>
          <w:rFonts w:ascii="Arial" w:cs="Arial" w:eastAsia="Arial" w:hAnsi="Arial"/>
          <w:sz w:val="22"/>
          <w:szCs w:val="22"/>
          <w:b w:val="1"/>
          <w:bCs w:val="1"/>
          <w:i w:val="1"/>
          <w:iCs w:val="1"/>
          <w:color w:val="auto"/>
        </w:rPr>
        <w:t>Foreign Assignment Program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objective of the Itron, Inc. Foreign Assignment Program is to:</w:t>
      </w:r>
    </w:p>
    <w:p>
      <w:pPr>
        <w:spacing w:after="0" w:line="252" w:lineRule="exact"/>
        <w:rPr>
          <w:sz w:val="20"/>
          <w:szCs w:val="20"/>
          <w:color w:val="auto"/>
        </w:rPr>
      </w:pPr>
    </w:p>
    <w:p>
      <w:pPr>
        <w:ind w:left="660" w:right="20" w:hanging="139"/>
        <w:spacing w:after="0" w:line="291" w:lineRule="auto"/>
        <w:tabs>
          <w:tab w:leader="none" w:pos="66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Provide the employee an exciting opportunity to enhance his/her professional experience and increase skills while living and working in a foreign culture. At the same time the foreign assignment will support Itron business needs, while developing our employees to grow the business.</w:t>
      </w:r>
    </w:p>
    <w:p>
      <w:pPr>
        <w:ind w:left="660" w:hanging="139"/>
        <w:spacing w:after="0"/>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Encourage qualitative candidate selection to help assure success of the assignment.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Establish clear structure of the assignment, including job responsibilities, objectives and reporting structure.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Ensure similar purchasing power to what the employee has in his/her home country.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Prepare the employee and his/her family for living and working abroad.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Provide on-going support for the employee once he/she has arrived in the foreign country.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Ensure successful repatriation when the employee has finished his/her assignment.</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THIS FOREIGN ASSIGNMENT AGREEMENT (the “Agreement”) is entered into by </w:t>
      </w:r>
      <w:r>
        <w:rPr>
          <w:rFonts w:ascii="Arial" w:cs="Arial" w:eastAsia="Arial" w:hAnsi="Arial"/>
          <w:sz w:val="18"/>
          <w:szCs w:val="18"/>
          <w:b w:val="1"/>
          <w:bCs w:val="1"/>
          <w:i w:val="1"/>
          <w:iCs w:val="1"/>
          <w:color w:val="auto"/>
        </w:rPr>
        <w:t>Malcolm Unsworth</w:t>
      </w:r>
      <w:r>
        <w:rPr>
          <w:rFonts w:ascii="Arial" w:cs="Arial" w:eastAsia="Arial" w:hAnsi="Arial"/>
          <w:sz w:val="18"/>
          <w:szCs w:val="18"/>
          <w:i w:val="1"/>
          <w:iCs w:val="1"/>
          <w:color w:val="auto"/>
        </w:rPr>
        <w:t xml:space="preserve"> (hereinafter referred to as “Assignee”) and </w:t>
      </w:r>
      <w:r>
        <w:rPr>
          <w:rFonts w:ascii="Arial" w:cs="Arial" w:eastAsia="Arial" w:hAnsi="Arial"/>
          <w:sz w:val="18"/>
          <w:szCs w:val="18"/>
          <w:b w:val="1"/>
          <w:bCs w:val="1"/>
          <w:i w:val="1"/>
          <w:iCs w:val="1"/>
          <w:color w:val="auto"/>
        </w:rPr>
        <w:t>Itron,</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Inc</w:t>
      </w:r>
      <w:r>
        <w:rPr>
          <w:rFonts w:ascii="Arial" w:cs="Arial" w:eastAsia="Arial" w:hAnsi="Arial"/>
          <w:sz w:val="18"/>
          <w:szCs w:val="18"/>
          <w:i w:val="1"/>
          <w:iCs w:val="1"/>
          <w:color w:val="auto"/>
        </w:rPr>
        <w:t>. (hereinafter referred to as “Itron”).</w:t>
      </w:r>
    </w:p>
    <w:p>
      <w:pPr>
        <w:spacing w:after="0" w:line="197" w:lineRule="exact"/>
        <w:rPr>
          <w:sz w:val="20"/>
          <w:szCs w:val="20"/>
          <w:color w:val="auto"/>
        </w:rPr>
      </w:pPr>
    </w:p>
    <w:p>
      <w:pPr>
        <w:ind w:left="640" w:hanging="632"/>
        <w:spacing w:after="0"/>
        <w:tabs>
          <w:tab w:leader="none" w:pos="64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Statement of Assignment</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Malcolm Unsworth </w:t>
      </w:r>
      <w:r>
        <w:rPr>
          <w:rFonts w:ascii="Arial" w:cs="Arial" w:eastAsia="Arial" w:hAnsi="Arial"/>
          <w:sz w:val="18"/>
          <w:szCs w:val="18"/>
          <w:color w:val="auto"/>
        </w:rPr>
        <w:t>has been selected as the</w:t>
      </w:r>
      <w:r>
        <w:rPr>
          <w:rFonts w:ascii="Arial" w:cs="Arial" w:eastAsia="Arial" w:hAnsi="Arial"/>
          <w:sz w:val="18"/>
          <w:szCs w:val="18"/>
          <w:b w:val="1"/>
          <w:bCs w:val="1"/>
          <w:color w:val="auto"/>
        </w:rPr>
        <w:t xml:space="preserve"> Chief Operating Officer; for Actaris Metering Systems (Actaris), </w:t>
      </w:r>
      <w:r>
        <w:rPr>
          <w:rFonts w:ascii="Arial" w:cs="Arial" w:eastAsia="Arial" w:hAnsi="Arial"/>
          <w:sz w:val="18"/>
          <w:szCs w:val="18"/>
          <w:color w:val="auto"/>
        </w:rPr>
        <w:t>a wholly owned subsidiary of Itron, Inc.,</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to LeRoy Nosbaum, Chief Executive Officer &amp; Chairman of the Board (CEO) and for a Foreign Assignment in Brussels, Belgium (Host Country), effective on April 18, 2007. This assignment will be for the duration of two years, with an option of an extension for one year, for a total of three years. Your assignment will commence on or about June 1, 2007. The CEO will determine the necessity for an optional year based on business needs. The Assignee will have the right to decline the optional year and at such time the Assignee will be subject to the terms of the repatriation agreement outlined in paragraph 11 of this agreement. Assignee and the CEO will make a determination regarding the extension of this assignment beyond the initial two-year period. This determination will be made on or before December 31, 2008.</w:t>
      </w:r>
    </w:p>
    <w:p>
      <w:pPr>
        <w:spacing w:after="0" w:line="220" w:lineRule="exact"/>
        <w:rPr>
          <w:sz w:val="20"/>
          <w:szCs w:val="20"/>
          <w:color w:val="auto"/>
        </w:rPr>
      </w:pPr>
    </w:p>
    <w:p>
      <w:pPr>
        <w:ind w:left="640" w:hanging="632"/>
        <w:spacing w:after="0"/>
        <w:tabs>
          <w:tab w:leader="none" w:pos="64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Pre-Move Visits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Assignee shall be provided with two pre-move visits. These visits will be used to assess the housing situation, gather facts about the area and give the Assignee an opportunity to meet with his future colleagues. These visits may coincide with a pre-planned business trip and may include the Assignee’s spouse. Itron will cover the following reasonable expenses incurred for the home finding trips to the new location:</w:t>
      </w:r>
    </w:p>
    <w:p>
      <w:pPr>
        <w:spacing w:after="0" w:line="208" w:lineRule="exact"/>
        <w:rPr>
          <w:sz w:val="20"/>
          <w:szCs w:val="20"/>
          <w:color w:val="auto"/>
        </w:rPr>
      </w:pPr>
    </w:p>
    <w:p>
      <w:pPr>
        <w:ind w:left="1740" w:hanging="111"/>
        <w:spacing w:after="0"/>
        <w:tabs>
          <w:tab w:leader="none" w:pos="174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Round trip air</w:t>
      </w:r>
    </w:p>
    <w:p>
      <w:pPr>
        <w:spacing w:after="0" w:line="23" w:lineRule="exact"/>
        <w:rPr>
          <w:rFonts w:ascii="Arial" w:cs="Arial" w:eastAsia="Arial" w:hAnsi="Arial"/>
          <w:sz w:val="18"/>
          <w:szCs w:val="18"/>
          <w:color w:val="auto"/>
        </w:rPr>
      </w:pPr>
    </w:p>
    <w:p>
      <w:pPr>
        <w:ind w:left="1740" w:hanging="111"/>
        <w:spacing w:after="0"/>
        <w:tabs>
          <w:tab w:leader="none" w:pos="174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Car rental from a designated firm</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Reasonable lodging and meal expenses</w:t>
      </w:r>
    </w:p>
    <w:p>
      <w:pPr>
        <w:spacing w:after="0" w:line="9" w:lineRule="exact"/>
        <w:rPr>
          <w:rFonts w:ascii="Arial" w:cs="Arial" w:eastAsia="Arial" w:hAnsi="Arial"/>
          <w:sz w:val="18"/>
          <w:szCs w:val="18"/>
          <w:color w:val="auto"/>
        </w:rPr>
      </w:pPr>
    </w:p>
    <w:p>
      <w:pPr>
        <w:ind w:left="1740" w:hanging="111"/>
        <w:spacing w:after="0"/>
        <w:tabs>
          <w:tab w:leader="none" w:pos="174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Highway and bridge tolls</w:t>
      </w:r>
    </w:p>
    <w:p>
      <w:pPr>
        <w:spacing w:after="0" w:line="237" w:lineRule="exact"/>
        <w:rPr>
          <w:rFonts w:ascii="Arial" w:cs="Arial" w:eastAsia="Arial" w:hAnsi="Arial"/>
          <w:sz w:val="18"/>
          <w:szCs w:val="18"/>
          <w:color w:val="auto"/>
        </w:rPr>
      </w:pPr>
    </w:p>
    <w:p>
      <w:pPr>
        <w:ind w:left="640" w:hanging="632"/>
        <w:spacing w:after="0"/>
        <w:tabs>
          <w:tab w:leader="none" w:pos="640" w:val="left"/>
        </w:tabs>
        <w:numPr>
          <w:ilvl w:val="0"/>
          <w:numId w:val="4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Compensation &amp; Benefits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Assignee will receive a base salary of </w:t>
      </w:r>
      <w:r>
        <w:rPr>
          <w:rFonts w:ascii="Arial" w:cs="Arial" w:eastAsia="Arial" w:hAnsi="Arial"/>
          <w:sz w:val="17"/>
          <w:szCs w:val="17"/>
          <w:b w:val="1"/>
          <w:bCs w:val="1"/>
          <w:color w:val="auto"/>
        </w:rPr>
        <w:t>$410,000 USD</w:t>
      </w:r>
      <w:r>
        <w:rPr>
          <w:rFonts w:ascii="Arial" w:cs="Arial" w:eastAsia="Arial" w:hAnsi="Arial"/>
          <w:sz w:val="17"/>
          <w:szCs w:val="17"/>
          <w:color w:val="auto"/>
        </w:rPr>
        <w:t xml:space="preserve"> annually paid from the U.S. payroll office located in Liberty Lake, WA. For 2007, Assignee will be eligible for the Management Bonus Plan, a discretionary bonus, based on 75% his annual base salary. The Management Bonus Plan is based on meeting company financial targets, and is subject to Itron’s discretion and may change at any time. The Assignee will be provided with a Cost of Living Adjustment, which will be reviewed on a bi-annual basis to maintain purchasing power in the Host Country relative to the Home Country. The Cost of Living data will be obtained from a reputable and best-practice Human Resource Consulting firm (e.g., ORC Worldwide, Mercer). Additionally, Itron will provide a Relocation Allowance of $17,083 for reasonable expenses of miscellaneous items (e.g., voltage transformers for converting household appliances to local current; small appliances such as coffee pot, hair dryer, iron; clothing necessary for differences in climate; appliance, service, and utility connection and disconnection costs; and losses on unexpired club memberships, tuition, and magazine subscriptions).</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Mandatory Income Protection and Non-Mandatory or Voluntary benefit programs will continue to be administered by the corporate office. Mandatory Income Protection programs include Unemployment Insurance, Workers’ Compensation, and Social Security. Non- Mandatory programs include medical, dental, prescription, flexible spending accounts, mental health, vision plans, survivor benefits, disability, and retirement plans.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Cigna International Expatriate Insurance Benefit Plan will be provided to the Assignee and his spouse, which will enable Host Country/Global medical and dental services, including emergency medical transportation or evacuation and repatriation of mortal remains should the Assignee, or his spouse expire while on assignment abroad. The Assignee will remain enrolled in the former Schlumberger Cigna Retiree medical health plan at his present cost and Itron will assume the costs of the Cigna International Expatriate Insurance. The details of the expatriate insurance will be provided under separate cover. Assignee will advise Itron of the contact information for the executor of his estate.</w:t>
      </w:r>
    </w:p>
    <w:p>
      <w:pPr>
        <w:spacing w:after="0" w:line="20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Itron also agrees to arrange and pay for the cost of round-trip transportation to visit an immediate family member whose medical condition requires the Assignee’s presence. In the event of this situation, Itron Corporate Human Resources may request a consultation with the attending physician or other competent medical authority. Immediate family member is defined as parents, children, spouse, grandparents, siblings, in-laws, and individuals that live in employee’s home.</w:t>
      </w:r>
    </w:p>
    <w:p>
      <w:pPr>
        <w:spacing w:after="0" w:line="214" w:lineRule="exact"/>
        <w:rPr>
          <w:sz w:val="20"/>
          <w:szCs w:val="20"/>
          <w:color w:val="auto"/>
        </w:rPr>
      </w:pPr>
    </w:p>
    <w:p>
      <w:pPr>
        <w:ind w:left="640" w:hanging="632"/>
        <w:spacing w:after="0"/>
        <w:tabs>
          <w:tab w:leader="none" w:pos="64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Social Security &amp; Retirement Benefits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Assignee will remain covered by the United States Social Security system. Human Resources will obtain a certificate of coverage from the United States Social Security Administration. Assignee will continue to have his elected 401(k) deferral taken out of his paycheck issued by the Itron Corporate Payroll Department.</w:t>
      </w:r>
    </w:p>
    <w:p>
      <w:pPr>
        <w:spacing w:after="0" w:line="208" w:lineRule="exact"/>
        <w:rPr>
          <w:sz w:val="20"/>
          <w:szCs w:val="20"/>
          <w:color w:val="auto"/>
        </w:rPr>
      </w:pPr>
    </w:p>
    <w:p>
      <w:pPr>
        <w:ind w:left="640" w:hanging="632"/>
        <w:spacing w:after="0"/>
        <w:tabs>
          <w:tab w:leader="none" w:pos="64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Relocation</w:t>
      </w:r>
    </w:p>
    <w:p>
      <w:pPr>
        <w:sectPr>
          <w:pgSz w:w="11900" w:h="16874" w:orient="portrait"/>
          <w:cols w:equalWidth="0" w:num="1">
            <w:col w:w="11420"/>
          </w:cols>
          <w:pgMar w:left="240" w:top="355" w:right="239" w:bottom="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Itron agrees to provide relocation assistance, which includes the following: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 Host Country Housing and Destination Assistance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5.2 Home Country Housing Assistance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5.3 Storage of household and personal goods, including insurance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5.4 Shipment of personal and household goods, including insurance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 Temporary Housing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5.6 Vehicle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5.7 Host Country Housing and Destination Assistance</w:t>
      </w:r>
    </w:p>
    <w:p>
      <w:pPr>
        <w:spacing w:after="0" w:line="23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Itron agrees to pay a monthly housing and reasonable utilities budget. Itron further agrees to pay for the cost of destination services from a Host Country firm, which will provide the following as necessary:</w:t>
      </w:r>
    </w:p>
    <w:p>
      <w:pPr>
        <w:spacing w:after="0" w:line="193" w:lineRule="exact"/>
        <w:rPr>
          <w:sz w:val="20"/>
          <w:szCs w:val="20"/>
          <w:color w:val="auto"/>
        </w:rPr>
      </w:pPr>
    </w:p>
    <w:p>
      <w:pPr>
        <w:ind w:left="1300" w:hanging="175"/>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Orientation to Host Country</w:t>
      </w:r>
    </w:p>
    <w:p>
      <w:pPr>
        <w:spacing w:after="0" w:line="23" w:lineRule="exact"/>
        <w:rPr>
          <w:rFonts w:ascii="Arial" w:cs="Arial" w:eastAsia="Arial" w:hAnsi="Arial"/>
          <w:sz w:val="18"/>
          <w:szCs w:val="18"/>
          <w:color w:val="auto"/>
        </w:rPr>
      </w:pPr>
    </w:p>
    <w:p>
      <w:pPr>
        <w:ind w:left="1300" w:hanging="175"/>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Home Search assistance</w:t>
      </w:r>
    </w:p>
    <w:p>
      <w:pPr>
        <w:spacing w:after="0" w:line="9" w:lineRule="exact"/>
        <w:rPr>
          <w:rFonts w:ascii="Arial" w:cs="Arial" w:eastAsia="Arial" w:hAnsi="Arial"/>
          <w:sz w:val="18"/>
          <w:szCs w:val="18"/>
          <w:color w:val="auto"/>
        </w:rPr>
      </w:pPr>
    </w:p>
    <w:p>
      <w:pPr>
        <w:ind w:left="1300" w:hanging="175"/>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Settling in (e.g., driver’s license; parking permit; bank account; medical providers)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5.8 Home Country Assistance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Any costs associated with Assignee’s home country residence will be incurred at Assignee’s expense, including, but not limited to:</w:t>
      </w:r>
    </w:p>
    <w:p>
      <w:pPr>
        <w:spacing w:after="0" w:line="252" w:lineRule="exact"/>
        <w:rPr>
          <w:sz w:val="20"/>
          <w:szCs w:val="20"/>
          <w:color w:val="auto"/>
        </w:rPr>
      </w:pPr>
    </w:p>
    <w:p>
      <w:pPr>
        <w:ind w:left="1300" w:hanging="175"/>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Property Management</w:t>
      </w:r>
    </w:p>
    <w:p>
      <w:pPr>
        <w:spacing w:after="0" w:line="23" w:lineRule="exact"/>
        <w:rPr>
          <w:rFonts w:ascii="Arial" w:cs="Arial" w:eastAsia="Arial" w:hAnsi="Arial"/>
          <w:sz w:val="18"/>
          <w:szCs w:val="18"/>
          <w:color w:val="auto"/>
        </w:rPr>
      </w:pPr>
    </w:p>
    <w:p>
      <w:pPr>
        <w:ind w:left="1300" w:hanging="175"/>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Home Sale Assistance</w:t>
      </w:r>
    </w:p>
    <w:p>
      <w:pPr>
        <w:spacing w:after="0" w:line="9" w:lineRule="exact"/>
        <w:rPr>
          <w:rFonts w:ascii="Arial" w:cs="Arial" w:eastAsia="Arial" w:hAnsi="Arial"/>
          <w:sz w:val="18"/>
          <w:szCs w:val="18"/>
          <w:color w:val="auto"/>
        </w:rPr>
      </w:pPr>
    </w:p>
    <w:p>
      <w:pPr>
        <w:ind w:left="1300" w:hanging="175"/>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Storage Cost</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Storage of Household and Personal Goods Including Insurance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Itron will pay for storage of household and personal goods, plus liability insurance. The storage will be provided for the duration of Assignee’s foreign assignment through Itron’s corporate moving, packing and storage provider.</w:t>
      </w:r>
    </w:p>
    <w:p>
      <w:pPr>
        <w:spacing w:after="0" w:line="19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color w:val="auto"/>
        </w:rPr>
        <w:t>Shipment of Personal and Household Goods Including Insurance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Itron agrees to pay the cost of packing, moving and shipping of Assignee’s personal and household goods, not to exceed 17,000 lbs., as provided by Itron’s corporate moving, packing and shipping provider. Itron shall also pay the cost of insurance for said goods. Itron will also provide the air-shipment of immediate personal needs (i.e., clothing, linens, etc.) Luxury items, to include, but not limited to, motor homes, boats, etc. will not be shipped, stored or otherwise insured by Itron.</w:t>
      </w:r>
    </w:p>
    <w:p>
      <w:pPr>
        <w:spacing w:after="0" w:line="21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Temporary Housing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no permanent housing has been identified prior to departure, Itron agrees to pay for the Assignee’s temporary housing (hotel or corporate apartment) for a period of up to 90 days.</w:t>
      </w:r>
    </w:p>
    <w:p>
      <w:pPr>
        <w:spacing w:after="0" w:line="19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Vehicle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agrees to provide a transportation allowance to Assignee for the purpose of leasing two vehicles, one for him and one for his spouse. The Assignee’s vehicle will be leased through the standard leasing company of Actaris. Itron will pay for Assignee’s International Driver’s License for duration of assignment.</w:t>
      </w:r>
    </w:p>
    <w:p>
      <w:pPr>
        <w:spacing w:after="0" w:line="208" w:lineRule="exact"/>
        <w:rPr>
          <w:sz w:val="20"/>
          <w:szCs w:val="20"/>
          <w:color w:val="auto"/>
        </w:rPr>
      </w:pPr>
    </w:p>
    <w:p>
      <w:pPr>
        <w:ind w:left="640" w:hanging="632"/>
        <w:spacing w:after="0"/>
        <w:tabs>
          <w:tab w:leader="none" w:pos="640" w:val="left"/>
        </w:tabs>
        <w:numPr>
          <w:ilvl w:val="0"/>
          <w:numId w:val="4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tax complexities associated with foreign assignments, the Assignee will be provided with the services of an independent accounting firm, which Itron reserves the right to change but is currently Pricewaterhouse Coopers (“the Tax Firm”). Only tax services by the Tax Firm will be provided without charge to the Assignee. Such services include the following:</w:t>
      </w:r>
    </w:p>
    <w:p>
      <w:pPr>
        <w:spacing w:after="0" w:line="208" w:lineRule="exact"/>
        <w:rPr>
          <w:sz w:val="20"/>
          <w:szCs w:val="20"/>
          <w:color w:val="auto"/>
        </w:rPr>
      </w:pPr>
    </w:p>
    <w:p>
      <w:pPr>
        <w:ind w:left="1300" w:hanging="175"/>
        <w:spacing w:after="0"/>
        <w:tabs>
          <w:tab w:leader="none" w:pos="13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Pre-departure exit interview and post arrival entrance interview</w:t>
      </w:r>
    </w:p>
    <w:p>
      <w:pPr>
        <w:spacing w:after="0" w:line="23" w:lineRule="exact"/>
        <w:rPr>
          <w:rFonts w:ascii="Arial" w:cs="Arial" w:eastAsia="Arial" w:hAnsi="Arial"/>
          <w:sz w:val="18"/>
          <w:szCs w:val="18"/>
          <w:color w:val="auto"/>
        </w:rPr>
      </w:pPr>
    </w:p>
    <w:p>
      <w:pPr>
        <w:ind w:left="1300" w:hanging="175"/>
        <w:spacing w:after="0"/>
        <w:tabs>
          <w:tab w:leader="none" w:pos="13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Income tax preparation service for both host and home country tax returns.</w:t>
      </w:r>
    </w:p>
    <w:p>
      <w:pPr>
        <w:spacing w:after="0" w:line="9" w:lineRule="exact"/>
        <w:rPr>
          <w:rFonts w:ascii="Arial" w:cs="Arial" w:eastAsia="Arial" w:hAnsi="Arial"/>
          <w:sz w:val="18"/>
          <w:szCs w:val="18"/>
          <w:color w:val="auto"/>
        </w:rPr>
      </w:pPr>
    </w:p>
    <w:p>
      <w:pPr>
        <w:ind w:left="1300" w:hanging="175"/>
        <w:spacing w:after="0"/>
        <w:tabs>
          <w:tab w:leader="none" w:pos="13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Income tax reconciliation services for tax equalization purposes.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Tax Firm is engaged for personal income or estate tax planning consultation, or preparation of any related tax returns, the Assignee will be responsible for the charges and must arrange to be billed separately.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Firm’s supporting worksheets and calculations will be treated as strictly confidential between the Assignee and the Tax Firm. However, the Tax Equalization Settlement Statement (see income tax section below) necessary for year-end tax reconciliation will be released to Itron.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intended that the use of the Tax Firm will minimize the assignment cost by ensuring that the Assignee’s tax returns are accurately prepared to produce the lowest tax liability and to provide assurance that Itron is meeting its legal obligations, thereby protecting its right to do business in the home and host countries by ensuring full compliance with local tax laws.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ensure the Assignee’s compliance with tax laws and regulations, the Assignee must contact the Tax Firm as soon as possible prior to the Assignee’s departure and after the Assignee’s arrival. The Assignee’s contacts are:</w:t>
      </w:r>
    </w:p>
    <w:p>
      <w:pPr>
        <w:spacing w:after="0" w:line="193" w:lineRule="exact"/>
        <w:rPr>
          <w:sz w:val="20"/>
          <w:szCs w:val="20"/>
          <w:color w:val="auto"/>
        </w:rPr>
      </w:pPr>
    </w:p>
    <w:p>
      <w:pPr>
        <w:ind w:left="1120"/>
        <w:spacing w:after="0"/>
        <w:tabs>
          <w:tab w:leader="none" w:pos="6000" w:val="left"/>
        </w:tabs>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In the U.S. -  William (Bill) Zaleski at (206) 398-3061 (direct)</w:t>
      </w:r>
      <w:r>
        <w:rPr>
          <w:sz w:val="20"/>
          <w:szCs w:val="20"/>
          <w:color w:val="auto"/>
        </w:rPr>
        <w:tab/>
      </w:r>
      <w:r>
        <w:rPr>
          <w:rFonts w:ascii="Arial" w:cs="Arial" w:eastAsia="Arial" w:hAnsi="Arial"/>
          <w:sz w:val="16"/>
          <w:szCs w:val="16"/>
          <w:color w:val="auto"/>
        </w:rPr>
        <w:t>william.zaleski@us.pwc.com</w:t>
      </w:r>
    </w:p>
    <w:p>
      <w:pPr>
        <w:sectPr>
          <w:pgSz w:w="11900" w:h="16838" w:orient="portrait"/>
          <w:cols w:equalWidth="0" w:num="1">
            <w:col w:w="11420"/>
          </w:cols>
          <w:pgMar w:left="240" w:top="368" w:right="239" w:bottom="0" w:gutter="0" w:footer="0" w:header="0"/>
        </w:sectPr>
      </w:pPr>
    </w:p>
    <w:bookmarkStart w:id="191" w:name="page192"/>
    <w:bookmarkEnd w:id="191"/>
    <w:p>
      <w:pPr>
        <w:ind w:left="1300" w:right="5940" w:hanging="175"/>
        <w:spacing w:after="0" w:line="555" w:lineRule="auto"/>
        <w:tabs>
          <w:tab w:leader="none" w:pos="130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In Belgium - Nicolas de limbourg (direct) 32 2 710 7418 nicolas.de.limbourg.be.pwc.com</w:t>
      </w:r>
    </w:p>
    <w:p>
      <w:pPr>
        <w:spacing w:after="0" w:line="1" w:lineRule="exact"/>
        <w:rPr>
          <w:rFonts w:ascii="Arial" w:cs="Arial" w:eastAsia="Arial" w:hAnsi="Arial"/>
          <w:sz w:val="18"/>
          <w:szCs w:val="18"/>
          <w:color w:val="auto"/>
        </w:rPr>
      </w:pPr>
    </w:p>
    <w:p>
      <w:pPr>
        <w:ind w:left="640" w:hanging="632"/>
        <w:spacing w:after="0"/>
        <w:tabs>
          <w:tab w:leader="none" w:pos="640" w:val="left"/>
        </w:tabs>
        <w:numPr>
          <w:ilvl w:val="0"/>
          <w:numId w:val="4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Tax Equalization Policy</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order to facilitate the Assignee’s transfer, Itron has developed this Tax Equalization Policy to help ensure that the Assignee not incur additional tax liability resulting from this assignment. With regard to Company stock option income, you will be fully equalized on all stock option income while on assignment in Belgium. The Company will not impose any cap on the amount of stock option income it will equalize. During your assignment, you will be responsible for funding the hypothetical taxes on stock option income. The Company will be responsible for any actual Belgian or US taxes on your stock option income.</w:t>
      </w:r>
    </w:p>
    <w:p>
      <w:pPr>
        <w:spacing w:after="0" w:line="181" w:lineRule="exact"/>
        <w:rPr>
          <w:sz w:val="20"/>
          <w:szCs w:val="20"/>
          <w:color w:val="auto"/>
        </w:rPr>
      </w:pPr>
    </w:p>
    <w:p>
      <w:pPr>
        <w:jc w:val="both"/>
        <w:ind w:firstLine="52"/>
        <w:spacing w:after="0" w:line="255" w:lineRule="auto"/>
        <w:rPr>
          <w:sz w:val="20"/>
          <w:szCs w:val="20"/>
          <w:color w:val="auto"/>
        </w:rPr>
      </w:pPr>
      <w:r>
        <w:rPr>
          <w:rFonts w:ascii="Arial" w:cs="Arial" w:eastAsia="Arial" w:hAnsi="Arial"/>
          <w:sz w:val="18"/>
          <w:szCs w:val="18"/>
          <w:color w:val="auto"/>
        </w:rPr>
        <w:t>Under this policy, Itron will bear the cost of any additional Belgium or U.S. federal, state and local income and social taxes (or required government social insurances) resulting from this assignment and accruing on Itron source income. You will be responsible for the additional taxes on income in excess of this limitation. We encourage you to review this with the tax consultant to understand how this may impact your situation. Specifically excluded from tax equalization are consumer taxes (i.e. sales tax, value added tax) property taxes and any other tax or duty not based on income. Also excluded are those income and social taxes not attributed to Itron source income (i.e. income taxes on investment income, spousal wages, capital gains, etc.). In general, tax equalization will be administered as follows:</w:t>
      </w:r>
    </w:p>
    <w:p>
      <w:pPr>
        <w:spacing w:after="0" w:line="220" w:lineRule="exact"/>
        <w:rPr>
          <w:sz w:val="20"/>
          <w:szCs w:val="20"/>
          <w:color w:val="auto"/>
        </w:rPr>
      </w:pPr>
    </w:p>
    <w:p>
      <w:pPr>
        <w:jc w:val="both"/>
        <w:ind w:left="1300" w:hanging="210"/>
        <w:spacing w:after="0" w:line="259" w:lineRule="auto"/>
        <w:tabs>
          <w:tab w:leader="none" w:pos="13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xml:space="preserve">A hypothetical tax will be calculated on Itron </w:t>
      </w:r>
      <w:r>
        <w:rPr>
          <w:rFonts w:ascii="Arial" w:cs="Arial" w:eastAsia="Arial" w:hAnsi="Arial"/>
          <w:sz w:val="18"/>
          <w:szCs w:val="18"/>
          <w:i w:val="1"/>
          <w:iCs w:val="1"/>
          <w:color w:val="auto"/>
        </w:rPr>
        <w:t>source equalized income</w:t>
      </w:r>
      <w:r>
        <w:rPr>
          <w:rFonts w:ascii="Arial" w:cs="Arial" w:eastAsia="Arial" w:hAnsi="Arial"/>
          <w:sz w:val="18"/>
          <w:szCs w:val="18"/>
          <w:color w:val="auto"/>
        </w:rPr>
        <w:t xml:space="preserve">, less any amount that the Assignee would have claimed as </w:t>
      </w:r>
      <w:r>
        <w:rPr>
          <w:rFonts w:ascii="Arial" w:cs="Arial" w:eastAsia="Arial" w:hAnsi="Arial"/>
          <w:sz w:val="18"/>
          <w:szCs w:val="18"/>
          <w:i w:val="1"/>
          <w:iCs w:val="1"/>
          <w:color w:val="auto"/>
        </w:rPr>
        <w:t>Itemized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Deductions </w:t>
      </w:r>
      <w:r>
        <w:rPr>
          <w:rFonts w:ascii="Arial" w:cs="Arial" w:eastAsia="Arial" w:hAnsi="Arial"/>
          <w:sz w:val="18"/>
          <w:szCs w:val="18"/>
          <w:color w:val="auto"/>
        </w:rPr>
        <w:t>and/or</w:t>
      </w:r>
      <w:r>
        <w:rPr>
          <w:rFonts w:ascii="Arial" w:cs="Arial" w:eastAsia="Arial" w:hAnsi="Arial"/>
          <w:sz w:val="18"/>
          <w:szCs w:val="18"/>
          <w:i w:val="1"/>
          <w:iCs w:val="1"/>
          <w:color w:val="auto"/>
        </w:rPr>
        <w:t xml:space="preserve"> Personal Exemptions </w:t>
      </w:r>
      <w:r>
        <w:rPr>
          <w:rFonts w:ascii="Arial" w:cs="Arial" w:eastAsia="Arial" w:hAnsi="Arial"/>
          <w:sz w:val="18"/>
          <w:szCs w:val="18"/>
          <w:color w:val="auto"/>
        </w:rPr>
        <w:t>on the Assignee’s U.S. Federal Income tax return. In determining the Assignee’s Itron source</w:t>
      </w:r>
      <w:r>
        <w:rPr>
          <w:rFonts w:ascii="Arial" w:cs="Arial" w:eastAsia="Arial" w:hAnsi="Arial"/>
          <w:sz w:val="18"/>
          <w:szCs w:val="18"/>
          <w:i w:val="1"/>
          <w:iCs w:val="1"/>
          <w:color w:val="auto"/>
        </w:rPr>
        <w:t xml:space="preserve"> </w:t>
      </w:r>
      <w:r>
        <w:rPr>
          <w:rFonts w:ascii="Arial" w:cs="Arial" w:eastAsia="Arial" w:hAnsi="Arial"/>
          <w:sz w:val="18"/>
          <w:szCs w:val="18"/>
          <w:color w:val="auto"/>
        </w:rPr>
        <w:t>equalized income and hypothetical tax, we will assume that the Assignee continued to live in Spokane, Washington, and will exclude any assignment related allowances and supplemental payments.</w:t>
      </w:r>
    </w:p>
    <w:p>
      <w:pPr>
        <w:spacing w:after="0" w:line="213" w:lineRule="exact"/>
        <w:rPr>
          <w:rFonts w:ascii="Arial" w:cs="Arial" w:eastAsia="Arial" w:hAnsi="Arial"/>
          <w:sz w:val="18"/>
          <w:szCs w:val="18"/>
          <w:color w:val="auto"/>
        </w:rPr>
      </w:pPr>
    </w:p>
    <w:p>
      <w:pPr>
        <w:ind w:left="1300" w:right="20" w:hanging="220"/>
        <w:spacing w:after="0" w:line="342" w:lineRule="auto"/>
        <w:tabs>
          <w:tab w:leader="none" w:pos="130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This hypothetical tax will be deducted from the Assignee’s base salary, bonuses and other performance related incentives. From the Assignee’s standpoint, it can be viewed as payroll tax withholding, although hypothetical taxes do not get remitted to the tax authorities.</w:t>
      </w:r>
    </w:p>
    <w:p>
      <w:pPr>
        <w:spacing w:after="0" w:line="150" w:lineRule="exact"/>
        <w:rPr>
          <w:rFonts w:ascii="Arial" w:cs="Arial" w:eastAsia="Arial" w:hAnsi="Arial"/>
          <w:sz w:val="16"/>
          <w:szCs w:val="16"/>
          <w:color w:val="auto"/>
        </w:rPr>
      </w:pPr>
    </w:p>
    <w:p>
      <w:pPr>
        <w:jc w:val="both"/>
        <w:ind w:left="1300" w:hanging="210"/>
        <w:spacing w:after="0" w:line="264" w:lineRule="auto"/>
        <w:tabs>
          <w:tab w:leader="none" w:pos="13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 consideration for the hypothetical tax deduction, Itron will reimburse the Assignee for the cost of any US and Belgium income and social taxes attributed to Itron source income, as determined by the Tax Firm, from the Assignee’s completed U.S. and Belgium Income Tax Returns and the Tax Equalization Settlement Statement.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the year, when the Assignee’s tax returns are completed, the Tax Firm will prepare a Tax Equalization Settlement Statement. Any amounts due to the Assignee will be promptly remitted through Itron’s payroll systems. Any amounts due to Itron will be reimbursed, at the Itron’s option, directly to Itron by personal check or through a payroll adjustment.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Assignee is expected to exercise care and attention in minimizing the liability for worldwide income taxes in accordance with appropriate principles of tax planning as instructed by the independent tax consultant. The Assignee must cooperate with Itron to ensure that his tax returns are filed in such a manner as to produce the lowest possible tax permitted by law.</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It is in both Itron’s and the Assignee’s best interest to ensure compliance with all applicable tax laws during the foreign assignment. It is the Assignee’s responsibility to consult the independent tax consultant concerning his tax responsibilities and to fulfill them in a timely manner while on foreign assignment.</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It is essential that the Assignee cooperate with the Tax Firm in providing timely and complete information as required. Itron reserves the right to withhold all payments associated with the Assignee’s assignment, excluding compensation for work performed, if he fails to comply with these provisions.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all fines, penalties, increased tax liability or interest charges resulting from the Assignee’s failure to comply on a timely basis with applicable tax laws/regulations, will be his responsibility.</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By accepting this assignment the Assignee agrees to provide the Tax Firm with all documentation/records required to file his foreign and home country, Federal and Provincial/State Income Taxes and to prepare the Tax Equalization calculation.</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Assignee also agrees that Itron shall have the right to require immediate payment of any amounts due to Itron as a result of the Tax Equalization Summary provided by the Tax Firm, and expressly authorizes Itron, by signing below, to deduct such amounts due to Itron, from any amounts due to the Assignee from Itron.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Should the Assignee’s employment be terminated for any reason, Itron will provide tax reimbursements and consulting assistance until the Assignee’s separation date from Itron.</w:t>
      </w:r>
    </w:p>
    <w:p>
      <w:pPr>
        <w:spacing w:after="0" w:line="197" w:lineRule="exact"/>
        <w:rPr>
          <w:sz w:val="20"/>
          <w:szCs w:val="20"/>
          <w:color w:val="auto"/>
        </w:rPr>
      </w:pPr>
    </w:p>
    <w:p>
      <w:pPr>
        <w:ind w:left="640" w:hanging="632"/>
        <w:spacing w:after="0"/>
        <w:tabs>
          <w:tab w:leader="none" w:pos="640" w:val="left"/>
        </w:tabs>
        <w:numPr>
          <w:ilvl w:val="0"/>
          <w:numId w:val="4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Home Leave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Itron encourages and will allow for one quarterly personal trip per year for Assignee and Assignee’s spouse back to the U.S. The coordination of the airfare must be made through Itron Corporate Travel Department or Actaris’ commonly used travel office, whichever provides the most competitive fare. Itron reserves the right to use the carrier of their choice and to seek the best possible airfare rates. In the alternative, Itron will provide a comparatively priced host country visit by an immediate family member(s) up to the number of persons equal to Assignee and his spouse.</w:t>
      </w:r>
    </w:p>
    <w:p>
      <w:pPr>
        <w:spacing w:after="0" w:line="198" w:lineRule="exact"/>
        <w:rPr>
          <w:sz w:val="20"/>
          <w:szCs w:val="20"/>
          <w:color w:val="auto"/>
        </w:rPr>
      </w:pPr>
    </w:p>
    <w:p>
      <w:pPr>
        <w:ind w:left="640" w:hanging="632"/>
        <w:spacing w:after="0"/>
        <w:tabs>
          <w:tab w:leader="none" w:pos="640" w:val="left"/>
        </w:tabs>
        <w:numPr>
          <w:ilvl w:val="0"/>
          <w:numId w:val="4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Repatriation</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the completion of the Assignee assignment, Itron will pay the costs of relocating Assignee to a location in the U.S. or as determined by Assignee’s new assignment. Itron agrees to the shipment of personal and household goods consistent with Section 7 of this agreement. It is Itron’s Foreign Assignment Policy to return Assignees to a position at Itron with similar or increased job responsibilities and level as the position held at the conclusion of the foreign assignment. If the same position is not available and the Assignee chooses to decline the offered position, Itron has the right to terminate any severance</w:t>
      </w:r>
    </w:p>
    <w:p>
      <w:pPr>
        <w:sectPr>
          <w:pgSz w:w="11900" w:h="16838" w:orient="portrait"/>
          <w:cols w:equalWidth="0" w:num="1">
            <w:col w:w="11420"/>
          </w:cols>
          <w:pgMar w:left="240" w:top="368" w:right="239" w:bottom="0" w:gutter="0" w:footer="0" w:header="0"/>
        </w:sectPr>
      </w:pPr>
    </w:p>
    <w:bookmarkStart w:id="192" w:name="page193"/>
    <w:bookmarkEnd w:id="192"/>
    <w:p>
      <w:pPr>
        <w:jc w:val="both"/>
        <w:ind w:right="20"/>
        <w:spacing w:after="0" w:line="277" w:lineRule="auto"/>
        <w:rPr>
          <w:sz w:val="20"/>
          <w:szCs w:val="20"/>
          <w:color w:val="auto"/>
        </w:rPr>
      </w:pPr>
      <w:r>
        <w:rPr>
          <w:rFonts w:ascii="Arial" w:cs="Arial" w:eastAsia="Arial" w:hAnsi="Arial"/>
          <w:sz w:val="18"/>
          <w:szCs w:val="18"/>
          <w:color w:val="auto"/>
        </w:rPr>
        <w:t>agreement. In the event that Itron determines that the same position or no equivalent position is available, Itron will grant the Assignee severance pay consistent with Itron’s U.S. severance policy at the time of repatriation.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business conditions may require Itron to reevaluate its business needs. If Itron determines that business needs require termination of Assignee’s position, Itron will pay severance in accordance with the above paragraph.</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Itron decides to terminate Assignee’s employment for cause during or at the end of the foreign assignment, OR if Assignee self-terminates his position while on foreign assignment, Itron will provide relocation of his household and personal goods (as stated in Section 7.4 of this agreement) to a U.S. location as approved the CEO. No severance will be paid upon either of these two conditions. These benefits will not be provided under circumstances where Assignee has accepted a job with another company prior to such self-termination.</w:t>
      </w: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Itron will have full authority to determine the outcome of expenses incurred outside of this policy. The CEO in coordination with the Vice-President Competitive Resources will determine whether the responsibility of any costs outside of this agreement rests with the company or the employee based on the company’s Foreign Assignment Program and Policy.</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Notwithstanding anything in this Agreement, the employee is at all times subject to the employment-at-will doctrine in Washington and any dispute under this Agreement must be resolved under the laws of the State of Washington without the application of conflict of law provisions. Any lawsuit to enforce the provisions of this Agreement must be brought in a court in Spokane County, Washington, USA.</w:t>
      </w:r>
    </w:p>
    <w:p>
      <w:pPr>
        <w:spacing w:after="0" w:line="237" w:lineRule="auto"/>
        <w:rPr>
          <w:sz w:val="20"/>
          <w:szCs w:val="20"/>
          <w:color w:val="auto"/>
        </w:rPr>
      </w:pPr>
      <w:r>
        <w:rPr>
          <w:rFonts w:ascii="Arial" w:cs="Arial" w:eastAsia="Arial" w:hAnsi="Arial"/>
          <w:sz w:val="22"/>
          <w:szCs w:val="22"/>
          <w:color w:val="auto"/>
        </w:rPr>
        <w:t>[Missing Graphic Reference]</w:t>
      </w:r>
    </w:p>
    <w:p>
      <w:pPr>
        <w:spacing w:after="0"/>
        <w:rPr>
          <w:sz w:val="20"/>
          <w:szCs w:val="20"/>
          <w:color w:val="auto"/>
        </w:rPr>
      </w:pPr>
      <w:r>
        <w:rPr>
          <w:rFonts w:ascii="Arial" w:cs="Arial" w:eastAsia="Arial" w:hAnsi="Arial"/>
          <w:sz w:val="18"/>
          <w:szCs w:val="18"/>
          <w:color w:val="auto"/>
        </w:rPr>
        <w:t>Please sign this agreement acknowledging the terms and conditions: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 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406463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64635"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40646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646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240"/>
        <w:spacing w:after="0"/>
        <w:rPr>
          <w:sz w:val="20"/>
          <w:szCs w:val="20"/>
          <w:color w:val="auto"/>
        </w:rPr>
      </w:pPr>
      <w:r>
        <w:rPr>
          <w:rFonts w:ascii="Arial" w:cs="Arial" w:eastAsia="Arial" w:hAnsi="Arial"/>
          <w:sz w:val="16"/>
          <w:szCs w:val="16"/>
          <w:color w:val="auto"/>
        </w:rPr>
        <w:t>4/23/07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29845</wp:posOffset>
            </wp:positionV>
            <wp:extent cx="31813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39" w:lineRule="exact"/>
        <w:rPr>
          <w:sz w:val="20"/>
          <w:szCs w:val="20"/>
          <w:color w:val="auto"/>
        </w:rPr>
      </w:pPr>
    </w:p>
    <w:p>
      <w:pPr>
        <w:jc w:val="center"/>
        <w:ind w:right="22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15240</wp:posOffset>
            </wp:positionV>
            <wp:extent cx="31813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20" w:space="720"/>
            <w:col w:w="2780"/>
          </w:cols>
          <w:pgMar w:left="240" w:top="125" w:right="2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Jared P. Serff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6463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646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Vice-President Competitive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06463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646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center"/>
        <w:ind w:right="2240"/>
        <w:spacing w:after="0"/>
        <w:rPr>
          <w:sz w:val="20"/>
          <w:szCs w:val="20"/>
          <w:color w:val="auto"/>
        </w:rPr>
      </w:pPr>
      <w:r>
        <w:rPr>
          <w:rFonts w:ascii="Arial" w:cs="Arial" w:eastAsia="Arial" w:hAnsi="Arial"/>
          <w:sz w:val="16"/>
          <w:szCs w:val="16"/>
          <w:color w:val="auto"/>
        </w:rPr>
        <w:t>4/23/07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29210</wp:posOffset>
            </wp:positionV>
            <wp:extent cx="31813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39" w:lineRule="exact"/>
        <w:rPr>
          <w:sz w:val="20"/>
          <w:szCs w:val="20"/>
          <w:color w:val="auto"/>
        </w:rPr>
      </w:pPr>
    </w:p>
    <w:p>
      <w:pPr>
        <w:jc w:val="center"/>
        <w:ind w:right="22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14605</wp:posOffset>
            </wp:positionV>
            <wp:extent cx="31813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20" w:space="720"/>
            <w:col w:w="278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/s/ LeRoy D. Nosbaum</w:t>
            </w:r>
          </w:p>
        </w:tc>
        <w:tc>
          <w:tcPr>
            <w:tcW w:w="5300" w:type="dxa"/>
            <w:vAlign w:val="bottom"/>
          </w:tcPr>
          <w:p>
            <w:pPr>
              <w:jc w:val="right"/>
              <w:ind w:right="2150"/>
              <w:spacing w:after="0"/>
              <w:rPr>
                <w:sz w:val="20"/>
                <w:szCs w:val="20"/>
                <w:color w:val="auto"/>
              </w:rPr>
            </w:pPr>
            <w:r>
              <w:rPr>
                <w:rFonts w:ascii="Arial" w:cs="Arial" w:eastAsia="Arial" w:hAnsi="Arial"/>
                <w:sz w:val="18"/>
                <w:szCs w:val="18"/>
                <w:color w:val="auto"/>
              </w:rPr>
              <w:t>4/23/07</w:t>
            </w:r>
          </w:p>
        </w:tc>
      </w:tr>
      <w:tr>
        <w:trPr>
          <w:trHeight w:val="243"/>
        </w:trPr>
        <w:tc>
          <w:tcPr>
            <w:tcW w:w="6120" w:type="dxa"/>
            <w:vAlign w:val="bottom"/>
          </w:tcPr>
          <w:p>
            <w:pPr>
              <w:spacing w:after="0"/>
              <w:rPr>
                <w:sz w:val="20"/>
                <w:szCs w:val="20"/>
                <w:color w:val="auto"/>
              </w:rPr>
            </w:pPr>
            <w:r>
              <w:rPr>
                <w:rFonts w:ascii="Arial" w:cs="Arial" w:eastAsia="Arial" w:hAnsi="Arial"/>
                <w:sz w:val="18"/>
                <w:szCs w:val="18"/>
                <w:color w:val="auto"/>
              </w:rPr>
              <w:t>Chief Executive Officer &amp; Chairman of the Board</w:t>
            </w:r>
          </w:p>
        </w:tc>
        <w:tc>
          <w:tcPr>
            <w:tcW w:w="5300" w:type="dxa"/>
            <w:vAlign w:val="bottom"/>
          </w:tcPr>
          <w:p>
            <w:pPr>
              <w:jc w:val="center"/>
              <w:ind w:left="190"/>
              <w:spacing w:after="0"/>
              <w:rPr>
                <w:sz w:val="20"/>
                <w:szCs w:val="20"/>
                <w:color w:val="auto"/>
              </w:rPr>
            </w:pPr>
            <w:r>
              <w:rPr>
                <w:rFonts w:ascii="Arial" w:cs="Arial" w:eastAsia="Arial" w:hAnsi="Arial"/>
                <w:sz w:val="18"/>
                <w:szCs w:val="18"/>
                <w:color w:val="auto"/>
                <w:w w:val="89"/>
              </w:rPr>
              <w:t>Date</w:t>
            </w:r>
          </w:p>
        </w:tc>
      </w:tr>
      <w:tr>
        <w:trPr>
          <w:trHeight w:val="243"/>
        </w:trPr>
        <w:tc>
          <w:tcPr>
            <w:tcW w:w="612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COMPLETES ACQUISITION OF ACTARIS METERING SYSTEMS</w:t>
      </w:r>
    </w:p>
    <w:p>
      <w:pPr>
        <w:spacing w:after="0" w:line="256" w:lineRule="exact"/>
        <w:rPr>
          <w:sz w:val="20"/>
          <w:szCs w:val="20"/>
          <w:color w:val="auto"/>
        </w:rPr>
      </w:pPr>
    </w:p>
    <w:p>
      <w:pPr>
        <w:ind w:left="1140" w:hanging="178"/>
        <w:spacing w:after="0" w:line="308" w:lineRule="auto"/>
        <w:tabs>
          <w:tab w:leader="none" w:pos="1140" w:val="left"/>
        </w:tabs>
        <w:numPr>
          <w:ilvl w:val="0"/>
          <w:numId w:val="4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Acquisition creates a worldwide market leader with more than 8,000 utility customers, expands Itron’s product offerings and increases access to global markets for electricity, gas and water meters and automated meter reading (AMR) technology.</w:t>
      </w:r>
    </w:p>
    <w:p>
      <w:pPr>
        <w:spacing w:after="0" w:line="173" w:lineRule="exact"/>
        <w:rPr>
          <w:rFonts w:ascii="Arial" w:cs="Arial" w:eastAsia="Arial" w:hAnsi="Arial"/>
          <w:sz w:val="17"/>
          <w:szCs w:val="17"/>
          <w:b w:val="1"/>
          <w:bCs w:val="1"/>
          <w:i w:val="1"/>
          <w:iCs w:val="1"/>
          <w:color w:val="auto"/>
        </w:rPr>
      </w:pPr>
    </w:p>
    <w:p>
      <w:pPr>
        <w:ind w:left="1140" w:hanging="178"/>
        <w:spacing w:after="0"/>
        <w:tabs>
          <w:tab w:leader="none" w:pos="1140" w:val="left"/>
        </w:tabs>
        <w:numPr>
          <w:ilvl w:val="0"/>
          <w:numId w:val="4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 financed by cash on hand and $1.2 billion senior secured first lien credit facility.</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SPOKANE, WA. — April 18, 2007 — Itron, Inc. (NASDAQ:ITRI) announced today that it has completed the acquisition of Actaris Metering Systems (Actaris) for €800 million plus the retirement of debt, or $1.7 billion.</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delighted to announce the completion of the Actaris acquisition,” said LeRoy Nosbaum, chairman and CEO. “In talking with customers, investors and employees over the past two months it is apparent that this is the right acquisition at the right time.”</w:t>
      </w:r>
    </w:p>
    <w:p>
      <w:pPr>
        <w:spacing w:after="0" w:line="19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Actaris is a leader in electricity, gas and water metering, primarily outside of North America. Itron is the leading supplier of AMR systems and electricity meters in North America. The combined company will be one of the largest electricity, gas and water metering companies in the world. This acquisition will allow Actaris to offer Itron’s AMR and advanced metering infrastructure (AMI) technologies, software and systems expertise to customers outside of North America, and expand Actaris gas and water meter opportunities in North America. The combined company will have more than 8,000 utility customers, 33 manufacturing facilities, customers in more than 60 countries and have more than 8,500 employees.</w:t>
      </w:r>
    </w:p>
    <w:p>
      <w:pPr>
        <w:spacing w:after="0" w:line="20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acquisition was financed by a $1.2 billion senior secured credit facility from UBS Investment Bank. The facility is comprised of a $605 million first lien U.S. denominated term loan; a €335 million first lien Euro denominated term loan; a £50 million first lien Sterling denominated term loan; and a $115 million multicurrency revolving line-of-credit, which was undrawn at close.</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Actaris will continue to operate fundamentally as it does today. Malcolm Unsworth, Itron’s former Vice President of Hardware Solutions, has moved to Brussels to assume the day-to-day operations of the company as Actaris’ Senior Vice-President and Chief Operating Officer. Actaris will continue to operate electric, gas and water businesses. Itron will report financial results for Actaris as a standalone business with these three operating segments, in addition to reporting financial results for Itron’s previously established hardware and software segments with sales and operations primarily concentrated in North America. Philip Mezey, Itron’s former Vice President of Software Solutions, will become Senior Vice President and Chief Operating Officer of Itron’s North American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Itron will announce financial results for the first quarter of 2007 on May 2, 2007 and during that call will discuss the Actaris transaction in more detail.</w:t>
      </w:r>
    </w:p>
    <w:p>
      <w:pPr>
        <w:spacing w:after="0" w:line="2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excited to complete this transaction so quickly,” said Nosbaum. “The combination of Itron and Actaris will create opportunities for both companies, for our customers and for our investors and we are looking forward to making the most of those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Itron:</w:t>
      </w:r>
    </w:p>
    <w:p>
      <w:pPr>
        <w:spacing w:after="0" w:line="2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 xml:space="preserve">Itron is a leading technology provider and critical source of knowledge to the global energy and water industries. Nearly 3,000 utilities worldwide rely on Itron’s award-winning technology to provide the knowledge they require to optimize the delivery and use of energy and water. Itron creates value for its clients by providing industry-leading solutions for electricity metering; meter data collection; energy information management; demand response; load forecasting, analysis and consulting services; distribution system design and optimization; web-based workforce automation; and enterprise and residential energy management. To know more, start here: </w:t>
      </w:r>
      <w:r>
        <w:rPr>
          <w:rFonts w:ascii="Arial" w:cs="Arial" w:eastAsia="Arial" w:hAnsi="Arial"/>
          <w:sz w:val="18"/>
          <w:szCs w:val="18"/>
          <w:u w:val="single" w:color="auto"/>
          <w:color w:val="auto"/>
        </w:rPr>
        <w:t>www.itron.com</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Actaris: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Actaris is a world leader in the design and manufacture of meters and associated systems for the electricity, gas, water and heat markets, providing innovative products and systems that integrate the latest technologies to meet the evolving needs of public or private energy and water suppliers, utility services and industrial companies worldwide. Actaris is active in more than 30 countries, employs approximately 6,000 people in 60 locations and has 30 manufacturing sites worldwide. The company has a cumulative installed base of some 300 million electricity, gas and water meters throughout the world. To know more, start here: </w:t>
      </w:r>
      <w:r>
        <w:rPr>
          <w:rFonts w:ascii="Arial" w:cs="Arial" w:eastAsia="Arial" w:hAnsi="Arial"/>
          <w:sz w:val="18"/>
          <w:szCs w:val="18"/>
          <w:u w:val="single" w:color="auto"/>
          <w:color w:val="auto"/>
        </w:rPr>
        <w:t>www.actaris.com</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Itron, Inc.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Deloris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Vice-president, Investor Relations and Corporate Communications</w:t>
      </w:r>
    </w:p>
    <w:p>
      <w:pPr>
        <w:spacing w:after="0" w:line="9" w:lineRule="exact"/>
        <w:rPr>
          <w:sz w:val="20"/>
          <w:szCs w:val="20"/>
          <w:color w:val="auto"/>
        </w:rPr>
      </w:pPr>
    </w:p>
    <w:p>
      <w:pPr>
        <w:ind w:right="9360" w:firstLine="8"/>
        <w:spacing w:after="0" w:line="323" w:lineRule="auto"/>
        <w:tabs>
          <w:tab w:leader="none" w:pos="435"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891-3523 </w:t>
      </w:r>
      <w:r>
        <w:rPr>
          <w:rFonts w:ascii="Arial" w:cs="Arial" w:eastAsia="Arial" w:hAnsi="Arial"/>
          <w:sz w:val="16"/>
          <w:szCs w:val="16"/>
          <w:u w:val="single" w:color="auto"/>
          <w:color w:val="auto"/>
        </w:rPr>
        <w:t>Deloris.duquette@itron.com</w:t>
      </w:r>
    </w:p>
    <w:sectPr>
      <w:pgSz w:w="11900" w:h="16838" w:orient="portrait"/>
      <w:cols w:equalWidth="0" w:num="1">
        <w:col w:w="11420"/>
      </w:cols>
      <w:pgMar w:left="240" w:top="6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E8725A"/>
    <w:multiLevelType w:val="hybridMultilevel"/>
    <w:lvl w:ilvl="0">
      <w:lvlJc w:val="left"/>
      <w:lvlText w:val="["/>
      <w:numFmt w:val="bullet"/>
      <w:start w:val="1"/>
    </w:lvl>
  </w:abstractNum>
  <w:abstractNum w:abstractNumId="1">
    <w:nsid w:val="6A37288A"/>
    <w:multiLevelType w:val="hybridMultilevel"/>
    <w:lvl w:ilvl="0">
      <w:lvlJc w:val="left"/>
      <w:lvlText w:val="(%1)"/>
      <w:numFmt w:val="lowerLetter"/>
      <w:start w:val="1"/>
    </w:lvl>
  </w:abstractNum>
  <w:abstractNum w:abstractNumId="2">
    <w:nsid w:val="8F8B73F"/>
    <w:multiLevelType w:val="hybridMultilevel"/>
    <w:lvl w:ilvl="0">
      <w:lvlJc w:val="left"/>
      <w:lvlText w:val="(%1)"/>
      <w:numFmt w:val="lowerLetter"/>
      <w:start w:val="4"/>
    </w:lvl>
  </w:abstractNum>
  <w:abstractNum w:abstractNumId="3">
    <w:nsid w:val="CA6B462"/>
    <w:multiLevelType w:val="hybridMultilevel"/>
    <w:lvl w:ilvl="0">
      <w:lvlJc w:val="left"/>
      <w:lvlText w:val="%1."/>
      <w:numFmt w:val="upperLetter"/>
      <w:start w:val="1"/>
    </w:lvl>
  </w:abstractNum>
  <w:abstractNum w:abstractNumId="4">
    <w:nsid w:val="763CB680"/>
    <w:multiLevelType w:val="hybridMultilevel"/>
    <w:lvl w:ilvl="0">
      <w:lvlJc w:val="left"/>
      <w:lvlText w:val="(%1)"/>
      <w:numFmt w:val="lowerRoman"/>
      <w:start w:val="2"/>
    </w:lvl>
  </w:abstractNum>
  <w:abstractNum w:abstractNumId="5">
    <w:nsid w:val="15B71329"/>
    <w:multiLevelType w:val="hybridMultilevel"/>
    <w:lvl w:ilvl="0">
      <w:lvlJc w:val="left"/>
      <w:lvlText w:val="(%1)"/>
      <w:numFmt w:val="upperLetter"/>
      <w:start w:val="9"/>
    </w:lvl>
  </w:abstractNum>
  <w:abstractNum w:abstractNumId="6">
    <w:nsid w:val="3DA97044"/>
    <w:multiLevelType w:val="hybridMultilevel"/>
    <w:lvl w:ilvl="0">
      <w:lvlJc w:val="left"/>
      <w:lvlText w:val="(%1)"/>
      <w:numFmt w:val="upperLetter"/>
      <w:start w:val="35"/>
    </w:lvl>
  </w:abstractNum>
  <w:abstractNum w:abstractNumId="7">
    <w:nsid w:val="1CDCE2DE"/>
    <w:multiLevelType w:val="hybridMultilevel"/>
    <w:lvl w:ilvl="0">
      <w:lvlJc w:val="left"/>
      <w:lvlText w:val="(%1)"/>
      <w:numFmt w:val="upperLetter"/>
      <w:start w:val="61"/>
    </w:lvl>
  </w:abstractNum>
  <w:abstractNum w:abstractNumId="8">
    <w:nsid w:val="69D3947C"/>
    <w:multiLevelType w:val="hybridMultilevel"/>
    <w:lvl w:ilvl="0">
      <w:lvlJc w:val="left"/>
      <w:lvlText w:val="(%1)"/>
      <w:numFmt w:val="upperLetter"/>
      <w:start w:val="9"/>
    </w:lvl>
  </w:abstractNum>
  <w:abstractNum w:abstractNumId="9">
    <w:nsid w:val="2539DFA5"/>
    <w:multiLevelType w:val="hybridMultilevel"/>
    <w:lvl w:ilvl="0">
      <w:lvlJc w:val="left"/>
      <w:lvlText w:val="(%1)"/>
      <w:numFmt w:val="upperLetter"/>
      <w:start w:val="35"/>
    </w:lvl>
  </w:abstractNum>
  <w:abstractNum w:abstractNumId="10">
    <w:nsid w:val="2DB88089"/>
    <w:multiLevelType w:val="hybridMultilevel"/>
    <w:lvl w:ilvl="0">
      <w:lvlJc w:val="left"/>
      <w:lvlText w:val="(%1)"/>
      <w:numFmt w:val="upperLetter"/>
      <w:start w:val="61"/>
    </w:lvl>
  </w:abstractNum>
  <w:abstractNum w:abstractNumId="11">
    <w:nsid w:val="706B674E"/>
    <w:multiLevelType w:val="hybridMultilevel"/>
    <w:lvl w:ilvl="0">
      <w:lvlJc w:val="left"/>
      <w:lvlText w:val="(%1)"/>
      <w:numFmt w:val="upperLetter"/>
      <w:start w:val="22"/>
    </w:lvl>
  </w:abstractNum>
  <w:abstractNum w:abstractNumId="12">
    <w:nsid w:val="2C106A57"/>
    <w:multiLevelType w:val="hybridMultilevel"/>
    <w:lvl w:ilvl="0">
      <w:lvlJc w:val="left"/>
      <w:lvlText w:val="(%1)"/>
      <w:numFmt w:val="upperLetter"/>
      <w:start w:val="9"/>
    </w:lvl>
  </w:abstractNum>
  <w:abstractNum w:abstractNumId="13">
    <w:nsid w:val="684EED59"/>
    <w:multiLevelType w:val="hybridMultilevel"/>
    <w:lvl w:ilvl="0">
      <w:lvlJc w:val="left"/>
      <w:lvlText w:val="(%1)"/>
      <w:numFmt w:val="upperLetter"/>
      <w:start w:val="35"/>
    </w:lvl>
  </w:abstractNum>
  <w:abstractNum w:abstractNumId="14">
    <w:nsid w:val="545EE5D3"/>
    <w:multiLevelType w:val="hybridMultilevel"/>
    <w:lvl w:ilvl="0">
      <w:lvlJc w:val="left"/>
      <w:lvlText w:val="(%1)"/>
      <w:numFmt w:val="upperLetter"/>
      <w:start w:val="61"/>
    </w:lvl>
  </w:abstractNum>
  <w:abstractNum w:abstractNumId="15">
    <w:nsid w:val="4A66051"/>
    <w:multiLevelType w:val="hybridMultilevel"/>
    <w:lvl w:ilvl="0">
      <w:lvlJc w:val="left"/>
      <w:lvlText w:val="(%1)"/>
      <w:numFmt w:val="upperLetter"/>
      <w:start w:val="22"/>
    </w:lvl>
  </w:abstractNum>
  <w:abstractNum w:abstractNumId="16">
    <w:nsid w:val="20F4BDAD"/>
    <w:multiLevelType w:val="hybridMultilevel"/>
    <w:lvl w:ilvl="0">
      <w:lvlJc w:val="left"/>
      <w:lvlText w:val="."/>
      <w:numFmt w:val="bullet"/>
      <w:start w:val="1"/>
    </w:lvl>
  </w:abstractNum>
  <w:abstractNum w:abstractNumId="17">
    <w:nsid w:val="639DEFAC"/>
    <w:multiLevelType w:val="hybridMultilevel"/>
    <w:lvl w:ilvl="0">
      <w:lvlJc w:val="left"/>
      <w:lvlText w:val="(%1)"/>
      <w:numFmt w:val="upperLetter"/>
      <w:start w:val="9"/>
    </w:lvl>
  </w:abstractNum>
  <w:abstractNum w:abstractNumId="18">
    <w:nsid w:val="501F9786"/>
    <w:multiLevelType w:val="hybridMultilevel"/>
    <w:lvl w:ilvl="0">
      <w:lvlJc w:val="left"/>
      <w:lvlText w:val="(%1)"/>
      <w:numFmt w:val="upperLetter"/>
      <w:start w:val="35"/>
    </w:lvl>
  </w:abstractNum>
  <w:abstractNum w:abstractNumId="19">
    <w:nsid w:val="6B057295"/>
    <w:multiLevelType w:val="hybridMultilevel"/>
    <w:lvl w:ilvl="0">
      <w:lvlJc w:val="left"/>
      <w:lvlText w:val="(%1)"/>
      <w:numFmt w:val="upperLetter"/>
      <w:start w:val="61"/>
    </w:lvl>
  </w:abstractNum>
  <w:abstractNum w:abstractNumId="20">
    <w:nsid w:val="2771AC80"/>
    <w:multiLevelType w:val="hybridMultilevel"/>
    <w:lvl w:ilvl="0">
      <w:lvlJc w:val="left"/>
      <w:lvlText w:val="."/>
      <w:numFmt w:val="bullet"/>
      <w:start w:val="1"/>
    </w:lvl>
  </w:abstractNum>
  <w:abstractNum w:abstractNumId="21">
    <w:nsid w:val="1C4A08EC"/>
    <w:multiLevelType w:val="hybridMultilevel"/>
    <w:lvl w:ilvl="0">
      <w:lvlJc w:val="left"/>
      <w:lvlText w:val="."/>
      <w:numFmt w:val="bullet"/>
      <w:start w:val="1"/>
    </w:lvl>
  </w:abstractNum>
  <w:abstractNum w:abstractNumId="22">
    <w:nsid w:val="1958BD17"/>
    <w:multiLevelType w:val="hybridMultilevel"/>
    <w:lvl w:ilvl="0">
      <w:lvlJc w:val="left"/>
      <w:lvlText w:val="."/>
      <w:numFmt w:val="bullet"/>
      <w:start w:val="1"/>
    </w:lvl>
  </w:abstractNum>
  <w:abstractNum w:abstractNumId="23">
    <w:nsid w:val="4E647FE4"/>
    <w:multiLevelType w:val="hybridMultilevel"/>
    <w:lvl w:ilvl="0">
      <w:lvlJc w:val="left"/>
      <w:lvlText w:val="(%1)"/>
      <w:numFmt w:val="lowerRoman"/>
      <w:start w:val="2"/>
    </w:lvl>
  </w:abstractNum>
  <w:abstractNum w:abstractNumId="24">
    <w:nsid w:val="E0BB885"/>
    <w:multiLevelType w:val="hybridMultilevel"/>
    <w:lvl w:ilvl="0">
      <w:lvlJc w:val="left"/>
      <w:lvlText w:val="(%1)"/>
      <w:numFmt w:val="upperLetter"/>
      <w:start w:val="9"/>
    </w:lvl>
  </w:abstractNum>
  <w:abstractNum w:abstractNumId="25">
    <w:nsid w:val="565976F1"/>
    <w:multiLevelType w:val="hybridMultilevel"/>
    <w:lvl w:ilvl="0">
      <w:lvlJc w:val="left"/>
      <w:lvlText w:val="(%1)"/>
      <w:numFmt w:val="upperLetter"/>
      <w:start w:val="35"/>
    </w:lvl>
  </w:abstractNum>
  <w:abstractNum w:abstractNumId="26">
    <w:nsid w:val="64212B8C"/>
    <w:multiLevelType w:val="hybridMultilevel"/>
    <w:lvl w:ilvl="0">
      <w:lvlJc w:val="left"/>
      <w:lvlText w:val="(%1)"/>
      <w:numFmt w:val="upperLetter"/>
      <w:start w:val="61"/>
    </w:lvl>
  </w:abstractNum>
  <w:abstractNum w:abstractNumId="27">
    <w:nsid w:val="5C17530C"/>
    <w:multiLevelType w:val="hybridMultilevel"/>
    <w:lvl w:ilvl="0">
      <w:lvlJc w:val="left"/>
      <w:lvlText w:val="(%1)"/>
      <w:numFmt w:val="upperLetter"/>
      <w:start w:val="22"/>
    </w:lvl>
  </w:abstractNum>
  <w:abstractNum w:abstractNumId="28">
    <w:nsid w:val="19A52566"/>
    <w:multiLevelType w:val="hybridMultilevel"/>
    <w:lvl w:ilvl="0">
      <w:lvlJc w:val="left"/>
      <w:lvlText w:val="(%1)"/>
      <w:numFmt w:val="upperLetter"/>
      <w:start w:val="24"/>
    </w:lvl>
  </w:abstractNum>
  <w:abstractNum w:abstractNumId="29">
    <w:nsid w:val="335A1DF1"/>
    <w:multiLevelType w:val="hybridMultilevel"/>
    <w:lvl w:ilvl="0">
      <w:lvlJc w:val="left"/>
      <w:lvlText w:val="."/>
      <w:numFmt w:val="bullet"/>
      <w:start w:val="1"/>
    </w:lvl>
  </w:abstractNum>
  <w:abstractNum w:abstractNumId="30">
    <w:nsid w:val="28677B7C"/>
    <w:multiLevelType w:val="hybridMultilevel"/>
    <w:lvl w:ilvl="0">
      <w:lvlJc w:val="left"/>
      <w:lvlText w:val="."/>
      <w:numFmt w:val="bullet"/>
      <w:start w:val="1"/>
    </w:lvl>
  </w:abstractNum>
  <w:abstractNum w:abstractNumId="31">
    <w:nsid w:val="378D97C0"/>
    <w:multiLevelType w:val="hybridMultilevel"/>
    <w:lvl w:ilvl="0">
      <w:lvlJc w:val="left"/>
      <w:lvlText w:val="."/>
      <w:numFmt w:val="bullet"/>
      <w:start w:val="1"/>
    </w:lvl>
  </w:abstractNum>
  <w:abstractNum w:abstractNumId="32">
    <w:nsid w:val="1D91467C"/>
    <w:multiLevelType w:val="hybridMultilevel"/>
    <w:lvl w:ilvl="0">
      <w:lvlJc w:val="left"/>
      <w:lvlText w:val="."/>
      <w:numFmt w:val="bullet"/>
      <w:start w:val="1"/>
    </w:lvl>
  </w:abstractNum>
  <w:abstractNum w:abstractNumId="33">
    <w:nsid w:val="316032BB"/>
    <w:multiLevelType w:val="hybridMultilevel"/>
    <w:lvl w:ilvl="0">
      <w:lvlJc w:val="left"/>
      <w:lvlText w:val="."/>
      <w:numFmt w:val="bullet"/>
      <w:start w:val="1"/>
    </w:lvl>
  </w:abstractNum>
  <w:abstractNum w:abstractNumId="34">
    <w:nsid w:val="44344C22"/>
    <w:multiLevelType w:val="hybridMultilevel"/>
    <w:lvl w:ilvl="0">
      <w:lvlJc w:val="left"/>
      <w:lvlText w:val="."/>
      <w:numFmt w:val="bullet"/>
      <w:start w:val="1"/>
    </w:lvl>
  </w:abstractNum>
  <w:abstractNum w:abstractNumId="35">
    <w:nsid w:val="13CDFCFC"/>
    <w:multiLevelType w:val="hybridMultilevel"/>
    <w:lvl w:ilvl="0">
      <w:lvlJc w:val="left"/>
      <w:lvlText w:val="."/>
      <w:numFmt w:val="bullet"/>
      <w:start w:val="1"/>
    </w:lvl>
  </w:abstractNum>
  <w:abstractNum w:abstractNumId="36">
    <w:nsid w:val="471745E4"/>
    <w:multiLevelType w:val="hybridMultilevel"/>
    <w:lvl w:ilvl="0">
      <w:lvlJc w:val="left"/>
      <w:lvlText w:val="."/>
      <w:numFmt w:val="bullet"/>
      <w:start w:val="1"/>
    </w:lvl>
  </w:abstractNum>
  <w:abstractNum w:abstractNumId="37">
    <w:nsid w:val="1DDBC66"/>
    <w:multiLevelType w:val="hybridMultilevel"/>
    <w:lvl w:ilvl="0">
      <w:lvlJc w:val="left"/>
      <w:lvlText w:val="(%1)"/>
      <w:numFmt w:val="upperLetter"/>
      <w:start w:val="9"/>
    </w:lvl>
  </w:abstractNum>
  <w:abstractNum w:abstractNumId="38">
    <w:nsid w:val="30AADFDA"/>
    <w:multiLevelType w:val="hybridMultilevel"/>
    <w:lvl w:ilvl="0">
      <w:lvlJc w:val="left"/>
      <w:lvlText w:val="(%1)"/>
      <w:numFmt w:val="upperLetter"/>
      <w:start w:val="35"/>
    </w:lvl>
  </w:abstractNum>
  <w:abstractNum w:abstractNumId="39">
    <w:nsid w:val="30EADA61"/>
    <w:multiLevelType w:val="hybridMultilevel"/>
    <w:lvl w:ilvl="0">
      <w:lvlJc w:val="left"/>
      <w:lvlText w:val="(%1)"/>
      <w:numFmt w:val="upperLetter"/>
      <w:start w:val="61"/>
    </w:lvl>
  </w:abstractNum>
  <w:abstractNum w:abstractNumId="40">
    <w:nsid w:val="27179C0B"/>
    <w:multiLevelType w:val="hybridMultilevel"/>
    <w:lvl w:ilvl="0">
      <w:lvlJc w:val="left"/>
      <w:lvlText w:val="."/>
      <w:numFmt w:val="bullet"/>
      <w:start w:val="1"/>
    </w:lvl>
  </w:abstractNum>
  <w:abstractNum w:abstractNumId="41">
    <w:nsid w:val="5E636063"/>
    <w:multiLevelType w:val="hybridMultilevel"/>
    <w:lvl w:ilvl="0">
      <w:lvlJc w:val="left"/>
      <w:lvlText w:val="."/>
      <w:numFmt w:val="bullet"/>
      <w:start w:val="1"/>
    </w:lvl>
  </w:abstractNum>
  <w:abstractNum w:abstractNumId="42">
    <w:nsid w:val="215641AF"/>
    <w:multiLevelType w:val="hybridMultilevel"/>
    <w:lvl w:ilvl="0">
      <w:lvlJc w:val="left"/>
      <w:lvlText w:val="."/>
      <w:numFmt w:val="bullet"/>
      <w:start w:val="1"/>
    </w:lvl>
  </w:abstractNum>
  <w:abstractNum w:abstractNumId="43">
    <w:nsid w:val="53280662"/>
    <w:multiLevelType w:val="hybridMultilevel"/>
    <w:lvl w:ilvl="0">
      <w:lvlJc w:val="left"/>
      <w:lvlText w:val="(%1)"/>
      <w:numFmt w:val="upperLetter"/>
      <w:start w:val="9"/>
    </w:lvl>
  </w:abstractNum>
  <w:abstractNum w:abstractNumId="44">
    <w:nsid w:val="46B24DBC"/>
    <w:multiLevelType w:val="hybridMultilevel"/>
    <w:lvl w:ilvl="0">
      <w:lvlJc w:val="left"/>
      <w:lvlText w:val="(%1)"/>
      <w:numFmt w:val="upperLetter"/>
      <w:start w:val="35"/>
    </w:lvl>
  </w:abstractNum>
  <w:abstractNum w:abstractNumId="45">
    <w:nsid w:val="75B52783"/>
    <w:multiLevelType w:val="hybridMultilevel"/>
    <w:lvl w:ilvl="0">
      <w:lvlJc w:val="left"/>
      <w:lvlText w:val="(%1)"/>
      <w:numFmt w:val="upperLetter"/>
      <w:start w:val="61"/>
    </w:lvl>
  </w:abstractNum>
  <w:abstractNum w:abstractNumId="46">
    <w:nsid w:val="57CE66B4"/>
    <w:multiLevelType w:val="hybridMultilevel"/>
    <w:lvl w:ilvl="0">
      <w:lvlJc w:val="left"/>
      <w:lvlText w:val="."/>
      <w:numFmt w:val="bullet"/>
      <w:start w:val="1"/>
    </w:lvl>
  </w:abstractNum>
  <w:abstractNum w:abstractNumId="47">
    <w:nsid w:val="67A70B69"/>
    <w:multiLevelType w:val="hybridMultilevel"/>
    <w:lvl w:ilvl="0">
      <w:lvlJc w:val="left"/>
      <w:lvlText w:val="."/>
      <w:numFmt w:val="bullet"/>
      <w:start w:val="1"/>
    </w:lvl>
  </w:abstractNum>
  <w:abstractNum w:abstractNumId="48">
    <w:nsid w:val="5953172F"/>
    <w:multiLevelType w:val="hybridMultilevel"/>
    <w:lvl w:ilvl="0">
      <w:lvlJc w:val="left"/>
      <w:lvlText w:val="."/>
      <w:numFmt w:val="bullet"/>
      <w:start w:val="1"/>
    </w:lvl>
  </w:abstractNum>
  <w:abstractNum w:abstractNumId="49">
    <w:nsid w:val="27EDFE3A"/>
    <w:multiLevelType w:val="hybridMultilevel"/>
    <w:lvl w:ilvl="0">
      <w:lvlJc w:val="left"/>
      <w:lvlText w:val="."/>
      <w:numFmt w:val="bullet"/>
      <w:start w:val="1"/>
    </w:lvl>
  </w:abstractNum>
  <w:abstractNum w:abstractNumId="50">
    <w:nsid w:val="52AC7DFF"/>
    <w:multiLevelType w:val="hybridMultilevel"/>
    <w:lvl w:ilvl="0">
      <w:lvlJc w:val="left"/>
      <w:lvlText w:val="."/>
      <w:numFmt w:val="bullet"/>
      <w:start w:val="1"/>
    </w:lvl>
  </w:abstractNum>
  <w:abstractNum w:abstractNumId="51">
    <w:nsid w:val="C4C3AF"/>
    <w:multiLevelType w:val="hybridMultilevel"/>
    <w:lvl w:ilvl="0">
      <w:lvlJc w:val="left"/>
      <w:lvlText w:val="."/>
      <w:numFmt w:val="bullet"/>
      <w:start w:val="1"/>
    </w:lvl>
  </w:abstractNum>
  <w:abstractNum w:abstractNumId="52">
    <w:nsid w:val="44380727"/>
    <w:multiLevelType w:val="hybridMultilevel"/>
    <w:lvl w:ilvl="0">
      <w:lvlJc w:val="left"/>
      <w:lvlText w:val="."/>
      <w:numFmt w:val="bullet"/>
      <w:start w:val="1"/>
    </w:lvl>
  </w:abstractNum>
  <w:abstractNum w:abstractNumId="53">
    <w:nsid w:val="6C053B16"/>
    <w:multiLevelType w:val="hybridMultilevel"/>
    <w:lvl w:ilvl="0">
      <w:lvlJc w:val="left"/>
      <w:lvlText w:val="(%1)"/>
      <w:numFmt w:val="upperLetter"/>
      <w:start w:val="4"/>
    </w:lvl>
  </w:abstractNum>
  <w:abstractNum w:abstractNumId="54">
    <w:nsid w:val="4F294393"/>
    <w:multiLevelType w:val="hybridMultilevel"/>
    <w:lvl w:ilvl="0">
      <w:lvlJc w:val="left"/>
      <w:lvlText w:val="."/>
      <w:numFmt w:val="bullet"/>
      <w:start w:val="1"/>
    </w:lvl>
  </w:abstractNum>
  <w:abstractNum w:abstractNumId="55">
    <w:nsid w:val="5243BFAC"/>
    <w:multiLevelType w:val="hybridMultilevel"/>
    <w:lvl w:ilvl="0">
      <w:lvlJc w:val="left"/>
      <w:lvlText w:val="."/>
      <w:numFmt w:val="bullet"/>
      <w:start w:val="1"/>
    </w:lvl>
  </w:abstractNum>
  <w:abstractNum w:abstractNumId="56">
    <w:nsid w:val="425EB207"/>
    <w:multiLevelType w:val="hybridMultilevel"/>
    <w:lvl w:ilvl="0">
      <w:lvlJc w:val="left"/>
      <w:lvlText w:val="."/>
      <w:numFmt w:val="bullet"/>
      <w:start w:val="1"/>
    </w:lvl>
  </w:abstractNum>
  <w:abstractNum w:abstractNumId="57">
    <w:nsid w:val="334A6F1F"/>
    <w:multiLevelType w:val="hybridMultilevel"/>
    <w:lvl w:ilvl="0">
      <w:lvlJc w:val="left"/>
      <w:lvlText w:val="."/>
      <w:numFmt w:val="bullet"/>
      <w:start w:val="1"/>
    </w:lvl>
  </w:abstractNum>
  <w:abstractNum w:abstractNumId="58">
    <w:nsid w:val="2E5B12B8"/>
    <w:multiLevelType w:val="hybridMultilevel"/>
    <w:lvl w:ilvl="0">
      <w:lvlJc w:val="left"/>
      <w:lvlText w:val="."/>
      <w:numFmt w:val="bullet"/>
      <w:start w:val="1"/>
    </w:lvl>
  </w:abstractNum>
  <w:abstractNum w:abstractNumId="59">
    <w:nsid w:val="5C03D76D"/>
    <w:multiLevelType w:val="hybridMultilevel"/>
    <w:lvl w:ilvl="0">
      <w:lvlJc w:val="left"/>
      <w:lvlText w:val="."/>
      <w:numFmt w:val="bullet"/>
      <w:start w:val="1"/>
    </w:lvl>
  </w:abstractNum>
  <w:abstractNum w:abstractNumId="60">
    <w:nsid w:val="66A48D11"/>
    <w:multiLevelType w:val="hybridMultilevel"/>
    <w:lvl w:ilvl="0">
      <w:lvlJc w:val="left"/>
      <w:lvlText w:val="."/>
      <w:numFmt w:val="bullet"/>
      <w:start w:val="1"/>
    </w:lvl>
  </w:abstractNum>
  <w:abstractNum w:abstractNumId="61">
    <w:nsid w:val="56C28E34"/>
    <w:multiLevelType w:val="hybridMultilevel"/>
    <w:lvl w:ilvl="0">
      <w:lvlJc w:val="left"/>
      <w:lvlText w:val="."/>
      <w:numFmt w:val="bullet"/>
      <w:start w:val="1"/>
    </w:lvl>
  </w:abstractNum>
  <w:abstractNum w:abstractNumId="62">
    <w:nsid w:val="13916F2D"/>
    <w:multiLevelType w:val="hybridMultilevel"/>
    <w:lvl w:ilvl="0">
      <w:lvlJc w:val="left"/>
      <w:lvlText w:val="."/>
      <w:numFmt w:val="bullet"/>
      <w:start w:val="1"/>
    </w:lvl>
  </w:abstractNum>
  <w:abstractNum w:abstractNumId="63">
    <w:nsid w:val="435D38D"/>
    <w:multiLevelType w:val="hybridMultilevel"/>
    <w:lvl w:ilvl="0">
      <w:lvlJc w:val="left"/>
      <w:lvlText w:val="."/>
      <w:numFmt w:val="bullet"/>
      <w:start w:val="1"/>
    </w:lvl>
  </w:abstractNum>
  <w:abstractNum w:abstractNumId="64">
    <w:nsid w:val="822C0EF"/>
    <w:multiLevelType w:val="hybridMultilevel"/>
    <w:lvl w:ilvl="0">
      <w:lvlJc w:val="left"/>
      <w:lvlText w:val="(%1)"/>
      <w:numFmt w:val="upperLetter"/>
      <w:start w:val="9"/>
    </w:lvl>
    <w:lvl w:ilvl="1">
      <w:lvlJc w:val="left"/>
      <w:lvlText w:val="(%2)"/>
      <w:numFmt w:val="upperLetter"/>
      <w:start w:val="1"/>
    </w:lvl>
  </w:abstractNum>
  <w:abstractNum w:abstractNumId="65">
    <w:nsid w:val="57C5BB4F"/>
    <w:multiLevelType w:val="hybridMultilevel"/>
    <w:lvl w:ilvl="0">
      <w:lvlJc w:val="left"/>
      <w:lvlText w:val="(%1)"/>
      <w:numFmt w:val="upperLetter"/>
      <w:start w:val="35"/>
    </w:lvl>
  </w:abstractNum>
  <w:abstractNum w:abstractNumId="66">
    <w:nsid w:val="1803D089"/>
    <w:multiLevelType w:val="hybridMultilevel"/>
    <w:lvl w:ilvl="0">
      <w:lvlJc w:val="left"/>
      <w:lvlText w:val="."/>
      <w:numFmt w:val="bullet"/>
      <w:start w:val="1"/>
    </w:lvl>
  </w:abstractNum>
  <w:abstractNum w:abstractNumId="67">
    <w:nsid w:val="4F3A06D4"/>
    <w:multiLevelType w:val="hybridMultilevel"/>
    <w:lvl w:ilvl="0">
      <w:lvlJc w:val="left"/>
      <w:lvlText w:val="."/>
      <w:numFmt w:val="bullet"/>
      <w:start w:val="1"/>
    </w:lvl>
  </w:abstractNum>
  <w:abstractNum w:abstractNumId="68">
    <w:nsid w:val="59A377B6"/>
    <w:multiLevelType w:val="hybridMultilevel"/>
    <w:lvl w:ilvl="0">
      <w:lvlJc w:val="left"/>
      <w:lvlText w:val="."/>
      <w:numFmt w:val="bullet"/>
      <w:start w:val="1"/>
    </w:lvl>
  </w:abstractNum>
  <w:abstractNum w:abstractNumId="69">
    <w:nsid w:val="48AEB063"/>
    <w:multiLevelType w:val="hybridMultilevel"/>
    <w:lvl w:ilvl="0">
      <w:lvlJc w:val="left"/>
      <w:lvlText w:val="."/>
      <w:numFmt w:val="bullet"/>
      <w:start w:val="1"/>
    </w:lvl>
  </w:abstractNum>
  <w:abstractNum w:abstractNumId="70">
    <w:nsid w:val="24E135"/>
    <w:multiLevelType w:val="hybridMultilevel"/>
    <w:lvl w:ilvl="0">
      <w:lvlJc w:val="left"/>
      <w:lvlText w:val="(%1)"/>
      <w:numFmt w:val="lowerRoman"/>
      <w:start w:val="1"/>
    </w:lvl>
  </w:abstractNum>
  <w:abstractNum w:abstractNumId="71">
    <w:nsid w:val="BB13C1"/>
    <w:multiLevelType w:val="hybridMultilevel"/>
    <w:lvl w:ilvl="0">
      <w:lvlJc w:val="left"/>
      <w:lvlText w:val="."/>
      <w:numFmt w:val="bullet"/>
      <w:start w:val="1"/>
    </w:lvl>
  </w:abstractNum>
  <w:abstractNum w:abstractNumId="72">
    <w:nsid w:val="271210C7"/>
    <w:multiLevelType w:val="hybridMultilevel"/>
    <w:lvl w:ilvl="0">
      <w:lvlJc w:val="left"/>
      <w:lvlText w:val="."/>
      <w:numFmt w:val="bullet"/>
      <w:start w:val="1"/>
    </w:lvl>
  </w:abstractNum>
  <w:abstractNum w:abstractNumId="73">
    <w:nsid w:val="217B22E4"/>
    <w:multiLevelType w:val="hybridMultilevel"/>
    <w:lvl w:ilvl="0">
      <w:lvlJc w:val="left"/>
      <w:lvlText w:val="."/>
      <w:numFmt w:val="bullet"/>
      <w:start w:val="1"/>
    </w:lvl>
  </w:abstractNum>
  <w:abstractNum w:abstractNumId="74">
    <w:nsid w:val="53E31A24"/>
    <w:multiLevelType w:val="hybridMultilevel"/>
    <w:lvl w:ilvl="0">
      <w:lvlJc w:val="left"/>
      <w:lvlText w:val="."/>
      <w:numFmt w:val="bullet"/>
      <w:start w:val="1"/>
    </w:lvl>
  </w:abstractNum>
  <w:abstractNum w:abstractNumId="75">
    <w:nsid w:val="6DC45E83"/>
    <w:multiLevelType w:val="hybridMultilevel"/>
    <w:lvl w:ilvl="0">
      <w:lvlJc w:val="left"/>
      <w:lvlText w:val="."/>
      <w:numFmt w:val="bullet"/>
      <w:start w:val="1"/>
    </w:lvl>
  </w:abstractNum>
  <w:abstractNum w:abstractNumId="76">
    <w:nsid w:val="17304A67"/>
    <w:multiLevelType w:val="hybridMultilevel"/>
    <w:lvl w:ilvl="0">
      <w:lvlJc w:val="left"/>
      <w:lvlText w:val="."/>
      <w:numFmt w:val="bullet"/>
      <w:start w:val="1"/>
    </w:lvl>
  </w:abstractNum>
  <w:abstractNum w:abstractNumId="77">
    <w:nsid w:val="2BB180D8"/>
    <w:multiLevelType w:val="hybridMultilevel"/>
    <w:lvl w:ilvl="0">
      <w:lvlJc w:val="left"/>
      <w:lvlText w:val="."/>
      <w:numFmt w:val="bullet"/>
      <w:start w:val="1"/>
    </w:lvl>
  </w:abstractNum>
  <w:abstractNum w:abstractNumId="78">
    <w:nsid w:val="556B69ED"/>
    <w:multiLevelType w:val="hybridMultilevel"/>
    <w:lvl w:ilvl="0">
      <w:lvlJc w:val="left"/>
      <w:lvlText w:val="."/>
      <w:numFmt w:val="bullet"/>
      <w:start w:val="1"/>
    </w:lvl>
  </w:abstractNum>
  <w:abstractNum w:abstractNumId="79">
    <w:nsid w:val="70836196"/>
    <w:multiLevelType w:val="hybridMultilevel"/>
    <w:lvl w:ilvl="0">
      <w:lvlJc w:val="left"/>
      <w:lvlText w:val="."/>
      <w:numFmt w:val="bullet"/>
      <w:start w:val="1"/>
    </w:lvl>
  </w:abstractNum>
  <w:abstractNum w:abstractNumId="80">
    <w:nsid w:val="539F7F12"/>
    <w:multiLevelType w:val="hybridMultilevel"/>
    <w:lvl w:ilvl="0">
      <w:lvlJc w:val="left"/>
      <w:lvlText w:val="."/>
      <w:numFmt w:val="bullet"/>
      <w:start w:val="1"/>
    </w:lvl>
  </w:abstractNum>
  <w:abstractNum w:abstractNumId="81">
    <w:nsid w:val="2817E7EC"/>
    <w:multiLevelType w:val="hybridMultilevel"/>
    <w:lvl w:ilvl="0">
      <w:lvlJc w:val="left"/>
      <w:lvlText w:val="."/>
      <w:numFmt w:val="bullet"/>
      <w:start w:val="1"/>
    </w:lvl>
  </w:abstractNum>
  <w:abstractNum w:abstractNumId="82">
    <w:nsid w:val="71482545"/>
    <w:multiLevelType w:val="hybridMultilevel"/>
    <w:lvl w:ilvl="0">
      <w:lvlJc w:val="left"/>
      <w:lvlText w:val="."/>
      <w:numFmt w:val="bullet"/>
      <w:start w:val="1"/>
    </w:lvl>
  </w:abstractNum>
  <w:abstractNum w:abstractNumId="83">
    <w:nsid w:val="17D78639"/>
    <w:multiLevelType w:val="hybridMultilevel"/>
    <w:lvl w:ilvl="0">
      <w:lvlJc w:val="left"/>
      <w:lvlText w:val="."/>
      <w:numFmt w:val="bullet"/>
      <w:start w:val="1"/>
    </w:lvl>
  </w:abstractNum>
  <w:abstractNum w:abstractNumId="84">
    <w:nsid w:val="141D2302"/>
    <w:multiLevelType w:val="hybridMultilevel"/>
    <w:lvl w:ilvl="0">
      <w:lvlJc w:val="left"/>
      <w:lvlText w:val="."/>
      <w:numFmt w:val="bullet"/>
      <w:start w:val="1"/>
    </w:lvl>
  </w:abstractNum>
  <w:abstractNum w:abstractNumId="85">
    <w:nsid w:val="407168D8"/>
    <w:multiLevelType w:val="hybridMultilevel"/>
    <w:lvl w:ilvl="0">
      <w:lvlJc w:val="left"/>
      <w:lvlText w:val="."/>
      <w:numFmt w:val="bullet"/>
      <w:start w:val="1"/>
    </w:lvl>
  </w:abstractNum>
  <w:abstractNum w:abstractNumId="86">
    <w:nsid w:val="6A1B45E5"/>
    <w:multiLevelType w:val="hybridMultilevel"/>
    <w:lvl w:ilvl="0">
      <w:lvlJc w:val="left"/>
      <w:lvlText w:val="."/>
      <w:numFmt w:val="bullet"/>
      <w:start w:val="1"/>
    </w:lvl>
  </w:abstractNum>
  <w:abstractNum w:abstractNumId="87">
    <w:nsid w:val="567BD50A"/>
    <w:multiLevelType w:val="hybridMultilevel"/>
    <w:lvl w:ilvl="0">
      <w:lvlJc w:val="left"/>
      <w:lvlText w:val="."/>
      <w:numFmt w:val="bullet"/>
      <w:start w:val="1"/>
    </w:lvl>
  </w:abstractNum>
  <w:abstractNum w:abstractNumId="88">
    <w:nsid w:val="73BBD7F8"/>
    <w:multiLevelType w:val="hybridMultilevel"/>
    <w:lvl w:ilvl="0">
      <w:lvlJc w:val="left"/>
      <w:lvlText w:val="."/>
      <w:numFmt w:val="bullet"/>
      <w:start w:val="1"/>
    </w:lvl>
  </w:abstractNum>
  <w:abstractNum w:abstractNumId="89">
    <w:nsid w:val="1876589D"/>
    <w:multiLevelType w:val="hybridMultilevel"/>
    <w:lvl w:ilvl="0">
      <w:lvlJc w:val="left"/>
      <w:lvlText w:val="."/>
      <w:numFmt w:val="bullet"/>
      <w:start w:val="1"/>
    </w:lvl>
  </w:abstractNum>
  <w:abstractNum w:abstractNumId="90">
    <w:nsid w:val="327FAC77"/>
    <w:multiLevelType w:val="hybridMultilevel"/>
    <w:lvl w:ilvl="0">
      <w:lvlJc w:val="left"/>
      <w:lvlText w:val="."/>
      <w:numFmt w:val="bullet"/>
      <w:start w:val="1"/>
    </w:lvl>
  </w:abstractNum>
  <w:abstractNum w:abstractNumId="91">
    <w:nsid w:val="5A606509"/>
    <w:multiLevelType w:val="hybridMultilevel"/>
    <w:lvl w:ilvl="0">
      <w:lvlJc w:val="left"/>
      <w:lvlText w:val="."/>
      <w:numFmt w:val="bullet"/>
      <w:start w:val="1"/>
    </w:lvl>
  </w:abstractNum>
  <w:abstractNum w:abstractNumId="92">
    <w:nsid w:val="6F38E6D1"/>
    <w:multiLevelType w:val="hybridMultilevel"/>
    <w:lvl w:ilvl="0">
      <w:lvlJc w:val="left"/>
      <w:lvlText w:val="%1."/>
      <w:numFmt w:val="decimal"/>
      <w:start w:val="1"/>
    </w:lvl>
  </w:abstractNum>
  <w:abstractNum w:abstractNumId="93">
    <w:nsid w:val="46111BA5"/>
    <w:multiLevelType w:val="hybridMultilevel"/>
    <w:lvl w:ilvl="0">
      <w:lvlJc w:val="left"/>
      <w:lvlText w:val="%1."/>
      <w:numFmt w:val="decimal"/>
      <w:start w:val="2"/>
    </w:lvl>
  </w:abstractNum>
  <w:abstractNum w:abstractNumId="94">
    <w:nsid w:val="5E963896"/>
    <w:multiLevelType w:val="hybridMultilevel"/>
    <w:lvl w:ilvl="0">
      <w:lvlJc w:val="left"/>
      <w:lvlText w:val="%1."/>
      <w:numFmt w:val="decimal"/>
      <w:start w:val="3"/>
    </w:lvl>
  </w:abstractNum>
  <w:abstractNum w:abstractNumId="95">
    <w:nsid w:val="775BA7C1"/>
    <w:multiLevelType w:val="hybridMultilevel"/>
    <w:lvl w:ilvl="0">
      <w:lvlJc w:val="left"/>
      <w:lvlText w:val="%1."/>
      <w:numFmt w:val="decimal"/>
      <w:start w:val="4"/>
    </w:lvl>
  </w:abstractNum>
  <w:abstractNum w:abstractNumId="96">
    <w:nsid w:val="1DD6D6F4"/>
    <w:multiLevelType w:val="hybridMultilevel"/>
    <w:lvl w:ilvl="0">
      <w:lvlJc w:val="left"/>
      <w:lvlText w:val="%1."/>
      <w:numFmt w:val="decimal"/>
      <w:start w:val="5"/>
    </w:lvl>
  </w:abstractNum>
  <w:abstractNum w:abstractNumId="97">
    <w:nsid w:val="769A091F"/>
    <w:multiLevelType w:val="hybridMultilevel"/>
    <w:lvl w:ilvl="0">
      <w:lvlJc w:val="left"/>
      <w:lvlText w:val="%1."/>
      <w:numFmt w:val="decimal"/>
      <w:start w:val="6"/>
    </w:lvl>
  </w:abstractNum>
  <w:abstractNum w:abstractNumId="98">
    <w:nsid w:val="4695AE95"/>
    <w:multiLevelType w:val="hybridMultilevel"/>
    <w:lvl w:ilvl="0">
      <w:lvlJc w:val="left"/>
      <w:lvlText w:val="%1."/>
      <w:numFmt w:val="decimal"/>
      <w:start w:val="7"/>
    </w:lvl>
  </w:abstractNum>
  <w:abstractNum w:abstractNumId="99">
    <w:nsid w:val="777A4EAA"/>
    <w:multiLevelType w:val="hybridMultilevel"/>
    <w:lvl w:ilvl="0">
      <w:lvlJc w:val="left"/>
      <w:lvlText w:val="%1."/>
      <w:numFmt w:val="decimal"/>
      <w:start w:val="8"/>
    </w:lvl>
  </w:abstractNum>
  <w:abstractNum w:abstractNumId="100">
    <w:nsid w:val="3F48B982"/>
    <w:multiLevelType w:val="hybridMultilevel"/>
    <w:lvl w:ilvl="0">
      <w:lvlJc w:val="left"/>
      <w:lvlText w:val="%1."/>
      <w:numFmt w:val="decimal"/>
      <w:start w:val="9"/>
    </w:lvl>
  </w:abstractNum>
  <w:abstractNum w:abstractNumId="101">
    <w:nsid w:val="46BA8FCA"/>
    <w:multiLevelType w:val="hybridMultilevel"/>
    <w:lvl w:ilvl="0">
      <w:lvlJc w:val="left"/>
      <w:lvlText w:val="%1."/>
      <w:numFmt w:val="decimal"/>
      <w:start w:val="10"/>
    </w:lvl>
  </w:abstractNum>
  <w:abstractNum w:abstractNumId="102">
    <w:nsid w:val="7835626C"/>
    <w:multiLevelType w:val="hybridMultilevel"/>
    <w:lvl w:ilvl="0">
      <w:lvlJc w:val="left"/>
      <w:lvlText w:val="(%1)"/>
      <w:numFmt w:val="lowerLetter"/>
      <w:start w:val="3"/>
    </w:lvl>
  </w:abstractNum>
  <w:abstractNum w:abstractNumId="103">
    <w:nsid w:val="665ACA49"/>
    <w:multiLevelType w:val="hybridMultilevel"/>
    <w:lvl w:ilvl="0">
      <w:lvlJc w:val="left"/>
      <w:lvlText w:val="(%1)"/>
      <w:numFmt w:val="lowerLetter"/>
      <w:start w:val="1"/>
    </w:lvl>
  </w:abstractNum>
  <w:abstractNum w:abstractNumId="104">
    <w:nsid w:val="6835B2AE"/>
    <w:multiLevelType w:val="hybridMultilevel"/>
    <w:lvl w:ilvl="0">
      <w:lvlJc w:val="left"/>
      <w:lvlText w:val="(%1)"/>
      <w:numFmt w:val="lowerLetter"/>
      <w:start w:val="1"/>
    </w:lvl>
  </w:abstractNum>
  <w:abstractNum w:abstractNumId="105">
    <w:nsid w:val="4C187C90"/>
    <w:multiLevelType w:val="hybridMultilevel"/>
    <w:lvl w:ilvl="0">
      <w:lvlJc w:val="left"/>
      <w:lvlText w:val="(%1)"/>
      <w:numFmt w:val="lowerLetter"/>
      <w:start w:val="25"/>
    </w:lvl>
  </w:abstractNum>
  <w:abstractNum w:abstractNumId="106">
    <w:nsid w:val="541F28CD"/>
    <w:multiLevelType w:val="hybridMultilevel"/>
    <w:lvl w:ilvl="0">
      <w:lvlJc w:val="left"/>
      <w:lvlText w:val="(%1)"/>
      <w:numFmt w:val="lowerLetter"/>
      <w:start w:val="1"/>
    </w:lvl>
  </w:abstractNum>
  <w:abstractNum w:abstractNumId="107">
    <w:nsid w:val="7F65FD16"/>
    <w:multiLevelType w:val="hybridMultilevel"/>
    <w:lvl w:ilvl="0">
      <w:lvlJc w:val="left"/>
      <w:lvlText w:val="(%1)"/>
      <w:numFmt w:val="lowerLetter"/>
      <w:start w:val="2"/>
    </w:lvl>
  </w:abstractNum>
  <w:abstractNum w:abstractNumId="108">
    <w:nsid w:val="77C9FD68"/>
    <w:multiLevelType w:val="hybridMultilevel"/>
    <w:lvl w:ilvl="0">
      <w:lvlJc w:val="left"/>
      <w:lvlText w:val="(%1)"/>
      <w:numFmt w:val="lowerLetter"/>
      <w:start w:val="6"/>
    </w:lvl>
  </w:abstractNum>
  <w:abstractNum w:abstractNumId="109">
    <w:nsid w:val="298A92BA"/>
    <w:multiLevelType w:val="hybridMultilevel"/>
    <w:lvl w:ilvl="0">
      <w:lvlJc w:val="left"/>
      <w:lvlText w:val="(%1)"/>
      <w:numFmt w:val="lowerLetter"/>
      <w:start w:val="1"/>
    </w:lvl>
  </w:abstractNum>
  <w:abstractNum w:abstractNumId="110">
    <w:nsid w:val="6FE95EAC"/>
    <w:multiLevelType w:val="hybridMultilevel"/>
    <w:lvl w:ilvl="0">
      <w:lvlJc w:val="left"/>
      <w:lvlText w:val="(%1)"/>
      <w:numFmt w:val="lowerLetter"/>
      <w:start w:val="1"/>
    </w:lvl>
  </w:abstractNum>
  <w:abstractNum w:abstractNumId="111">
    <w:nsid w:val="4B697C7A"/>
    <w:multiLevelType w:val="hybridMultilevel"/>
    <w:lvl w:ilvl="0">
      <w:lvlJc w:val="left"/>
      <w:lvlText w:val="(%1)"/>
      <w:numFmt w:val="lowerLetter"/>
      <w:start w:val="2"/>
    </w:lvl>
  </w:abstractNum>
  <w:abstractNum w:abstractNumId="112">
    <w:nsid w:val="51A27AA6"/>
    <w:multiLevelType w:val="hybridMultilevel"/>
    <w:lvl w:ilvl="0">
      <w:lvlJc w:val="left"/>
      <w:lvlText w:val="(%1)"/>
      <w:numFmt w:val="lowerLetter"/>
      <w:start w:val="9"/>
    </w:lvl>
  </w:abstractNum>
  <w:abstractNum w:abstractNumId="113">
    <w:nsid w:val="613183F2"/>
    <w:multiLevelType w:val="hybridMultilevel"/>
    <w:lvl w:ilvl="0">
      <w:lvlJc w:val="left"/>
      <w:lvlText w:val="(%1)"/>
      <w:numFmt w:val="lowerLetter"/>
      <w:start w:val="3"/>
    </w:lvl>
  </w:abstractNum>
  <w:abstractNum w:abstractNumId="114">
    <w:nsid w:val="634102B4"/>
    <w:multiLevelType w:val="hybridMultilevel"/>
    <w:lvl w:ilvl="0">
      <w:lvlJc w:val="left"/>
      <w:lvlText w:val="(%1)"/>
      <w:numFmt w:val="lowerLetter"/>
      <w:start w:val="1"/>
    </w:lvl>
  </w:abstractNum>
  <w:abstractNum w:abstractNumId="115">
    <w:nsid w:val="65BF9DA8"/>
    <w:multiLevelType w:val="hybridMultilevel"/>
    <w:lvl w:ilvl="0">
      <w:lvlJc w:val="left"/>
      <w:lvlText w:val="%1"/>
      <w:numFmt w:val="lowerLetter"/>
      <w:start w:val="1"/>
    </w:lvl>
    <w:lvl w:ilvl="1">
      <w:lvlJc w:val="left"/>
      <w:lvlText w:val="(%2)"/>
      <w:numFmt w:val="lowerRoman"/>
      <w:start w:val="1"/>
    </w:lvl>
  </w:abstractNum>
  <w:abstractNum w:abstractNumId="116">
    <w:nsid w:val="21A2ECCA"/>
    <w:multiLevelType w:val="hybridMultilevel"/>
    <w:lvl w:ilvl="0">
      <w:lvlJc w:val="left"/>
      <w:lvlText w:val="(%1)"/>
      <w:numFmt w:val="lowerLetter"/>
      <w:start w:val="3"/>
    </w:lvl>
    <w:lvl w:ilvl="1">
      <w:lvlJc w:val="left"/>
      <w:lvlText w:val="(%2)"/>
      <w:numFmt w:val="lowerRoman"/>
      <w:start w:val="6"/>
    </w:lvl>
  </w:abstractNum>
  <w:abstractNum w:abstractNumId="117">
    <w:nsid w:val="4D5C4899"/>
    <w:multiLevelType w:val="hybridMultilevel"/>
    <w:lvl w:ilvl="0">
      <w:lvlJc w:val="left"/>
      <w:lvlText w:val="(%1)"/>
      <w:numFmt w:val="lowerRoman"/>
      <w:start w:val="1"/>
    </w:lvl>
  </w:abstractNum>
  <w:abstractNum w:abstractNumId="118">
    <w:nsid w:val="3C3B72B2"/>
    <w:multiLevelType w:val="hybridMultilevel"/>
    <w:lvl w:ilvl="0">
      <w:lvlJc w:val="left"/>
      <w:lvlText w:val="(%1)"/>
      <w:numFmt w:val="lowerLetter"/>
      <w:start w:val="1"/>
    </w:lvl>
  </w:abstractNum>
  <w:abstractNum w:abstractNumId="119">
    <w:nsid w:val="155EC4C2"/>
    <w:multiLevelType w:val="hybridMultilevel"/>
    <w:lvl w:ilvl="0">
      <w:lvlJc w:val="left"/>
      <w:lvlText w:val="(%1)"/>
      <w:numFmt w:val="lowerRoman"/>
      <w:start w:val="1"/>
    </w:lvl>
  </w:abstractNum>
  <w:abstractNum w:abstractNumId="120">
    <w:nsid w:val="65D2A137"/>
    <w:multiLevelType w:val="hybridMultilevel"/>
    <w:lvl w:ilvl="0">
      <w:lvlJc w:val="left"/>
      <w:lvlText w:val="(%1)"/>
      <w:numFmt w:val="lowerRoman"/>
      <w:start w:val="3"/>
    </w:lvl>
  </w:abstractNum>
  <w:abstractNum w:abstractNumId="121">
    <w:nsid w:val="6EBB1F2A"/>
    <w:multiLevelType w:val="hybridMultilevel"/>
    <w:lvl w:ilvl="0">
      <w:lvlJc w:val="left"/>
      <w:lvlText w:val="(%1)"/>
      <w:numFmt w:val="lowerRoman"/>
      <w:start w:val="2"/>
    </w:lvl>
  </w:abstractNum>
  <w:abstractNum w:abstractNumId="122">
    <w:nsid w:val="6FBF29CB"/>
    <w:multiLevelType w:val="hybridMultilevel"/>
    <w:lvl w:ilvl="0">
      <w:lvlJc w:val="left"/>
      <w:lvlText w:val="(%1)"/>
      <w:numFmt w:val="lowerLetter"/>
      <w:start w:val="3"/>
    </w:lvl>
  </w:abstractNum>
  <w:abstractNum w:abstractNumId="123">
    <w:nsid w:val="550B8808"/>
    <w:multiLevelType w:val="hybridMultilevel"/>
    <w:lvl w:ilvl="0">
      <w:lvlJc w:val="left"/>
      <w:lvlText w:val="."/>
      <w:numFmt w:val="bullet"/>
      <w:start w:val="1"/>
    </w:lvl>
  </w:abstractNum>
  <w:abstractNum w:abstractNumId="124">
    <w:nsid w:val="34CC3ACF"/>
    <w:multiLevelType w:val="hybridMultilevel"/>
    <w:lvl w:ilvl="0">
      <w:lvlJc w:val="left"/>
      <w:lvlText w:val="."/>
      <w:numFmt w:val="bullet"/>
      <w:start w:val="1"/>
    </w:lvl>
  </w:abstractNum>
  <w:abstractNum w:abstractNumId="125">
    <w:nsid w:val="4E556261"/>
    <w:multiLevelType w:val="hybridMultilevel"/>
    <w:lvl w:ilvl="0">
      <w:lvlJc w:val="left"/>
      <w:lvlText w:val="."/>
      <w:numFmt w:val="bullet"/>
      <w:start w:val="1"/>
    </w:lvl>
  </w:abstractNum>
  <w:abstractNum w:abstractNumId="126">
    <w:nsid w:val="4C672FC9"/>
    <w:multiLevelType w:val="hybridMultilevel"/>
    <w:lvl w:ilvl="0">
      <w:lvlJc w:val="left"/>
      <w:lvlText w:val="(%1)"/>
      <w:numFmt w:val="lowerLetter"/>
      <w:start w:val="1"/>
    </w:lvl>
  </w:abstractNum>
  <w:abstractNum w:abstractNumId="127">
    <w:nsid w:val="52A311C3"/>
    <w:multiLevelType w:val="hybridMultilevel"/>
    <w:lvl w:ilvl="0">
      <w:lvlJc w:val="left"/>
      <w:lvlText w:val="(%1)"/>
      <w:numFmt w:val="lowerLetter"/>
      <w:start w:val="1"/>
    </w:lvl>
  </w:abstractNum>
  <w:abstractNum w:abstractNumId="128">
    <w:nsid w:val="44EF6B80"/>
    <w:multiLevelType w:val="hybridMultilevel"/>
    <w:lvl w:ilvl="0">
      <w:lvlJc w:val="left"/>
      <w:lvlText w:val="."/>
      <w:numFmt w:val="bullet"/>
      <w:start w:val="1"/>
    </w:lvl>
  </w:abstractNum>
  <w:abstractNum w:abstractNumId="129">
    <w:nsid w:val="12FCDE5E"/>
    <w:multiLevelType w:val="hybridMultilevel"/>
    <w:lvl w:ilvl="0">
      <w:lvlJc w:val="left"/>
      <w:lvlText w:val="(%1)"/>
      <w:numFmt w:val="lowerLetter"/>
      <w:start w:val="1"/>
    </w:lvl>
  </w:abstractNum>
  <w:abstractNum w:abstractNumId="130">
    <w:nsid w:val="4A1D606E"/>
    <w:multiLevelType w:val="hybridMultilevel"/>
    <w:lvl w:ilvl="0">
      <w:lvlJc w:val="left"/>
      <w:lvlText w:val="(%1)"/>
      <w:numFmt w:val="lowerLetter"/>
      <w:start w:val="1"/>
    </w:lvl>
  </w:abstractNum>
  <w:abstractNum w:abstractNumId="131">
    <w:nsid w:val="4382503"/>
    <w:multiLevelType w:val="hybridMultilevel"/>
    <w:lvl w:ilvl="0">
      <w:lvlJc w:val="left"/>
      <w:lvlText w:val="(%1)"/>
      <w:numFmt w:val="lowerLetter"/>
      <w:start w:val="1"/>
    </w:lvl>
  </w:abstractNum>
  <w:abstractNum w:abstractNumId="132">
    <w:nsid w:val="59B76E28"/>
    <w:multiLevelType w:val="hybridMultilevel"/>
    <w:lvl w:ilvl="0">
      <w:lvlJc w:val="left"/>
      <w:lvlText w:val="%1"/>
      <w:numFmt w:val="lowerLetter"/>
      <w:start w:val="1"/>
    </w:lvl>
    <w:lvl w:ilvl="1">
      <w:lvlJc w:val="left"/>
      <w:lvlText w:val="(%2)"/>
      <w:numFmt w:val="lowerLetter"/>
      <w:start w:val="2"/>
    </w:lvl>
  </w:abstractNum>
  <w:abstractNum w:abstractNumId="133">
    <w:nsid w:val="4252C2DA"/>
    <w:multiLevelType w:val="hybridMultilevel"/>
    <w:lvl w:ilvl="0">
      <w:lvlJc w:val="left"/>
      <w:lvlText w:val="(%1)"/>
      <w:numFmt w:val="lowerLetter"/>
      <w:start w:val="4"/>
    </w:lvl>
    <w:lvl w:ilvl="1">
      <w:lvlJc w:val="left"/>
      <w:lvlText w:val="%2"/>
      <w:numFmt w:val="lowerLetter"/>
      <w:start w:val="1"/>
    </w:lvl>
  </w:abstractNum>
  <w:abstractNum w:abstractNumId="134">
    <w:nsid w:val="6A92EF4C"/>
    <w:multiLevelType w:val="hybridMultilevel"/>
    <w:lvl w:ilvl="0">
      <w:lvlJc w:val="left"/>
      <w:lvlText w:val="(%1)"/>
      <w:numFmt w:val="lowerLetter"/>
      <w:start w:val="1"/>
    </w:lvl>
  </w:abstractNum>
  <w:abstractNum w:abstractNumId="135">
    <w:nsid w:val="41ED20D7"/>
    <w:multiLevelType w:val="hybridMultilevel"/>
    <w:lvl w:ilvl="0">
      <w:lvlJc w:val="left"/>
      <w:lvlText w:val="(%1)"/>
      <w:numFmt w:val="lowerLetter"/>
      <w:start w:val="7"/>
    </w:lvl>
  </w:abstractNum>
  <w:abstractNum w:abstractNumId="136">
    <w:nsid w:val="E6B3F6A"/>
    <w:multiLevelType w:val="hybridMultilevel"/>
    <w:lvl w:ilvl="0">
      <w:lvlJc w:val="left"/>
      <w:lvlText w:val="(%1)"/>
      <w:numFmt w:val="lowerLetter"/>
      <w:start w:val="1"/>
    </w:lvl>
  </w:abstractNum>
  <w:abstractNum w:abstractNumId="137">
    <w:nsid w:val="3EB21819"/>
    <w:multiLevelType w:val="hybridMultilevel"/>
    <w:lvl w:ilvl="0">
      <w:lvlJc w:val="left"/>
      <w:lvlText w:val="(%1)"/>
      <w:numFmt w:val="lowerLetter"/>
      <w:start w:val="2"/>
    </w:lvl>
  </w:abstractNum>
  <w:abstractNum w:abstractNumId="138">
    <w:nsid w:val="41531DE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9">
    <w:nsid w:val="6353CD2"/>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140">
    <w:nsid w:val="683CAAD3"/>
    <w:multiLevelType w:val="hybridMultilevel"/>
    <w:lvl w:ilvl="0">
      <w:lvlJc w:val="left"/>
      <w:lvlText w:val="(%1)"/>
      <w:numFmt w:val="lowerRoman"/>
      <w:start w:val="4"/>
    </w:lvl>
  </w:abstractNum>
  <w:abstractNum w:abstractNumId="141">
    <w:nsid w:val="313C7C99"/>
    <w:multiLevelType w:val="hybridMultilevel"/>
    <w:lvl w:ilvl="0">
      <w:lvlJc w:val="left"/>
      <w:lvlText w:val="(%1)"/>
      <w:numFmt w:val="lowerLetter"/>
      <w:start w:val="3"/>
    </w:lvl>
  </w:abstractNum>
  <w:abstractNum w:abstractNumId="142">
    <w:nsid w:val="519EB94C"/>
    <w:multiLevelType w:val="hybridMultilevel"/>
    <w:lvl w:ilvl="0">
      <w:lvlJc w:val="left"/>
      <w:lvlText w:val="."/>
      <w:numFmt w:val="bullet"/>
      <w:start w:val="1"/>
    </w:lvl>
  </w:abstractNum>
  <w:abstractNum w:abstractNumId="143">
    <w:nsid w:val="39DF2579"/>
    <w:multiLevelType w:val="hybridMultilevel"/>
    <w:lvl w:ilvl="0">
      <w:lvlJc w:val="left"/>
      <w:lvlText w:val="(%1)"/>
      <w:numFmt w:val="lowerLetter"/>
      <w:start w:val="1"/>
    </w:lvl>
    <w:lvl w:ilvl="1">
      <w:lvlJc w:val="left"/>
      <w:lvlText w:val="(%2)"/>
      <w:numFmt w:val="lowerRoman"/>
      <w:start w:val="1"/>
    </w:lvl>
  </w:abstractNum>
  <w:abstractNum w:abstractNumId="144">
    <w:nsid w:val="126E008B"/>
    <w:multiLevelType w:val="hybridMultilevel"/>
    <w:lvl w:ilvl="0">
      <w:lvlJc w:val="left"/>
      <w:lvlText w:val="%1"/>
      <w:numFmt w:val="lowerLetter"/>
      <w:start w:val="1"/>
    </w:lvl>
    <w:lvl w:ilvl="1">
      <w:lvlJc w:val="left"/>
      <w:lvlText w:val="(%2)"/>
      <w:numFmt w:val="lowerRoman"/>
      <w:start w:val="4"/>
    </w:lvl>
  </w:abstractNum>
  <w:abstractNum w:abstractNumId="145">
    <w:nsid w:val="34DFBC00"/>
    <w:multiLevelType w:val="hybridMultilevel"/>
    <w:lvl w:ilvl="0">
      <w:lvlJc w:val="left"/>
      <w:lvlText w:val="(%1)"/>
      <w:numFmt w:val="lowerLetter"/>
      <w:start w:val="3"/>
    </w:lvl>
    <w:lvl w:ilvl="1">
      <w:lvlJc w:val="left"/>
      <w:lvlText w:val="(%2)"/>
      <w:numFmt w:val="lowerRoman"/>
      <w:start w:val="1"/>
    </w:lvl>
  </w:abstractNum>
  <w:abstractNum w:abstractNumId="146">
    <w:nsid w:val="1F9EC322"/>
    <w:multiLevelType w:val="hybridMultilevel"/>
    <w:lvl w:ilvl="0">
      <w:lvlJc w:val="left"/>
      <w:lvlText w:val="(%1)"/>
      <w:numFmt w:val="lowerLetter"/>
      <w:start w:val="7"/>
    </w:lvl>
  </w:abstractNum>
  <w:abstractNum w:abstractNumId="147">
    <w:nsid w:val="3410ED56"/>
    <w:multiLevelType w:val="hybridMultilevel"/>
    <w:lvl w:ilvl="0">
      <w:lvlJc w:val="left"/>
      <w:lvlText w:val="%1"/>
      <w:numFmt w:val="lowerLetter"/>
      <w:start w:val="1"/>
    </w:lvl>
    <w:lvl w:ilvl="1">
      <w:lvlJc w:val="left"/>
      <w:lvlText w:val="(%2)"/>
      <w:numFmt w:val="lowerRoman"/>
      <w:start w:val="1"/>
    </w:lvl>
  </w:abstractNum>
  <w:abstractNum w:abstractNumId="148">
    <w:nsid w:val="23C049A"/>
    <w:multiLevelType w:val="hybridMultilevel"/>
    <w:lvl w:ilvl="0">
      <w:lvlJc w:val="left"/>
      <w:lvlText w:val="(%1)"/>
      <w:numFmt w:val="lowerLetter"/>
      <w:start w:val="8"/>
    </w:lvl>
    <w:lvl w:ilvl="1">
      <w:lvlJc w:val="left"/>
      <w:lvlText w:val="%2"/>
      <w:numFmt w:val="lowerRoman"/>
      <w:start w:val="1"/>
    </w:lvl>
  </w:abstractNum>
  <w:abstractNum w:abstractNumId="149">
    <w:nsid w:val="5BDA35D4"/>
    <w:multiLevelType w:val="hybridMultilevel"/>
    <w:lvl w:ilvl="0">
      <w:lvlJc w:val="left"/>
      <w:lvlText w:val="."/>
      <w:numFmt w:val="bullet"/>
      <w:start w:val="1"/>
    </w:lvl>
    <w:lvl w:ilvl="1">
      <w:lvlJc w:val="left"/>
      <w:lvlText w:val="(%2)"/>
      <w:numFmt w:val="lowerLetter"/>
      <w:start w:val="1"/>
    </w:lvl>
  </w:abstractNum>
  <w:abstractNum w:abstractNumId="150">
    <w:nsid w:val="496FB218"/>
    <w:multiLevelType w:val="hybridMultilevel"/>
    <w:lvl w:ilvl="0">
      <w:lvlJc w:val="left"/>
      <w:lvlText w:val="(%1)"/>
      <w:numFmt w:val="lowerLetter"/>
      <w:start w:val="1"/>
    </w:lvl>
    <w:lvl w:ilvl="1">
      <w:lvlJc w:val="left"/>
      <w:lvlText w:val="(%2)"/>
      <w:numFmt w:val="lowerRoman"/>
      <w:start w:val="1"/>
    </w:lvl>
  </w:abstractNum>
  <w:abstractNum w:abstractNumId="151">
    <w:nsid w:val="680EA5D1"/>
    <w:multiLevelType w:val="hybridMultilevel"/>
    <w:lvl w:ilvl="0">
      <w:lvlJc w:val="left"/>
      <w:lvlText w:val="(%1)"/>
      <w:numFmt w:val="lowerLetter"/>
      <w:start w:val="2"/>
    </w:lvl>
  </w:abstractNum>
  <w:abstractNum w:abstractNumId="152">
    <w:nsid w:val="4A9554FE"/>
    <w:multiLevelType w:val="hybridMultilevel"/>
    <w:lvl w:ilvl="0">
      <w:lvlJc w:val="left"/>
      <w:lvlText w:val="(%1)"/>
      <w:numFmt w:val="lowerLetter"/>
      <w:start w:val="3"/>
    </w:lvl>
    <w:lvl w:ilvl="1">
      <w:lvlJc w:val="left"/>
      <w:lvlText w:val="(%2)"/>
      <w:numFmt w:val="lowerRoman"/>
      <w:start w:val="1"/>
    </w:lvl>
  </w:abstractNum>
  <w:abstractNum w:abstractNumId="153">
    <w:nsid w:val="392EDBE4"/>
    <w:multiLevelType w:val="hybridMultilevel"/>
    <w:lvl w:ilvl="0">
      <w:lvlJc w:val="left"/>
      <w:lvlText w:val="."/>
      <w:numFmt w:val="bullet"/>
      <w:start w:val="1"/>
    </w:lvl>
  </w:abstractNum>
  <w:abstractNum w:abstractNumId="154">
    <w:nsid w:val="3D1A2DD9"/>
    <w:multiLevelType w:val="hybridMultilevel"/>
    <w:lvl w:ilvl="0">
      <w:lvlJc w:val="left"/>
      <w:lvlText w:val="(%1)"/>
      <w:numFmt w:val="lowerLetter"/>
      <w:start w:val="1"/>
    </w:lvl>
  </w:abstractNum>
  <w:abstractNum w:abstractNumId="155">
    <w:nsid w:val="7F618FC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56">
    <w:nsid w:val="7843E4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7">
    <w:nsid w:val="9815DA3"/>
    <w:multiLevelType w:val="hybridMultilevel"/>
    <w:lvl w:ilvl="0">
      <w:lvlJc w:val="left"/>
      <w:lvlText w:val="(%1)"/>
      <w:numFmt w:val="lowerLetter"/>
      <w:start w:val="5"/>
    </w:lvl>
  </w:abstractNum>
  <w:abstractNum w:abstractNumId="158">
    <w:nsid w:val="5204A191"/>
    <w:multiLevelType w:val="hybridMultilevel"/>
    <w:lvl w:ilvl="0">
      <w:lvlJc w:val="left"/>
      <w:lvlText w:val="(%1)"/>
      <w:numFmt w:val="lowerLetter"/>
      <w:start w:val="1"/>
    </w:lvl>
    <w:lvl w:ilvl="1">
      <w:lvlJc w:val="left"/>
      <w:lvlText w:val="(%2)"/>
      <w:numFmt w:val="lowerRoman"/>
      <w:start w:val="1"/>
    </w:lvl>
  </w:abstractNum>
  <w:abstractNum w:abstractNumId="159">
    <w:nsid w:val="4C73A9C6"/>
    <w:multiLevelType w:val="hybridMultilevel"/>
    <w:lvl w:ilvl="0">
      <w:lvlJc w:val="left"/>
      <w:lvlText w:val="(%1)"/>
      <w:numFmt w:val="lowerLetter"/>
      <w:start w:val="1"/>
    </w:lvl>
    <w:lvl w:ilvl="1">
      <w:lvlJc w:val="left"/>
      <w:lvlText w:val="(%2)"/>
      <w:numFmt w:val="lowerRoman"/>
      <w:start w:val="1"/>
    </w:lvl>
  </w:abstractNum>
  <w:abstractNum w:abstractNumId="160">
    <w:nsid w:val="1C7E3C01"/>
    <w:multiLevelType w:val="hybridMultilevel"/>
    <w:lvl w:ilvl="0">
      <w:lvlJc w:val="left"/>
      <w:lvlText w:val="(%1)"/>
      <w:numFmt w:val="lowerLetter"/>
      <w:start w:val="1"/>
    </w:lvl>
  </w:abstractNum>
  <w:abstractNum w:abstractNumId="161">
    <w:nsid w:val="1C2201FF"/>
    <w:multiLevelType w:val="hybridMultilevel"/>
    <w:lvl w:ilvl="0">
      <w:lvlJc w:val="left"/>
      <w:lvlText w:val="(%1)"/>
      <w:numFmt w:val="lowerLetter"/>
      <w:start w:val="1"/>
    </w:lvl>
  </w:abstractNum>
  <w:abstractNum w:abstractNumId="162">
    <w:nsid w:val="50ABCEC9"/>
    <w:multiLevelType w:val="hybridMultilevel"/>
    <w:lvl w:ilvl="0">
      <w:lvlJc w:val="left"/>
      <w:lvlText w:val="(%1)"/>
      <w:numFmt w:val="lowerRoman"/>
      <w:start w:val="1"/>
    </w:lvl>
  </w:abstractNum>
  <w:abstractNum w:abstractNumId="163">
    <w:nsid w:val="7635AA2A"/>
    <w:multiLevelType w:val="hybridMultilevel"/>
    <w:lvl w:ilvl="0">
      <w:lvlJc w:val="left"/>
      <w:lvlText w:val="(%1)"/>
      <w:numFmt w:val="lowerRoman"/>
      <w:start w:val="4"/>
    </w:lvl>
  </w:abstractNum>
  <w:abstractNum w:abstractNumId="164">
    <w:nsid w:val="5E74C4D9"/>
    <w:multiLevelType w:val="hybridMultilevel"/>
    <w:lvl w:ilvl="0">
      <w:lvlJc w:val="left"/>
      <w:lvlText w:val="(%1)"/>
      <w:numFmt w:val="lowerRoman"/>
      <w:start w:val="1"/>
    </w:lvl>
  </w:abstractNum>
  <w:abstractNum w:abstractNumId="165">
    <w:nsid w:val="3B3EBE15"/>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66">
    <w:nsid w:val="3822CB01"/>
    <w:multiLevelType w:val="hybridMultilevel"/>
    <w:lvl w:ilvl="0">
      <w:lvlJc w:val="left"/>
      <w:lvlText w:val="(%1)"/>
      <w:numFmt w:val="lowerLetter"/>
      <w:start w:val="24"/>
    </w:lvl>
    <w:lvl w:ilvl="1">
      <w:lvlJc w:val="left"/>
      <w:lvlText w:val="(%2)"/>
      <w:numFmt w:val="lowerLetter"/>
      <w:start w:val="4"/>
    </w:lvl>
    <w:lvl w:ilvl="2">
      <w:lvlJc w:val="left"/>
      <w:lvlText w:val="(%3)"/>
      <w:numFmt w:val="lowerLetter"/>
      <w:start w:val="9"/>
    </w:lvl>
  </w:abstractNum>
  <w:abstractNum w:abstractNumId="167">
    <w:nsid w:val="6CE00443"/>
    <w:multiLevelType w:val="hybridMultilevel"/>
    <w:lvl w:ilvl="0">
      <w:lvlJc w:val="left"/>
      <w:lvlText w:val="%1"/>
      <w:numFmt w:val="lowerLetter"/>
      <w:start w:val="1"/>
    </w:lvl>
    <w:lvl w:ilvl="1">
      <w:lvlJc w:val="left"/>
      <w:lvlText w:val="(%2)"/>
      <w:numFmt w:val="lowerRoman"/>
      <w:start w:val="2"/>
    </w:lvl>
  </w:abstractNum>
  <w:abstractNum w:abstractNumId="168">
    <w:nsid w:val="79F0D62F"/>
    <w:multiLevelType w:val="hybridMultilevel"/>
    <w:lvl w:ilvl="0">
      <w:lvlJc w:val="left"/>
      <w:lvlText w:val="(%1)"/>
      <w:numFmt w:val="lowerLetter"/>
      <w:start w:val="6"/>
    </w:lvl>
    <w:lvl w:ilvl="1">
      <w:lvlJc w:val="left"/>
      <w:lvlText w:val="%2"/>
      <w:numFmt w:val="lowerRoman"/>
      <w:start w:val="1"/>
    </w:lvl>
  </w:abstractNum>
  <w:abstractNum w:abstractNumId="169">
    <w:nsid w:val="7975E8EE"/>
    <w:multiLevelType w:val="hybridMultilevel"/>
    <w:lvl w:ilvl="0">
      <w:lvlJc w:val="left"/>
      <w:lvlText w:val="(%1)"/>
      <w:numFmt w:val="lowerLetter"/>
      <w:start w:val="10"/>
    </w:lvl>
    <w:lvl w:ilvl="1">
      <w:lvlJc w:val="left"/>
      <w:lvlText w:val="(%2)"/>
      <w:numFmt w:val="lowerRoman"/>
      <w:start w:val="1"/>
    </w:lvl>
  </w:abstractNum>
  <w:abstractNum w:abstractNumId="170">
    <w:nsid w:val="73154115"/>
    <w:multiLevelType w:val="hybridMultilevel"/>
    <w:lvl w:ilvl="0">
      <w:lvlJc w:val="left"/>
      <w:lvlText w:val="(%1)"/>
      <w:numFmt w:val="lowerLetter"/>
      <w:start w:val="13"/>
    </w:lvl>
  </w:abstractNum>
  <w:abstractNum w:abstractNumId="171">
    <w:nsid w:val="622D8102"/>
    <w:multiLevelType w:val="hybridMultilevel"/>
    <w:lvl w:ilvl="0">
      <w:lvlJc w:val="left"/>
      <w:lvlText w:val="."/>
      <w:numFmt w:val="bullet"/>
      <w:start w:val="1"/>
    </w:lvl>
  </w:abstractNum>
  <w:abstractNum w:abstractNumId="172">
    <w:nsid w:val="2AB26587"/>
    <w:multiLevelType w:val="hybridMultilevel"/>
    <w:lvl w:ilvl="0">
      <w:lvlJc w:val="left"/>
      <w:lvlText w:val="."/>
      <w:numFmt w:val="bullet"/>
      <w:start w:val="1"/>
    </w:lvl>
  </w:abstractNum>
  <w:abstractNum w:abstractNumId="173">
    <w:nsid w:val="44B3FA61"/>
    <w:multiLevelType w:val="hybridMultilevel"/>
    <w:lvl w:ilvl="0">
      <w:lvlJc w:val="left"/>
      <w:lvlText w:val="."/>
      <w:numFmt w:val="bullet"/>
      <w:start w:val="1"/>
    </w:lvl>
  </w:abstractNum>
  <w:abstractNum w:abstractNumId="174">
    <w:nsid w:val="1C0CA67C"/>
    <w:multiLevelType w:val="hybridMultilevel"/>
    <w:lvl w:ilvl="0">
      <w:lvlJc w:val="left"/>
      <w:lvlText w:val="%1"/>
      <w:numFmt w:val="lowerLetter"/>
      <w:start w:val="1"/>
    </w:lvl>
    <w:lvl w:ilvl="1">
      <w:lvlJc w:val="left"/>
      <w:lvlText w:val="(%2)"/>
      <w:numFmt w:val="lowerLetter"/>
      <w:start w:val="1"/>
    </w:lvl>
  </w:abstractNum>
  <w:abstractNum w:abstractNumId="175">
    <w:nsid w:val="3D206613"/>
    <w:multiLevelType w:val="hybridMultilevel"/>
    <w:lvl w:ilvl="0">
      <w:lvlJc w:val="left"/>
      <w:lvlText w:val="(%1)"/>
      <w:numFmt w:val="lowerLetter"/>
      <w:start w:val="4"/>
    </w:lvl>
    <w:lvl w:ilvl="1">
      <w:lvlJc w:val="left"/>
      <w:lvlText w:val="%2"/>
      <w:numFmt w:val="lowerLetter"/>
      <w:start w:val="1"/>
    </w:lvl>
  </w:abstractNum>
  <w:abstractNum w:abstractNumId="176">
    <w:nsid w:val="7993B662"/>
    <w:multiLevelType w:val="hybridMultilevel"/>
    <w:lvl w:ilvl="0">
      <w:lvlJc w:val="left"/>
      <w:lvlText w:val="(%1)"/>
      <w:numFmt w:val="lowerLetter"/>
      <w:start w:val="1"/>
    </w:lvl>
  </w:abstractNum>
  <w:abstractNum w:abstractNumId="177">
    <w:nsid w:val="3BAB699E"/>
    <w:multiLevelType w:val="hybridMultilevel"/>
    <w:lvl w:ilvl="0">
      <w:lvlJc w:val="left"/>
      <w:lvlText w:val="(%1)"/>
      <w:numFmt w:val="lowerLetter"/>
      <w:start w:val="4"/>
    </w:lvl>
  </w:abstractNum>
  <w:abstractNum w:abstractNumId="178">
    <w:nsid w:val="71315369"/>
    <w:multiLevelType w:val="hybridMultilevel"/>
    <w:lvl w:ilvl="0">
      <w:lvlJc w:val="left"/>
      <w:lvlText w:val="(%1)"/>
      <w:numFmt w:val="lowerLetter"/>
      <w:start w:val="1"/>
    </w:lvl>
  </w:abstractNum>
  <w:abstractNum w:abstractNumId="179">
    <w:nsid w:val="7BCFBAFC"/>
    <w:multiLevelType w:val="hybridMultilevel"/>
    <w:lvl w:ilvl="0">
      <w:lvlJc w:val="left"/>
      <w:lvlText w:val="(%1)"/>
      <w:numFmt w:val="lowerLetter"/>
      <w:start w:val="1"/>
    </w:lvl>
  </w:abstractNum>
  <w:abstractNum w:abstractNumId="180">
    <w:nsid w:val="17859F72"/>
    <w:multiLevelType w:val="hybridMultilevel"/>
    <w:lvl w:ilvl="0">
      <w:lvlJc w:val="left"/>
      <w:lvlText w:val="."/>
      <w:numFmt w:val="bullet"/>
      <w:start w:val="1"/>
    </w:lvl>
  </w:abstractNum>
  <w:abstractNum w:abstractNumId="181">
    <w:nsid w:val="3AA10581"/>
    <w:multiLevelType w:val="hybridMultilevel"/>
    <w:lvl w:ilvl="0">
      <w:lvlJc w:val="left"/>
      <w:lvlText w:val="."/>
      <w:numFmt w:val="bullet"/>
      <w:start w:val="1"/>
    </w:lvl>
  </w:abstractNum>
  <w:abstractNum w:abstractNumId="182">
    <w:nsid w:val="63DE60CD"/>
    <w:multiLevelType w:val="hybridMultilevel"/>
    <w:lvl w:ilvl="0">
      <w:lvlJc w:val="left"/>
      <w:lvlText w:val="."/>
      <w:numFmt w:val="bullet"/>
      <w:start w:val="1"/>
    </w:lvl>
  </w:abstractNum>
  <w:abstractNum w:abstractNumId="183">
    <w:nsid w:val="621AF471"/>
    <w:multiLevelType w:val="hybridMultilevel"/>
    <w:lvl w:ilvl="0">
      <w:lvlJc w:val="left"/>
      <w:lvlText w:val="."/>
      <w:numFmt w:val="bullet"/>
      <w:start w:val="1"/>
    </w:lvl>
  </w:abstractNum>
  <w:abstractNum w:abstractNumId="184">
    <w:nsid w:val="73CFE165"/>
    <w:multiLevelType w:val="hybridMultilevel"/>
    <w:lvl w:ilvl="0">
      <w:lvlJc w:val="left"/>
      <w:lvlText w:val="."/>
      <w:numFmt w:val="bullet"/>
      <w:start w:val="1"/>
    </w:lvl>
  </w:abstractNum>
  <w:abstractNum w:abstractNumId="185">
    <w:nsid w:val="20F88EA6"/>
    <w:multiLevelType w:val="hybridMultilevel"/>
    <w:lvl w:ilvl="0">
      <w:lvlJc w:val="left"/>
      <w:lvlText w:val="."/>
      <w:numFmt w:val="bullet"/>
      <w:start w:val="1"/>
    </w:lvl>
  </w:abstractNum>
  <w:abstractNum w:abstractNumId="186">
    <w:nsid w:val="617C843E"/>
    <w:multiLevelType w:val="hybridMultilevel"/>
    <w:lvl w:ilvl="0">
      <w:lvlJc w:val="left"/>
      <w:lvlText w:val="."/>
      <w:numFmt w:val="bullet"/>
      <w:start w:val="1"/>
    </w:lvl>
  </w:abstractNum>
  <w:abstractNum w:abstractNumId="187">
    <w:nsid w:val="7B541FAB"/>
    <w:multiLevelType w:val="hybridMultilevel"/>
    <w:lvl w:ilvl="0">
      <w:lvlJc w:val="left"/>
      <w:lvlText w:val="."/>
      <w:numFmt w:val="bullet"/>
      <w:start w:val="1"/>
    </w:lvl>
  </w:abstractNum>
  <w:abstractNum w:abstractNumId="188">
    <w:nsid w:val="2A79EC49"/>
    <w:multiLevelType w:val="hybridMultilevel"/>
    <w:lvl w:ilvl="0">
      <w:lvlJc w:val="left"/>
      <w:lvlText w:val="."/>
      <w:numFmt w:val="bullet"/>
      <w:start w:val="1"/>
    </w:lvl>
  </w:abstractNum>
  <w:abstractNum w:abstractNumId="189">
    <w:nsid w:val="338125CF"/>
    <w:multiLevelType w:val="hybridMultilevel"/>
    <w:lvl w:ilvl="0">
      <w:lvlJc w:val="left"/>
      <w:lvlText w:val="(%1)"/>
      <w:numFmt w:val="lowerLetter"/>
      <w:start w:val="1"/>
    </w:lvl>
  </w:abstractNum>
  <w:abstractNum w:abstractNumId="190">
    <w:nsid w:val="47C7C971"/>
    <w:multiLevelType w:val="hybridMultilevel"/>
    <w:lvl w:ilvl="0">
      <w:lvlJc w:val="left"/>
      <w:lvlText w:val="(%1)"/>
      <w:numFmt w:val="lowerLetter"/>
      <w:start w:val="1"/>
    </w:lvl>
    <w:lvl w:ilvl="1">
      <w:lvlJc w:val="left"/>
      <w:lvlText w:val="(%2)"/>
      <w:numFmt w:val="lowerRoman"/>
      <w:start w:val="1"/>
    </w:lvl>
  </w:abstractNum>
  <w:abstractNum w:abstractNumId="191">
    <w:nsid w:val="46F8284B"/>
    <w:multiLevelType w:val="hybridMultilevel"/>
    <w:lvl w:ilvl="0">
      <w:lvlJc w:val="left"/>
      <w:lvlText w:val="(%1)"/>
      <w:numFmt w:val="lowerRoman"/>
      <w:start w:val="8"/>
    </w:lvl>
  </w:abstractNum>
  <w:abstractNum w:abstractNumId="192">
    <w:nsid w:val="4FA327CE"/>
    <w:multiLevelType w:val="hybridMultilevel"/>
    <w:lvl w:ilvl="0">
      <w:lvlJc w:val="left"/>
      <w:lvlText w:val="(%1)"/>
      <w:numFmt w:val="lowerLetter"/>
      <w:start w:val="2"/>
    </w:lvl>
  </w:abstractNum>
  <w:abstractNum w:abstractNumId="193">
    <w:nsid w:val="1873983A"/>
    <w:multiLevelType w:val="hybridMultilevel"/>
    <w:lvl w:ilvl="0">
      <w:lvlJc w:val="left"/>
      <w:lvlText w:val="."/>
      <w:numFmt w:val="bullet"/>
      <w:start w:val="1"/>
    </w:lvl>
  </w:abstractNum>
  <w:abstractNum w:abstractNumId="194">
    <w:nsid w:val="3D2DD275"/>
    <w:multiLevelType w:val="hybridMultilevel"/>
    <w:lvl w:ilvl="0">
      <w:lvlJc w:val="left"/>
      <w:lvlText w:val="(%1)"/>
      <w:numFmt w:val="lowerLetter"/>
      <w:start w:val="1"/>
    </w:lvl>
  </w:abstractNum>
  <w:abstractNum w:abstractNumId="195">
    <w:nsid w:val="2E17ECA7"/>
    <w:multiLevelType w:val="hybridMultilevel"/>
    <w:lvl w:ilvl="0">
      <w:lvlJc w:val="left"/>
      <w:lvlText w:val="."/>
      <w:numFmt w:val="bullet"/>
      <w:start w:val="1"/>
    </w:lvl>
  </w:abstractNum>
  <w:abstractNum w:abstractNumId="196">
    <w:nsid w:val="53B2564F"/>
    <w:multiLevelType w:val="hybridMultilevel"/>
    <w:lvl w:ilvl="0">
      <w:lvlJc w:val="left"/>
      <w:lvlText w:val="(%1)"/>
      <w:numFmt w:val="lowerLetter"/>
      <w:start w:val="1"/>
    </w:lvl>
    <w:lvl w:ilvl="1">
      <w:lvlJc w:val="left"/>
      <w:lvlText w:val="(%2)"/>
      <w:numFmt w:val="lowerRoman"/>
      <w:start w:val="1"/>
    </w:lvl>
  </w:abstractNum>
  <w:abstractNum w:abstractNumId="197">
    <w:nsid w:val="75509D76"/>
    <w:multiLevelType w:val="hybridMultilevel"/>
    <w:lvl w:ilvl="0">
      <w:lvlJc w:val="left"/>
      <w:lvlText w:val="."/>
      <w:numFmt w:val="bullet"/>
      <w:start w:val="1"/>
    </w:lvl>
  </w:abstractNum>
  <w:abstractNum w:abstractNumId="198">
    <w:nsid w:val="1AF7F0E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199">
    <w:nsid w:val="4DA32C7E"/>
    <w:multiLevelType w:val="hybridMultilevel"/>
    <w:lvl w:ilvl="0">
      <w:lvlJc w:val="left"/>
      <w:lvlText w:val="%1"/>
      <w:numFmt w:val="lowerLetter"/>
      <w:start w:val="1"/>
    </w:lvl>
    <w:lvl w:ilvl="1">
      <w:lvlJc w:val="left"/>
      <w:lvlText w:val="(%2)"/>
      <w:numFmt w:val="lowerRoman"/>
      <w:start w:val="2"/>
    </w:lvl>
  </w:abstractNum>
  <w:abstractNum w:abstractNumId="200">
    <w:nsid w:val="6EC68664"/>
    <w:multiLevelType w:val="hybridMultilevel"/>
    <w:lvl w:ilvl="0">
      <w:lvlJc w:val="left"/>
      <w:lvlText w:val="(%1)"/>
      <w:numFmt w:val="lowerLetter"/>
      <w:start w:val="3"/>
    </w:lvl>
    <w:lvl w:ilvl="1">
      <w:lvlJc w:val="left"/>
      <w:lvlText w:val="(%2)"/>
      <w:numFmt w:val="lowerRoman"/>
      <w:start w:val="1"/>
    </w:lvl>
  </w:abstractNum>
  <w:abstractNum w:abstractNumId="201">
    <w:nsid w:val="E0D31FF"/>
    <w:multiLevelType w:val="hybridMultilevel"/>
    <w:lvl w:ilvl="0">
      <w:lvlJc w:val="left"/>
      <w:lvlText w:val="(%1)"/>
      <w:numFmt w:val="lowerLetter"/>
      <w:start w:val="9"/>
    </w:lvl>
    <w:lvl w:ilvl="1">
      <w:lvlJc w:val="left"/>
      <w:lvlText w:val="(%2)"/>
      <w:numFmt w:val="lowerRoman"/>
      <w:start w:val="1"/>
    </w:lvl>
  </w:abstractNum>
  <w:abstractNum w:abstractNumId="202">
    <w:nsid w:val="2FD0AD81"/>
    <w:multiLevelType w:val="hybridMultilevel"/>
    <w:lvl w:ilvl="0">
      <w:lvlJc w:val="left"/>
      <w:lvlText w:val="%1"/>
      <w:numFmt w:val="lowerLetter"/>
      <w:start w:val="1"/>
    </w:lvl>
    <w:lvl w:ilvl="1">
      <w:lvlJc w:val="left"/>
      <w:lvlText w:val="(%2)"/>
      <w:numFmt w:val="lowerRoman"/>
      <w:start w:val="1"/>
    </w:lvl>
  </w:abstractNum>
  <w:abstractNum w:abstractNumId="203">
    <w:nsid w:val="1978EBEB"/>
    <w:multiLevelType w:val="hybridMultilevel"/>
    <w:lvl w:ilvl="0">
      <w:lvlJc w:val="left"/>
      <w:lvlText w:val="(%1)"/>
      <w:numFmt w:val="lowerLetter"/>
      <w:start w:val="16"/>
    </w:lvl>
    <w:lvl w:ilvl="1">
      <w:lvlJc w:val="left"/>
      <w:lvlText w:val="%2"/>
      <w:numFmt w:val="lowerRoman"/>
      <w:start w:val="1"/>
    </w:lvl>
  </w:abstractNum>
  <w:abstractNum w:abstractNumId="204">
    <w:nsid w:val="52C12C61"/>
    <w:multiLevelType w:val="hybridMultilevel"/>
    <w:lvl w:ilvl="0">
      <w:lvlJc w:val="left"/>
      <w:lvlText w:val="."/>
      <w:numFmt w:val="bullet"/>
      <w:start w:val="1"/>
    </w:lvl>
    <w:lvl w:ilvl="1">
      <w:lvlJc w:val="left"/>
      <w:lvlText w:val="(%2)"/>
      <w:numFmt w:val="lowerLetter"/>
      <w:start w:val="1"/>
    </w:lvl>
  </w:abstractNum>
  <w:abstractNum w:abstractNumId="205">
    <w:nsid w:val="4BDD53FD"/>
    <w:multiLevelType w:val="hybridMultilevel"/>
    <w:lvl w:ilvl="0">
      <w:lvlJc w:val="left"/>
      <w:lvlText w:val="."/>
      <w:numFmt w:val="bullet"/>
      <w:start w:val="1"/>
    </w:lvl>
    <w:lvl w:ilvl="1">
      <w:lvlJc w:val="left"/>
      <w:lvlText w:val="(%2)"/>
      <w:numFmt w:val="lowerLetter"/>
      <w:start w:val="1"/>
    </w:lvl>
  </w:abstractNum>
  <w:abstractNum w:abstractNumId="206">
    <w:nsid w:val="569951FE"/>
    <w:multiLevelType w:val="hybridMultilevel"/>
    <w:lvl w:ilvl="0">
      <w:lvlJc w:val="left"/>
      <w:lvlText w:val="(%1)"/>
      <w:numFmt w:val="lowerLetter"/>
      <w:start w:val="2"/>
    </w:lvl>
  </w:abstractNum>
  <w:abstractNum w:abstractNumId="207">
    <w:nsid w:val="4C54E2C3"/>
    <w:multiLevelType w:val="hybridMultilevel"/>
    <w:lvl w:ilvl="0">
      <w:lvlJc w:val="left"/>
      <w:lvlText w:val="."/>
      <w:numFmt w:val="bullet"/>
      <w:start w:val="1"/>
    </w:lvl>
    <w:lvl w:ilvl="1">
      <w:lvlJc w:val="left"/>
      <w:lvlText w:val="(%2)"/>
      <w:numFmt w:val="lowerLetter"/>
      <w:start w:val="1"/>
    </w:lvl>
  </w:abstractNum>
  <w:abstractNum w:abstractNumId="208">
    <w:nsid w:val="788BD9B"/>
    <w:multiLevelType w:val="hybridMultilevel"/>
    <w:lvl w:ilvl="0">
      <w:lvlJc w:val="left"/>
      <w:lvlText w:val="(%1)"/>
      <w:numFmt w:val="lowerLetter"/>
      <w:start w:val="2"/>
    </w:lvl>
  </w:abstractNum>
  <w:abstractNum w:abstractNumId="209">
    <w:nsid w:val="47CAA567"/>
    <w:multiLevelType w:val="hybridMultilevel"/>
    <w:lvl w:ilvl="0">
      <w:lvlJc w:val="left"/>
      <w:lvlText w:val="(%1)"/>
      <w:numFmt w:val="lowerLetter"/>
      <w:start w:val="1"/>
    </w:lvl>
  </w:abstractNum>
  <w:abstractNum w:abstractNumId="210">
    <w:nsid w:val="48249DBF"/>
    <w:multiLevelType w:val="hybridMultilevel"/>
    <w:lvl w:ilvl="0">
      <w:lvlJc w:val="left"/>
      <w:lvlText w:val="(%1)"/>
      <w:numFmt w:val="lowerLetter"/>
      <w:start w:val="1"/>
    </w:lvl>
  </w:abstractNum>
  <w:abstractNum w:abstractNumId="211">
    <w:nsid w:val="1F0E5D0D"/>
    <w:multiLevelType w:val="hybridMultilevel"/>
    <w:lvl w:ilvl="0">
      <w:lvlJc w:val="left"/>
      <w:lvlText w:val="%1"/>
      <w:numFmt w:val="lowerLetter"/>
      <w:start w:val="1"/>
    </w:lvl>
    <w:lvl w:ilvl="1">
      <w:lvlJc w:val="left"/>
      <w:lvlText w:val="(%2)"/>
      <w:numFmt w:val="lowerLetter"/>
      <w:start w:val="5"/>
    </w:lvl>
  </w:abstractNum>
  <w:abstractNum w:abstractNumId="212">
    <w:nsid w:val="26BAAE9"/>
    <w:multiLevelType w:val="hybridMultilevel"/>
    <w:lvl w:ilvl="0">
      <w:lvlJc w:val="left"/>
      <w:lvlText w:val="(%1)"/>
      <w:numFmt w:val="lowerLetter"/>
      <w:start w:val="35"/>
    </w:lvl>
    <w:lvl w:ilvl="1">
      <w:lvlJc w:val="left"/>
      <w:lvlText w:val="%2"/>
      <w:numFmt w:val="lowerLetter"/>
      <w:start w:val="1"/>
    </w:lvl>
  </w:abstractNum>
  <w:abstractNum w:abstractNumId="213">
    <w:nsid w:val="2C02FE8C"/>
    <w:multiLevelType w:val="hybridMultilevel"/>
    <w:lvl w:ilvl="0">
      <w:lvlJc w:val="left"/>
      <w:lvlText w:val="(%1)"/>
      <w:numFmt w:val="lowerLetter"/>
      <w:start w:val="1"/>
    </w:lvl>
  </w:abstractNum>
  <w:abstractNum w:abstractNumId="214">
    <w:nsid w:val="129517E"/>
    <w:multiLevelType w:val="hybridMultilevel"/>
    <w:lvl w:ilvl="0">
      <w:lvlJc w:val="left"/>
      <w:lvlText w:val="(%1)"/>
      <w:numFmt w:val="lowerLetter"/>
      <w:start w:val="1"/>
    </w:lvl>
  </w:abstractNum>
  <w:abstractNum w:abstractNumId="215">
    <w:nsid w:val="763B8C4E"/>
    <w:multiLevelType w:val="hybridMultilevel"/>
    <w:lvl w:ilvl="0">
      <w:lvlJc w:val="left"/>
      <w:lvlText w:val="(%1)"/>
      <w:numFmt w:val="lowerLetter"/>
      <w:start w:val="1"/>
    </w:lvl>
  </w:abstractNum>
  <w:abstractNum w:abstractNumId="216">
    <w:nsid w:val="4CFB8D32"/>
    <w:multiLevelType w:val="hybridMultilevel"/>
    <w:lvl w:ilvl="0">
      <w:lvlJc w:val="left"/>
      <w:lvlText w:val="."/>
      <w:numFmt w:val="bullet"/>
      <w:start w:val="1"/>
    </w:lvl>
  </w:abstractNum>
  <w:abstractNum w:abstractNumId="217">
    <w:nsid w:val="62A5D5BD"/>
    <w:multiLevelType w:val="hybridMultilevel"/>
    <w:lvl w:ilvl="0">
      <w:lvlJc w:val="left"/>
      <w:lvlText w:val="(%1)"/>
      <w:numFmt w:val="lowerLetter"/>
      <w:start w:val="1"/>
    </w:lvl>
  </w:abstractNum>
  <w:abstractNum w:abstractNumId="218">
    <w:nsid w:val="718FABF9"/>
    <w:multiLevelType w:val="hybridMultilevel"/>
    <w:lvl w:ilvl="0">
      <w:lvlJc w:val="left"/>
      <w:lvlText w:val="(%1)"/>
      <w:numFmt w:val="lowerLetter"/>
      <w:start w:val="1"/>
    </w:lvl>
  </w:abstractNum>
  <w:abstractNum w:abstractNumId="219">
    <w:nsid w:val="7775797C"/>
    <w:multiLevelType w:val="hybridMultilevel"/>
    <w:lvl w:ilvl="0">
      <w:lvlJc w:val="left"/>
      <w:lvlText w:val="(%1)"/>
      <w:numFmt w:val="lowerLetter"/>
      <w:start w:val="4"/>
    </w:lvl>
  </w:abstractNum>
  <w:abstractNum w:abstractNumId="220">
    <w:nsid w:val="1626FB8C"/>
    <w:multiLevelType w:val="hybridMultilevel"/>
    <w:lvl w:ilvl="0">
      <w:lvlJc w:val="left"/>
      <w:lvlText w:val="."/>
      <w:numFmt w:val="bullet"/>
      <w:start w:val="1"/>
    </w:lvl>
  </w:abstractNum>
  <w:abstractNum w:abstractNumId="221">
    <w:nsid w:val="3957756A"/>
    <w:multiLevelType w:val="hybridMultilevel"/>
    <w:lvl w:ilvl="0">
      <w:lvlJc w:val="left"/>
      <w:lvlText w:val="%1"/>
      <w:numFmt w:val="lowerLetter"/>
      <w:start w:val="1"/>
    </w:lvl>
    <w:lvl w:ilvl="1">
      <w:lvlJc w:val="left"/>
      <w:lvlText w:val="(%2)"/>
      <w:numFmt w:val="lowerLetter"/>
      <w:start w:val="1"/>
    </w:lvl>
  </w:abstractNum>
  <w:abstractNum w:abstractNumId="222">
    <w:nsid w:val="3E6DA1C7"/>
    <w:multiLevelType w:val="hybridMultilevel"/>
    <w:lvl w:ilvl="0">
      <w:lvlJc w:val="left"/>
      <w:lvlText w:val="(%1)"/>
      <w:numFmt w:val="lowerLetter"/>
      <w:start w:val="61"/>
    </w:lvl>
    <w:lvl w:ilvl="1">
      <w:lvlJc w:val="left"/>
      <w:lvlText w:val="(%2)"/>
      <w:numFmt w:val="lowerLetter"/>
      <w:start w:val="2"/>
    </w:lvl>
  </w:abstractNum>
  <w:abstractNum w:abstractNumId="223">
    <w:nsid w:val="65CA235B"/>
    <w:multiLevelType w:val="hybridMultilevel"/>
    <w:lvl w:ilvl="0">
      <w:lvlJc w:val="left"/>
      <w:lvlText w:val="."/>
      <w:numFmt w:val="bullet"/>
      <w:start w:val="1"/>
    </w:lvl>
  </w:abstractNum>
  <w:abstractNum w:abstractNumId="224">
    <w:nsid w:val="51CB0DA4"/>
    <w:multiLevelType w:val="hybridMultilevel"/>
    <w:lvl w:ilvl="0">
      <w:lvlJc w:val="left"/>
      <w:lvlText w:val="."/>
      <w:numFmt w:val="bullet"/>
      <w:start w:val="1"/>
    </w:lvl>
    <w:lvl w:ilvl="1">
      <w:lvlJc w:val="left"/>
      <w:lvlText w:val="(%2)"/>
      <w:numFmt w:val="lowerLetter"/>
      <w:start w:val="1"/>
    </w:lvl>
  </w:abstractNum>
  <w:abstractNum w:abstractNumId="225">
    <w:nsid w:val="7B9B743C"/>
    <w:multiLevelType w:val="hybridMultilevel"/>
    <w:lvl w:ilvl="0">
      <w:lvlJc w:val="left"/>
      <w:lvlText w:val="(%1)"/>
      <w:numFmt w:val="upperLetter"/>
      <w:start w:val="1"/>
    </w:lvl>
  </w:abstractNum>
  <w:abstractNum w:abstractNumId="226">
    <w:nsid w:val="13E21002"/>
    <w:multiLevelType w:val="hybridMultilevel"/>
    <w:lvl w:ilvl="0">
      <w:lvlJc w:val="left"/>
      <w:lvlText w:val="(%1)"/>
      <w:numFmt w:val="lowerLetter"/>
      <w:start w:val="13"/>
    </w:lvl>
  </w:abstractNum>
  <w:abstractNum w:abstractNumId="227">
    <w:nsid w:val="257D63F4"/>
    <w:multiLevelType w:val="hybridMultilevel"/>
    <w:lvl w:ilvl="0">
      <w:lvlJc w:val="left"/>
      <w:lvlText w:val="."/>
      <w:numFmt w:val="bullet"/>
      <w:start w:val="1"/>
    </w:lvl>
    <w:lvl w:ilvl="1">
      <w:lvlJc w:val="left"/>
      <w:lvlText w:val="(%2)"/>
      <w:numFmt w:val="lowerLetter"/>
      <w:start w:val="1"/>
    </w:lvl>
  </w:abstractNum>
  <w:abstractNum w:abstractNumId="228">
    <w:nsid w:val="70EC11B2"/>
    <w:multiLevelType w:val="hybridMultilevel"/>
    <w:lvl w:ilvl="0">
      <w:lvlJc w:val="left"/>
      <w:lvlText w:val="(%1)"/>
      <w:numFmt w:val="lowerLetter"/>
      <w:start w:val="7"/>
    </w:lvl>
  </w:abstractNum>
  <w:abstractNum w:abstractNumId="229">
    <w:nsid w:val="2EDA00ED"/>
    <w:multiLevelType w:val="hybridMultilevel"/>
    <w:lvl w:ilvl="0">
      <w:lvlJc w:val="left"/>
      <w:lvlText w:val="."/>
      <w:numFmt w:val="bullet"/>
      <w:start w:val="1"/>
    </w:lvl>
  </w:abstractNum>
  <w:abstractNum w:abstractNumId="230">
    <w:nsid w:val="73209072"/>
    <w:multiLevelType w:val="hybridMultilevel"/>
    <w:lvl w:ilvl="0">
      <w:lvlJc w:val="left"/>
      <w:lvlText w:val="."/>
      <w:numFmt w:val="bullet"/>
      <w:start w:val="1"/>
    </w:lvl>
  </w:abstractNum>
  <w:abstractNum w:abstractNumId="231">
    <w:nsid w:val="5FB29816"/>
    <w:multiLevelType w:val="hybridMultilevel"/>
    <w:lvl w:ilvl="0">
      <w:lvlJc w:val="left"/>
      <w:lvlText w:val="(%1)"/>
      <w:numFmt w:val="lowerLetter"/>
      <w:start w:val="1"/>
    </w:lvl>
  </w:abstractNum>
  <w:abstractNum w:abstractNumId="232">
    <w:nsid w:val="3CE732EC"/>
    <w:multiLevelType w:val="hybridMultilevel"/>
    <w:lvl w:ilvl="0">
      <w:lvlJc w:val="left"/>
      <w:lvlText w:val="."/>
      <w:numFmt w:val="bullet"/>
      <w:start w:val="1"/>
    </w:lvl>
    <w:lvl w:ilvl="1">
      <w:lvlJc w:val="left"/>
      <w:lvlText w:val="(%2)"/>
      <w:numFmt w:val="lowerLetter"/>
      <w:start w:val="1"/>
    </w:lvl>
  </w:abstractNum>
  <w:abstractNum w:abstractNumId="233">
    <w:nsid w:val="22F13DF3"/>
    <w:multiLevelType w:val="hybridMultilevel"/>
    <w:lvl w:ilvl="0">
      <w:lvlJc w:val="left"/>
      <w:lvlText w:val="(%1)"/>
      <w:numFmt w:val="lowerLetter"/>
      <w:start w:val="4"/>
    </w:lvl>
  </w:abstractNum>
  <w:abstractNum w:abstractNumId="234">
    <w:nsid w:val="792B8401"/>
    <w:multiLevelType w:val="hybridMultilevel"/>
    <w:lvl w:ilvl="0">
      <w:lvlJc w:val="left"/>
      <w:lvlText w:val="."/>
      <w:numFmt w:val="bullet"/>
      <w:start w:val="1"/>
    </w:lvl>
    <w:lvl w:ilvl="1">
      <w:lvlJc w:val="left"/>
      <w:lvlText w:val="(%2)"/>
      <w:numFmt w:val="lowerLetter"/>
      <w:start w:val="1"/>
    </w:lvl>
  </w:abstractNum>
  <w:abstractNum w:abstractNumId="235">
    <w:nsid w:val="FA85F4D"/>
    <w:multiLevelType w:val="hybridMultilevel"/>
    <w:lvl w:ilvl="0">
      <w:lvlJc w:val="left"/>
      <w:lvlText w:val="."/>
      <w:numFmt w:val="bullet"/>
      <w:start w:val="1"/>
    </w:lvl>
    <w:lvl w:ilvl="1">
      <w:lvlJc w:val="left"/>
      <w:lvlText w:val="(%2)"/>
      <w:numFmt w:val="lowerLetter"/>
      <w:start w:val="1"/>
    </w:lvl>
  </w:abstractNum>
  <w:abstractNum w:abstractNumId="236">
    <w:nsid w:val="6ECE91F0"/>
    <w:multiLevelType w:val="hybridMultilevel"/>
    <w:lvl w:ilvl="0">
      <w:lvlJc w:val="left"/>
      <w:lvlText w:val="(%1)"/>
      <w:numFmt w:val="lowerLetter"/>
      <w:start w:val="4"/>
    </w:lvl>
  </w:abstractNum>
  <w:abstractNum w:abstractNumId="237">
    <w:nsid w:val="4FC4D600"/>
    <w:multiLevelType w:val="hybridMultilevel"/>
    <w:lvl w:ilvl="0">
      <w:lvlJc w:val="left"/>
      <w:lvlText w:val="."/>
      <w:numFmt w:val="bullet"/>
      <w:start w:val="1"/>
    </w:lvl>
    <w:lvl w:ilvl="1">
      <w:lvlJc w:val="left"/>
      <w:lvlText w:val="(%2)"/>
      <w:numFmt w:val="lowerLetter"/>
      <w:start w:val="1"/>
    </w:lvl>
  </w:abstractNum>
  <w:abstractNum w:abstractNumId="238">
    <w:nsid w:val="5BFD4210"/>
    <w:multiLevelType w:val="hybridMultilevel"/>
    <w:lvl w:ilvl="0">
      <w:lvlJc w:val="left"/>
      <w:lvlText w:val="."/>
      <w:numFmt w:val="bullet"/>
      <w:start w:val="1"/>
    </w:lvl>
    <w:lvl w:ilvl="1">
      <w:lvlJc w:val="left"/>
      <w:lvlText w:val="(%2)"/>
      <w:numFmt w:val="lowerLetter"/>
      <w:start w:val="1"/>
    </w:lvl>
  </w:abstractNum>
  <w:abstractNum w:abstractNumId="239">
    <w:nsid w:val="76574F8B"/>
    <w:multiLevelType w:val="hybridMultilevel"/>
    <w:lvl w:ilvl="0">
      <w:lvlJc w:val="left"/>
      <w:lvlText w:val="(%1)"/>
      <w:numFmt w:val="lowerLetter"/>
      <w:start w:val="6"/>
    </w:lvl>
  </w:abstractNum>
  <w:abstractNum w:abstractNumId="240">
    <w:nsid w:val="178F7B67"/>
    <w:multiLevelType w:val="hybridMultilevel"/>
    <w:lvl w:ilvl="0">
      <w:lvlJc w:val="left"/>
      <w:lvlText w:val="(%1)"/>
      <w:numFmt w:val="lowerLetter"/>
      <w:start w:val="7"/>
    </w:lvl>
  </w:abstractNum>
  <w:abstractNum w:abstractNumId="241">
    <w:nsid w:val="2421DFCF"/>
    <w:multiLevelType w:val="hybridMultilevel"/>
    <w:lvl w:ilvl="0">
      <w:lvlJc w:val="left"/>
      <w:lvlText w:val="(%1)"/>
      <w:numFmt w:val="lowerLetter"/>
      <w:start w:val="1"/>
    </w:lvl>
  </w:abstractNum>
  <w:abstractNum w:abstractNumId="242">
    <w:nsid w:val="1565AC99"/>
    <w:multiLevelType w:val="hybridMultilevel"/>
    <w:lvl w:ilvl="0">
      <w:lvlJc w:val="left"/>
      <w:lvlText w:val="(%1)"/>
      <w:numFmt w:val="lowerLetter"/>
      <w:start w:val="2"/>
    </w:lvl>
  </w:abstractNum>
  <w:abstractNum w:abstractNumId="243">
    <w:nsid w:val="19FB2650"/>
    <w:multiLevelType w:val="hybridMultilevel"/>
    <w:lvl w:ilvl="0">
      <w:lvlJc w:val="left"/>
      <w:lvlText w:val="(%1)"/>
      <w:numFmt w:val="lowerLetter"/>
      <w:start w:val="3"/>
    </w:lvl>
  </w:abstractNum>
  <w:abstractNum w:abstractNumId="244">
    <w:nsid w:val="5024DE5B"/>
    <w:multiLevelType w:val="hybridMultilevel"/>
    <w:lvl w:ilvl="0">
      <w:lvlJc w:val="left"/>
      <w:lvlText w:val=";"/>
      <w:numFmt w:val="bullet"/>
      <w:start w:val="1"/>
    </w:lvl>
  </w:abstractNum>
  <w:abstractNum w:abstractNumId="245">
    <w:nsid w:val="168EFE17"/>
    <w:multiLevelType w:val="hybridMultilevel"/>
    <w:lvl w:ilvl="0">
      <w:lvlJc w:val="left"/>
      <w:lvlText w:val="(%1)"/>
      <w:numFmt w:val="lowerLetter"/>
      <w:start w:val="1"/>
    </w:lvl>
  </w:abstractNum>
  <w:abstractNum w:abstractNumId="246">
    <w:nsid w:val="1036B29F"/>
    <w:multiLevelType w:val="hybridMultilevel"/>
    <w:lvl w:ilvl="0">
      <w:lvlJc w:val="left"/>
      <w:lvlText w:val="(%1)"/>
      <w:numFmt w:val="lowerLetter"/>
      <w:start w:val="2"/>
    </w:lvl>
  </w:abstractNum>
  <w:abstractNum w:abstractNumId="247">
    <w:nsid w:val="1D206B8E"/>
    <w:multiLevelType w:val="hybridMultilevel"/>
    <w:lvl w:ilvl="0">
      <w:lvlJc w:val="left"/>
      <w:lvlText w:val="."/>
      <w:numFmt w:val="bullet"/>
      <w:start w:val="1"/>
    </w:lvl>
  </w:abstractNum>
  <w:abstractNum w:abstractNumId="248">
    <w:nsid w:val="7934D3D4"/>
    <w:multiLevelType w:val="hybridMultilevel"/>
    <w:lvl w:ilvl="0">
      <w:lvlJc w:val="left"/>
      <w:lvlText w:val="(%1)"/>
      <w:numFmt w:val="lowerLetter"/>
      <w:start w:val="1"/>
    </w:lvl>
  </w:abstractNum>
  <w:abstractNum w:abstractNumId="249">
    <w:nsid w:val="1C65E98"/>
    <w:multiLevelType w:val="hybridMultilevel"/>
    <w:lvl w:ilvl="0">
      <w:lvlJc w:val="left"/>
      <w:lvlText w:val="."/>
      <w:numFmt w:val="bullet"/>
      <w:start w:val="1"/>
    </w:lvl>
  </w:abstractNum>
  <w:abstractNum w:abstractNumId="250">
    <w:nsid w:val="1495E50A"/>
    <w:multiLevelType w:val="hybridMultilevel"/>
    <w:lvl w:ilvl="0">
      <w:lvlJc w:val="left"/>
      <w:lvlText w:val="."/>
      <w:numFmt w:val="bullet"/>
      <w:start w:val="1"/>
    </w:lvl>
  </w:abstractNum>
  <w:abstractNum w:abstractNumId="251">
    <w:nsid w:val="F5BCF61"/>
    <w:multiLevelType w:val="hybridMultilevel"/>
    <w:lvl w:ilvl="0">
      <w:lvlJc w:val="left"/>
      <w:lvlText w:val="."/>
      <w:numFmt w:val="bullet"/>
      <w:start w:val="1"/>
    </w:lvl>
  </w:abstractNum>
  <w:abstractNum w:abstractNumId="252">
    <w:nsid w:val="3B1DD403"/>
    <w:multiLevelType w:val="hybridMultilevel"/>
    <w:lvl w:ilvl="0">
      <w:lvlJc w:val="left"/>
      <w:lvlText w:val="."/>
      <w:numFmt w:val="bullet"/>
      <w:start w:val="1"/>
    </w:lvl>
  </w:abstractNum>
  <w:abstractNum w:abstractNumId="253">
    <w:nsid w:val="530386D1"/>
    <w:multiLevelType w:val="hybridMultilevel"/>
    <w:lvl w:ilvl="0">
      <w:lvlJc w:val="left"/>
      <w:lvlText w:val="(%1)"/>
      <w:numFmt w:val="lowerLetter"/>
      <w:start w:val="1"/>
    </w:lvl>
  </w:abstractNum>
  <w:abstractNum w:abstractNumId="254">
    <w:nsid w:val="7525F2BC"/>
    <w:multiLevelType w:val="hybridMultilevel"/>
    <w:lvl w:ilvl="0">
      <w:lvlJc w:val="left"/>
      <w:lvlText w:val="."/>
      <w:numFmt w:val="bullet"/>
      <w:start w:val="1"/>
    </w:lvl>
  </w:abstractNum>
  <w:abstractNum w:abstractNumId="255">
    <w:nsid w:val="CE8E1A7"/>
    <w:multiLevelType w:val="hybridMultilevel"/>
    <w:lvl w:ilvl="0">
      <w:lvlJc w:val="left"/>
      <w:lvlText w:val="."/>
      <w:numFmt w:val="bullet"/>
      <w:start w:val="1"/>
    </w:lvl>
  </w:abstractNum>
  <w:abstractNum w:abstractNumId="256">
    <w:nsid w:val="4E9EFB0D"/>
    <w:multiLevelType w:val="hybridMultilevel"/>
    <w:lvl w:ilvl="0">
      <w:lvlJc w:val="left"/>
      <w:lvlText w:val="."/>
      <w:numFmt w:val="bullet"/>
      <w:start w:val="1"/>
    </w:lvl>
    <w:lvl w:ilvl="1">
      <w:lvlJc w:val="left"/>
      <w:lvlText w:val="(%2)"/>
      <w:numFmt w:val="lowerRoman"/>
      <w:start w:val="1"/>
    </w:lvl>
  </w:abstractNum>
  <w:abstractNum w:abstractNumId="257">
    <w:nsid w:val="90802BE"/>
    <w:multiLevelType w:val="hybridMultilevel"/>
    <w:lvl w:ilvl="0">
      <w:lvlJc w:val="left"/>
      <w:lvlText w:val="."/>
      <w:numFmt w:val="bullet"/>
      <w:start w:val="1"/>
    </w:lvl>
  </w:abstractNum>
  <w:abstractNum w:abstractNumId="258">
    <w:nsid w:val="3266459B"/>
    <w:multiLevelType w:val="hybridMultilevel"/>
    <w:lvl w:ilvl="0">
      <w:lvlJc w:val="left"/>
      <w:lvlText w:val="."/>
      <w:numFmt w:val="bullet"/>
      <w:start w:val="1"/>
    </w:lvl>
  </w:abstractNum>
  <w:abstractNum w:abstractNumId="259">
    <w:nsid w:val="3F8B0CBF"/>
    <w:multiLevelType w:val="hybridMultilevel"/>
    <w:lvl w:ilvl="0">
      <w:lvlJc w:val="left"/>
      <w:lvlText w:val="."/>
      <w:numFmt w:val="bullet"/>
      <w:start w:val="1"/>
    </w:lvl>
  </w:abstractNum>
  <w:abstractNum w:abstractNumId="260">
    <w:nsid w:val="37E203AB"/>
    <w:multiLevelType w:val="hybridMultilevel"/>
    <w:lvl w:ilvl="0">
      <w:lvlJc w:val="left"/>
      <w:lvlText w:val="."/>
      <w:numFmt w:val="bullet"/>
      <w:start w:val="1"/>
    </w:lvl>
  </w:abstractNum>
  <w:abstractNum w:abstractNumId="261">
    <w:nsid w:val="2586D60E"/>
    <w:multiLevelType w:val="hybridMultilevel"/>
    <w:lvl w:ilvl="0">
      <w:lvlJc w:val="left"/>
      <w:lvlText w:val="."/>
      <w:numFmt w:val="bullet"/>
      <w:start w:val="1"/>
    </w:lvl>
  </w:abstractNum>
  <w:abstractNum w:abstractNumId="262">
    <w:nsid w:val="1F3DA4D5"/>
    <w:multiLevelType w:val="hybridMultilevel"/>
    <w:lvl w:ilvl="0">
      <w:lvlJc w:val="left"/>
      <w:lvlText w:val="."/>
      <w:numFmt w:val="bullet"/>
      <w:start w:val="1"/>
    </w:lvl>
  </w:abstractNum>
  <w:abstractNum w:abstractNumId="263">
    <w:nsid w:val="74C93698"/>
    <w:multiLevelType w:val="hybridMultilevel"/>
    <w:lvl w:ilvl="0">
      <w:lvlJc w:val="left"/>
      <w:lvlText w:val="."/>
      <w:numFmt w:val="bullet"/>
      <w:start w:val="1"/>
    </w:lvl>
  </w:abstractNum>
  <w:abstractNum w:abstractNumId="264">
    <w:nsid w:val="48781401"/>
    <w:multiLevelType w:val="hybridMultilevel"/>
    <w:lvl w:ilvl="0">
      <w:lvlJc w:val="left"/>
      <w:lvlText w:val="."/>
      <w:numFmt w:val="bullet"/>
      <w:start w:val="1"/>
    </w:lvl>
    <w:lvl w:ilvl="1">
      <w:lvlJc w:val="left"/>
      <w:lvlText w:val="(%2)"/>
      <w:numFmt w:val="lowerLetter"/>
      <w:start w:val="1"/>
    </w:lvl>
  </w:abstractNum>
  <w:abstractNum w:abstractNumId="265">
    <w:nsid w:val="186928D6"/>
    <w:multiLevelType w:val="hybridMultilevel"/>
    <w:lvl w:ilvl="0">
      <w:lvlJc w:val="left"/>
      <w:lvlText w:val="%1"/>
      <w:numFmt w:val="lowerLetter"/>
      <w:start w:val="1"/>
    </w:lvl>
    <w:lvl w:ilvl="1">
      <w:lvlJc w:val="left"/>
      <w:lvlText w:val="(%2)"/>
      <w:numFmt w:val="lowerLetter"/>
      <w:start w:val="3"/>
    </w:lvl>
  </w:abstractNum>
  <w:abstractNum w:abstractNumId="266">
    <w:nsid w:val="47195E5"/>
    <w:multiLevelType w:val="hybridMultilevel"/>
    <w:lvl w:ilvl="0">
      <w:lvlJc w:val="left"/>
      <w:lvlText w:val="(%1)"/>
      <w:numFmt w:val="lowerLetter"/>
      <w:start w:val="61"/>
    </w:lvl>
    <w:lvl w:ilvl="1">
      <w:lvlJc w:val="left"/>
      <w:lvlText w:val="(%2)"/>
      <w:numFmt w:val="lowerLetter"/>
      <w:start w:val="9"/>
    </w:lvl>
  </w:abstractNum>
  <w:abstractNum w:abstractNumId="267">
    <w:nsid w:val="3746A5F2"/>
    <w:multiLevelType w:val="hybridMultilevel"/>
    <w:lvl w:ilvl="0">
      <w:lvlJc w:val="left"/>
      <w:lvlText w:val="(%1)"/>
      <w:numFmt w:val="lowerLetter"/>
      <w:start w:val="13"/>
    </w:lvl>
  </w:abstractNum>
  <w:abstractNum w:abstractNumId="268">
    <w:nsid w:val="682DFED6"/>
    <w:multiLevelType w:val="hybridMultilevel"/>
    <w:lvl w:ilvl="0">
      <w:lvlJc w:val="left"/>
      <w:lvlText w:val="."/>
      <w:numFmt w:val="bullet"/>
      <w:start w:val="1"/>
    </w:lvl>
    <w:lvl w:ilvl="1">
      <w:lvlJc w:val="left"/>
      <w:lvlText w:val="(%2)"/>
      <w:numFmt w:val="lowerLetter"/>
      <w:start w:val="1"/>
    </w:lvl>
  </w:abstractNum>
  <w:abstractNum w:abstractNumId="269">
    <w:nsid w:val="606ED7F6"/>
    <w:multiLevelType w:val="hybridMultilevel"/>
    <w:lvl w:ilvl="0">
      <w:lvlJc w:val="left"/>
      <w:lvlText w:val="."/>
      <w:numFmt w:val="bullet"/>
      <w:start w:val="1"/>
    </w:lvl>
  </w:abstractNum>
  <w:abstractNum w:abstractNumId="270">
    <w:nsid w:val="2D9DF57D"/>
    <w:multiLevelType w:val="hybridMultilevel"/>
    <w:lvl w:ilvl="0">
      <w:lvlJc w:val="left"/>
      <w:lvlText w:val="."/>
      <w:numFmt w:val="bullet"/>
      <w:start w:val="1"/>
    </w:lvl>
  </w:abstractNum>
  <w:abstractNum w:abstractNumId="271">
    <w:nsid w:val="7FBD7A3E"/>
    <w:multiLevelType w:val="hybridMultilevel"/>
    <w:lvl w:ilvl="0">
      <w:lvlJc w:val="left"/>
      <w:lvlText w:val="."/>
      <w:numFmt w:val="bullet"/>
      <w:start w:val="1"/>
    </w:lvl>
    <w:lvl w:ilvl="1">
      <w:lvlJc w:val="left"/>
      <w:lvlText w:val="(%2)"/>
      <w:numFmt w:val="lowerRoman"/>
      <w:start w:val="1"/>
    </w:lvl>
  </w:abstractNum>
  <w:abstractNum w:abstractNumId="272">
    <w:nsid w:val="490B7C5"/>
    <w:multiLevelType w:val="hybridMultilevel"/>
    <w:lvl w:ilvl="0">
      <w:lvlJc w:val="left"/>
      <w:lvlText w:val="."/>
      <w:numFmt w:val="bullet"/>
      <w:start w:val="1"/>
    </w:lvl>
  </w:abstractNum>
  <w:abstractNum w:abstractNumId="273">
    <w:nsid w:val="4303A216"/>
    <w:multiLevelType w:val="hybridMultilevel"/>
    <w:lvl w:ilvl="0">
      <w:lvlJc w:val="left"/>
      <w:lvlText w:val="."/>
      <w:numFmt w:val="bullet"/>
      <w:start w:val="1"/>
    </w:lvl>
  </w:abstractNum>
  <w:abstractNum w:abstractNumId="274">
    <w:nsid w:val="19B8A08E"/>
    <w:multiLevelType w:val="hybridMultilevel"/>
    <w:lvl w:ilvl="0">
      <w:lvlJc w:val="left"/>
      <w:lvlText w:val="."/>
      <w:numFmt w:val="bullet"/>
      <w:start w:val="1"/>
    </w:lvl>
  </w:abstractNum>
  <w:abstractNum w:abstractNumId="275">
    <w:nsid w:val="54B59621"/>
    <w:multiLevelType w:val="hybridMultilevel"/>
    <w:lvl w:ilvl="0">
      <w:lvlJc w:val="left"/>
      <w:lvlText w:val="."/>
      <w:numFmt w:val="bullet"/>
      <w:start w:val="1"/>
    </w:lvl>
  </w:abstractNum>
  <w:abstractNum w:abstractNumId="276">
    <w:nsid w:val="5992A02E"/>
    <w:multiLevelType w:val="hybridMultilevel"/>
    <w:lvl w:ilvl="0">
      <w:lvlJc w:val="left"/>
      <w:lvlText w:val="."/>
      <w:numFmt w:val="bullet"/>
      <w:start w:val="1"/>
    </w:lvl>
  </w:abstractNum>
  <w:abstractNum w:abstractNumId="277">
    <w:nsid w:val="29EF532D"/>
    <w:multiLevelType w:val="hybridMultilevel"/>
    <w:lvl w:ilvl="0">
      <w:lvlJc w:val="left"/>
      <w:lvlText w:val="(%1)"/>
      <w:numFmt w:val="lowerLetter"/>
      <w:start w:val="1"/>
    </w:lvl>
  </w:abstractNum>
  <w:abstractNum w:abstractNumId="278">
    <w:nsid w:val="71D601AF"/>
    <w:multiLevelType w:val="hybridMultilevel"/>
    <w:lvl w:ilvl="0">
      <w:lvlJc w:val="left"/>
      <w:lvlText w:val="(%1)"/>
      <w:numFmt w:val="lowerRoman"/>
      <w:start w:val="1"/>
    </w:lvl>
  </w:abstractNum>
  <w:abstractNum w:abstractNumId="279">
    <w:nsid w:val="52C77402"/>
    <w:multiLevelType w:val="hybridMultilevel"/>
    <w:lvl w:ilvl="0">
      <w:lvlJc w:val="left"/>
      <w:lvlText w:val="(%1)"/>
      <w:numFmt w:val="lowerRoman"/>
      <w:start w:val="2"/>
    </w:lvl>
  </w:abstractNum>
  <w:abstractNum w:abstractNumId="280">
    <w:nsid w:val="2BB5B1C6"/>
    <w:multiLevelType w:val="hybridMultilevel"/>
    <w:lvl w:ilvl="0">
      <w:lvlJc w:val="left"/>
      <w:lvlText w:val="(%1)"/>
      <w:numFmt w:val="lowerRoman"/>
      <w:start w:val="3"/>
    </w:lvl>
  </w:abstractNum>
  <w:abstractNum w:abstractNumId="281">
    <w:nsid w:val="66BE6B9"/>
    <w:multiLevelType w:val="hybridMultilevel"/>
    <w:lvl w:ilvl="0">
      <w:lvlJc w:val="left"/>
      <w:lvlText w:val="(%1)"/>
      <w:numFmt w:val="lowerRoman"/>
      <w:start w:val="4"/>
    </w:lvl>
  </w:abstractNum>
  <w:abstractNum w:abstractNumId="282">
    <w:nsid w:val="62234363"/>
    <w:multiLevelType w:val="hybridMultilevel"/>
    <w:lvl w:ilvl="0">
      <w:lvlJc w:val="left"/>
      <w:lvlText w:val="(%1)"/>
      <w:numFmt w:val="lowerRoman"/>
      <w:start w:val="5"/>
    </w:lvl>
  </w:abstractNum>
  <w:abstractNum w:abstractNumId="283">
    <w:nsid w:val="66D385C9"/>
    <w:multiLevelType w:val="hybridMultilevel"/>
    <w:lvl w:ilvl="0">
      <w:lvlJc w:val="left"/>
      <w:lvlText w:val="(%1)"/>
      <w:numFmt w:val="lowerLetter"/>
      <w:start w:val="2"/>
    </w:lvl>
  </w:abstractNum>
  <w:abstractNum w:abstractNumId="284">
    <w:nsid w:val="596F6D8A"/>
    <w:multiLevelType w:val="hybridMultilevel"/>
    <w:lvl w:ilvl="0">
      <w:lvlJc w:val="left"/>
      <w:lvlText w:val="(%1)"/>
      <w:numFmt w:val="lowerLetter"/>
      <w:start w:val="3"/>
    </w:lvl>
  </w:abstractNum>
  <w:abstractNum w:abstractNumId="285">
    <w:nsid w:val="5749361F"/>
    <w:multiLevelType w:val="hybridMultilevel"/>
    <w:lvl w:ilvl="0">
      <w:lvlJc w:val="left"/>
      <w:lvlText w:val="(%1)"/>
      <w:numFmt w:val="lowerLetter"/>
      <w:start w:val="1"/>
    </w:lvl>
    <w:lvl w:ilvl="1">
      <w:lvlJc w:val="left"/>
      <w:lvlText w:val="(%2)"/>
      <w:numFmt w:val="lowerRoman"/>
      <w:start w:val="1"/>
    </w:lvl>
  </w:abstractNum>
  <w:abstractNum w:abstractNumId="286">
    <w:nsid w:val="73BC6770"/>
    <w:multiLevelType w:val="hybridMultilevel"/>
    <w:lvl w:ilvl="0">
      <w:lvlJc w:val="left"/>
      <w:lvlText w:val="(%1)"/>
      <w:numFmt w:val="lowerRoman"/>
      <w:start w:val="9"/>
    </w:lvl>
  </w:abstractNum>
  <w:abstractNum w:abstractNumId="287">
    <w:nsid w:val="280E6897"/>
    <w:multiLevelType w:val="hybridMultilevel"/>
    <w:lvl w:ilvl="0">
      <w:lvlJc w:val="left"/>
      <w:lvlText w:val="(%1)"/>
      <w:numFmt w:val="lowerRoman"/>
      <w:start w:val="13"/>
    </w:lvl>
  </w:abstractNum>
  <w:abstractNum w:abstractNumId="288">
    <w:nsid w:val="605138DE"/>
    <w:multiLevelType w:val="hybridMultilevel"/>
    <w:lvl w:ilvl="0">
      <w:lvlJc w:val="left"/>
      <w:lvlText w:val="(%1)"/>
      <w:numFmt w:val="lowerLetter"/>
      <w:start w:val="3"/>
    </w:lvl>
  </w:abstractNum>
  <w:abstractNum w:abstractNumId="289">
    <w:nsid w:val="2622AD0C"/>
    <w:multiLevelType w:val="hybridMultilevel"/>
    <w:lvl w:ilvl="0">
      <w:lvlJc w:val="left"/>
      <w:lvlText w:val="%1"/>
      <w:numFmt w:val="upperLetter"/>
      <w:start w:val="1"/>
    </w:lvl>
    <w:lvl w:ilvl="1">
      <w:lvlJc w:val="left"/>
      <w:lvlText w:val="(%2)"/>
      <w:numFmt w:val="lowerLetter"/>
      <w:start w:val="1"/>
    </w:lvl>
  </w:abstractNum>
  <w:abstractNum w:abstractNumId="290">
    <w:nsid w:val="67997556"/>
    <w:multiLevelType w:val="hybridMultilevel"/>
    <w:lvl w:ilvl="0">
      <w:lvlJc w:val="left"/>
      <w:lvlText w:val="(%1)"/>
      <w:numFmt w:val="upperLetter"/>
      <w:start w:val="1"/>
    </w:lvl>
    <w:lvl w:ilvl="1">
      <w:lvlJc w:val="left"/>
      <w:lvlText w:val="(%2)"/>
      <w:numFmt w:val="lowerLetter"/>
      <w:start w:val="2"/>
    </w:lvl>
  </w:abstractNum>
  <w:abstractNum w:abstractNumId="291">
    <w:nsid w:val="18333C89"/>
    <w:multiLevelType w:val="hybridMultilevel"/>
    <w:lvl w:ilvl="0">
      <w:lvlJc w:val="left"/>
      <w:lvlText w:val="(%1)"/>
      <w:numFmt w:val="lowerLetter"/>
      <w:start w:val="1"/>
    </w:lvl>
  </w:abstractNum>
  <w:abstractNum w:abstractNumId="292">
    <w:nsid w:val="4BA9831A"/>
    <w:multiLevelType w:val="hybridMultilevel"/>
    <w:lvl w:ilvl="0">
      <w:lvlJc w:val="left"/>
      <w:lvlText w:val="(%1)"/>
      <w:numFmt w:val="lowerLetter"/>
      <w:start w:val="2"/>
    </w:lvl>
    <w:lvl w:ilvl="1">
      <w:lvlJc w:val="left"/>
      <w:lvlText w:val="(%2)"/>
      <w:numFmt w:val="lowerRoman"/>
      <w:start w:val="1"/>
    </w:lvl>
  </w:abstractNum>
  <w:abstractNum w:abstractNumId="293">
    <w:nsid w:val="6D71A2B"/>
    <w:multiLevelType w:val="hybridMultilevel"/>
    <w:lvl w:ilvl="0">
      <w:lvlJc w:val="left"/>
      <w:lvlText w:val="(%1)"/>
      <w:numFmt w:val="lowerLetter"/>
      <w:start w:val="3"/>
    </w:lvl>
  </w:abstractNum>
  <w:abstractNum w:abstractNumId="294">
    <w:nsid w:val="CFC7321"/>
    <w:multiLevelType w:val="hybridMultilevel"/>
    <w:lvl w:ilvl="0">
      <w:lvlJc w:val="left"/>
      <w:lvlText w:val="(%1)"/>
      <w:numFmt w:val="lowerLetter"/>
      <w:start w:val="5"/>
    </w:lvl>
  </w:abstractNum>
  <w:abstractNum w:abstractNumId="295">
    <w:nsid w:val="1421971B"/>
    <w:multiLevelType w:val="hybridMultilevel"/>
    <w:lvl w:ilvl="0">
      <w:lvlJc w:val="left"/>
      <w:lvlText w:val="(%1)"/>
      <w:numFmt w:val="lowerLetter"/>
      <w:start w:val="6"/>
    </w:lvl>
  </w:abstractNum>
  <w:abstractNum w:abstractNumId="296">
    <w:nsid w:val="1F404301"/>
    <w:multiLevelType w:val="hybridMultilevel"/>
    <w:lvl w:ilvl="0">
      <w:lvlJc w:val="left"/>
      <w:lvlText w:val="."/>
      <w:numFmt w:val="bullet"/>
      <w:start w:val="1"/>
    </w:lvl>
  </w:abstractNum>
  <w:abstractNum w:abstractNumId="297">
    <w:nsid w:val="116E0907"/>
    <w:multiLevelType w:val="hybridMultilevel"/>
    <w:lvl w:ilvl="0">
      <w:lvlJc w:val="left"/>
      <w:lvlText w:val="."/>
      <w:numFmt w:val="bullet"/>
      <w:start w:val="1"/>
    </w:lvl>
  </w:abstractNum>
  <w:abstractNum w:abstractNumId="298">
    <w:nsid w:val="4B683D0D"/>
    <w:multiLevelType w:val="hybridMultilevel"/>
    <w:lvl w:ilvl="0">
      <w:lvlJc w:val="left"/>
      <w:lvlText w:val="."/>
      <w:numFmt w:val="bullet"/>
      <w:start w:val="1"/>
    </w:lvl>
  </w:abstractNum>
  <w:abstractNum w:abstractNumId="299">
    <w:nsid w:val="76E41D8"/>
    <w:multiLevelType w:val="hybridMultilevel"/>
    <w:lvl w:ilvl="0">
      <w:lvlJc w:val="left"/>
      <w:lvlText w:val="."/>
      <w:numFmt w:val="bullet"/>
      <w:start w:val="1"/>
    </w:lvl>
  </w:abstractNum>
  <w:abstractNum w:abstractNumId="300">
    <w:nsid w:val="71DCE0FD"/>
    <w:multiLevelType w:val="hybridMultilevel"/>
    <w:lvl w:ilvl="0">
      <w:lvlJc w:val="left"/>
      <w:lvlText w:val="(%1)"/>
      <w:numFmt w:val="lowerLetter"/>
      <w:start w:val="1"/>
    </w:lvl>
  </w:abstractNum>
  <w:abstractNum w:abstractNumId="301">
    <w:nsid w:val="7906328B"/>
    <w:multiLevelType w:val="hybridMultilevel"/>
    <w:lvl w:ilvl="0">
      <w:lvlJc w:val="left"/>
      <w:lvlText w:val="."/>
      <w:numFmt w:val="bullet"/>
      <w:start w:val="1"/>
    </w:lvl>
  </w:abstractNum>
  <w:abstractNum w:abstractNumId="302">
    <w:nsid w:val="72BBC16"/>
    <w:multiLevelType w:val="hybridMultilevel"/>
    <w:lvl w:ilvl="0">
      <w:lvlJc w:val="left"/>
      <w:lvlText w:val="."/>
      <w:numFmt w:val="bullet"/>
      <w:start w:val="1"/>
    </w:lvl>
  </w:abstractNum>
  <w:abstractNum w:abstractNumId="303">
    <w:nsid w:val="766D98C2"/>
    <w:multiLevelType w:val="hybridMultilevel"/>
    <w:lvl w:ilvl="0">
      <w:lvlJc w:val="left"/>
      <w:lvlText w:val="."/>
      <w:numFmt w:val="bullet"/>
      <w:start w:val="1"/>
    </w:lvl>
  </w:abstractNum>
  <w:abstractNum w:abstractNumId="304">
    <w:nsid w:val="3C09D4A1"/>
    <w:multiLevelType w:val="hybridMultilevel"/>
    <w:lvl w:ilvl="0">
      <w:lvlJc w:val="left"/>
      <w:lvlText w:val="."/>
      <w:numFmt w:val="bullet"/>
      <w:start w:val="1"/>
    </w:lvl>
  </w:abstractNum>
  <w:abstractNum w:abstractNumId="305">
    <w:nsid w:val="20E45CA4"/>
    <w:multiLevelType w:val="hybridMultilevel"/>
    <w:lvl w:ilvl="0">
      <w:lvlJc w:val="left"/>
      <w:lvlText w:val="."/>
      <w:numFmt w:val="bullet"/>
      <w:start w:val="1"/>
    </w:lvl>
  </w:abstractNum>
  <w:abstractNum w:abstractNumId="306">
    <w:nsid w:val="4B232EE3"/>
    <w:multiLevelType w:val="hybridMultilevel"/>
    <w:lvl w:ilvl="0">
      <w:lvlJc w:val="left"/>
      <w:lvlText w:val="."/>
      <w:numFmt w:val="bullet"/>
      <w:start w:val="1"/>
    </w:lvl>
  </w:abstractNum>
  <w:abstractNum w:abstractNumId="307">
    <w:nsid w:val="159C74CF"/>
    <w:multiLevelType w:val="hybridMultilevel"/>
    <w:lvl w:ilvl="0">
      <w:lvlJc w:val="left"/>
      <w:lvlText w:val="."/>
      <w:numFmt w:val="bullet"/>
      <w:start w:val="1"/>
    </w:lvl>
    <w:lvl w:ilvl="1">
      <w:lvlJc w:val="left"/>
      <w:lvlText w:val="(%2)"/>
      <w:numFmt w:val="lowerLetter"/>
      <w:start w:val="1"/>
    </w:lvl>
  </w:abstractNum>
  <w:abstractNum w:abstractNumId="308">
    <w:nsid w:val="4AD3AFD2"/>
    <w:multiLevelType w:val="hybridMultilevel"/>
    <w:lvl w:ilvl="0">
      <w:lvlJc w:val="left"/>
      <w:lvlText w:val="."/>
      <w:numFmt w:val="bullet"/>
      <w:start w:val="1"/>
    </w:lvl>
  </w:abstractNum>
  <w:abstractNum w:abstractNumId="309">
    <w:nsid w:val="3CF93092"/>
    <w:multiLevelType w:val="hybridMultilevel"/>
    <w:lvl w:ilvl="0">
      <w:lvlJc w:val="left"/>
      <w:lvlText w:val="(%1)"/>
      <w:numFmt w:val="lowerLetter"/>
      <w:start w:val="1"/>
    </w:lvl>
  </w:abstractNum>
  <w:abstractNum w:abstractNumId="310">
    <w:nsid w:val="6863E8D2"/>
    <w:multiLevelType w:val="hybridMultilevel"/>
    <w:lvl w:ilvl="0">
      <w:lvlJc w:val="left"/>
      <w:lvlText w:val="(%1)"/>
      <w:numFmt w:val="lowerLetter"/>
      <w:start w:val="3"/>
    </w:lvl>
  </w:abstractNum>
  <w:abstractNum w:abstractNumId="311">
    <w:nsid w:val="76896198"/>
    <w:multiLevelType w:val="hybridMultilevel"/>
    <w:lvl w:ilvl="0">
      <w:lvlJc w:val="left"/>
      <w:lvlText w:val="(%1)"/>
      <w:numFmt w:val="lowerLetter"/>
      <w:start w:val="1"/>
    </w:lvl>
  </w:abstractNum>
  <w:abstractNum w:abstractNumId="312">
    <w:nsid w:val="4365174B"/>
    <w:multiLevelType w:val="hybridMultilevel"/>
    <w:lvl w:ilvl="0">
      <w:lvlJc w:val="left"/>
      <w:lvlText w:val="(%1)"/>
      <w:numFmt w:val="lowerLetter"/>
      <w:start w:val="1"/>
    </w:lvl>
  </w:abstractNum>
  <w:abstractNum w:abstractNumId="313">
    <w:nsid w:val="4A872C35"/>
    <w:multiLevelType w:val="hybridMultilevel"/>
    <w:lvl w:ilvl="0">
      <w:lvlJc w:val="left"/>
      <w:lvlText w:val="%1."/>
      <w:numFmt w:val="decimal"/>
      <w:start w:val="1"/>
    </w:lvl>
    <w:lvl w:ilvl="1">
      <w:lvlJc w:val="left"/>
      <w:lvlText w:val="(%2)"/>
      <w:numFmt w:val="lowerLetter"/>
      <w:start w:val="1"/>
    </w:lvl>
  </w:abstractNum>
  <w:abstractNum w:abstractNumId="314">
    <w:nsid w:val="5D5CE761"/>
    <w:multiLevelType w:val="hybridMultilevel"/>
    <w:lvl w:ilvl="0">
      <w:lvlJc w:val="left"/>
      <w:lvlText w:val="A"/>
      <w:numFmt w:val="bullet"/>
      <w:start w:val="1"/>
    </w:lvl>
  </w:abstractNum>
  <w:abstractNum w:abstractNumId="315">
    <w:nsid w:val="1CD484D5"/>
    <w:multiLevelType w:val="hybridMultilevel"/>
    <w:lvl w:ilvl="0">
      <w:lvlJc w:val="left"/>
      <w:lvlText w:val="B"/>
      <w:numFmt w:val="bullet"/>
      <w:start w:val="1"/>
    </w:lvl>
  </w:abstractNum>
  <w:abstractNum w:abstractNumId="316">
    <w:nsid w:val="21D06255"/>
    <w:multiLevelType w:val="hybridMultilevel"/>
    <w:lvl w:ilvl="0">
      <w:lvlJc w:val="left"/>
      <w:lvlText w:val="C"/>
      <w:numFmt w:val="bullet"/>
      <w:start w:val="1"/>
    </w:lvl>
  </w:abstractNum>
  <w:abstractNum w:abstractNumId="317">
    <w:nsid w:val="51194ED1"/>
    <w:multiLevelType w:val="hybridMultilevel"/>
    <w:lvl w:ilvl="0">
      <w:lvlJc w:val="left"/>
      <w:lvlText w:val="D"/>
      <w:numFmt w:val="bullet"/>
      <w:start w:val="1"/>
    </w:lvl>
  </w:abstractNum>
  <w:abstractNum w:abstractNumId="318">
    <w:nsid w:val="44E2ED6C"/>
    <w:multiLevelType w:val="hybridMultilevel"/>
    <w:lvl w:ilvl="0">
      <w:lvlJc w:val="left"/>
      <w:lvlText w:val="%1."/>
      <w:numFmt w:val="decimal"/>
      <w:start w:val="4"/>
    </w:lvl>
    <w:lvl w:ilvl="1">
      <w:lvlJc w:val="left"/>
      <w:lvlText w:val="E"/>
      <w:numFmt w:val="bullet"/>
      <w:start w:val="1"/>
    </w:lvl>
    <w:lvl w:ilvl="2">
      <w:lvlJc w:val="left"/>
      <w:lvlText w:val="(%3)"/>
      <w:numFmt w:val="lowerLetter"/>
      <w:start w:val="1"/>
    </w:lvl>
  </w:abstractNum>
  <w:abstractNum w:abstractNumId="319">
    <w:nsid w:val="2219B33"/>
    <w:multiLevelType w:val="hybridMultilevel"/>
    <w:lvl w:ilvl="0">
      <w:lvlJc w:val="left"/>
      <w:lvlText w:val="%1."/>
      <w:numFmt w:val="decimal"/>
      <w:start w:val="7"/>
    </w:lvl>
    <w:lvl w:ilvl="1">
      <w:lvlJc w:val="left"/>
      <w:lvlText w:val="(%2)"/>
      <w:numFmt w:val="lowerLetter"/>
      <w:start w:val="1"/>
    </w:lvl>
  </w:abstractNum>
  <w:abstractNum w:abstractNumId="320">
    <w:nsid w:val="773BFBDD"/>
    <w:multiLevelType w:val="hybridMultilevel"/>
    <w:lvl w:ilvl="0">
      <w:lvlJc w:val="left"/>
      <w:lvlText w:val="%1."/>
      <w:numFmt w:val="decimal"/>
      <w:start w:val="9"/>
    </w:lvl>
  </w:abstractNum>
  <w:abstractNum w:abstractNumId="321">
    <w:nsid w:val="2C7C62C2"/>
    <w:multiLevelType w:val="hybridMultilevel"/>
    <w:lvl w:ilvl="0">
      <w:lvlJc w:val="left"/>
      <w:lvlText w:val="%1."/>
      <w:numFmt w:val="upperLetter"/>
      <w:start w:val="1"/>
    </w:lvl>
  </w:abstractNum>
  <w:abstractNum w:abstractNumId="322">
    <w:nsid w:val="1A54D7BC"/>
    <w:multiLevelType w:val="hybridMultilevel"/>
    <w:lvl w:ilvl="0">
      <w:lvlJc w:val="left"/>
      <w:lvlText w:val="%1."/>
      <w:numFmt w:val="upperLetter"/>
      <w:start w:val="6"/>
    </w:lvl>
  </w:abstractNum>
  <w:abstractNum w:abstractNumId="323">
    <w:nsid w:val="42E57EF7"/>
    <w:multiLevelType w:val="hybridMultilevel"/>
    <w:lvl w:ilvl="0">
      <w:lvlJc w:val="left"/>
      <w:lvlText w:val="(%1)"/>
      <w:numFmt w:val="lowerLetter"/>
      <w:start w:val="1"/>
    </w:lvl>
  </w:abstractNum>
  <w:abstractNum w:abstractNumId="324">
    <w:nsid w:val="33537CED"/>
    <w:multiLevelType w:val="hybridMultilevel"/>
    <w:lvl w:ilvl="0">
      <w:lvlJc w:val="left"/>
      <w:lvlText w:val="(%1)"/>
      <w:numFmt w:val="lowerLetter"/>
      <w:start w:val="2"/>
    </w:lvl>
  </w:abstractNum>
  <w:abstractNum w:abstractNumId="325">
    <w:nsid w:val="27514ADE"/>
    <w:multiLevelType w:val="hybridMultilevel"/>
    <w:lvl w:ilvl="0">
      <w:lvlJc w:val="left"/>
      <w:lvlText w:val="(%1)"/>
      <w:numFmt w:val="lowerRoman"/>
      <w:start w:val="2"/>
    </w:lvl>
  </w:abstractNum>
  <w:abstractNum w:abstractNumId="326">
    <w:nsid w:val="57071613"/>
    <w:multiLevelType w:val="hybridMultilevel"/>
    <w:lvl w:ilvl="0">
      <w:lvlJc w:val="left"/>
      <w:lvlText w:val="(%1)"/>
      <w:numFmt w:val="lowerLetter"/>
      <w:start w:val="1"/>
    </w:lvl>
  </w:abstractNum>
  <w:abstractNum w:abstractNumId="327">
    <w:nsid w:val="5293BFEF"/>
    <w:multiLevelType w:val="hybridMultilevel"/>
    <w:lvl w:ilvl="0">
      <w:lvlJc w:val="left"/>
      <w:lvlText w:val="."/>
      <w:numFmt w:val="bullet"/>
      <w:start w:val="1"/>
    </w:lvl>
  </w:abstractNum>
  <w:abstractNum w:abstractNumId="328">
    <w:nsid w:val="38BF53E5"/>
    <w:multiLevelType w:val="hybridMultilevel"/>
    <w:lvl w:ilvl="0">
      <w:lvlJc w:val="left"/>
      <w:lvlText w:val="."/>
      <w:numFmt w:val="bullet"/>
      <w:start w:val="1"/>
    </w:lvl>
  </w:abstractNum>
  <w:abstractNum w:abstractNumId="329">
    <w:nsid w:val="226F5320"/>
    <w:multiLevelType w:val="hybridMultilevel"/>
    <w:lvl w:ilvl="0">
      <w:lvlJc w:val="left"/>
      <w:lvlText w:val="."/>
      <w:numFmt w:val="bullet"/>
      <w:start w:val="1"/>
    </w:lvl>
  </w:abstractNum>
  <w:abstractNum w:abstractNumId="330">
    <w:nsid w:val="5A0201C7"/>
    <w:multiLevelType w:val="hybridMultilevel"/>
    <w:lvl w:ilvl="0">
      <w:lvlJc w:val="left"/>
      <w:lvlText w:val="."/>
      <w:numFmt w:val="bullet"/>
      <w:start w:val="1"/>
    </w:lvl>
    <w:lvl w:ilvl="1">
      <w:lvlJc w:val="left"/>
      <w:lvlText w:val="(%2)"/>
      <w:numFmt w:val="lowerRoman"/>
      <w:start w:val="1"/>
    </w:lvl>
  </w:abstractNum>
  <w:abstractNum w:abstractNumId="331">
    <w:nsid w:val="2A9C34E2"/>
    <w:multiLevelType w:val="hybridMultilevel"/>
    <w:lvl w:ilvl="0">
      <w:lvlJc w:val="left"/>
      <w:lvlText w:val="."/>
      <w:numFmt w:val="bullet"/>
      <w:start w:val="1"/>
    </w:lvl>
  </w:abstractNum>
  <w:abstractNum w:abstractNumId="332">
    <w:nsid w:val="1B7585AB"/>
    <w:multiLevelType w:val="hybridMultilevel"/>
    <w:lvl w:ilvl="0">
      <w:lvlJc w:val="left"/>
      <w:lvlText w:val="(%1)"/>
      <w:numFmt w:val="lowerLetter"/>
      <w:start w:val="2"/>
    </w:lvl>
  </w:abstractNum>
  <w:abstractNum w:abstractNumId="333">
    <w:nsid w:val="612DBDDD"/>
    <w:multiLevelType w:val="hybridMultilevel"/>
    <w:lvl w:ilvl="0">
      <w:lvlJc w:val="left"/>
      <w:lvlText w:val="."/>
      <w:numFmt w:val="bullet"/>
      <w:start w:val="1"/>
    </w:lvl>
  </w:abstractNum>
  <w:abstractNum w:abstractNumId="334">
    <w:nsid w:val="2109CDA4"/>
    <w:multiLevelType w:val="hybridMultilevel"/>
    <w:lvl w:ilvl="0">
      <w:lvlJc w:val="left"/>
      <w:lvlText w:val="."/>
      <w:numFmt w:val="bullet"/>
      <w:start w:val="1"/>
    </w:lvl>
  </w:abstractNum>
  <w:abstractNum w:abstractNumId="335">
    <w:nsid w:val="577F5A4D"/>
    <w:multiLevelType w:val="hybridMultilevel"/>
    <w:lvl w:ilvl="0">
      <w:lvlJc w:val="left"/>
      <w:lvlText w:val="."/>
      <w:numFmt w:val="bullet"/>
      <w:start w:val="1"/>
    </w:lvl>
  </w:abstractNum>
  <w:abstractNum w:abstractNumId="336">
    <w:nsid w:val="2121A81"/>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337">
    <w:nsid w:val="6C2CFC88"/>
    <w:multiLevelType w:val="hybridMultilevel"/>
    <w:lvl w:ilvl="0">
      <w:lvlJc w:val="left"/>
      <w:lvlText w:val="(%1)"/>
      <w:numFmt w:val="decimal"/>
      <w:start w:val="3"/>
    </w:lvl>
    <w:lvl w:ilvl="1">
      <w:lvlJc w:val="left"/>
      <w:lvlText w:val="."/>
      <w:numFmt w:val="bullet"/>
      <w:start w:val="1"/>
    </w:lvl>
    <w:lvl w:ilvl="2">
      <w:lvlJc w:val="left"/>
      <w:lvlText w:val="%3"/>
      <w:numFmt w:val="lowerLetter"/>
      <w:start w:val="1"/>
    </w:lvl>
  </w:abstractNum>
  <w:abstractNum w:abstractNumId="338">
    <w:nsid w:val="6D1BCF1C"/>
    <w:multiLevelType w:val="hybridMultilevel"/>
    <w:lvl w:ilvl="0">
      <w:lvlJc w:val="left"/>
      <w:lvlText w:val="(%1)"/>
      <w:numFmt w:val="lowerLetter"/>
      <w:start w:val="3"/>
    </w:lvl>
    <w:lvl w:ilvl="1">
      <w:lvlJc w:val="left"/>
      <w:lvlText w:val="(%2)"/>
      <w:numFmt w:val="lowerLetter"/>
      <w:start w:val="35"/>
    </w:lvl>
  </w:abstractNum>
  <w:abstractNum w:abstractNumId="339">
    <w:nsid w:val="4CE5CA53"/>
    <w:multiLevelType w:val="hybridMultilevel"/>
    <w:lvl w:ilvl="0">
      <w:lvlJc w:val="left"/>
      <w:lvlText w:val="."/>
      <w:numFmt w:val="bullet"/>
      <w:start w:val="1"/>
    </w:lvl>
  </w:abstractNum>
  <w:abstractNum w:abstractNumId="340">
    <w:nsid w:val="29262D1A"/>
    <w:multiLevelType w:val="hybridMultilevel"/>
    <w:lvl w:ilvl="0">
      <w:lvlJc w:val="left"/>
      <w:lvlText w:val="."/>
      <w:numFmt w:val="bullet"/>
      <w:start w:val="1"/>
    </w:lvl>
  </w:abstractNum>
  <w:abstractNum w:abstractNumId="341">
    <w:nsid w:val="557FB7EE"/>
    <w:multiLevelType w:val="hybridMultilevel"/>
    <w:lvl w:ilvl="0">
      <w:lvlJc w:val="left"/>
      <w:lvlText w:val="."/>
      <w:numFmt w:val="bullet"/>
      <w:start w:val="1"/>
    </w:lvl>
  </w:abstractNum>
  <w:abstractNum w:abstractNumId="342">
    <w:nsid w:val="436F2BEB"/>
    <w:multiLevelType w:val="hybridMultilevel"/>
    <w:lvl w:ilvl="0">
      <w:lvlJc w:val="left"/>
      <w:lvlText w:val="."/>
      <w:numFmt w:val="bullet"/>
      <w:start w:val="1"/>
    </w:lvl>
  </w:abstractNum>
  <w:abstractNum w:abstractNumId="343">
    <w:nsid w:val="6C8B4466"/>
    <w:multiLevelType w:val="hybridMultilevel"/>
    <w:lvl w:ilvl="0">
      <w:lvlJc w:val="left"/>
      <w:lvlText w:val="."/>
      <w:numFmt w:val="bullet"/>
      <w:start w:val="1"/>
    </w:lvl>
  </w:abstractNum>
  <w:abstractNum w:abstractNumId="344">
    <w:nsid w:val="2006E424"/>
    <w:multiLevelType w:val="hybridMultilevel"/>
    <w:lvl w:ilvl="0">
      <w:lvlJc w:val="left"/>
      <w:lvlText w:val="."/>
      <w:numFmt w:val="bullet"/>
      <w:start w:val="1"/>
    </w:lvl>
  </w:abstractNum>
  <w:abstractNum w:abstractNumId="345">
    <w:nsid w:val="20CC134C"/>
    <w:multiLevelType w:val="hybridMultilevel"/>
    <w:lvl w:ilvl="0">
      <w:lvlJc w:val="left"/>
      <w:lvlText w:val="."/>
      <w:numFmt w:val="bullet"/>
      <w:start w:val="1"/>
    </w:lvl>
  </w:abstractNum>
  <w:abstractNum w:abstractNumId="346">
    <w:nsid w:val="95FC93B"/>
    <w:multiLevelType w:val="hybridMultilevel"/>
    <w:lvl w:ilvl="0">
      <w:lvlJc w:val="left"/>
      <w:lvlText w:val="."/>
      <w:numFmt w:val="bullet"/>
      <w:start w:val="1"/>
    </w:lvl>
  </w:abstractNum>
  <w:abstractNum w:abstractNumId="347">
    <w:nsid w:val="41D74679"/>
    <w:multiLevelType w:val="hybridMultilevel"/>
    <w:lvl w:ilvl="0">
      <w:lvlJc w:val="left"/>
      <w:lvlText w:val="."/>
      <w:numFmt w:val="bullet"/>
      <w:start w:val="1"/>
    </w:lvl>
  </w:abstractNum>
  <w:abstractNum w:abstractNumId="348">
    <w:nsid w:val="71E5621E"/>
    <w:multiLevelType w:val="hybridMultilevel"/>
    <w:lvl w:ilvl="0">
      <w:lvlJc w:val="left"/>
      <w:lvlText w:val="."/>
      <w:numFmt w:val="bullet"/>
      <w:start w:val="1"/>
    </w:lvl>
  </w:abstractNum>
  <w:abstractNum w:abstractNumId="349">
    <w:nsid w:val="4E42B6A8"/>
    <w:multiLevelType w:val="hybridMultilevel"/>
    <w:lvl w:ilvl="0">
      <w:lvlJc w:val="left"/>
      <w:lvlText w:val="(%1)"/>
      <w:numFmt w:val="lowerLetter"/>
      <w:start w:val="1"/>
    </w:lvl>
    <w:lvl w:ilvl="1">
      <w:lvlJc w:val="left"/>
      <w:lvlText w:val="(%2)"/>
      <w:numFmt w:val="lowerRoman"/>
      <w:start w:val="1"/>
    </w:lvl>
  </w:abstractNum>
  <w:abstractNum w:abstractNumId="350">
    <w:nsid w:val="43F8E1AC"/>
    <w:multiLevelType w:val="hybridMultilevel"/>
    <w:lvl w:ilvl="0">
      <w:lvlJc w:val="left"/>
      <w:lvlText w:val="(%1)"/>
      <w:numFmt w:val="lowerLetter"/>
      <w:start w:val="3"/>
    </w:lvl>
    <w:lvl w:ilvl="1">
      <w:lvlJc w:val="left"/>
      <w:lvlText w:val="(%2)"/>
      <w:numFmt w:val="lowerRoman"/>
      <w:start w:val="1"/>
    </w:lvl>
  </w:abstractNum>
  <w:abstractNum w:abstractNumId="351">
    <w:nsid w:val="69215DFB"/>
    <w:multiLevelType w:val="hybridMultilevel"/>
    <w:lvl w:ilvl="0">
      <w:lvlJc w:val="left"/>
      <w:lvlText w:val="."/>
      <w:numFmt w:val="bullet"/>
      <w:start w:val="1"/>
    </w:lvl>
  </w:abstractNum>
  <w:abstractNum w:abstractNumId="352">
    <w:nsid w:val="7ABF196A"/>
    <w:multiLevelType w:val="hybridMultilevel"/>
    <w:lvl w:ilvl="0">
      <w:lvlJc w:val="left"/>
      <w:lvlText w:val="(%1)"/>
      <w:numFmt w:val="lowerLetter"/>
      <w:start w:val="1"/>
    </w:lvl>
  </w:abstractNum>
  <w:abstractNum w:abstractNumId="353">
    <w:nsid w:val="5E4DB968"/>
    <w:multiLevelType w:val="hybridMultilevel"/>
    <w:lvl w:ilvl="0">
      <w:lvlJc w:val="left"/>
      <w:lvlText w:val="."/>
      <w:numFmt w:val="bullet"/>
      <w:start w:val="1"/>
    </w:lvl>
  </w:abstractNum>
  <w:abstractNum w:abstractNumId="354">
    <w:nsid w:val="2C06DCF3"/>
    <w:multiLevelType w:val="hybridMultilevel"/>
    <w:lvl w:ilvl="0">
      <w:lvlJc w:val="left"/>
      <w:lvlText w:val="(%1)"/>
      <w:numFmt w:val="lowerRoman"/>
      <w:start w:val="2"/>
    </w:lvl>
    <w:lvl w:ilvl="1">
      <w:lvlJc w:val="left"/>
      <w:lvlText w:val="."/>
      <w:numFmt w:val="bullet"/>
      <w:start w:val="1"/>
    </w:lvl>
  </w:abstractNum>
  <w:abstractNum w:abstractNumId="355">
    <w:nsid w:val="2E129658"/>
    <w:multiLevelType w:val="hybridMultilevel"/>
    <w:lvl w:ilvl="0">
      <w:lvlJc w:val="left"/>
      <w:lvlText w:val="."/>
      <w:numFmt w:val="bullet"/>
      <w:start w:val="1"/>
    </w:lvl>
  </w:abstractNum>
  <w:abstractNum w:abstractNumId="356">
    <w:nsid w:val="59F0446"/>
    <w:multiLevelType w:val="hybridMultilevel"/>
    <w:lvl w:ilvl="0">
      <w:lvlJc w:val="left"/>
      <w:lvlText w:val="."/>
      <w:numFmt w:val="bullet"/>
      <w:start w:val="1"/>
    </w:lvl>
  </w:abstractNum>
  <w:abstractNum w:abstractNumId="357">
    <w:nsid w:val="30DF306"/>
    <w:multiLevelType w:val="hybridMultilevel"/>
    <w:lvl w:ilvl="0">
      <w:lvlJc w:val="left"/>
      <w:lvlText w:val="."/>
      <w:numFmt w:val="bullet"/>
      <w:start w:val="1"/>
    </w:lvl>
  </w:abstractNum>
  <w:abstractNum w:abstractNumId="358">
    <w:nsid w:val="A65647"/>
    <w:multiLevelType w:val="hybridMultilevel"/>
    <w:lvl w:ilvl="0">
      <w:lvlJc w:val="left"/>
      <w:lvlText w:val="."/>
      <w:numFmt w:val="bullet"/>
      <w:start w:val="1"/>
    </w:lvl>
  </w:abstractNum>
  <w:abstractNum w:abstractNumId="359">
    <w:nsid w:val="3E5E582B"/>
    <w:multiLevelType w:val="hybridMultilevel"/>
    <w:lvl w:ilvl="0">
      <w:lvlJc w:val="left"/>
      <w:lvlText w:val="."/>
      <w:numFmt w:val="bullet"/>
      <w:start w:val="1"/>
    </w:lvl>
  </w:abstractNum>
  <w:abstractNum w:abstractNumId="360">
    <w:nsid w:val="257D4626"/>
    <w:multiLevelType w:val="hybridMultilevel"/>
    <w:lvl w:ilvl="0">
      <w:lvlJc w:val="left"/>
      <w:lvlText w:val="."/>
      <w:numFmt w:val="bullet"/>
      <w:start w:val="1"/>
    </w:lvl>
  </w:abstractNum>
  <w:abstractNum w:abstractNumId="361">
    <w:nsid w:val="5AA8580E"/>
    <w:multiLevelType w:val="hybridMultilevel"/>
    <w:lvl w:ilvl="0">
      <w:lvlJc w:val="left"/>
      <w:lvlText w:val="."/>
      <w:numFmt w:val="bullet"/>
      <w:start w:val="1"/>
    </w:lvl>
    <w:lvl w:ilvl="1">
      <w:lvlJc w:val="left"/>
      <w:lvlText w:val="(%2)"/>
      <w:numFmt w:val="lowerRoman"/>
      <w:start w:val="1"/>
    </w:lvl>
  </w:abstractNum>
  <w:abstractNum w:abstractNumId="362">
    <w:nsid w:val="68FA8D0D"/>
    <w:multiLevelType w:val="hybridMultilevel"/>
    <w:lvl w:ilvl="0">
      <w:lvlJc w:val="left"/>
      <w:lvlText w:val="."/>
      <w:numFmt w:val="bullet"/>
      <w:start w:val="1"/>
    </w:lvl>
  </w:abstractNum>
  <w:abstractNum w:abstractNumId="363">
    <w:nsid w:val="40F2CBD2"/>
    <w:multiLevelType w:val="hybridMultilevel"/>
    <w:lvl w:ilvl="0">
      <w:lvlJc w:val="left"/>
      <w:lvlText w:val="."/>
      <w:numFmt w:val="bullet"/>
      <w:start w:val="1"/>
    </w:lvl>
  </w:abstractNum>
  <w:abstractNum w:abstractNumId="364">
    <w:nsid w:val="3BD615EB"/>
    <w:multiLevelType w:val="hybridMultilevel"/>
    <w:lvl w:ilvl="0">
      <w:lvlJc w:val="left"/>
      <w:lvlText w:val="(%1)"/>
      <w:numFmt w:val="lowerLetter"/>
      <w:start w:val="1"/>
    </w:lvl>
  </w:abstractNum>
  <w:abstractNum w:abstractNumId="365">
    <w:nsid w:val="A045AB2"/>
    <w:multiLevelType w:val="hybridMultilevel"/>
    <w:lvl w:ilvl="0">
      <w:lvlJc w:val="left"/>
      <w:lvlText w:val="(%1)"/>
      <w:numFmt w:val="lowerLetter"/>
      <w:start w:val="1"/>
    </w:lvl>
  </w:abstractNum>
  <w:abstractNum w:abstractNumId="366">
    <w:nsid w:val="1872261F"/>
    <w:multiLevelType w:val="hybridMultilevel"/>
    <w:lvl w:ilvl="0">
      <w:lvlJc w:val="left"/>
      <w:lvlText w:val="(%1)"/>
      <w:numFmt w:val="lowerLetter"/>
      <w:start w:val="2"/>
    </w:lvl>
  </w:abstractNum>
  <w:abstractNum w:abstractNumId="367">
    <w:nsid w:val="3DE8306C"/>
    <w:multiLevelType w:val="hybridMultilevel"/>
    <w:lvl w:ilvl="0">
      <w:lvlJc w:val="left"/>
      <w:lvlText w:val="."/>
      <w:numFmt w:val="bullet"/>
      <w:start w:val="1"/>
    </w:lvl>
  </w:abstractNum>
  <w:abstractNum w:abstractNumId="368">
    <w:nsid w:val="7631573A"/>
    <w:multiLevelType w:val="hybridMultilevel"/>
    <w:lvl w:ilvl="0">
      <w:lvlJc w:val="left"/>
      <w:lvlText w:val="."/>
      <w:numFmt w:val="bullet"/>
      <w:start w:val="1"/>
    </w:lvl>
  </w:abstractNum>
  <w:abstractNum w:abstractNumId="369">
    <w:nsid w:val="58DF53B"/>
    <w:multiLevelType w:val="hybridMultilevel"/>
    <w:lvl w:ilvl="0">
      <w:lvlJc w:val="left"/>
      <w:lvlText w:val="(%1)"/>
      <w:numFmt w:val="lowerLetter"/>
      <w:start w:val="1"/>
    </w:lvl>
  </w:abstractNum>
  <w:abstractNum w:abstractNumId="370">
    <w:nsid w:val="ACDFAC0"/>
    <w:multiLevelType w:val="hybridMultilevel"/>
    <w:lvl w:ilvl="0">
      <w:lvlJc w:val="left"/>
      <w:lvlText w:val="."/>
      <w:numFmt w:val="bullet"/>
      <w:start w:val="1"/>
    </w:lvl>
  </w:abstractNum>
  <w:abstractNum w:abstractNumId="371">
    <w:nsid w:val="1F578454"/>
    <w:multiLevelType w:val="hybridMultilevel"/>
    <w:lvl w:ilvl="0">
      <w:lvlJc w:val="left"/>
      <w:lvlText w:val="."/>
      <w:numFmt w:val="bullet"/>
      <w:start w:val="1"/>
    </w:lvl>
  </w:abstractNum>
  <w:abstractNum w:abstractNumId="372">
    <w:nsid w:val="5B0DAD2A"/>
    <w:multiLevelType w:val="hybridMultilevel"/>
    <w:lvl w:ilvl="0">
      <w:lvlJc w:val="left"/>
      <w:lvlText w:val="."/>
      <w:numFmt w:val="bullet"/>
      <w:start w:val="1"/>
    </w:lvl>
  </w:abstractNum>
  <w:abstractNum w:abstractNumId="373">
    <w:nsid w:val="4E3D26AB"/>
    <w:multiLevelType w:val="hybridMultilevel"/>
    <w:lvl w:ilvl="0">
      <w:lvlJc w:val="left"/>
      <w:lvlText w:val="."/>
      <w:numFmt w:val="bullet"/>
      <w:start w:val="1"/>
    </w:lvl>
  </w:abstractNum>
  <w:abstractNum w:abstractNumId="374">
    <w:nsid w:val="BE2C8BA"/>
    <w:multiLevelType w:val="hybridMultilevel"/>
    <w:lvl w:ilvl="0">
      <w:lvlJc w:val="left"/>
      <w:lvlText w:val="."/>
      <w:numFmt w:val="bullet"/>
      <w:start w:val="1"/>
    </w:lvl>
  </w:abstractNum>
  <w:abstractNum w:abstractNumId="375">
    <w:nsid w:val="7B14914E"/>
    <w:multiLevelType w:val="hybridMultilevel"/>
    <w:lvl w:ilvl="0">
      <w:lvlJc w:val="left"/>
      <w:lvlText w:val="."/>
      <w:numFmt w:val="bullet"/>
      <w:start w:val="1"/>
    </w:lvl>
  </w:abstractNum>
  <w:abstractNum w:abstractNumId="376">
    <w:nsid w:val="6F0939F8"/>
    <w:multiLevelType w:val="hybridMultilevel"/>
    <w:lvl w:ilvl="0">
      <w:lvlJc w:val="left"/>
      <w:lvlText w:val="."/>
      <w:numFmt w:val="bullet"/>
      <w:start w:val="1"/>
    </w:lvl>
  </w:abstractNum>
  <w:abstractNum w:abstractNumId="377">
    <w:nsid w:val="154291F6"/>
    <w:multiLevelType w:val="hybridMultilevel"/>
    <w:lvl w:ilvl="0">
      <w:lvlJc w:val="left"/>
      <w:lvlText w:val="."/>
      <w:numFmt w:val="bullet"/>
      <w:start w:val="1"/>
    </w:lvl>
  </w:abstractNum>
  <w:abstractNum w:abstractNumId="378">
    <w:nsid w:val="3CEBD7C7"/>
    <w:multiLevelType w:val="hybridMultilevel"/>
    <w:lvl w:ilvl="0">
      <w:lvlJc w:val="left"/>
      <w:lvlText w:val="."/>
      <w:numFmt w:val="bullet"/>
      <w:start w:val="1"/>
    </w:lvl>
  </w:abstractNum>
  <w:abstractNum w:abstractNumId="379">
    <w:nsid w:val="60EE9C16"/>
    <w:multiLevelType w:val="hybridMultilevel"/>
    <w:lvl w:ilvl="0">
      <w:lvlJc w:val="left"/>
      <w:lvlText w:val="."/>
      <w:numFmt w:val="bullet"/>
      <w:start w:val="1"/>
    </w:lvl>
  </w:abstractNum>
  <w:abstractNum w:abstractNumId="380">
    <w:nsid w:val="6385489E"/>
    <w:multiLevelType w:val="hybridMultilevel"/>
    <w:lvl w:ilvl="0">
      <w:lvlJc w:val="left"/>
      <w:lvlText w:val="."/>
      <w:numFmt w:val="bullet"/>
      <w:start w:val="1"/>
    </w:lvl>
  </w:abstractNum>
  <w:abstractNum w:abstractNumId="381">
    <w:nsid w:val="E4B973"/>
    <w:multiLevelType w:val="hybridMultilevel"/>
    <w:lvl w:ilvl="0">
      <w:lvlJc w:val="left"/>
      <w:lvlText w:val="."/>
      <w:numFmt w:val="bullet"/>
      <w:start w:val="1"/>
    </w:lvl>
  </w:abstractNum>
  <w:abstractNum w:abstractNumId="382">
    <w:nsid w:val="4A0FFA11"/>
    <w:multiLevelType w:val="hybridMultilevel"/>
    <w:lvl w:ilvl="0">
      <w:lvlJc w:val="left"/>
      <w:lvlText w:val="."/>
      <w:numFmt w:val="bullet"/>
      <w:start w:val="1"/>
    </w:lvl>
    <w:lvl w:ilvl="1">
      <w:lvlJc w:val="left"/>
      <w:lvlText w:val="(%2)"/>
      <w:numFmt w:val="lowerRoman"/>
      <w:start w:val="1"/>
    </w:lvl>
  </w:abstractNum>
  <w:abstractNum w:abstractNumId="383">
    <w:nsid w:val="5E446208"/>
    <w:multiLevelType w:val="hybridMultilevel"/>
    <w:lvl w:ilvl="0">
      <w:lvlJc w:val="left"/>
      <w:lvlText w:val="(%1)"/>
      <w:numFmt w:val="lowerRoman"/>
      <w:start w:val="1"/>
    </w:lvl>
  </w:abstractNum>
  <w:abstractNum w:abstractNumId="384">
    <w:nsid w:val="5F3272DB"/>
    <w:multiLevelType w:val="hybridMultilevel"/>
    <w:lvl w:ilvl="0">
      <w:lvlJc w:val="left"/>
      <w:lvlText w:val="(%1)"/>
      <w:numFmt w:val="lowerRoman"/>
      <w:start w:val="1"/>
    </w:lvl>
  </w:abstractNum>
  <w:abstractNum w:abstractNumId="385">
    <w:nsid w:val="7616D704"/>
    <w:multiLevelType w:val="hybridMultilevel"/>
    <w:lvl w:ilvl="0">
      <w:lvlJc w:val="left"/>
      <w:lvlText w:val="(%1)"/>
      <w:numFmt w:val="lowerRoman"/>
      <w:start w:val="1"/>
    </w:lvl>
  </w:abstractNum>
  <w:abstractNum w:abstractNumId="386">
    <w:nsid w:val="C56F860"/>
    <w:multiLevelType w:val="hybridMultilevel"/>
    <w:lvl w:ilvl="0">
      <w:lvlJc w:val="left"/>
      <w:lvlText w:val="["/>
      <w:numFmt w:val="bullet"/>
      <w:start w:val="1"/>
    </w:lvl>
  </w:abstractNum>
  <w:abstractNum w:abstractNumId="387">
    <w:nsid w:val="64D17722"/>
    <w:multiLevelType w:val="hybridMultilevel"/>
    <w:lvl w:ilvl="0">
      <w:lvlJc w:val="left"/>
      <w:lvlText w:val="(%1)"/>
      <w:numFmt w:val="lowerRoman"/>
      <w:start w:val="1"/>
    </w:lvl>
  </w:abstractNum>
  <w:abstractNum w:abstractNumId="388">
    <w:nsid w:val="7924CA0A"/>
    <w:multiLevelType w:val="hybridMultilevel"/>
    <w:lvl w:ilvl="0">
      <w:lvlJc w:val="left"/>
      <w:lvlText w:val="(%1)"/>
      <w:numFmt w:val="lowerRoman"/>
      <w:start w:val="2"/>
    </w:lvl>
  </w:abstractNum>
  <w:abstractNum w:abstractNumId="389">
    <w:nsid w:val="CFD4EA7"/>
    <w:multiLevelType w:val="hybridMultilevel"/>
    <w:lvl w:ilvl="0">
      <w:lvlJc w:val="left"/>
      <w:lvlText w:val="(%1)"/>
      <w:numFmt w:val="lowerRoman"/>
      <w:start w:val="1"/>
    </w:lvl>
  </w:abstractNum>
  <w:abstractNum w:abstractNumId="390">
    <w:nsid w:val="232FCF4D"/>
    <w:multiLevelType w:val="hybridMultilevel"/>
    <w:lvl w:ilvl="0">
      <w:lvlJc w:val="left"/>
      <w:lvlText w:val="(%1)"/>
      <w:numFmt w:val="lowerLetter"/>
      <w:start w:val="1"/>
    </w:lvl>
  </w:abstractNum>
  <w:abstractNum w:abstractNumId="391">
    <w:nsid w:val="1EA21031"/>
    <w:multiLevelType w:val="hybridMultilevel"/>
    <w:lvl w:ilvl="0">
      <w:lvlJc w:val="left"/>
      <w:lvlText w:val="1"/>
      <w:numFmt w:val="bullet"/>
      <w:start w:val="1"/>
    </w:lvl>
  </w:abstractNum>
  <w:abstractNum w:abstractNumId="392">
    <w:nsid w:val="67A5A6B5"/>
    <w:multiLevelType w:val="hybridMultilevel"/>
    <w:lvl w:ilvl="0">
      <w:lvlJc w:val="left"/>
      <w:lvlText w:val="(%1)"/>
      <w:numFmt w:val="lowerLetter"/>
      <w:start w:val="1"/>
    </w:lvl>
  </w:abstractNum>
  <w:abstractNum w:abstractNumId="393">
    <w:nsid w:val="C2A5C5B"/>
    <w:multiLevelType w:val="hybridMultilevel"/>
    <w:lvl w:ilvl="0">
      <w:lvlJc w:val="left"/>
      <w:lvlText w:val="2"/>
      <w:numFmt w:val="bullet"/>
      <w:start w:val="1"/>
    </w:lvl>
  </w:abstractNum>
  <w:abstractNum w:abstractNumId="394">
    <w:nsid w:val="5F94DC03"/>
    <w:multiLevelType w:val="hybridMultilevel"/>
    <w:lvl w:ilvl="0">
      <w:lvlJc w:val="left"/>
      <w:lvlText w:val="(%1)"/>
      <w:numFmt w:val="lowerLetter"/>
      <w:start w:val="1"/>
    </w:lvl>
  </w:abstractNum>
  <w:abstractNum w:abstractNumId="395">
    <w:nsid w:val="237BBCA0"/>
    <w:multiLevelType w:val="hybridMultilevel"/>
    <w:lvl w:ilvl="0">
      <w:lvlJc w:val="left"/>
      <w:lvlText w:val="3"/>
      <w:numFmt w:val="bullet"/>
      <w:start w:val="1"/>
    </w:lvl>
  </w:abstractNum>
  <w:abstractNum w:abstractNumId="396">
    <w:nsid w:val="162EB70D"/>
    <w:multiLevelType w:val="hybridMultilevel"/>
    <w:lvl w:ilvl="0">
      <w:lvlJc w:val="left"/>
      <w:lvlText w:val="["/>
      <w:numFmt w:val="bullet"/>
      <w:start w:val="1"/>
    </w:lvl>
  </w:abstractNum>
  <w:abstractNum w:abstractNumId="397">
    <w:nsid w:val="78070222"/>
    <w:multiLevelType w:val="hybridMultilevel"/>
    <w:lvl w:ilvl="0">
      <w:lvlJc w:val="left"/>
      <w:lvlText w:val="%1:"/>
      <w:numFmt w:val="lowerLetter"/>
      <w:start w:val="29"/>
    </w:lvl>
  </w:abstractNum>
  <w:abstractNum w:abstractNumId="398">
    <w:nsid w:val="6163ED0D"/>
    <w:multiLevelType w:val="hybridMultilevel"/>
    <w:lvl w:ilvl="0">
      <w:lvlJc w:val="left"/>
      <w:lvlText w:val="·"/>
      <w:numFmt w:val="bullet"/>
      <w:start w:val="1"/>
    </w:lvl>
  </w:abstractNum>
  <w:abstractNum w:abstractNumId="399">
    <w:nsid w:val="C600E47"/>
    <w:multiLevelType w:val="hybridMultilevel"/>
    <w:lvl w:ilvl="0">
      <w:lvlJc w:val="left"/>
      <w:lvlText w:val="%1."/>
      <w:numFmt w:val="decimal"/>
      <w:start w:val="1"/>
    </w:lvl>
  </w:abstractNum>
  <w:abstractNum w:abstractNumId="400">
    <w:nsid w:val="7D94F75D"/>
    <w:multiLevelType w:val="hybridMultilevel"/>
    <w:lvl w:ilvl="0">
      <w:lvlJc w:val="left"/>
      <w:lvlText w:val="%1."/>
      <w:numFmt w:val="decimal"/>
      <w:start w:val="2"/>
    </w:lvl>
  </w:abstractNum>
  <w:abstractNum w:abstractNumId="401">
    <w:nsid w:val="6C31E7CD"/>
    <w:multiLevelType w:val="hybridMultilevel"/>
    <w:lvl w:ilvl="0">
      <w:lvlJc w:val="left"/>
      <w:lvlText w:val="%1."/>
      <w:numFmt w:val="decimal"/>
      <w:start w:val="2"/>
    </w:lvl>
    <w:lvl w:ilvl="1">
      <w:lvlJc w:val="left"/>
      <w:lvlText w:val="•"/>
      <w:numFmt w:val="bullet"/>
      <w:start w:val="1"/>
    </w:lvl>
  </w:abstractNum>
  <w:abstractNum w:abstractNumId="402">
    <w:nsid w:val="2BB7929B"/>
    <w:multiLevelType w:val="hybridMultilevel"/>
    <w:lvl w:ilvl="0">
      <w:lvlJc w:val="left"/>
      <w:lvlText w:val="%1."/>
      <w:numFmt w:val="decimal"/>
      <w:start w:val="4"/>
    </w:lvl>
  </w:abstractNum>
  <w:abstractNum w:abstractNumId="403">
    <w:nsid w:val="58A2A487"/>
    <w:multiLevelType w:val="hybridMultilevel"/>
    <w:lvl w:ilvl="0">
      <w:lvlJc w:val="left"/>
      <w:lvlText w:val="%1."/>
      <w:numFmt w:val="decimal"/>
      <w:start w:val="5"/>
    </w:lvl>
  </w:abstractNum>
  <w:abstractNum w:abstractNumId="404">
    <w:nsid w:val="3A6F0E78"/>
    <w:multiLevelType w:val="hybridMultilevel"/>
    <w:lvl w:ilvl="0">
      <w:lvlJc w:val="left"/>
      <w:lvlText w:val="o"/>
      <w:numFmt w:val="bullet"/>
      <w:start w:val="1"/>
    </w:lvl>
  </w:abstractNum>
  <w:abstractNum w:abstractNumId="405">
    <w:nsid w:val="379A5B56"/>
    <w:multiLevelType w:val="hybridMultilevel"/>
    <w:lvl w:ilvl="0">
      <w:lvlJc w:val="left"/>
      <w:lvlText w:val="o"/>
      <w:numFmt w:val="bullet"/>
      <w:start w:val="1"/>
    </w:lvl>
  </w:abstractNum>
  <w:abstractNum w:abstractNumId="406">
    <w:nsid w:val="53B735D5"/>
    <w:multiLevelType w:val="hybridMultilevel"/>
    <w:lvl w:ilvl="0">
      <w:lvlJc w:val="left"/>
      <w:lvlText w:val="%1."/>
      <w:numFmt w:val="decimal"/>
      <w:start w:val="6"/>
    </w:lvl>
  </w:abstractNum>
  <w:abstractNum w:abstractNumId="407">
    <w:nsid w:val="29784870"/>
    <w:multiLevelType w:val="hybridMultilevel"/>
    <w:lvl w:ilvl="0">
      <w:lvlJc w:val="left"/>
      <w:lvlText w:val="o"/>
      <w:numFmt w:val="bullet"/>
      <w:start w:val="1"/>
    </w:lvl>
  </w:abstractNum>
  <w:abstractNum w:abstractNumId="408">
    <w:nsid w:val="4CDCED4C"/>
    <w:multiLevelType w:val="hybridMultilevel"/>
    <w:lvl w:ilvl="0">
      <w:lvlJc w:val="left"/>
      <w:lvlText w:val="%1."/>
      <w:numFmt w:val="decimal"/>
      <w:start w:val="6"/>
    </w:lvl>
    <w:lvl w:ilvl="1">
      <w:lvlJc w:val="left"/>
      <w:lvlText w:val="o"/>
      <w:numFmt w:val="bullet"/>
      <w:start w:val="1"/>
    </w:lvl>
  </w:abstractNum>
  <w:abstractNum w:abstractNumId="409">
    <w:nsid w:val="10A30D9C"/>
    <w:multiLevelType w:val="hybridMultilevel"/>
    <w:lvl w:ilvl="0">
      <w:lvlJc w:val="left"/>
      <w:lvlText w:val="%1."/>
      <w:numFmt w:val="lowerLetter"/>
      <w:start w:val="1"/>
    </w:lvl>
  </w:abstractNum>
  <w:abstractNum w:abstractNumId="410">
    <w:nsid w:val="A66E486"/>
    <w:multiLevelType w:val="hybridMultilevel"/>
    <w:lvl w:ilvl="0">
      <w:lvlJc w:val="left"/>
      <w:lvlText w:val="%1."/>
      <w:numFmt w:val="decimal"/>
      <w:start w:val="8"/>
    </w:lvl>
  </w:abstractNum>
  <w:abstractNum w:abstractNumId="411">
    <w:nsid w:val="306235EA"/>
    <w:multiLevelType w:val="hybridMultilevel"/>
    <w:lvl w:ilvl="0">
      <w:lvlJc w:val="left"/>
      <w:lvlText w:val="%1."/>
      <w:numFmt w:val="decimal"/>
      <w:start w:val="9"/>
    </w:lvl>
  </w:abstractNum>
  <w:abstractNum w:abstractNumId="412">
    <w:nsid w:val="1187C70F"/>
    <w:multiLevelType w:val="hybridMultilevel"/>
    <w:lvl w:ilvl="0">
      <w:lvlJc w:val="left"/>
      <w:lvlText w:val="§"/>
      <w:numFmt w:val="bullet"/>
      <w:start w:val="1"/>
    </w:lvl>
  </w:abstractNum>
  <w:abstractNum w:abstractNumId="413">
    <w:nsid w:val="5476DE98"/>
    <w:multiLevelType w:val="hybridMultilevel"/>
    <w:lvl w:ilvl="0">
      <w:lvlJc w:val="left"/>
      <w:lvlText w:val="(%1)"/>
      <w:numFmt w:val="decimal"/>
      <w:start w:val="50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2019-12-13T15:42:23Z</dcterms:created>
  <dcterms:modified xsi:type="dcterms:W3CDTF">2019-12-13T15:42:23Z</dcterms:modified>
</cp:coreProperties>
</file>