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No._2_)*</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05/31/08</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1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465741106</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4" w:lineRule="exact"/>
        <w:rPr>
          <w:rFonts w:ascii="Courier New" w:cs="Courier New" w:eastAsia="Courier New" w:hAnsi="Courier New"/>
          <w:sz w:val="16"/>
          <w:szCs w:val="16"/>
          <w:color w:val="auto"/>
        </w:rPr>
      </w:pPr>
    </w:p>
    <w:p>
      <w:pPr>
        <w:ind w:left="420" w:right="34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EARNEST Partners,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Georgia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  523,954</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472,837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SOLE DISPOSITIVE POWER  1,629,478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bl>
    <w:p>
      <w:pPr>
        <w:ind w:left="2000" w:hanging="517"/>
        <w:spacing w:after="0" w:line="238"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1,629,478</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(SEE INSTRUCTIONS)[</w:t>
        <w:tab/>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578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4.8%</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ectPr>
          <w:pgSz w:w="11900" w:h="16855"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INSTRUCTIONS FOR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Instructions for Cover Page</w:t>
      </w:r>
    </w:p>
    <w:p>
      <w:pPr>
        <w:spacing w:after="0" w:line="207" w:lineRule="exact"/>
        <w:rPr>
          <w:sz w:val="20"/>
          <w:szCs w:val="20"/>
          <w:color w:val="auto"/>
        </w:rPr>
      </w:pPr>
    </w:p>
    <w:p>
      <w:pPr>
        <w:ind w:right="2099" w:firstLine="8"/>
        <w:spacing w:after="0" w:line="268"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and I.R.S. Identification Numbers of Reporting Persons--Furnish the full legal name of each person for whom the report is filed--i.e.,</w:t>
      </w:r>
    </w:p>
    <w:p>
      <w:pPr>
        <w:ind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each person required to sign the schedule itself--including each member of a group. Do not include the name of a person required to be identified in the report but who is not a reporting person. Reporting persons are also requested to furnish their I.R.S. identification numbers, although disclosure of such numbers is voluntary, not mandatory (see "SPECIAL INSTRUCTIONS FOR COMPLYING WITH SCHEDULE 13G", below).</w:t>
      </w:r>
    </w:p>
    <w:p>
      <w:pPr>
        <w:spacing w:after="0" w:line="211" w:lineRule="exact"/>
        <w:rPr>
          <w:rFonts w:ascii="Courier New" w:cs="Courier New" w:eastAsia="Courier New" w:hAnsi="Courier New"/>
          <w:sz w:val="16"/>
          <w:szCs w:val="16"/>
          <w:color w:val="auto"/>
        </w:rPr>
      </w:pPr>
    </w:p>
    <w:p>
      <w:pPr>
        <w:ind w:right="19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shares beneficially owned by a reporting person are held as a member of a group and that membership is expressly affirmed,</w:t>
      </w:r>
    </w:p>
    <w:p>
      <w:pPr>
        <w:spacing w:after="0" w:line="5" w:lineRule="exact"/>
        <w:rPr>
          <w:rFonts w:ascii="Courier New" w:cs="Courier New" w:eastAsia="Courier New" w:hAnsi="Courier New"/>
          <w:sz w:val="18"/>
          <w:szCs w:val="18"/>
          <w:color w:val="auto"/>
        </w:rPr>
      </w:pPr>
    </w:p>
    <w:p>
      <w:pPr>
        <w:ind w:right="2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check row 2(a). If the reporting person disclaims membership in a group or describes a relationship with other person but does not affirm the existence of a group, please check row 2(b)[unless it is a joint filing pursuant to Rule 13d-1(k)(1) in which case it may not be necessary to check row 2(b)].</w:t>
      </w: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row is for SEC internal use; please leave blank.</w:t>
      </w:r>
    </w:p>
    <w:p>
      <w:pPr>
        <w:spacing w:after="0" w:line="206" w:lineRule="exact"/>
        <w:rPr>
          <w:rFonts w:ascii="Courier New" w:cs="Courier New" w:eastAsia="Courier New" w:hAnsi="Courier New"/>
          <w:sz w:val="18"/>
          <w:szCs w:val="18"/>
          <w:color w:val="auto"/>
        </w:rPr>
      </w:pPr>
    </w:p>
    <w:p>
      <w:pPr>
        <w:ind w:right="1999" w:firstLine="8"/>
        <w:spacing w:after="0" w:line="236"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Organization--Furnish citizenship if the named reporting person is a natural person. Otherwise, furnish place of organization.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 Aggregated Amount Beneficially Owned By Each Reporting Person, etc.--</w:t>
      </w:r>
    </w:p>
    <w:p>
      <w:pPr>
        <w:spacing w:after="0" w:line="4" w:lineRule="exact"/>
        <w:rPr>
          <w:sz w:val="20"/>
          <w:szCs w:val="20"/>
          <w:color w:val="auto"/>
        </w:rPr>
      </w:pPr>
    </w:p>
    <w:p>
      <w:pPr>
        <w:ind w:right="2739" w:firstLine="8"/>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Rows (5) through (9) inclusive, and (11) are to be completed in accordance with the provisions of Item 4 of Schedule 13G. All percentages are to be rounded off to the nearest tenth (one place after decimal point).</w:t>
      </w:r>
    </w:p>
    <w:p>
      <w:pPr>
        <w:spacing w:after="0" w:line="207" w:lineRule="exact"/>
        <w:rPr>
          <w:sz w:val="20"/>
          <w:szCs w:val="20"/>
          <w:color w:val="auto"/>
        </w:rPr>
      </w:pPr>
    </w:p>
    <w:p>
      <w:pPr>
        <w:ind w:right="2099" w:firstLine="8"/>
        <w:spacing w:after="0" w:line="236"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reported as beneficially owned in row 9 does not include shares as to which beneficial ownership is disclaimed pursuant to Rule 13d-4 under the Securities Exchange Act of 1934.</w:t>
      </w:r>
    </w:p>
    <w:p>
      <w:pPr>
        <w:spacing w:after="0" w:line="209" w:lineRule="exact"/>
        <w:rPr>
          <w:sz w:val="20"/>
          <w:szCs w:val="20"/>
          <w:color w:val="auto"/>
        </w:rPr>
      </w:pPr>
    </w:p>
    <w:p>
      <w:pPr>
        <w:ind w:right="2519" w:firstLine="8"/>
        <w:spacing w:after="0" w:line="236"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Person--Please classify each "reporting person" according to the following breakdown (see Item 3 of Schedule 13G) and place the appropriate symbol on the form:</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000" w:type="dxa"/>
            <w:vAlign w:val="bottom"/>
          </w:tcPr>
          <w:p>
            <w:pPr>
              <w:ind w:left="940"/>
              <w:spacing w:after="0"/>
              <w:rPr>
                <w:sz w:val="20"/>
                <w:szCs w:val="20"/>
                <w:color w:val="auto"/>
              </w:rPr>
            </w:pPr>
            <w:r>
              <w:rPr>
                <w:rFonts w:ascii="Courier New" w:cs="Courier New" w:eastAsia="Courier New" w:hAnsi="Courier New"/>
                <w:sz w:val="18"/>
                <w:szCs w:val="18"/>
                <w:color w:val="auto"/>
              </w:rPr>
              <w:t>Category</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Symbol</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Broker Dealer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BD</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Bank</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BK</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Advisor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Benefit Plan, Pension Fund, or Endowment Fund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EP</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Parent Holding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Partnership</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PN</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Individual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OO</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Attach as many copies of the second part of the cover page as are needed, one reporting person per page.</w:t>
      </w:r>
    </w:p>
    <w:p>
      <w:pPr>
        <w:spacing w:after="0" w:line="208"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Filing persons may, in order to avoid unnecessary duplication, answer items on the schedules (Schedule 13D, 13G, or 14D-1) by appropriate cross references to an item or items on the cover page(s). This approach may only be used where the cover page item or items provide all the disclosure required by the schedule item. Moreover, such a use of a cover page item will result in the item becoming a part of the schedule and accordingly being considered as "filed" for purposes of Section 18 of the Securities Exchange Act or otherwise subject to the liabilities of that section of the Act.</w:t>
      </w:r>
    </w:p>
    <w:p>
      <w:pPr>
        <w:sectPr>
          <w:pgSz w:w="11900" w:h="16838" w:orient="portrait"/>
          <w:cols w:equalWidth="0" w:num="1">
            <w:col w:w="10219"/>
          </w:cols>
          <w:pgMar w:left="240" w:top="142" w:right="1440" w:bottom="0" w:gutter="0" w:footer="0" w:header="0"/>
        </w:sectPr>
      </w:pPr>
    </w:p>
    <w:bookmarkStart w:id="2" w:name="page3"/>
    <w:bookmarkEnd w:id="2"/>
    <w:p>
      <w:pPr>
        <w:ind w:right="2519"/>
        <w:spacing w:after="0" w:line="237" w:lineRule="auto"/>
        <w:rPr>
          <w:sz w:val="20"/>
          <w:szCs w:val="20"/>
          <w:color w:val="auto"/>
        </w:rPr>
      </w:pPr>
      <w:r>
        <w:rPr>
          <w:rFonts w:ascii="Courier New" w:cs="Courier New" w:eastAsia="Courier New" w:hAnsi="Courier New"/>
          <w:sz w:val="18"/>
          <w:szCs w:val="18"/>
          <w:color w:val="auto"/>
        </w:rPr>
        <w:t>Reporting persons may comply with their cover page filing requirements by filing either completed copies of the blank forms available from the Commission, printed or typed facsimiles, or computer printed facsimiles, provided the documents filed have identical formats to the forms prescribed in the Commission's regulations and meet existing Securities Exchange Act rules as to such matters as clarity and size (Securities Exchange Act Rule 12b-12).</w:t>
      </w:r>
    </w:p>
    <w:p>
      <w:pPr>
        <w:spacing w:after="0" w:line="205"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SPECIAL INSTRUCTIONS FOR COMPLYING WITH SCHEDULE 13G</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Sections 13(d), 13(g), and 23 of the Securities Exchange Act of 1934 and the rules and regulations thereunder, the Commission is authorized to solicit the information required to be supplied by this schedule by certain security holders of certain issuers.</w:t>
      </w:r>
    </w:p>
    <w:p>
      <w:pPr>
        <w:spacing w:after="0" w:line="5"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Disclosure of the information specified in this schedule is mandatory, except for I.R.S. identification numbers disclosure of which is voluntary. The information will be used for the primary purpose of determining and disclosing the holdings of certain beneficial owners of certain equity securities. This statement will be made a matter of public record. Therefore, any information given will be available for inspection by any member of the public.</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the public nature of the information, the Commission can utilize it for a variety of purposes, including referral to other governmental authorities or securities self-regulatory organizations for investigatory purposes or in connection with litigation involving the Federal securities laws or other civil, criminal or regulatory statues or provisions. I.R.S. identification numbers, if furnished, will assist the commission in identifying security holders and, therefore, in promptly processing statements of beneficial ownership of securities.</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Failure to disclose the information requested by this schedule, except for I.R.S. identification numbers, may result in civil or criminal action against the persons involved for violation of the Federal securities laws and rules promulgated thereunder.</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GENERAL INSTRUCTIONS</w:t>
      </w:r>
    </w:p>
    <w:p>
      <w:pPr>
        <w:spacing w:after="0" w:line="207" w:lineRule="exact"/>
        <w:rPr>
          <w:sz w:val="20"/>
          <w:szCs w:val="20"/>
          <w:color w:val="auto"/>
        </w:rPr>
      </w:pPr>
    </w:p>
    <w:p>
      <w:pPr>
        <w:ind w:right="1879" w:firstLine="8"/>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filed pursuant to Rule 13d-1(b) containing the information required by this schedule shall be filed not later than February 14 following the calendar year covered by the statement or within the time specified in Rules 13d-1(b)(2) and 13d-2(c). Statements filed pursuant to Rule 13d-1(c) shall be filed within the time specified in Rules 13d-1(c), 13d- 2(b) and 13d-2(d). Statements filed pursuant to Rule 13d-1(d) shall be filed not later than February 14 following the calendar year covered by the statement pursuant to Rules 13d-1(d) and 13d-2(b).</w:t>
      </w:r>
    </w:p>
    <w:p>
      <w:pPr>
        <w:spacing w:after="0" w:line="212" w:lineRule="exact"/>
        <w:rPr>
          <w:rFonts w:ascii="Courier New" w:cs="Courier New" w:eastAsia="Courier New" w:hAnsi="Courier New"/>
          <w:sz w:val="18"/>
          <w:szCs w:val="18"/>
          <w:color w:val="auto"/>
        </w:rPr>
      </w:pPr>
    </w:p>
    <w:p>
      <w:pPr>
        <w:ind w:right="1999" w:firstLine="8"/>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contained in a form which is required to be filed by rules under Section 13(f) for the same calendar year as that covered by a statement on this schedule may be incorporated by reference in response to any of the items of this schedule. If such information is incorporated by reference in this schedule, copies of the relevant pages of such form shall be filed as an exhibit to this schedule.</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679" w:firstLine="8"/>
        <w:spacing w:after="0" w:line="268" w:lineRule="auto"/>
        <w:tabs>
          <w:tab w:leader="none" w:pos="84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numbers and captions of the items shall be included but the text of the items is to be omitted. The answers to the items shall be so prepared as to indicate clearly the coverage of the items without referring to the text of the items. Answer every item. If an item is inapplicable or the answer is in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negative, so state.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ITRON, INC.</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2818 North Sullivan Road, Spokane, Washington 99216-1897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465741106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13d-1(b) or 13d-2(b) or (c),</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01" w:lineRule="exact"/>
        <w:rPr>
          <w:sz w:val="20"/>
          <w:szCs w:val="20"/>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1,629,478</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4.8%</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523,954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472,837</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1,629,478</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13d-3(d)(1).</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EARNEST Partners, LLC is filing as an investment adviser in accordance with 240.13d-1(b)(1)(ii)(E). No client interest relates to more than five percent of the class.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the employee benefit plan, pension fund or endowment fund is not required.</w:t>
      </w:r>
    </w:p>
    <w:p>
      <w:pPr>
        <w:spacing w:after="0" w:line="212"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If a parent holding company has filed this schedule, pursuant to Rule 13d-1(b)(ii)(G), so indicate under Item 3(g) and attach an exhibit stating the</w:t>
      </w:r>
    </w:p>
    <w:p>
      <w:pPr>
        <w:sectPr>
          <w:pgSz w:w="11900" w:h="16838" w:orient="portrait"/>
          <w:cols w:equalWidth="0" w:num="1">
            <w:col w:w="10219"/>
          </w:cols>
          <w:pgMar w:left="240" w:top="136" w:right="1440" w:bottom="0" w:gutter="0" w:footer="0" w:header="0"/>
        </w:sectPr>
      </w:pPr>
    </w:p>
    <w:bookmarkStart w:id="4" w:name="page5"/>
    <w:bookmarkEnd w:id="4"/>
    <w:p>
      <w:pPr>
        <w:jc w:val="both"/>
        <w:ind w:right="1999"/>
        <w:spacing w:after="0" w:line="279" w:lineRule="auto"/>
        <w:rPr>
          <w:sz w:val="20"/>
          <w:szCs w:val="20"/>
          <w:color w:val="auto"/>
        </w:rPr>
      </w:pPr>
      <w:r>
        <w:rPr>
          <w:rFonts w:ascii="Courier New" w:cs="Courier New" w:eastAsia="Courier New" w:hAnsi="Courier New"/>
          <w:sz w:val="16"/>
          <w:szCs w:val="16"/>
          <w:color w:val="auto"/>
        </w:rPr>
        <w:t>identity and the Item 3 classification of the relevant subsidiary. If a parent holding company has filed this schedule pursuant to Rule 13d-1(c) or Rule 13d-1(d), attach an exhibit stating the identification of the relevant subsidiary.</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 group has filed this schedule pursuant to 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June 10, 2008</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criminal violations (See 18 U.S.C. 1001)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upperLetter"/>
      <w:start w:val="24"/>
    </w:lvl>
  </w:abstractNum>
  <w:abstractNum w:abstractNumId="4">
    <w:nsid w:val="3352255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109CF92E"/>
    <w:multiLevelType w:val="hybridMultilevel"/>
    <w:lvl w:ilvl="0">
      <w:lvlJc w:val="left"/>
      <w:lvlText w:val="-"/>
      <w:numFmt w:val="bullet"/>
      <w:start w:val="1"/>
    </w:lvl>
    <w:lvl w:ilvl="1">
      <w:lvlJc w:val="left"/>
      <w:lvlText w:val="4"/>
      <w:numFmt w:val="bullet"/>
      <w:start w:val="1"/>
    </w:lvl>
  </w:abstractNum>
  <w:abstractNum w:abstractNumId="6">
    <w:nsid w:val="DED7263"/>
    <w:multiLevelType w:val="hybridMultilevel"/>
    <w:lvl w:ilvl="0">
      <w:lvlJc w:val="left"/>
      <w:lvlText w:val="-"/>
      <w:numFmt w:val="bullet"/>
      <w:start w:val="1"/>
    </w:lvl>
    <w:lvl w:ilvl="1">
      <w:lvlJc w:val="left"/>
      <w:lvlText w:val="8"/>
      <w:numFmt w:val="bullet"/>
      <w:start w:val="1"/>
    </w:lvl>
  </w:abstractNum>
  <w:abstractNum w:abstractNumId="7">
    <w:nsid w:val="7FDCC233"/>
    <w:multiLevelType w:val="hybridMultilevel"/>
    <w:lvl w:ilvl="0">
      <w:lvlJc w:val="left"/>
      <w:lvlText w:val="-"/>
      <w:numFmt w:val="bullet"/>
      <w:start w:val="1"/>
    </w:lvl>
    <w:lvl w:ilvl="1">
      <w:lvlJc w:val="left"/>
      <w:lvlText w:val="9"/>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0"/>
    </w:lvl>
  </w:abstractNum>
  <w:abstractNum w:abstractNumId="13">
    <w:nsid w:val="519B500D"/>
    <w:multiLevelType w:val="hybridMultilevel"/>
    <w:lvl w:ilvl="0">
      <w:lvlJc w:val="left"/>
      <w:lvlText w:val="(%1)"/>
      <w:numFmt w:val="decimal"/>
      <w:start w:val="12"/>
    </w:lvl>
  </w:abstractNum>
  <w:abstractNum w:abstractNumId="14">
    <w:nsid w:val="431BD7B7"/>
    <w:multiLevelType w:val="hybridMultilevel"/>
    <w:lvl w:ilvl="0">
      <w:lvlJc w:val="left"/>
      <w:lvlText w:val="%1."/>
      <w:numFmt w:val="upp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lvl w:ilvl="1">
      <w:lvlJc w:val="left"/>
      <w:lvlText w:val="(%2)"/>
      <w:numFmt w:val="lowerRoman"/>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2019-12-11T14:27:52Z</dcterms:created>
  <dcterms:modified xsi:type="dcterms:W3CDTF">2019-12-11T14:27:52Z</dcterms:modified>
</cp:coreProperties>
</file>