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00"/>
          </w:cols>
          <w:pgMar w:left="240" w:top="233" w:right="359" w:bottom="1093" w:gutter="0" w:footer="0" w:header="0"/>
        </w:sectPr>
      </w:pP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right="3795" w:firstLine="8"/>
        <w:spacing w:after="0" w:line="263"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Preliminary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5" w:right="560" w:hanging="5"/>
        <w:spacing w:after="0" w:line="268"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72" w:lineRule="exact"/>
        <w:rPr>
          <w:sz w:val="24"/>
          <w:szCs w:val="24"/>
          <w:color w:val="auto"/>
        </w:rPr>
      </w:pPr>
    </w:p>
    <w:p>
      <w:pPr>
        <w:sectPr>
          <w:pgSz w:w="11900" w:h="16838" w:orient="portrait"/>
          <w:cols w:equalWidth="0" w:num="2">
            <w:col w:w="6135" w:space="720"/>
            <w:col w:w="4445"/>
          </w:cols>
          <w:pgMar w:left="240" w:top="233" w:right="359" w:bottom="1093" w:gutter="0" w:footer="0" w:header="0"/>
          <w:type w:val="continuous"/>
        </w:sectPr>
      </w:pP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firstLine="8"/>
        <w:spacing w:after="0" w:line="268"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093" w:gutter="0" w:footer="0" w:header="0"/>
          <w:type w:val="continuous"/>
        </w:sectPr>
      </w:pPr>
    </w:p>
    <w:bookmarkStart w:id="1" w:name="page2"/>
    <w:bookmarkEnd w:id="1"/>
    <w:p>
      <w:pPr>
        <w:jc w:val="center"/>
        <w:ind w:left="260" w:right="2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prompt return of the enclosed proxy card will save the postage expense of additional mailings. Your immediate attention to these materials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76835</wp:posOffset>
            </wp:positionV>
            <wp:extent cx="133794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behalf of the Board of Directors, I invite you to attend the Itron, Inc. 2003 Annual Meeting of Shareholders. We hope you can join us. The annual meeting will be held:</w:t>
      </w:r>
    </w:p>
    <w:p>
      <w:pPr>
        <w:sectPr>
          <w:pgSz w:w="11900" w:h="16838" w:orient="portrait"/>
          <w:cols w:equalWidth="0" w:num="1">
            <w:col w:w="11420"/>
          </w:cols>
          <w:pgMar w:left="240" w:top="274"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Itron, Inc. — in the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111"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Friday, May 23, 2003</w:t>
      </w:r>
    </w:p>
    <w:p>
      <w:pPr>
        <w:spacing w:after="0" w:line="140"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 a.m., local time</w:t>
      </w:r>
    </w:p>
    <w:p>
      <w:pPr>
        <w:spacing w:after="0" w:line="181"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ind w:right="140" w:firstLine="456"/>
        <w:spacing w:after="0" w:line="259" w:lineRule="auto"/>
        <w:rPr>
          <w:sz w:val="20"/>
          <w:szCs w:val="20"/>
          <w:color w:val="auto"/>
        </w:rPr>
      </w:pPr>
      <w:r>
        <w:rPr>
          <w:rFonts w:ascii="Arial" w:cs="Arial" w:eastAsia="Arial" w:hAnsi="Arial"/>
          <w:sz w:val="18"/>
          <w:szCs w:val="18"/>
          <w:color w:val="auto"/>
        </w:rPr>
        <w:t>For our shareholders’ convenience, we will provide a continental breakfast beginning at 7:30 a.m. At this time, shareholders will also have an opportunity to meet personally with our directors and officers to discuss any questions they may have. The annual meeting will begin promptly at 8:00 a.m. The Notice of Annual Meeting of Shareholders and the proxy statement accompany this letter.</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know that many of our shareholders will be unable to attend the annual meeting. We are soliciting proxies so that each shareholder has an opportunity to vote on all matters that are scheduled to come before the shareholders at the annual meeting. Whether or not you plan to attend, please take the time now to read the proxy statement and vote your shares by signing, dating and returning your proxy card promptly in the enclosed postage-paid envelope. You may revoke your proxy at any time before it is exercised. Regardless of the number of Itron shares you own, your presence in person or by proxy is important for quorum purposes and your vote is important for proper corporate action.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continuing interest in Itron. We look forward to seeing you at our annual meeting.</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53975</wp:posOffset>
            </wp:positionV>
            <wp:extent cx="195516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 P.O. Box 15288, Spokane, Washington 99215-5288; (509) 924-9900 or (800) 635-5461</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left="50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2818 North Sullivan Road</w:t>
      </w:r>
    </w:p>
    <w:p>
      <w:pPr>
        <w:jc w:val="center"/>
        <w:ind w:right="-99"/>
        <w:spacing w:after="0"/>
        <w:rPr>
          <w:sz w:val="20"/>
          <w:szCs w:val="20"/>
          <w:color w:val="auto"/>
        </w:rPr>
      </w:pPr>
      <w:r>
        <w:rPr>
          <w:rFonts w:ascii="Arial" w:cs="Arial" w:eastAsia="Arial" w:hAnsi="Arial"/>
          <w:sz w:val="22"/>
          <w:szCs w:val="22"/>
          <w:b w:val="1"/>
          <w:bCs w:val="1"/>
          <w:color w:val="auto"/>
        </w:rPr>
        <w:t>Spokane, Washington 99216</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ON MAY 23, 2003</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Annual Meeting of Shareholders of Itron, Inc. will be held at the principal executive offices of Itron, Inc.,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Atrium, at 2818 North Sullivan Road, Spokane, Washington, at 8:00 a.m., local time, on Friday, May 23, 2003, for the following purposes:</w:t>
      </w:r>
    </w:p>
    <w:p>
      <w:pPr>
        <w:spacing w:after="0" w:line="1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five directors,</w:t>
      </w:r>
    </w:p>
    <w:p>
      <w:pPr>
        <w:spacing w:after="0" w:line="76"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Amended and Restated 2000 Stock Incentive Plan, including an amendment to increase the number of shares authorized under the plan,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has established the close of business on March 14, 2003, as the record date for the determination of shareholders entitled to notice of and to vote at the annual meeting.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annual meeting in person.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ensure representation at the annual meeting, shareholders are urged to mark, sign, date and return the enclosed proxy as promptly as possible, even if they plan to attend the annual meeting. A return envelope, which requires no postage if mailed in the United States, is enclosed for this purpose. Any shareholder attending the annual meeting may vote in person even if that shareholder has returned a proxy.</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MariLyn R. Blair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21, 2003</w:t>
      </w:r>
    </w:p>
    <w:p>
      <w:pPr>
        <w:sectPr>
          <w:pgSz w:w="11900" w:h="16838" w:orient="portrait"/>
          <w:cols w:equalWidth="0" w:num="1">
            <w:col w:w="11340"/>
          </w:cols>
          <w:pgMar w:left="240" w:top="260"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183515</wp:posOffset>
            </wp:positionV>
            <wp:extent cx="133794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540385"/>
                    </a:xfrm>
                    <a:prstGeom prst="rect">
                      <a:avLst/>
                    </a:prstGeom>
                    <a:noFill/>
                  </pic:spPr>
                </pic:pic>
              </a:graphicData>
            </a:graphic>
          </wp:anchor>
        </w:drawing>
        <w:t>PROXY STATEMENT</w:t>
      </w:r>
    </w:p>
    <w:p>
      <w:pPr>
        <w:spacing w:after="0" w:line="16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the Board of Directors of proxies for use at the 2003 Annual Meeting of Shareholders. The meeting will be held at the principal executive offices of Itron, Inc. (“Itron” or the “Company”), in the Atrium, at</w:t>
      </w:r>
    </w:p>
    <w:p>
      <w:pPr>
        <w:spacing w:after="0" w:line="323" w:lineRule="auto"/>
        <w:rPr>
          <w:sz w:val="20"/>
          <w:szCs w:val="20"/>
          <w:color w:val="auto"/>
        </w:rPr>
      </w:pPr>
      <w:r>
        <w:rPr>
          <w:rFonts w:ascii="Arial" w:cs="Arial" w:eastAsia="Arial" w:hAnsi="Arial"/>
          <w:sz w:val="16"/>
          <w:szCs w:val="16"/>
          <w:color w:val="auto"/>
        </w:rPr>
        <w:t>2818 North Sullivan Road, Spokane, Washington, at 8:00 a.m., local time, on Friday, May 23, 2003, for the purposes listed in the accompanying Notice of Annual Meeting of Shareholders. We expect to mail this proxy statement and accompanying proxy to our shareholders on or about April 21, 2003.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matters:</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one director for a term of one year (until 2004) and the election of four directors for terms of three years (until 2006),</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approval of the Amended and Restated 2000 Stock Incentive Plan, including an increase in the number of shares authorized under the plan,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business that may properly come before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Holders of record of our common stock at the close of business on March 14, 2003, are entitled to notice of, and to vote at, the annual meeting. On the record date, there were 20,255,432 shares of our common stock outstanding. Each of our directors and executive officers plans to vote or direct the vote of all shares of common stock over which he or she has voting control in favor of the election of the nominees for director and approval of the Amended and Restated 2000 Stock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Shares represented at the annual meeting by properly signed proxies in the accompanying form will be voted at the annual meeting in accordance with the instructions given in the proxy. A shareholder may revoke a proxy given by the shareholder for use at the annual meeting at any time before the vote. A proxy may be revoked by:</w:t>
      </w:r>
    </w:p>
    <w:p>
      <w:pPr>
        <w:spacing w:after="0" w:line="46" w:lineRule="exact"/>
        <w:rPr>
          <w:sz w:val="20"/>
          <w:szCs w:val="20"/>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Mere attendance at the annual meeting will not revoke a proxy.</w:t>
      </w:r>
    </w:p>
    <w:p>
      <w:pPr>
        <w:spacing w:after="0" w:line="15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 even if the proxies had been effectively voted on the same or any other matter at a previous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7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 and Voting</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Each shareholder will be entitled to one vote per share of common stock held on each matter to be voted on. The presence at the annual meeting, in person or represented by proxy, of holders of a majority of the outstanding common stock on the record date will constitute a quorum. Abstentions and broker nonvotes on any of the proposals to be voted on will be counted for purposes of determining the presence of a quorum.</w:t>
      </w:r>
    </w:p>
    <w:p>
      <w:pPr>
        <w:spacing w:after="0" w:line="9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With respect to the election of directors, the nominees receiving the greatest number of votes duly cast will be elected as directors. Holders of common stock are not entitled to cumulative votes in the election of directors. Abstentions from voting on this matter will have no effect on its outcome because abstentions do not represent votes cast by shareholders in favor of any nominee. There will be no broker nonvotes on the election of directors because brokers who hold shares for the accounts of their clients have discretionary authority to vote such shares in this matter.</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proposal to approve the amendment of the Amended and Restated 2000 Stock Incentive Plan will be approved if the number of votes cast in favor of the proposal exceeds the number of votes cast against the proposal. Abstentions from voting and broker nonvotes on the plan proposal will not affect the outcome of the proposal because abstentions and broker nonvotes do not represent votes cast by shareholders either for or against plan proposals.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retained Georgeson Shareholder Communications, Inc., 111 Commerce Road, Carlstadt, New Jersey, to aid in the solicitation of proxies. We will bear the cost of soliciting proxies, which we estimate will be approximately $5,000 plus expenses. Proxies may be solicited by personal interview, 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without additional compensation, personally or by telephone.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 ELECTION OF DIRECTORS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Board of Directors is divided into three classes, with each director generally holding office for a three-year term or until his or her successor has been elected and qualified. At the annual meeting, one director is to be elected for a term of one year (until 2004) and four directors are to be elected for a term of three years (until 2006) or until his or her successor is duly elected and qualified. One director is being elected to a one-year term instead of a three-year term because Washington law requires the number of directors in each class to be as equal as possible. Unless authority is withheld, the persons named as proxies in the accompanying proxy, will vote for the election of the nominees listed below. The Board of Directors has no reason to believe that any of these nominees will be unable to serve as a director. If any of the nominees becomes unavailable to serve, however, the persons named as proxies will have discretionary authority to vote for a substitute nominee.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to Serve Until 2004</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Sharon L. Nelson </w:t>
      </w:r>
      <w:r>
        <w:rPr>
          <w:rFonts w:ascii="Arial" w:cs="Arial" w:eastAsia="Arial" w:hAnsi="Arial"/>
          <w:sz w:val="16"/>
          <w:szCs w:val="16"/>
          <w:color w:val="auto"/>
        </w:rPr>
        <w:t>(age 56) was appointed by the Board of Directors to be a director of Itron in March 2003. Ms. Nelson, as of April 16, 2003, is the chief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Consumer Protection Division of the Washington State Attorney General’s Office. (Ms. Nelson serves on the Board in her individual capacity rather than as a representative of the Attorney General’s Office.) Prior to assuming her current role, she was director of the Shidler Center for Law, Commerce and Technology, University of Washington. In addition, Ms. Nelson has been a consultant to both corporations and nonprofit organizations, specializing in advice on public policy and regulation. She has extensive experience with issues affecting the utility industry, having served as both chairman of the Washington Utilities and Transportation Commission and president of the National Association of Regulatory Utility Commissioners. She currently serves as chair of the Board of Directors of Consumers Union, is a member of the Board of Trustees of the North American Electric Reliability Council (NERC) and sits on the National Energy Policy Commission, which is funded by the Hewlett Foundation.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2006</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Michael B. Bracy </w:t>
      </w:r>
      <w:r>
        <w:rPr>
          <w:rFonts w:ascii="Arial" w:cs="Arial" w:eastAsia="Arial" w:hAnsi="Arial"/>
          <w:sz w:val="18"/>
          <w:szCs w:val="18"/>
          <w:color w:val="auto"/>
        </w:rPr>
        <w:t>(age 61) has been a director of Itron since 1992. Until his retirement in August 1997, Mr. Bracy was executive vice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a director of NorAm Energy Corp. (“NorAm”), previously known as Arkla, Inc., an integrated natural gas company engaged in gathering and processing natural gas, inter-and intra-state pipeline transportation, and retail natural gas distribution. After joining NorAm in 1984, he held various executive positions, including chief executive officer of the Arkla Pipeline Group. Before joining NorAm, Mr. Bracy served as executive vice president and chief financial officer of El Paso Natural Gas Company, which he joined in 1977. Mr. Bracy is also a director of El Paso Energy Partners, L.P., a publicly traded limited partnership.</w:t>
      </w:r>
    </w:p>
    <w:p>
      <w:pPr>
        <w:spacing w:after="0" w:line="131" w:lineRule="exact"/>
        <w:rPr>
          <w:sz w:val="20"/>
          <w:szCs w:val="20"/>
          <w:color w:val="auto"/>
        </w:rPr>
      </w:pPr>
    </w:p>
    <w:p>
      <w:pPr>
        <w:ind w:firstLine="456"/>
        <w:spacing w:after="0" w:line="257" w:lineRule="auto"/>
        <w:rPr>
          <w:sz w:val="20"/>
          <w:szCs w:val="20"/>
          <w:color w:val="auto"/>
        </w:rPr>
      </w:pPr>
      <w:r>
        <w:rPr>
          <w:rFonts w:ascii="Arial" w:cs="Arial" w:eastAsia="Arial" w:hAnsi="Arial"/>
          <w:sz w:val="17"/>
          <w:szCs w:val="17"/>
          <w:i w:val="1"/>
          <w:iCs w:val="1"/>
          <w:color w:val="auto"/>
        </w:rPr>
        <w:t xml:space="preserve">Thomas S. Foley </w:t>
      </w:r>
      <w:r>
        <w:rPr>
          <w:rFonts w:ascii="Arial" w:cs="Arial" w:eastAsia="Arial" w:hAnsi="Arial"/>
          <w:sz w:val="17"/>
          <w:szCs w:val="17"/>
          <w:color w:val="auto"/>
        </w:rPr>
        <w:t>(age 74) was appointed by the Board of Directors to be a director of Itron in December 2002. Ambassador Foley is a partner in the law</w:t>
      </w:r>
      <w:r>
        <w:rPr>
          <w:rFonts w:ascii="Arial" w:cs="Arial" w:eastAsia="Arial" w:hAnsi="Arial"/>
          <w:sz w:val="17"/>
          <w:szCs w:val="17"/>
          <w:i w:val="1"/>
          <w:iCs w:val="1"/>
          <w:color w:val="auto"/>
        </w:rPr>
        <w:t xml:space="preserve"> </w:t>
      </w:r>
      <w:r>
        <w:rPr>
          <w:rFonts w:ascii="Arial" w:cs="Arial" w:eastAsia="Arial" w:hAnsi="Arial"/>
          <w:sz w:val="17"/>
          <w:szCs w:val="17"/>
          <w:color w:val="auto"/>
        </w:rPr>
        <w:t>firm of Akin, Gump, Strauss, Hauer &amp; Feld and he is currently the chairman of the Trilateral Commission. From 1997 to 2001, Ambassador Foley served as the 25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U.S. ambassador to Japan. Ambassador Foley represented Washington State’s Fifth Congressional District from 1965-1995 and served as the Majority Leader from 1987 until his election as Speaker of the House on June 6, 1989, a position he held until 1995.</w:t>
      </w:r>
    </w:p>
    <w:p>
      <w:pPr>
        <w:spacing w:after="0" w:line="12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Mary Ann Peters </w:t>
      </w:r>
      <w:r>
        <w:rPr>
          <w:rFonts w:ascii="Arial" w:cs="Arial" w:eastAsia="Arial" w:hAnsi="Arial"/>
          <w:sz w:val="16"/>
          <w:szCs w:val="16"/>
          <w:color w:val="auto"/>
        </w:rPr>
        <w:t>(age 59) has been a director of Itron since 1994. Ms. Peters is managing director of McGillicuddy and Peters, a business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consultancy she founded in 1984. She began her marketing career with International Business Machines Corporation in 1972 and subsequently held a variety of marketing positions with General Electric Company, Wells Fargo and Company, Inc., Atari Corp. and Apple Computer, Inc.</w:t>
      </w:r>
    </w:p>
    <w:p>
      <w:pPr>
        <w:spacing w:after="0" w:line="9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Graham M. Wilson </w:t>
      </w:r>
      <w:r>
        <w:rPr>
          <w:rFonts w:ascii="Arial" w:cs="Arial" w:eastAsia="Arial" w:hAnsi="Arial"/>
          <w:sz w:val="18"/>
          <w:szCs w:val="18"/>
          <w:color w:val="auto"/>
        </w:rPr>
        <w:t>(age 58) has been a director of Itron since 1990. Mr. Wilson is currently chairman of GraWil Consultants Inc., a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consultancy. Prior to March 2002, Mr. Wilson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2" w:right="259" w:bottom="1440" w:gutter="0" w:footer="0" w:header="0"/>
        </w:sectPr>
      </w:pPr>
    </w:p>
    <w:bookmarkStart w:id="6" w:name="page7"/>
    <w:bookmarkEnd w:id="6"/>
    <w:p>
      <w:pPr>
        <w:ind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employed by Westcoast Energy Inc., an integrated energy company, since 1988, where he was executive vice president and chief financial officer, and president and CEO, Services. From 1983 to 1988, he was vice president, finance and administration of Petro-Canada Inc. Mr. Wilson is also a director of CellFor Inc., Chrysalyx Energy Management Inc., Inflazyme Pharmaceuticals Ltd., and Naikun Wind Development Inc. and a trustee of Calpine Power Income Fund.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Michael J. Chesser </w:t>
      </w:r>
      <w:r>
        <w:rPr>
          <w:rFonts w:ascii="Arial" w:cs="Arial" w:eastAsia="Arial" w:hAnsi="Arial"/>
          <w:sz w:val="16"/>
          <w:szCs w:val="16"/>
          <w:color w:val="auto"/>
        </w:rPr>
        <w:t>(age 54) has been a director of Itron since 1999. Mr. Chesser’s term as a director expires in 2004. From January 2002 until April 2003,</w:t>
      </w:r>
      <w:r>
        <w:rPr>
          <w:rFonts w:ascii="Arial" w:cs="Arial" w:eastAsia="Arial" w:hAnsi="Arial"/>
          <w:sz w:val="16"/>
          <w:szCs w:val="16"/>
          <w:i w:val="1"/>
          <w:iCs w:val="1"/>
          <w:color w:val="auto"/>
        </w:rPr>
        <w:t xml:space="preserve"> </w:t>
      </w:r>
      <w:r>
        <w:rPr>
          <w:rFonts w:ascii="Arial" w:cs="Arial" w:eastAsia="Arial" w:hAnsi="Arial"/>
          <w:sz w:val="16"/>
          <w:szCs w:val="16"/>
          <w:color w:val="auto"/>
        </w:rPr>
        <w:t>Mr. Chesser was chairman and chief executive officer of United Water, a leading provider of water and wastewater services. From March 2000 to January 2002, Mr. Chesser was chief executive officer and president of GPU Energy, a subsidiary of GPU, Inc. From June 1999 to March 2000, he was president and chief executive officer of Itron. He also served as Itron’s chairman of the board from January 2000 to March 2000. From 1994 to 1998, Mr. Chesser was president and chief operating officer of Atlantic Energy, Inc., the holding company for Atlantic City Electric and other related companies. Prior to Atlantic Energy, Mr. Chesser spent 23 years with Baltimore Gas and Electric where he held a number of executive positions with responsibilities in marketing and customer service. Mr. Chesser also serves on the board of directors of the New Jersey Utilities Association.</w:t>
      </w:r>
    </w:p>
    <w:p>
      <w:pPr>
        <w:spacing w:after="0" w:line="10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Ted C. DeMerritt </w:t>
      </w:r>
      <w:r>
        <w:rPr>
          <w:rFonts w:ascii="Arial" w:cs="Arial" w:eastAsia="Arial" w:hAnsi="Arial"/>
          <w:sz w:val="18"/>
          <w:szCs w:val="18"/>
          <w:color w:val="auto"/>
        </w:rPr>
        <w:t>(age 71) has been a director of Itron since 1994. Mr. DeMerritt’s term as a director expires in 2005. Until his retirement in 1998, Mr.</w:t>
      </w:r>
      <w:r>
        <w:rPr>
          <w:rFonts w:ascii="Arial" w:cs="Arial" w:eastAsia="Arial" w:hAnsi="Arial"/>
          <w:sz w:val="18"/>
          <w:szCs w:val="18"/>
          <w:i w:val="1"/>
          <w:iCs w:val="1"/>
          <w:color w:val="auto"/>
        </w:rPr>
        <w:t xml:space="preserve"> </w:t>
      </w:r>
      <w:r>
        <w:rPr>
          <w:rFonts w:ascii="Arial" w:cs="Arial" w:eastAsia="Arial" w:hAnsi="Arial"/>
          <w:sz w:val="18"/>
          <w:szCs w:val="18"/>
          <w:color w:val="auto"/>
        </w:rPr>
        <w:t>DeMerritt was chairman of the board and chief executive officer of Olsy North America (formerly ISC Systems Corporation), which develops and implements system solutions for the financial services and retail industries. From 1963 to 1980, he was employed at Sacramento Savings and Loan Association, where he served as controller/senior vice president in charge of the Savings and Operations division. Mr. DeMerritt is also a trustee of the Washington State University Foundation.</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Jon E. Eliassen </w:t>
      </w:r>
      <w:r>
        <w:rPr>
          <w:rFonts w:ascii="Arial" w:cs="Arial" w:eastAsia="Arial" w:hAnsi="Arial"/>
          <w:sz w:val="16"/>
          <w:szCs w:val="16"/>
          <w:color w:val="auto"/>
        </w:rPr>
        <w:t>(age 56) has been a director of Itron since 1987. Mr. Eliassen’s term as a director expires in 2005. Mr. Eliassen joined Avista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 energy company involved in the production, transmission, and distribution of energy, in 1970 and held numerous positions within the finance department. Prior to his retirement from Avista on April 1, 2003, Mr. Eliassen was senior vice president and chief financial officer with Avista since 1986. He is a member of the board of directors of the Washington Technology Center and the Spokane Intercollegiate Research &amp; Technology Institute. He also is a director of NVA Holdings, LLC and immediate past chair of the Western Energy Institute.</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Thomas S. Glanville </w:t>
      </w:r>
      <w:r>
        <w:rPr>
          <w:rFonts w:ascii="Arial" w:cs="Arial" w:eastAsia="Arial" w:hAnsi="Arial"/>
          <w:sz w:val="16"/>
          <w:szCs w:val="16"/>
          <w:color w:val="auto"/>
        </w:rPr>
        <w:t>(age 44) has been a director of Itron since 2001. Mr. Glanville’s term as a director expires in 2004. Mr. Glanville is an energy/finance</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based in Houston, Texas. From 1999-2002, Mr. Glanville served as vice president of technology and new ventures for Reliant Energy, Inc. (“Reliant”), one of the world’s largest international energy services companies, and its affiliate, Reliant Resources, Inc. Mr. Glanville first joined Reliant in 1998 as vice president of corporate development. He also served as president of Reliant Energy Ventures, Inc., and of Reliant Energy Communications, Inc.</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Robert D. Neilson </w:t>
      </w:r>
      <w:r>
        <w:rPr>
          <w:rFonts w:ascii="Arial" w:cs="Arial" w:eastAsia="Arial" w:hAnsi="Arial"/>
          <w:sz w:val="18"/>
          <w:szCs w:val="18"/>
          <w:color w:val="auto"/>
        </w:rPr>
        <w:t>(age 46) has been a director of Itron since February 2002. Mr. Neilson’s term as a director expires in 2005. Mr. Neilson has been with</w:t>
      </w:r>
      <w:r>
        <w:rPr>
          <w:rFonts w:ascii="Arial" w:cs="Arial" w:eastAsia="Arial" w:hAnsi="Arial"/>
          <w:sz w:val="18"/>
          <w:szCs w:val="18"/>
          <w:i w:val="1"/>
          <w:iCs w:val="1"/>
          <w:color w:val="auto"/>
        </w:rPr>
        <w:t xml:space="preserve"> </w:t>
      </w:r>
      <w:r>
        <w:rPr>
          <w:rFonts w:ascii="Arial" w:cs="Arial" w:eastAsia="Arial" w:hAnsi="Arial"/>
          <w:sz w:val="18"/>
          <w:szCs w:val="18"/>
          <w:color w:val="auto"/>
        </w:rPr>
        <w:t>Itron since 1983 and was named president in October 2001 and chief operating officer in March 2000. From 1997 to 2000, he was vice president, strategy and business development and from 1993 to 1997, vice president, marketing. He joined Itron in 1983 as manager of market development and planning, and served as director of marketing from 1987 to 1993.</w:t>
      </w:r>
    </w:p>
    <w:p>
      <w:pPr>
        <w:spacing w:after="0" w:line="13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 xml:space="preserve">LeRoy D. Nosbaum </w:t>
      </w:r>
      <w:r>
        <w:rPr>
          <w:rFonts w:ascii="Arial" w:cs="Arial" w:eastAsia="Arial" w:hAnsi="Arial"/>
          <w:sz w:val="16"/>
          <w:szCs w:val="16"/>
          <w:color w:val="auto"/>
        </w:rPr>
        <w:t>(age 57) has been a director and chief executive officer of Itron since March 2000 and chairman of the board since May 2002. Mr.</w:t>
      </w:r>
      <w:r>
        <w:rPr>
          <w:rFonts w:ascii="Arial" w:cs="Arial" w:eastAsia="Arial" w:hAnsi="Arial"/>
          <w:sz w:val="16"/>
          <w:szCs w:val="16"/>
          <w:i w:val="1"/>
          <w:iCs w:val="1"/>
          <w:color w:val="auto"/>
        </w:rPr>
        <w:t xml:space="preserve"> </w:t>
      </w:r>
      <w:r>
        <w:rPr>
          <w:rFonts w:ascii="Arial" w:cs="Arial" w:eastAsia="Arial" w:hAnsi="Arial"/>
          <w:sz w:val="16"/>
          <w:szCs w:val="16"/>
          <w:color w:val="auto"/>
        </w:rPr>
        <w:t>Nosbaum’s term as a director expires in 2004. Mr. Nosbaum joined Itron in March 1996 and had executive responsibilities covering manufacturing, product development, operations and marketing before being promoted to president and chief executive officer. Before joining Itron, Mr. Nosbaum was executive vice president and general manager of Metricom, Inc.’s UtiliNet Division, and 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both"/>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a variety of positions with Metricom from 1989 to 1996. Prior to joining Metricom, he was employed by Schlumberger, Ltd. and Sangamo Electric for 20 years.</w:t>
      </w:r>
    </w:p>
    <w:p>
      <w:pPr>
        <w:spacing w:after="0" w:line="118"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i w:val="1"/>
          <w:iCs w:val="1"/>
          <w:color w:val="auto"/>
        </w:rPr>
        <w:t xml:space="preserve">S. Edward White </w:t>
      </w:r>
      <w:r>
        <w:rPr>
          <w:rFonts w:ascii="Arial" w:cs="Arial" w:eastAsia="Arial" w:hAnsi="Arial"/>
          <w:sz w:val="18"/>
          <w:szCs w:val="18"/>
          <w:color w:val="auto"/>
        </w:rPr>
        <w:t>(age 52) was Itron’s chairman of the board from March 2000 until May 2002 and has been a director since 1996. Mr. White’s term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expires in 2005. Mr. White was an executive vice president of Itron from March 1996, when Itron acquired Utility Translation Systems, Inc. (“UTS”), through December 1999. Before founding UTS in 1980, Mr. White held numerous engineering and marketing positions in the meter division of Westinghouse Electric Corporation for 12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that you vote FOR the election of the five nominees for director.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2002, our nonemployee directors received an annual retainer of $30,000 with $12,000 paid in cash and $18,000 paid with Itron common stock. Also during 2002, Mr. Eliassen, Ms. Peters and Mr. Wilson received a one-time fee of $3,000, paid in cash, in connection with their participation in a special assignment on behalf of the Company.</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a program adopted by the Board of Directors under the Amended and Restated 2000 Stock Incentive Plan, each of our nonemployee directors receives (a) an initial option grant to purchase 10,000 shares of the Company’s common stock as of the date of the director’s initial election or appointment to the Board and (b) an annual option grant to purchase 8,000 shares of the Company’s common stock immediately following each year’s annual meeting. The chairman of the board and each committee chair also receive an annual option grant to purchase 1,250 shares of the Company’s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Committees of the Board of Directors and Meetings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of Directors has established an Audit/Finance Committee, a Compensation Committee and a Corporate Governance Committee (formerly the Nominating Committee).</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Audit/Finance Committee reviews our accounting practices, internal accounting controls and financial results and oversees the engagement of our independent auditors. The charter of the Audit/Finance Committee as amended is set forth as Appendix B to this proxy statement. The Audit/Finance Committee members include Ted DeMerritt, Graham Wilson and Jon Eliassen, who serves as chairman. The Audit/Finance Committee held nine meetings during 2002.</w:t>
      </w:r>
    </w:p>
    <w:p>
      <w:pPr>
        <w:spacing w:after="0" w:line="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Compensation Committee is responsible for setting compensation levels for our executive officers, overseeing the administration of various incentive compensation and benefit plans and performing any other functions regarding compensation that the Board of Directors may delegate. The members of the Compensation Committee are Tom Glanville, Mary Ann Peters and Mike Bracy, who serves as chairman. The Compensation Committee held five meetings during 2002.</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Corporate Governance Committee is responsible for reviewing corporate governance issues, soliciting recommendations for candidates for the Board of Directors, making recommendations to the Board regarding such candidates, and reviewing and making recommendations to the Board with respect to candidates for directors proposed by shareholders. The members of the Governance Committee are Mike Bracy, Tom Glanville, Mary Ann Peters and Mike Chesser, who serves as chairman. The Corporate Governance Committee held four meetings during 2002.</w:t>
      </w:r>
    </w:p>
    <w:p>
      <w:pPr>
        <w:spacing w:after="0" w:line="9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were eight Board of Directors meetings in 2002. Each of the directors attended at least 75% of the meetings of the Board and of each committee on which he or she was a member, except for Mike Chesser who attended less than 75% of the aggregate Board and his Committee meetings.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 APPROVAL OF AMENDED AND RESTATED 2000 STOCK INCENTIVE PLAN</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has unanimously adopted the Amended and Restated 2000 Stock Incentive Plan that, subject to shareholder approval, increases the number of shares reserved for issuance under the Plan by 600,000 shares, from 2,625,000 to 3,225,000 shares. The plan, as amended and restated, also reduces the aggregate number of shares available under the plan for issuance pursuant to grants of Stock Awards, from 400,000 to 300,000 shares, and provides that all Options granted under the plan shall have an exercise price of at least 100% of the fair market value of our common stock on the grant date. As of February 28, 2003, approximately 235,000 shares of common stock remained available for grant under the plan.</w:t>
      </w:r>
    </w:p>
    <w:p>
      <w:pPr>
        <w:spacing w:after="0" w:line="10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Board of Directors believes that adding more shares to the plan will promote the interests of Itron and its shareholders by assisting us in attracting, retaining and stimulating the performance of individuals who make substantial contributions to our growth and success. The Board further believes that stock ownership helps align employee interests with shareholder value creation.</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Pursuant to Section 162(m) of the Internal Revenue Code of 1986, as amended (the “Code”), in order for us to be able to deduct compensation in excess of $1 million paid in any year to our Chief Executive Officer or any of our four other most highly compensated executive officers, such compensation must qualify as “performance-based.” One of the requirements of “performance-based” compensation for purposes of Section 162(m) is that the material terms of the performance goals for the compensation be approved by our shareholders. Performance goals for stock awards that may be granted under the 2000 Stock Incentive Plan may consist of performance goals related to revenues and profits, revenue and profit growth, profit-related return ratios, cash flow, total shareholder return, and other financial and operating measures. Approval of the plan, as amended and restated, will constitute approval of these performance goals for purposes of Section 162(m).</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copy of the plan, as amended and restated, is attached to this proxy statement as Appendix A. The following description of the plan is a summary and does not purport to be fully descriptive. Please refer to Appendix A for more detailed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2000 Stock Incentive Plan</w:t>
      </w:r>
    </w:p>
    <w:p>
      <w:pPr>
        <w:spacing w:after="0" w:line="7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color w:val="auto"/>
        </w:rPr>
        <w:t>The plan allows us to grant incentive and nonqualified stock options, shares of common stock or units denominated in common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may consist of one or more of these grant types.</w:t>
      </w:r>
    </w:p>
    <w:p>
      <w:pPr>
        <w:spacing w:after="0" w:line="10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Stock Subject to the Plan. </w:t>
      </w:r>
      <w:r>
        <w:rPr>
          <w:rFonts w:ascii="Arial" w:cs="Arial" w:eastAsia="Arial" w:hAnsi="Arial"/>
          <w:sz w:val="16"/>
          <w:szCs w:val="16"/>
          <w:color w:val="auto"/>
        </w:rPr>
        <w:t>A maximum of 3,225,000 shares of common stock are authorized for issuance under the plan, as amended and restated.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Board’s approval of the increase in the number of shares reserved under the plan, 2,625,000 shares were authorized for issuance. Under the plan, as amended and restated, no more than 300,000 shares may be issued as stock awards (including restricted stock) or other stock-based awards other than stock options. In addition, no participant may receive more than 300,000 shares subject to awards in a single fiscal year, except that we can make additional one-time grants of up to 600,000 shares to newly hired individuals in any fiscal year, to the extent such limitations are required for compliance with Section 162(m). The previous limits are all adjusted automatically for stock splits and similar events.</w:t>
      </w:r>
    </w:p>
    <w:p>
      <w:pPr>
        <w:spacing w:after="0" w:line="10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shares of common stock that have been made subject to an award that cease to be subject to the award (generally because the award terminates or expires) will be available for future grant under the plan.</w:t>
      </w:r>
    </w:p>
    <w:p>
      <w:pPr>
        <w:spacing w:after="0" w:line="112"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Our Compensation Committee administers the plan (the “plan administrator”), unless the Board of Directors appoints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administer the plan. Subject to the terms of the plan, the plan administrator selects the individuals to receive awards, determines the terms and conditions of all awards and interprets the provisions of the plan. Committee members administering the plan serve for such term as the Board may determine, subject to removal by the Board at any time.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9" w:name="page10"/>
    <w:bookmarkEnd w:id="9"/>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adjustments to reflect stock splits and similar events, the plan administrator may not, without shareholder approval, cancel an outstanding stock option for the purpose of replacing or regranting the option with an exercise price that is less than the exercise price of the original option or amend an outstanding option for the purpose of reducing the exercise price. The plan administrator also may not grant a stock option with any feature that allows for the automatic grant of a new option upon the exercise of the original option, a “reload,” nor may the plan administrator amend or modify any outstanding option to provide such a feature.</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Eligible Participants. </w:t>
      </w:r>
      <w:r>
        <w:rPr>
          <w:rFonts w:ascii="Arial" w:cs="Arial" w:eastAsia="Arial" w:hAnsi="Arial"/>
          <w:sz w:val="16"/>
          <w:szCs w:val="16"/>
          <w:color w:val="auto"/>
        </w:rPr>
        <w:t>Awards may be granted to those officers, employees, consultants and independent contractors of Itron and our subsidiaries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administrator selects. In consideration of services provided to the Board of Directors, nonemployee directors receive stock awards and stock options in the form of automatic grants under the plan. These stock awards and stock option grants are described under “Compensation of Directors” on page 5 of this proxy statement. As of February 28, 2003, approximately 1,334 employees and all our nonemployee directors were eligible to participate in the plan.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Options granted under the plan may be incentive stock options (as defined in Section 422 of the Code) or nonqualified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as amended and restated, the exercise price for each option is determined by the plan administrator, but cannot be less than 100% of the common stock’s fair market value on the date of grant (or 110% of fair market value in the case of a more than 10% shareholder). For purposes of the plan, “fair market value” means the closing sales price for our common stock as reported by the Nasdaq Stock Market for a single trading day. As of February 28, 2003, the closing sales price of our common stock was $14.99 per share.</w:t>
      </w:r>
    </w:p>
    <w:p>
      <w:pPr>
        <w:spacing w:after="0" w:line="13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exercise price for shares purchased under options must be paid by cash or check, except that the plan administrator may authorize payment in any combination of cash or check, shares of already owned common stock, and, to the extent permitted by law, a promissory note, or broker-assisted cashless exercise, or such other consideration as the plan administrator may permit.</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Unless the plan administrator determines otherwise, the term of each option is ten years from the date of grant, and the option vests at a rate of 25% per year over a four-year period. The plan administrator determines how long options will remain exercisable following an optionee’s termination of employment or services. Unless the plan administrator determines otherwise, options vested as of the date of termination by reason of death, disability or retirement generally will be exercisable for one year after the date of such termination and for three months after all other terminations. If an optionee is terminated for cause, the options terminate upon the participant’s notification of such termination.</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The plan administrator is authorized to make awards of common stock or awards denominated in units of common stock to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on such terms and conditions and subject to such restrictions as the plan administrator may determine (whether based on periods of continuous service with Itron or performance goals related to profits, profit growth, profit-related return ratios, cash flow or total shareholder return).</w:t>
      </w:r>
    </w:p>
    <w:p>
      <w:pPr>
        <w:spacing w:after="0" w:line="84"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Except as otherwise determined by the plan administrator and to the extent permitted by Section 422 of the Code, options and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awards are not assignable or transferable other than by will or the laws of descent, except that a participant may designate a beneficiary who may exercise an award or receive payment under an award after the participant’s death. During the participant’s lifetime, awards may be exercised only by the participant.</w:t>
      </w:r>
    </w:p>
    <w:p>
      <w:pPr>
        <w:spacing w:after="0" w:line="84"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Adjustment of Shares. </w:t>
      </w:r>
      <w:r>
        <w:rPr>
          <w:rFonts w:ascii="Arial" w:cs="Arial" w:eastAsia="Arial" w:hAnsi="Arial"/>
          <w:sz w:val="18"/>
          <w:szCs w:val="18"/>
          <w:color w:val="auto"/>
        </w:rPr>
        <w:t>In the event of stock dividends, stock splits, spin-offs or similar changes in our corporate or capital structure,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in its sole discretion, will make equitable adjustments in (a) the maximum number and kind of securities subject to the plan and the maximum number and kind of securities that may be made subject to awards to any participant, (b) the number and kind of securities that are subject to any outstanding award and the per share price of such securities, without any change in the aggregate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28" w:right="299" w:bottom="1440" w:gutter="0" w:footer="0" w:header="0"/>
        </w:sectPr>
      </w:pPr>
    </w:p>
    <w:bookmarkStart w:id="10" w:name="page11"/>
    <w:bookmarkEnd w:id="10"/>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to be paid therefor, and (c) the number and kind of securities automatically granted pursuant to a formula program established under the plan. Such adjustments will not be deemed an option repricing under the plan.</w:t>
      </w:r>
    </w:p>
    <w:p>
      <w:pPr>
        <w:spacing w:after="0" w:line="112"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If certain corporate transactions occur (such as a merger, consolidation, sale, lease, exchange or transfer of all or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all of our assets), a successor company or its parent will either assume all outstanding options or issue equivalent substitute options to purchase common stock of the successor company or its parent. Except for certain related party transactions (such as a reincorporation of Itron or a merger in which the shareholders immediately prior to the merger hold at least a majority of the shares in the successor company or its parent), all options assumed or replaced by the successor company or its parent will become fully vested and exercisable regardless of whether the vesting requirements have been satisfied.</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successor company or its parent does not assume or replace outstanding options, all outstanding options will become 100% vested and exercisable immediately prior to the corporate transaction. In such case, the right to exercise options will terminate at the end of a specified time period, subject to completion of the corporate transaction.</w:t>
      </w:r>
    </w:p>
    <w:p>
      <w:pPr>
        <w:spacing w:after="0" w:line="12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Termination and Amendment. </w:t>
      </w:r>
      <w:r>
        <w:rPr>
          <w:rFonts w:ascii="Arial" w:cs="Arial" w:eastAsia="Arial" w:hAnsi="Arial"/>
          <w:sz w:val="18"/>
          <w:szCs w:val="18"/>
          <w:color w:val="auto"/>
        </w:rPr>
        <w:t>The Board of Directors may terminate or suspend the plan at any time. The Board may also amend the plan,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if such approval is required by applicable law or regulation. The plan does not have a fixed expiration date, except that no incentive stock options may be granted more than ten years after the later of (a) the plan’s adoption by the Board and (b) the adoption of any amendment to the plan that constitutes a new plan for purposes of Section 422 of the Code.</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Federal Income Tax Consequences. </w:t>
      </w:r>
      <w:r>
        <w:rPr>
          <w:rFonts w:ascii="Arial" w:cs="Arial" w:eastAsia="Arial" w:hAnsi="Arial"/>
          <w:sz w:val="18"/>
          <w:szCs w:val="18"/>
          <w:color w:val="auto"/>
        </w:rPr>
        <w:t>The following is a summary of the material U.S. federal income tax consequences to us and to participants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summary is based on the Code and the U.S. Treasury regulations promulgated thereunder as in effect as of the date of the proxy statement, all of which may change with retroactive effect. The summary is not intended to be a complete analysis or discussion of all potential tax consequences that may be important to participants in the plan. Therefore, we strongly encourage participants to consult their own tax advisors as to the specific federal income tax or other tax consequences of their participation in the plan.</w:t>
      </w:r>
    </w:p>
    <w:p>
      <w:pPr>
        <w:spacing w:after="0" w:line="131"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incentive stock options granted under the plan are intended to qualify for the favorable federal income tax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accorded “incentive stock options” under the Code. Generally, the grant or exercise of an incentive stock option does not result in any federal income tax consequences to the participant or to us. However, the exercise of an incentive stock option will generally increase the participant’s alternative minimum tax liability, if any.</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federal income tax consequences of a disposition of stock acquired through exercise of an incentive stock option will depend on the period such stock is held prior to disposition. If a participant holds stock acquired through exercise of an incentive stock option for at least two years from the date on which the option is granted and at least one year from the date of exercise of the option, the participant will recognize long-term capital gain or loss in the year of disposition, equal to the difference between the amount realized on the disposition of the stock and the amount paid for the stock on exercise of the option.</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Generally, if the participant disposes of the stock before the expiration of either of the statutory holding periods described above (a “disqualifying disposition”), the participant will recognize ordinary income equal to the lesser of (a) the excess of the fair market value of the stock on the date of exercise over the exercise price and (b) the excess of the amount realized on the disposition of the stock over the exercise price. Subject to certain limitations, to the extent the participant recognized ordinary income by reason of a disqualifying disposition, we generally will be entitled to a corresponding business expense deduction in the taxable year during which the disqualifying disposition occurs.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in the taxable year of a disqualifying disposition, the participant will also recognize capital gain or loss equal to the difference between the amount realized on the disposition of such stock over the sum of the amount paid for such stock plus any amount recognized as ordinary income by reason of the disqualifying disposition. Such capital gain or loss will be characterized as short-term or long-term, depending on how long the stock was held. Long-term capital gains generally are subject to lower tax rates than ordinary income and short-term capital gains.</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Generally, the grant of a nonqualified stock option will not result in any federal income tax consequences to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or to us. Upon exercise of a nonqualified stock option, the participant generally will recognize ordinary income equal to the excess of the fair market value of the stock on the date of exercise over the amount paid for the stock upon exercise of the option. Subject to certain limitations, we generally will be entitled to a corresponding business expense deduction equal to the ordinary income recognized by the participant.</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disposition of the stock, the participant will recognize capital gain or loss equal to the difference between the amount realized on the disposition of the stock over the sum of the amount paid for the stock plus any amount recognized as ordinary income upon exercise of the option. Such capital gain or loss will be characterized as short-term or long-term, depending on how long the stock was held.</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upon acquisition of stock pursuant to a Stock Award, the participant will recognize ordinary income equal to the excess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stock at the time of receipt over the amount, if any, paid for such stock. However, to the extent the award is subject to certain restrictions, the participant will not recognize ordinary income until the restrictions lapse or, if earlier, the time the stock becomes transferable. At such time, the participant will recognize ordinary income equal to the excess of the current fair market value of the stock over the amount, if any, paid for the stock. Any further appreciation in the fair market value of the stock will be taxed upon disposition of the stock. Subject to certain limitations, we generally will be entitled to a corresponding business expense deduction equal to the ordinary income recognized by the recipient.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within 30 days of receipt of stock subject to restrictions as described above, the participant may elect to recognize ordinary income in the taxable year of receipt, despite the fact that such stock is subject to restrictions. If such election is made, the participant will recognize ordinary income equal to the excess of the fair market value of the stock at the time of receipt over the amount, if any, paid for the stock. Any further appreciation in the fair market value of the stock will be taxed upon the disposition of the stock. If the stock is later forfeited, the participant will not be allowed a deduction for any income recognized in connection with making the election.</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disposition of the stock, the participant will recognize capital gain or loss equal to the difference between the amount realized on the disposition of the stock and the sum of the amount paid for the stock, if any, plus any amount recognized as ordinary income upon acquisition or vesting of the stock (including income recognized pursuant to an election as described above). Such capital gain or loss will be characterized as short-term or long-term, depending on how long the stock was held.</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Potential Limitation on Our Deductions. </w:t>
      </w:r>
      <w:r>
        <w:rPr>
          <w:rFonts w:ascii="Arial" w:cs="Arial" w:eastAsia="Arial" w:hAnsi="Arial"/>
          <w:sz w:val="16"/>
          <w:szCs w:val="16"/>
          <w:color w:val="auto"/>
        </w:rPr>
        <w:t>Section 162(m) of the Code precludes a deduction for compensation paid to our chief executive officer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four other most highly compensated officers (other than our chief executive officer) to the extent that such compensation exceeds $1 million for a taxable year. If certain requirements are met, qualified performance-based compensation is disregarded for purposes of the $1 million limitation. We believe that the plan has been structured in a manner that complies with Section 162(m) of the Code. Therefore, assuming certain requirements are met, payments made to such executive officers during the term of the plan generally will be deductible.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that you vote FOR approval of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Amended and Restated 2000 Stock Incentive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gives certain information about our equity compensation plans in effect as of December 31, 2002: our 1989 Restated Stock Option Plan, our 1992 Stock Option Plan for Nonemployee Directors and our Amended and Restated 2000 Stock Incentive Plan, all of which have been approved by our shareholders. Of these, the Amended and Restated 2000 Stock Incentive Plan is the only plan from which shares remain available for issuance in the form of new awards.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Issuance Under</w:t>
            </w: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 to Be Issued Upon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of Outstanding Options,</w:t>
            </w:r>
          </w:p>
        </w:tc>
        <w:tc>
          <w:tcPr>
            <w:tcW w:w="340" w:type="dxa"/>
            <w:vAlign w:val="bottom"/>
          </w:tcPr>
          <w:p>
            <w:pPr>
              <w:spacing w:after="0"/>
              <w:rPr>
                <w:sz w:val="12"/>
                <w:szCs w:val="12"/>
                <w:color w:val="auto"/>
              </w:rPr>
            </w:pPr>
          </w:p>
        </w:tc>
        <w:tc>
          <w:tcPr>
            <w:tcW w:w="16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Plans (excluding shares</w:t>
            </w:r>
          </w:p>
        </w:tc>
      </w:tr>
      <w:tr>
        <w:trPr>
          <w:trHeight w:val="174"/>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gridSpan w:val="2"/>
          </w:tcPr>
          <w:p>
            <w:pPr>
              <w:ind w:left="20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340" w:type="dxa"/>
            <w:vAlign w:val="bottom"/>
          </w:tcPr>
          <w:p>
            <w:pPr>
              <w:spacing w:after="0"/>
              <w:rPr>
                <w:sz w:val="15"/>
                <w:szCs w:val="15"/>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Warrants and Rights</w:t>
            </w:r>
          </w:p>
        </w:tc>
        <w:tc>
          <w:tcPr>
            <w:tcW w:w="2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reflected in column (a))</w:t>
            </w:r>
          </w:p>
        </w:tc>
      </w:tr>
      <w:tr>
        <w:trPr>
          <w:trHeight w:val="95"/>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r>
      <w:tr>
        <w:trPr>
          <w:trHeight w:val="271"/>
        </w:trPr>
        <w:tc>
          <w:tcPr>
            <w:tcW w:w="1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5"/>
              </w:rPr>
              <w:t>(in 000’s)</w:t>
            </w: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(in 000’s)</w:t>
            </w:r>
          </w:p>
        </w:tc>
      </w:tr>
      <w:tr>
        <w:trPr>
          <w:trHeight w:val="68"/>
        </w:trPr>
        <w:tc>
          <w:tcPr>
            <w:tcW w:w="1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(b)</w:t>
            </w: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w:t>
            </w:r>
          </w:p>
        </w:tc>
      </w:tr>
      <w:tr>
        <w:trPr>
          <w:trHeight w:val="95"/>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371(1)(2)(3)</w:t>
            </w:r>
          </w:p>
        </w:tc>
      </w:tr>
      <w:tr>
        <w:trPr>
          <w:trHeight w:val="222"/>
        </w:trPr>
        <w:tc>
          <w:tcPr>
            <w:tcW w:w="50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r>
      <w:tr>
        <w:trPr>
          <w:trHeight w:val="102"/>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20" w:type="dxa"/>
            <w:vAlign w:val="bottom"/>
            <w:shd w:val="clear" w:color="auto" w:fill="CCEEFF"/>
          </w:tcPr>
          <w:p>
            <w:pPr>
              <w:spacing w:after="0"/>
              <w:rPr>
                <w:sz w:val="18"/>
                <w:szCs w:val="18"/>
                <w:color w:val="auto"/>
              </w:rPr>
            </w:pPr>
          </w:p>
        </w:tc>
      </w:tr>
      <w:tr>
        <w:trPr>
          <w:trHeight w:val="132"/>
        </w:trPr>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5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50,263 shares available for purchase under the 2002 Employee Stock Purchase Plan (the “ESPP”). This number does not include 70,000 additional shares that became available for issuance under the ESPP on January 1, 2003 pursuant to an evergreen formula under which the number of shares authorized for purchase is increased annually on the first day of each fiscal year by a number of shares equal to the lesser of (a) 50,000 shares or (b) 0.5% of the outstanding shares of stock of the Company as of the end of the Company’s immediately preceding fiscal year on a fully diluted basis (assuming exercise of all outstanding options and warrants and conversion of all outstanding convertible preferred stock) and (c) a lesser amount determined by the Board of Directors.</w:t>
      </w:r>
    </w:p>
    <w:p>
      <w:pPr>
        <w:spacing w:after="0" w:line="4"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a program adopted by the Board of Directors under the 2000 Stock Incentive Plan, each of our nonemployee directors will receive (a) an initial option grant to purchase 10,000 shares of the Company’s common stock as of the date of the director’s initial election or appointment to the Board and (b) an annual option grant to purchase 8,000 shares of the Company’s common stock immediately following each year’s annual meeting. Our nonemployee directors also receive an annual retainer stock award having a value equal to 60% of the director’s annual retainer, in lieu of cash payment of such portion of such retainer. The chairman of the board and each committee chair also receive an annual option grant to purchase 1,250 shares of the Company’s common stock.</w:t>
      </w:r>
    </w:p>
    <w:p>
      <w:pPr>
        <w:spacing w:after="0" w:line="2"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2000 Stock Incentive Plan, the Company may also grant stock awards and stock units subject to certain terms and conditions and other restrictions.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Summary</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sets forth the annual and long-term compensation of the Company’s five most highly compensated executives (the “NEOs”). Annual compensation includes amounts deferred at the officer’s election. All numbers are rounded to the nearest dollar or whole share.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w:t>
      </w:r>
    </w:p>
    <w:tbl>
      <w:tblPr>
        <w:tblLayout w:type="fixed"/>
        <w:tblInd w:w="0" w:type="dxa"/>
        <w:tblCellMar>
          <w:top w:w="0" w:type="dxa"/>
          <w:left w:w="0" w:type="dxa"/>
          <w:bottom w:w="0" w:type="dxa"/>
          <w:right w:w="0" w:type="dxa"/>
        </w:tblCellMar>
      </w:tblPr>
      <w:tr>
        <w:trPr>
          <w:trHeight w:val="150"/>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Long-Term</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Annual Compensation</w:t>
            </w:r>
          </w:p>
        </w:tc>
        <w:tc>
          <w:tcPr>
            <w:tcW w:w="1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40" w:type="dxa"/>
            <w:vAlign w:val="bottom"/>
            <w:gridSpan w:val="4"/>
            <w:vMerge w:val="continue"/>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Securities Underlying</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20" w:type="dxa"/>
            <w:vAlign w:val="bottom"/>
            <w:gridSpan w:val="2"/>
          </w:tcPr>
          <w:p>
            <w:pPr>
              <w:ind w:left="240"/>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Bonus(1)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560" w:type="dxa"/>
            <w:vAlign w:val="bottom"/>
          </w:tcPr>
          <w:p>
            <w:pPr>
              <w:spacing w:after="0"/>
              <w:rPr>
                <w:sz w:val="15"/>
                <w:szCs w:val="15"/>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Compensation(2)</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LeRoy D. Nosbaum</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$ 397,879</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0"/>
              </w:rPr>
              <w:t>(3)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Chairman and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437,161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270,920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360" w:type="dxa"/>
            <w:vAlign w:val="bottom"/>
            <w:gridSpan w:val="4"/>
          </w:tcPr>
          <w:p>
            <w:pPr>
              <w:ind w:left="20"/>
              <w:spacing w:after="0"/>
              <w:rPr>
                <w:sz w:val="20"/>
                <w:szCs w:val="20"/>
                <w:color w:val="auto"/>
              </w:rPr>
            </w:pPr>
            <w:r>
              <w:rPr>
                <w:rFonts w:ascii="Arial" w:cs="Arial" w:eastAsia="Arial" w:hAnsi="Arial"/>
                <w:sz w:val="18"/>
                <w:szCs w:val="18"/>
                <w:b w:val="1"/>
                <w:bCs w:val="1"/>
                <w:color w:val="auto"/>
              </w:rPr>
              <w:t>Robert D. Neilson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348,846</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282,938</w:t>
            </w:r>
          </w:p>
        </w:tc>
        <w:tc>
          <w:tcPr>
            <w:tcW w:w="1380" w:type="dxa"/>
            <w:vAlign w:val="bottom"/>
          </w:tcPr>
          <w:p>
            <w:pPr>
              <w:spacing w:after="0"/>
              <w:rPr>
                <w:sz w:val="24"/>
                <w:szCs w:val="24"/>
                <w:color w:val="auto"/>
              </w:rPr>
            </w:pPr>
          </w:p>
        </w:tc>
        <w:tc>
          <w:tcPr>
            <w:tcW w:w="560" w:type="dxa"/>
            <w:vAlign w:val="bottom"/>
          </w:tcPr>
          <w:p>
            <w:pPr>
              <w:jc w:val="right"/>
              <w:ind w:right="252"/>
              <w:spacing w:after="0"/>
              <w:rPr>
                <w:sz w:val="20"/>
                <w:szCs w:val="20"/>
                <w:color w:val="auto"/>
              </w:rPr>
            </w:pPr>
            <w:r>
              <w:rPr>
                <w:rFonts w:ascii="Arial" w:cs="Arial" w:eastAsia="Arial" w:hAnsi="Arial"/>
                <w:sz w:val="18"/>
                <w:szCs w:val="18"/>
                <w:color w:val="auto"/>
                <w:w w:val="90"/>
              </w:rPr>
              <w:t>(3)</w:t>
            </w: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16,496</w:t>
            </w:r>
          </w:p>
        </w:tc>
        <w:tc>
          <w:tcPr>
            <w:tcW w:w="0" w:type="dxa"/>
            <w:vAlign w:val="bottom"/>
          </w:tcPr>
          <w:p>
            <w:pPr>
              <w:spacing w:after="0"/>
              <w:rPr>
                <w:sz w:val="1"/>
                <w:szCs w:val="1"/>
                <w:color w:val="auto"/>
              </w:rPr>
            </w:pP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President and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299,038</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205,007</w:t>
            </w:r>
          </w:p>
        </w:tc>
        <w:tc>
          <w:tcPr>
            <w:tcW w:w="1380" w:type="dxa"/>
            <w:vAlign w:val="bottom"/>
          </w:tcPr>
          <w:p>
            <w:pPr>
              <w:jc w:val="right"/>
              <w:spacing w:after="0"/>
              <w:rPr>
                <w:sz w:val="20"/>
                <w:szCs w:val="20"/>
                <w:color w:val="auto"/>
              </w:rPr>
            </w:pPr>
            <w:r>
              <w:rPr>
                <w:rFonts w:ascii="Arial" w:cs="Arial" w:eastAsia="Arial" w:hAnsi="Arial"/>
                <w:sz w:val="18"/>
                <w:szCs w:val="18"/>
                <w:color w:val="auto"/>
              </w:rPr>
              <w:t>70,000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240,385</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130,250</w:t>
            </w:r>
          </w:p>
        </w:tc>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David G. Remington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121,352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Vice President and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250,481</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126,633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120,351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360" w:type="dxa"/>
            <w:vAlign w:val="bottom"/>
            <w:gridSpan w:val="4"/>
          </w:tcPr>
          <w:p>
            <w:pPr>
              <w:ind w:left="20"/>
              <w:spacing w:after="0"/>
              <w:rPr>
                <w:sz w:val="20"/>
                <w:szCs w:val="20"/>
                <w:color w:val="auto"/>
              </w:rPr>
            </w:pPr>
            <w:r>
              <w:rPr>
                <w:rFonts w:ascii="Arial" w:cs="Arial" w:eastAsia="Arial" w:hAnsi="Arial"/>
                <w:sz w:val="18"/>
                <w:szCs w:val="18"/>
                <w:b w:val="1"/>
                <w:bCs w:val="1"/>
                <w:color w:val="auto"/>
              </w:rPr>
              <w:t>Russell N. Fairbanks, Jr.</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123,788</w:t>
            </w:r>
          </w:p>
        </w:tc>
        <w:tc>
          <w:tcPr>
            <w:tcW w:w="1380" w:type="dxa"/>
            <w:vAlign w:val="bottom"/>
          </w:tcPr>
          <w:p>
            <w:pPr>
              <w:jc w:val="right"/>
              <w:spacing w:after="0"/>
              <w:rPr>
                <w:sz w:val="20"/>
                <w:szCs w:val="20"/>
                <w:color w:val="auto"/>
              </w:rPr>
            </w:pPr>
            <w:r>
              <w:rPr>
                <w:rFonts w:ascii="Arial" w:cs="Arial" w:eastAsia="Arial" w:hAnsi="Arial"/>
                <w:sz w:val="18"/>
                <w:szCs w:val="18"/>
                <w:color w:val="auto"/>
              </w:rPr>
              <w:t>7,500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Vice President and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126,633</w:t>
            </w:r>
          </w:p>
        </w:tc>
        <w:tc>
          <w:tcPr>
            <w:tcW w:w="1380" w:type="dxa"/>
            <w:vAlign w:val="bottom"/>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General Counsel</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225,962</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109,410</w:t>
            </w:r>
          </w:p>
        </w:tc>
        <w:tc>
          <w:tcPr>
            <w:tcW w:w="1380" w:type="dxa"/>
            <w:vAlign w:val="bottom"/>
          </w:tcPr>
          <w:p>
            <w:pPr>
              <w:jc w:val="right"/>
              <w:spacing w:after="0"/>
              <w:rPr>
                <w:sz w:val="20"/>
                <w:szCs w:val="20"/>
                <w:color w:val="auto"/>
              </w:rPr>
            </w:pPr>
            <w:r>
              <w:rPr>
                <w:rFonts w:ascii="Arial" w:cs="Arial" w:eastAsia="Arial" w:hAnsi="Arial"/>
                <w:sz w:val="18"/>
                <w:szCs w:val="18"/>
                <w:color w:val="auto"/>
              </w:rPr>
              <w:t>55,000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155,585</w:t>
            </w: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John W. Hengesh, Jr.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134,412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Vice President and General Manager,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123,036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Natural Gas, Water &amp; Public Power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180,385</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100,769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annual incentive amounts earned under the Company’s Executive Incentive Compensation Plan and other special incentive bonuses.</w:t>
      </w:r>
    </w:p>
    <w:p>
      <w:pPr>
        <w:spacing w:after="0" w:line="38"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year ended December 31, 2002, consists of matching contributions to a 401(k) savings plan ($5,500 for Messrs. Nosbaum, Neilson, Remington, Fairbanks and Hengesh, respectively), and matching contributions to a deferred compensation plan ($9,416 for Mr. Remington). Also includes $4,145, $10,726, $6,293 and $8,400 of reimbursed medical and other expenses for Messrs. Nosbaum, Neilson, Fairbanks and Hengesh, respectively, and group term life insurance premiums paid on their behalf of $774, $270, $1,188, $774 and $270 for Messrs. Nosbaum, Neilson, Remington, Fairbanks and Hengesh, respectively.</w:t>
      </w:r>
    </w:p>
    <w:p>
      <w:pPr>
        <w:spacing w:after="0" w:line="2"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2002, Messrs. Nosbaum and Neilson declined option grants and other executive officers received reduced grants in order to provide a larger pool of options for key employees.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options granted to our NEOs during the year ended December 31, 2002.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2002</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4"/>
          </w:tcPr>
          <w:p>
            <w:pPr>
              <w:jc w:val="right"/>
              <w:ind w:right="244"/>
              <w:spacing w:after="0"/>
              <w:rPr>
                <w:sz w:val="20"/>
                <w:szCs w:val="20"/>
                <w:color w:val="auto"/>
              </w:rPr>
            </w:pPr>
            <w:r>
              <w:rPr>
                <w:rFonts w:ascii="Arial" w:cs="Arial" w:eastAsia="Arial" w:hAnsi="Arial"/>
                <w:sz w:val="14"/>
                <w:szCs w:val="14"/>
                <w:b w:val="1"/>
                <w:bCs w:val="1"/>
                <w:color w:val="auto"/>
              </w:rPr>
              <w:t>Individual Grants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gridSpan w:val="4"/>
          </w:tcPr>
          <w:p>
            <w:pPr>
              <w:jc w:val="center"/>
              <w:ind w:right="20"/>
              <w:spacing w:after="0" w:line="116" w:lineRule="exact"/>
              <w:rPr>
                <w:sz w:val="20"/>
                <w:szCs w:val="20"/>
                <w:color w:val="auto"/>
              </w:rPr>
            </w:pPr>
            <w:r>
              <w:rPr>
                <w:rFonts w:ascii="Arial" w:cs="Arial" w:eastAsia="Arial" w:hAnsi="Arial"/>
                <w:sz w:val="12"/>
                <w:szCs w:val="12"/>
                <w:b w:val="1"/>
                <w:bCs w:val="1"/>
                <w:color w:val="auto"/>
                <w:w w:val="99"/>
              </w:rPr>
              <w:t>at Assumed Annual Rates</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6"/>
              </w:rPr>
              <w:t>of Stock Price Appreciation</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for Option Term (2)</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Granted to</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Employees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3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 Last</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Fiscal</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3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 (1)</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($/Share)</w:t>
            </w:r>
          </w:p>
        </w:tc>
        <w:tc>
          <w:tcPr>
            <w:tcW w:w="34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Expiration Date</w:t>
            </w:r>
          </w:p>
        </w:tc>
        <w:tc>
          <w:tcPr>
            <w:tcW w:w="580" w:type="dxa"/>
            <w:vAlign w:val="bottom"/>
          </w:tcPr>
          <w:p>
            <w:pPr>
              <w:jc w:val="right"/>
              <w:ind w:right="23"/>
              <w:spacing w:after="0"/>
              <w:rPr>
                <w:sz w:val="20"/>
                <w:szCs w:val="20"/>
                <w:color w:val="auto"/>
              </w:rPr>
            </w:pPr>
            <w:r>
              <w:rPr>
                <w:rFonts w:ascii="Arial" w:cs="Arial" w:eastAsia="Arial" w:hAnsi="Arial"/>
                <w:sz w:val="14"/>
                <w:szCs w:val="14"/>
                <w:b w:val="1"/>
                <w:bCs w:val="1"/>
                <w:color w:val="auto"/>
              </w:rPr>
              <w:t>5%($)</w:t>
            </w: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LeRoy D. Nosbaum</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ind w:left="20"/>
              <w:spacing w:after="0"/>
              <w:rPr>
                <w:sz w:val="20"/>
                <w:szCs w:val="20"/>
                <w:color w:val="auto"/>
              </w:rPr>
            </w:pPr>
            <w:r>
              <w:rPr>
                <w:rFonts w:ascii="Arial" w:cs="Arial" w:eastAsia="Arial" w:hAnsi="Arial"/>
                <w:sz w:val="18"/>
                <w:szCs w:val="18"/>
                <w:color w:val="auto"/>
              </w:rPr>
              <w:t>Robert D. Neilson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David G. Remington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$ 14.85</w:t>
            </w:r>
          </w:p>
        </w:tc>
        <w:tc>
          <w:tcPr>
            <w:tcW w:w="1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7/26/12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$70,043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ind w:left="20"/>
              <w:spacing w:after="0"/>
              <w:rPr>
                <w:sz w:val="20"/>
                <w:szCs w:val="20"/>
                <w:color w:val="auto"/>
              </w:rPr>
            </w:pPr>
            <w:r>
              <w:rPr>
                <w:rFonts w:ascii="Arial" w:cs="Arial" w:eastAsia="Arial" w:hAnsi="Arial"/>
                <w:sz w:val="18"/>
                <w:szCs w:val="18"/>
                <w:color w:val="auto"/>
              </w:rPr>
              <w:t>Russell N. Fairbanks, Jr.</w:t>
            </w: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1800" w:type="dxa"/>
            <w:vAlign w:val="bottom"/>
            <w:gridSpan w:val="3"/>
          </w:tcPr>
          <w:p>
            <w:pPr>
              <w:jc w:val="right"/>
              <w:ind w:right="340"/>
              <w:spacing w:after="0"/>
              <w:rPr>
                <w:sz w:val="20"/>
                <w:szCs w:val="20"/>
                <w:color w:val="auto"/>
              </w:rPr>
            </w:pPr>
            <w:r>
              <w:rPr>
                <w:rFonts w:ascii="Arial" w:cs="Arial" w:eastAsia="Arial" w:hAnsi="Arial"/>
                <w:sz w:val="18"/>
                <w:szCs w:val="18"/>
                <w:color w:val="auto"/>
              </w:rPr>
              <w:t>7/26/12</w:t>
            </w:r>
          </w:p>
        </w:tc>
        <w:tc>
          <w:tcPr>
            <w:tcW w:w="580" w:type="dxa"/>
            <w:vAlign w:val="bottom"/>
          </w:tcPr>
          <w:p>
            <w:pPr>
              <w:jc w:val="right"/>
              <w:spacing w:after="0"/>
              <w:rPr>
                <w:sz w:val="20"/>
                <w:szCs w:val="20"/>
                <w:color w:val="auto"/>
              </w:rPr>
            </w:pPr>
            <w:r>
              <w:rPr>
                <w:rFonts w:ascii="Arial" w:cs="Arial" w:eastAsia="Arial" w:hAnsi="Arial"/>
                <w:sz w:val="18"/>
                <w:szCs w:val="18"/>
                <w:color w:val="auto"/>
              </w:rPr>
              <w:t>70,043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177,503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John W. Hengesh, Jr.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7/26/12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granted options to purchase 849,000 shares of common stock to our employees and nonemployee directors in 2002.</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value of current year grants assuming appreciation of 5% and 10% per year over the ten-year option period. The actual value realized may be greater or less than the potential realizable values set forth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2002 and Year-End Option Values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options exercised in 2002 and options held as of December 31, 2002 by each of our NEOs.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2002 Option Exercises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Value of Unexercised In-the-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3"/>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Total Number of Unexercised Options at Fiscal</w:t>
            </w:r>
          </w:p>
        </w:tc>
        <w:tc>
          <w:tcPr>
            <w:tcW w:w="340" w:type="dxa"/>
            <w:vAlign w:val="bottom"/>
          </w:tcPr>
          <w:p>
            <w:pPr>
              <w:spacing w:after="0"/>
              <w:rPr>
                <w:sz w:val="12"/>
                <w:szCs w:val="12"/>
                <w:color w:val="auto"/>
              </w:rPr>
            </w:pPr>
          </w:p>
        </w:tc>
        <w:tc>
          <w:tcPr>
            <w:tcW w:w="2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Money Options at Fiscal Year-</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2"/>
          </w:tcPr>
          <w:p>
            <w:pPr>
              <w:jc w:val="right"/>
              <w:ind w:right="1072"/>
              <w:spacing w:after="0"/>
              <w:rPr>
                <w:sz w:val="20"/>
                <w:szCs w:val="20"/>
                <w:color w:val="auto"/>
              </w:rPr>
            </w:pPr>
            <w:r>
              <w:rPr>
                <w:rFonts w:ascii="Arial" w:cs="Arial" w:eastAsia="Arial" w:hAnsi="Arial"/>
                <w:sz w:val="14"/>
                <w:szCs w:val="14"/>
                <w:b w:val="1"/>
                <w:bCs w:val="1"/>
                <w:color w:val="auto"/>
                <w:w w:val="87"/>
              </w:rPr>
              <w:t>Year-End</w:t>
            </w:r>
          </w:p>
        </w:tc>
        <w:tc>
          <w:tcPr>
            <w:tcW w:w="340" w:type="dxa"/>
            <w:vAlign w:val="bottom"/>
          </w:tcPr>
          <w:p>
            <w:pPr>
              <w:spacing w:after="0"/>
              <w:rPr>
                <w:sz w:val="15"/>
                <w:szCs w:val="15"/>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End (2)</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Shares Acquired</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on Exercise</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Realized (1)</w:t>
            </w: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5"/>
                <w:szCs w:val="15"/>
                <w:color w:val="auto"/>
              </w:rPr>
            </w:pP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Exercisable</w:t>
            </w:r>
          </w:p>
        </w:tc>
        <w:tc>
          <w:tcPr>
            <w:tcW w:w="3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$ 1,547,263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$ 1,577,209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tcPr>
          <w:p>
            <w:pPr>
              <w:spacing w:after="0"/>
              <w:rPr>
                <w:sz w:val="20"/>
                <w:szCs w:val="20"/>
                <w:color w:val="auto"/>
              </w:rPr>
            </w:pPr>
            <w:r>
              <w:rPr>
                <w:rFonts w:ascii="Arial" w:cs="Arial" w:eastAsia="Arial" w:hAnsi="Arial"/>
                <w:sz w:val="18"/>
                <w:szCs w:val="18"/>
                <w:color w:val="auto"/>
              </w:rPr>
              <w:t>Robert D. Neilson</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37,583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$ 944,284</w:t>
            </w:r>
          </w:p>
        </w:tc>
        <w:tc>
          <w:tcPr>
            <w:tcW w:w="1140" w:type="dxa"/>
            <w:vAlign w:val="bottom"/>
          </w:tcPr>
          <w:p>
            <w:pPr>
              <w:jc w:val="right"/>
              <w:spacing w:after="0"/>
              <w:rPr>
                <w:sz w:val="20"/>
                <w:szCs w:val="20"/>
                <w:color w:val="auto"/>
              </w:rPr>
            </w:pPr>
            <w:r>
              <w:rPr>
                <w:rFonts w:ascii="Arial" w:cs="Arial" w:eastAsia="Arial" w:hAnsi="Arial"/>
                <w:sz w:val="18"/>
                <w:szCs w:val="18"/>
                <w:color w:val="auto"/>
              </w:rPr>
              <w:t>78,570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949,425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G. Remington</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1,026,159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tcPr>
          <w:p>
            <w:pPr>
              <w:spacing w:after="0"/>
              <w:rPr>
                <w:sz w:val="20"/>
                <w:szCs w:val="20"/>
                <w:color w:val="auto"/>
              </w:rPr>
            </w:pPr>
            <w:r>
              <w:rPr>
                <w:rFonts w:ascii="Arial" w:cs="Arial" w:eastAsia="Arial" w:hAnsi="Arial"/>
                <w:sz w:val="18"/>
                <w:szCs w:val="18"/>
                <w:color w:val="auto"/>
              </w:rPr>
              <w:t>Russell N. Fairbanks, Jr.</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29,628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41,666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137,929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452,992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W. Hengesh, Jr.</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9,193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$ 256,284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50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realized is the difference between the fair market value of the underlying stock at the time of exercise and sale and the exercise price. (Fair market value for a single trading day is the mean of the high and low per share trading prices for the common stock as reported by The Nasdaq Stock Market.)</w:t>
      </w:r>
    </w:p>
    <w:p>
      <w:pPr>
        <w:ind w:left="460" w:right="120" w:hanging="452"/>
        <w:spacing w:after="0" w:line="32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based on a price of $19.17 per share (the closing price of our common stock on December 31, 2002, as reported by The Nasdaq Stock Market), less the exercise price. There is no guarantee that these options will have this value if and when they are exercised.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Change-of-Control Agreements</w:t>
      </w:r>
    </w:p>
    <w:p>
      <w:pPr>
        <w:spacing w:after="0" w:line="8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have entered into change-of-control agreements with all our executive officers to provide compensation and benefits in the event of a change of control of Itron. Under these agreements, our executive officers have agreed to remain employed by Itron on an annual basis and are compensated by an annual salary and bonus as determined by the Compensation Committee of the Board of Directors. If we terminate the employment relationship other than for cause or if the executive officer terminates his or her employment for good reason within a specified period following a change of control (the “Change of Control Period,” which is three years for Messrs. Nosbaum, Neilson, Remington and Fairbanks, one year for Mr. Hengesh and two years or one year for other executive officers), the executive officer will receive any salary or bonus due to the executive officer, group insurance benefits and severance pay equal to the executive officer’s annual base salary and bonus for the fiscal year in which the termination occurs, multiplied by the Change of Control Period. Severance amounts are partially offset if the executive officer realizes a benefit from the acceleration of stock options in connection with the change of control. The executive officer will also receive a bonus equal to his or her annual salary plus annual bonus if his or her employment continues for a full one-year period following a change of control.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83"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David G. Remington, our vice president and chief financial officer since February 1996, is party to an employment agreement with us. This agreement provides for an initial base salary of $250,000, which may be increased annually by our chief executive officer, subject to the approval of the Compensation Committee. The agreement also provides for annual incentive bonus payments to the extent they are earned in accordance with the Company’s Executive Incentive Compensation Plan. Either party under certain conditions may terminate the agreement. If we terminate the agreement other than for cause, we are required to pay Mr. Remington an amount equal to his then-current annual base salary. Under the agreement, we granted Mr. Remington options to purchase 45,000 shares of our common stock at the fair market value of our common stock on the date of the grant. These options are now fully vested.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Stock Incentive Plan Change-of-Control Provisions</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Company’s 2000 Stock Incentive Plan contains certain provisions relating to “Corporate Transactions.” A description of these provisions and the definition of a Corporate Transaction for purposes of the plan, are described in Item 2 under the subheading “Corporate Transactions” on page 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annually reviews and recommends to the full Board the compensation levels for our executive officers. The Committee is comprised of Board members who are not employees of Itron.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Committee’s primary objective in establishing compensation opportunities for our executive officers is to support our goal of maximizing the value of our shareholders’ interests in Itron. To achieve this objective, the Committee believes it is critical to:</w:t>
      </w:r>
    </w:p>
    <w:p>
      <w:pPr>
        <w:spacing w:after="0" w:line="37" w:lineRule="exact"/>
        <w:rPr>
          <w:sz w:val="20"/>
          <w:szCs w:val="20"/>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competitively to attract, retain and motivate a highly competent executive team,</w:t>
      </w:r>
    </w:p>
    <w:p>
      <w:pPr>
        <w:spacing w:after="0" w:line="103" w:lineRule="exact"/>
        <w:rPr>
          <w:rFonts w:ascii="Arial" w:cs="Arial" w:eastAsia="Arial" w:hAnsi="Arial"/>
          <w:sz w:val="18"/>
          <w:szCs w:val="18"/>
          <w:color w:val="auto"/>
        </w:rPr>
      </w:pPr>
    </w:p>
    <w:p>
      <w:pPr>
        <w:ind w:left="760" w:right="24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 opportunities that link corporate performance and executive pay and pay executives competitive levels of incentive compensation when corporate financial and other performance expectations are achieved, and</w:t>
      </w:r>
    </w:p>
    <w:p>
      <w:pPr>
        <w:spacing w:after="0" w:line="37"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executives’ financial interests with the creation of shareholder value by providing long-term incentives in the form of options to acquire common stock and performance-based restricted stock.</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Committee makes recommendations to the Board regarding our executive compensation plans, which promote the objectives detailed above. The Committee engaged outside consultants to determine approximate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22" w:right="299" w:bottom="1440" w:gutter="0" w:footer="0" w:header="0"/>
        </w:sectPr>
      </w:pPr>
    </w:p>
    <w:bookmarkStart w:id="16" w:name="page17"/>
    <w:bookmarkEnd w:id="1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levels among executives in comparable jobs in comparable high-tech companies. The Committee believes that our current compensation plans support our business mission and contribute to our financial success.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firstLine="456"/>
        <w:spacing w:after="0" w:line="260" w:lineRule="auto"/>
        <w:rPr>
          <w:sz w:val="20"/>
          <w:szCs w:val="20"/>
          <w:color w:val="auto"/>
        </w:rPr>
      </w:pPr>
      <w:r>
        <w:rPr>
          <w:rFonts w:ascii="Arial" w:cs="Arial" w:eastAsia="Arial" w:hAnsi="Arial"/>
          <w:sz w:val="17"/>
          <w:szCs w:val="17"/>
          <w:color w:val="auto"/>
        </w:rPr>
        <w:t>The Committee annually reviews each executive officer’s base salary. The factors that the Committee considers in making recommendations regarding base salary include levels of pay among executives in similar jobs within similar high-tech companies, level of responsibility, prior experience and breadth of knowledge, as well as Company performance and job performance. The Committee targets base salaries at the 50th percentile of the market and at approximately the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to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for annual and long-term incentive compensation. The market is defined as similar high-tech companies nationwide, the annual revenues of which are approximately $250 million and that have similar executive-level jobs, which the Committee believes is a highly competitive job market. These companies are not necessarily the same as the companies included in our peer reference group used in the performance graph. In general, for 2002, base salaries for the executive officers were near the 50th percentile of the market.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With respect to the chief executive officer’s compensation, the Committee increased Mr. Nosbaum’s base salary to $400,000 on October 1, 2000 in light of the Company’s significantly improved financial performance and progress toward long-term goals achieved under Mr. Nosbaum’s stewardship. The Committee believes that it is important that Mr. Nosbaum’s base salary be competitive with those of other chief executive officers with similar responsibilities and broad leadership experience in the market defined. The Committee recognizes and highly values Mr. Nosbaum’s visionary leadership, breadth of knowledge and business and utility experience, and highly values his contributions to the Company since becoming chief executive officer.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Incentive Compensation Plan (“EIC Plan”)</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EIC Plan provides the opportunity for our executive officers to earn both annual and long-term incentives in addition to their base salaries. The Committee believes that having as much as or more than 50% of an executive officer’s total compensation at risk fosters achievement of our short-term and long-term financial performance goals.</w:t>
      </w:r>
    </w:p>
    <w:p>
      <w:pPr>
        <w:spacing w:after="0" w:line="12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Annual Incentives. </w:t>
      </w:r>
      <w:r>
        <w:rPr>
          <w:rFonts w:ascii="Arial" w:cs="Arial" w:eastAsia="Arial" w:hAnsi="Arial"/>
          <w:sz w:val="16"/>
          <w:szCs w:val="16"/>
          <w:color w:val="auto"/>
        </w:rPr>
        <w:t>Each year, the Committee establishes annual financial and other goals that relate to one or more indicators of corporate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targets amounts as a specified percentage of the executive officer’s salary. For 2002, these percentages ranged from 42% to 80% of base salary. Incentive awards, which are made in cash, are paid to participating executives under the EIC Plan only when the established financial and other goals are achieved. For 2002, depending on the extent to which corporate goals were achieved, an executive officer was entitled to receive from zero to 200% of the targeted award. Targets are established for the chief executive officer in the same manner as for other officers. For 2002, the annual incentive award opportunity was contingent upon attaining established levels of net profit after tax and revenue growth, along with other strategic goals. In 2002, the CEO and COO’s achievement level was 124.4% and the average achievement level for all executive officers combined in 2002 was 121.2%. Annual incentive payments earned in 2002 were paid in February 2003 and are included in the Summary Compensation Table under the column entitled “Bonus.”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In 2002, our long-term incentives consisted of stock options. The number of stock options granted is determined by the recipient’s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and amount of options currently held, and is intended to recognize different levels of responsibility. All options are granted with an option exercise price equal to the fair market value of our common stock on the date of grant. This closely links a significant portion of executive compensation to benefits produced for all shareholders. The Committee approved normal stock option grants for key employees, including executive officers, based on the above criteria during its regular meetings in 2002. During 2002, Messrs. Nosbaum and Neilson declined option grants and other executive officers received reduced grants, in order to provide a larger pool of options for key employees.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162(m) of the Code limits the tax deduction available to public companies for compensation paid to individual executive officers to $1 million in any taxable year, unless certain performance, disclosure and shareholder approval requirements are met. Under Section 162(m), however, compensation above $1 million may be deducted if it is “performance-based compensation” within the meaning of the Code. When consistent with our compensation philosophy, the Committee intends to structure our compensation program so that compensation expense is deductible by Itron for tax purposes.</w:t>
      </w:r>
    </w:p>
    <w:p>
      <w:pPr>
        <w:spacing w:after="0" w:line="9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Michael B. Bracy, Chairman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Mary Ann Peters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28" w:right="2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graph compares the cumulative total return to shareholders on our common stock with the cumulative total return of The Nasdaq Stock Market (U.S. Companies) Index and a peer group of companies.</w:t>
      </w:r>
    </w:p>
    <w:p>
      <w:pPr>
        <w:spacing w:after="0" w:line="112" w:lineRule="exact"/>
        <w:rPr>
          <w:sz w:val="20"/>
          <w:szCs w:val="20"/>
          <w:color w:val="auto"/>
        </w:rPr>
      </w:pPr>
    </w:p>
    <w:p>
      <w:pPr>
        <w:jc w:val="center"/>
        <w:ind w:left="280" w:right="2480"/>
        <w:spacing w:after="0" w:line="262" w:lineRule="auto"/>
        <w:rPr>
          <w:sz w:val="20"/>
          <w:szCs w:val="20"/>
          <w:color w:val="auto"/>
        </w:rPr>
      </w:pPr>
      <w:r>
        <w:rPr>
          <w:rFonts w:ascii="Arial" w:cs="Arial" w:eastAsia="Arial" w:hAnsi="Arial"/>
          <w:sz w:val="18"/>
          <w:szCs w:val="18"/>
          <w:b w:val="1"/>
          <w:bCs w:val="1"/>
          <w:color w:val="auto"/>
        </w:rPr>
        <w:t xml:space="preserve">COMPARISON OF 5-YEAR CUMULATIVE TOTAL RETURN* </w:t>
      </w:r>
      <w:r>
        <w:rPr>
          <w:rFonts w:ascii="Arial" w:cs="Arial" w:eastAsia="Arial" w:hAnsi="Arial"/>
          <w:sz w:val="18"/>
          <w:szCs w:val="18"/>
          <w:color w:val="auto"/>
        </w:rPr>
        <w:t>AMONG ITRON, INC., THE NASDAQ STOCK MARKET (U.S. COMPANIES)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84455</wp:posOffset>
            </wp:positionV>
            <wp:extent cx="4931410" cy="2984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141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December 31, 1997 in stock or index, including reinvestment of dividends (fiscal year ending December 31).</w:t>
      </w:r>
    </w:p>
    <w:p>
      <w:pPr>
        <w:spacing w:after="0" w:line="15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Companies in our peer group include publicly traded companies that have operating characteristics most comparable to ours and that provide data collection, analysis and management solutions, consulting and communications services, and radio manufacturing.</w:t>
      </w:r>
    </w:p>
    <w:p>
      <w:pPr>
        <w:spacing w:after="0" w:line="7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above presentation assumes $100 invested on December 31, 1997 in the common stock of Itron, our peer group and The Nasdaq Stock Market (U.S. Companies) Index, with all dividends reinvested. With respect to companies in our peer group, the returns of each such corporation have been weighted to reflect relative stock market capitalization. The stock prices shown above for our common stock are historical and not necessarily indicative of future price performance.</w:t>
      </w:r>
    </w:p>
    <w:p>
      <w:pPr>
        <w:spacing w:after="0" w:line="7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peer group includes the following companies: Badger Meter, EMS Technologies, ESCO Technologies, Interlogix, LCC International, Motorola, Symbol Technologies and Trimble Navigation, Ltd.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22"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2002 AUDIT/FINANCE COMMITTEE REPORT</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Audit/Finance Committee is composed of independent directors as defined by Rule 4200(a)(14) of the National Association of Securities Dealers rules and acts under a written charter developed by the Committee in 2000 and modified in 2002. Management is responsible for the Company’s internal controls and the financial reporting process. Deloitte &amp; Touche LLP, the Company’s independent auditors, is responsible for performing an independent audit of the Company’s consolidated financial statements in accordance with auditing standards generally accepted in the United States of America, and for issuing a report thereon. The Committee’s responsibility is to monitor and oversee these processes on behalf of the Board of Directors.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December 31, 2002 financial statements, the Audit/Finance Committee hereby reports as follows:</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with management.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Statement on Auditing Standards No. 61.</w:t>
      </w:r>
    </w:p>
    <w:p>
      <w:pPr>
        <w:spacing w:after="0" w:line="99"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Independence Standards Board Standard No. 1 and discussed with the auditors the auditors’ independence.</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fiscal year ended December 31, 2002.</w:t>
      </w:r>
    </w:p>
    <w:p>
      <w:pPr>
        <w:spacing w:after="0" w:line="127"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Audit/Finance Committee</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Jon E. Eliassen, Chairman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Ted C. DeMerritt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Graham M. Wilson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22" w:right="29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FEES REPORT</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years ended December 31, 2002 and 2001, professional services were performed by Deloitte &amp; Touche LLP, the member firms of Deloitte Touche Tohmatsu, and their respective affiliates (collectively, “Deloitte &amp; Touche”). The aggregate fees billed by Deloitte &amp; Touche for the years ended December 31, 2002 and 2001 were as follows:</w:t>
      </w:r>
    </w:p>
    <w:p>
      <w:pPr>
        <w:spacing w:after="0" w:line="4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w w:val="93"/>
              </w:rPr>
              <w:t>Fees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5"/>
        </w:trPr>
        <w:tc>
          <w:tcPr>
            <w:tcW w:w="2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63"/>
        </w:trPr>
        <w:tc>
          <w:tcPr>
            <w:tcW w:w="2100" w:type="dxa"/>
            <w:vAlign w:val="bottom"/>
          </w:tcPr>
          <w:p>
            <w:pPr>
              <w:spacing w:after="0"/>
              <w:rPr>
                <w:sz w:val="22"/>
                <w:szCs w:val="22"/>
                <w:color w:val="auto"/>
              </w:rPr>
            </w:pPr>
          </w:p>
        </w:tc>
        <w:tc>
          <w:tcPr>
            <w:tcW w:w="39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Services Rendered</w:t>
            </w:r>
          </w:p>
        </w:tc>
        <w:tc>
          <w:tcPr>
            <w:tcW w:w="300" w:type="dxa"/>
            <w:vAlign w:val="bottom"/>
          </w:tcPr>
          <w:p>
            <w:pPr>
              <w:spacing w:after="0"/>
              <w:rPr>
                <w:sz w:val="22"/>
                <w:szCs w:val="22"/>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2001</w:t>
            </w:r>
          </w:p>
        </w:tc>
      </w:tr>
      <w:tr>
        <w:trPr>
          <w:trHeight w:val="95"/>
        </w:trPr>
        <w:tc>
          <w:tcPr>
            <w:tcW w:w="210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2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Services (1)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468,000</w:t>
            </w:r>
          </w:p>
        </w:tc>
      </w:tr>
      <w:tr>
        <w:trPr>
          <w:trHeight w:val="222"/>
        </w:trPr>
        <w:tc>
          <w:tcPr>
            <w:tcW w:w="6040" w:type="dxa"/>
            <w:vAlign w:val="bottom"/>
            <w:gridSpan w:val="3"/>
          </w:tcPr>
          <w:p>
            <w:pPr>
              <w:spacing w:after="0"/>
              <w:rPr>
                <w:sz w:val="20"/>
                <w:szCs w:val="20"/>
                <w:color w:val="auto"/>
              </w:rPr>
            </w:pPr>
            <w:r>
              <w:rPr>
                <w:rFonts w:ascii="Arial" w:cs="Arial" w:eastAsia="Arial" w:hAnsi="Arial"/>
                <w:sz w:val="18"/>
                <w:szCs w:val="18"/>
                <w:color w:val="auto"/>
              </w:rPr>
              <w:t>Audit-Related Services (2)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451,600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45,800</w:t>
            </w:r>
          </w:p>
        </w:tc>
      </w:tr>
      <w:tr>
        <w:trPr>
          <w:trHeight w:val="102"/>
        </w:trPr>
        <w:tc>
          <w:tcPr>
            <w:tcW w:w="2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2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6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Audit and Audit-Related Services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513,800</w:t>
            </w: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Tax Services (3)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199,400</w:t>
            </w:r>
          </w:p>
        </w:tc>
      </w:tr>
      <w:tr>
        <w:trPr>
          <w:trHeight w:val="216"/>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Services (4)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billed for the audit of the Company’s annual financial statements for the years ended December 31, 2002 and 2001 and for the reviews of the financial statements included in the Company’s Quarterly Reports on Form 10-Q.</w:t>
      </w: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billed for acquisition due diligence services and technical accounting education classes for the year ended December 31, 2002 and for acquisition due diligence services for the year ended December 31, 2001.</w:t>
      </w:r>
    </w:p>
    <w:p>
      <w:pPr>
        <w:ind w:left="460" w:right="1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billed for compliance, immigration and visa, and tax planning services for the year ended December 31, 2002 and for tax consulting services for the year ended December 31, 2001.</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Fees billed for financial information systems design, implementation and upgrade services for both the years ended December 31, 2002 and 2001.</w:t>
      </w:r>
    </w:p>
    <w:p>
      <w:pPr>
        <w:spacing w:after="0" w:line="32"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Beginning in 2003 as required under the revised Audit/Finance Committee Charter, the Committee adopted a policy for pre-approval of all audit and non-audit services.</w:t>
      </w:r>
    </w:p>
    <w:p>
      <w:pPr>
        <w:spacing w:after="0" w:line="12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Audit/Finance Committee has considered whether the nonaudit services provided to the Company by Deloitte &amp; Touche are compatible with maintaining the auditors’ independence.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Section 16(a) of the Securities Exchange Act of 1934, as amended, requires our officers and directors, and persons who own more than 10% of a registered class of our equity securities, to file reports of ownership and changes in ownership with the Securities and Exchange Commission (“SEC”). SEC regulations require our officers, directors and greater-than-10% shareholders to provide us with copies of all Section 16(a) forms they file.</w:t>
      </w:r>
    </w:p>
    <w:p>
      <w:pPr>
        <w:spacing w:after="0" w:line="9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Based solely on our review of the copies of these forms we have received, or written representations from reporting persons that no such forms were required for those persons, we believe that during 2002 all our officers, directors and greater-than-10% shareholders complied with all applicable filing requirements.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22" w:right="279" w:bottom="1440" w:gutter="0" w:footer="0" w:header="0"/>
        </w:sectPr>
      </w:pPr>
    </w:p>
    <w:bookmarkStart w:id="21" w:name="page22"/>
    <w:bookmarkEnd w:id="21"/>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February 28, 2003 by:</w:t>
      </w:r>
    </w:p>
    <w:p>
      <w:pPr>
        <w:spacing w:after="0" w:line="77" w:lineRule="exact"/>
        <w:rPr>
          <w:sz w:val="20"/>
          <w:szCs w:val="20"/>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percentage ownership data is based on 20,240,943 shares of our common stock outstanding as of February 28, 2003.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4"/>
              </w:rPr>
              <w:t>Shares Beneficially Owned</w:t>
            </w:r>
          </w:p>
        </w:tc>
      </w:tr>
      <w:tr>
        <w:trPr>
          <w:trHeight w:val="95"/>
        </w:trPr>
        <w:tc>
          <w:tcPr>
            <w:tcW w:w="4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260" w:type="dxa"/>
            <w:vAlign w:val="bottom"/>
          </w:tcPr>
          <w:p>
            <w:pPr>
              <w:spacing w:after="0"/>
              <w:rPr>
                <w:sz w:val="22"/>
                <w:szCs w:val="22"/>
                <w:color w:val="auto"/>
              </w:rPr>
            </w:pPr>
          </w:p>
        </w:tc>
        <w:tc>
          <w:tcPr>
            <w:tcW w:w="51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r>
      <w:tr>
        <w:trPr>
          <w:trHeight w:val="95"/>
        </w:trPr>
        <w:tc>
          <w:tcPr>
            <w:tcW w:w="4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9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LeRoy D. Nosbaum (1)</w:t>
            </w:r>
          </w:p>
        </w:tc>
        <w:tc>
          <w:tcPr>
            <w:tcW w:w="1120" w:type="dxa"/>
            <w:vAlign w:val="bottom"/>
          </w:tcPr>
          <w:p>
            <w:pPr>
              <w:jc w:val="right"/>
              <w:spacing w:after="0"/>
              <w:rPr>
                <w:sz w:val="20"/>
                <w:szCs w:val="20"/>
                <w:color w:val="auto"/>
              </w:rPr>
            </w:pPr>
            <w:r>
              <w:rPr>
                <w:rFonts w:ascii="Arial" w:cs="Arial" w:eastAsia="Arial" w:hAnsi="Arial"/>
                <w:sz w:val="18"/>
                <w:szCs w:val="18"/>
                <w:color w:val="auto"/>
              </w:rPr>
              <w:t>242,648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Robert D. Neilson (2)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169,276</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David G. Remington (3)</w:t>
            </w:r>
          </w:p>
        </w:tc>
        <w:tc>
          <w:tcPr>
            <w:tcW w:w="1120" w:type="dxa"/>
            <w:vAlign w:val="bottom"/>
          </w:tcPr>
          <w:p>
            <w:pPr>
              <w:jc w:val="right"/>
              <w:spacing w:after="0"/>
              <w:rPr>
                <w:sz w:val="20"/>
                <w:szCs w:val="20"/>
                <w:color w:val="auto"/>
              </w:rPr>
            </w:pPr>
            <w:r>
              <w:rPr>
                <w:rFonts w:ascii="Arial" w:cs="Arial" w:eastAsia="Arial" w:hAnsi="Arial"/>
                <w:sz w:val="18"/>
                <w:szCs w:val="18"/>
                <w:color w:val="auto"/>
              </w:rPr>
              <w:t>190,519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Russell N. Fairbanks, Jr. (4)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John W. Hengesh, Jr. (5)</w:t>
            </w:r>
          </w:p>
        </w:tc>
        <w:tc>
          <w:tcPr>
            <w:tcW w:w="1120" w:type="dxa"/>
            <w:vAlign w:val="bottom"/>
          </w:tcPr>
          <w:p>
            <w:pPr>
              <w:jc w:val="right"/>
              <w:spacing w:after="0"/>
              <w:rPr>
                <w:sz w:val="20"/>
                <w:szCs w:val="20"/>
                <w:color w:val="auto"/>
              </w:rPr>
            </w:pPr>
            <w:r>
              <w:rPr>
                <w:rFonts w:ascii="Arial" w:cs="Arial" w:eastAsia="Arial" w:hAnsi="Arial"/>
                <w:sz w:val="18"/>
                <w:szCs w:val="18"/>
                <w:color w:val="auto"/>
              </w:rPr>
              <w:t>22,602</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Michael B. Bracy (6)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Michael J. Chesser (7)</w:t>
            </w:r>
          </w:p>
        </w:tc>
        <w:tc>
          <w:tcPr>
            <w:tcW w:w="1120" w:type="dxa"/>
            <w:vAlign w:val="bottom"/>
          </w:tcPr>
          <w:p>
            <w:pPr>
              <w:jc w:val="right"/>
              <w:spacing w:after="0"/>
              <w:rPr>
                <w:sz w:val="20"/>
                <w:szCs w:val="20"/>
                <w:color w:val="auto"/>
              </w:rPr>
            </w:pPr>
            <w:r>
              <w:rPr>
                <w:rFonts w:ascii="Arial" w:cs="Arial" w:eastAsia="Arial" w:hAnsi="Arial"/>
                <w:sz w:val="18"/>
                <w:szCs w:val="18"/>
                <w:color w:val="auto"/>
              </w:rPr>
              <w:t>46,527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Ted C. DeMerritt (8)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Jon E. Eliassen (9)</w:t>
            </w:r>
          </w:p>
        </w:tc>
        <w:tc>
          <w:tcPr>
            <w:tcW w:w="1120" w:type="dxa"/>
            <w:vAlign w:val="bottom"/>
          </w:tcPr>
          <w:p>
            <w:pPr>
              <w:jc w:val="right"/>
              <w:spacing w:after="0"/>
              <w:rPr>
                <w:sz w:val="20"/>
                <w:szCs w:val="20"/>
                <w:color w:val="auto"/>
              </w:rPr>
            </w:pPr>
            <w:r>
              <w:rPr>
                <w:rFonts w:ascii="Arial" w:cs="Arial" w:eastAsia="Arial" w:hAnsi="Arial"/>
                <w:sz w:val="18"/>
                <w:szCs w:val="18"/>
                <w:color w:val="auto"/>
              </w:rPr>
              <w:t>34,227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Thomas S. Foley (10)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Thomas S. Glanville (11)</w:t>
            </w:r>
          </w:p>
        </w:tc>
        <w:tc>
          <w:tcPr>
            <w:tcW w:w="1120" w:type="dxa"/>
            <w:vAlign w:val="bottom"/>
          </w:tcPr>
          <w:p>
            <w:pPr>
              <w:jc w:val="right"/>
              <w:spacing w:after="0"/>
              <w:rPr>
                <w:sz w:val="20"/>
                <w:szCs w:val="20"/>
                <w:color w:val="auto"/>
              </w:rPr>
            </w:pPr>
            <w:r>
              <w:rPr>
                <w:rFonts w:ascii="Arial" w:cs="Arial" w:eastAsia="Arial" w:hAnsi="Arial"/>
                <w:sz w:val="18"/>
                <w:szCs w:val="18"/>
                <w:color w:val="auto"/>
              </w:rPr>
              <w:t>8,879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Mary Ann Peters (12)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S. Edward White (13)</w:t>
            </w:r>
          </w:p>
        </w:tc>
        <w:tc>
          <w:tcPr>
            <w:tcW w:w="1120" w:type="dxa"/>
            <w:vAlign w:val="bottom"/>
          </w:tcPr>
          <w:p>
            <w:pPr>
              <w:jc w:val="right"/>
              <w:spacing w:after="0"/>
              <w:rPr>
                <w:sz w:val="20"/>
                <w:szCs w:val="20"/>
                <w:color w:val="auto"/>
              </w:rPr>
            </w:pPr>
            <w:r>
              <w:rPr>
                <w:rFonts w:ascii="Arial" w:cs="Arial" w:eastAsia="Arial" w:hAnsi="Arial"/>
                <w:sz w:val="18"/>
                <w:szCs w:val="18"/>
                <w:color w:val="auto"/>
              </w:rPr>
              <w:t>193,272</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Graham M. Wilson (14)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08"/>
        </w:trPr>
        <w:tc>
          <w:tcPr>
            <w:tcW w:w="4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4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9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All directors and executive officers as a group (23 persons) (15)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1,398,321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322"/>
        </w:trPr>
        <w:tc>
          <w:tcPr>
            <w:tcW w:w="9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Greater-Than-5% Shareholders:</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9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Barclays Global Investors, NA (16)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1,418,695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08"/>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45 Fremont Street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San Francisco, CA 94105</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9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Kopp Investment Advisors, Inc. (17)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2,013,099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08"/>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7701 France Ave. So., Suite 500</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9360" w:type="dxa"/>
            <w:vAlign w:val="bottom"/>
            <w:gridSpan w:val="3"/>
          </w:tcPr>
          <w:p>
            <w:pPr>
              <w:ind w:left="200"/>
              <w:spacing w:after="0"/>
              <w:rPr>
                <w:sz w:val="20"/>
                <w:szCs w:val="20"/>
                <w:color w:val="auto"/>
              </w:rPr>
            </w:pPr>
            <w:r>
              <w:rPr>
                <w:rFonts w:ascii="Arial" w:cs="Arial" w:eastAsia="Arial" w:hAnsi="Arial"/>
                <w:sz w:val="18"/>
                <w:szCs w:val="18"/>
                <w:color w:val="auto"/>
              </w:rPr>
              <w:t>Edina, MN 55435</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60" w:right="200" w:hanging="552"/>
        <w:spacing w:after="0" w:line="33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227,858 shares issuable on exercise of outstanding options exercisable by Mr. Nosbaum within 60 days at a weighted average exercise price of $10.12 per share. Also includes 1,787 shares of common stock held for Mr. Nosbaum’s individual account under our 401(k) employee savings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22" w:name="page23"/>
    <w:bookmarkEnd w:id="22"/>
    <w:p>
      <w:pPr>
        <w:ind w:left="552" w:right="320" w:hanging="552"/>
        <w:spacing w:after="0" w:line="306" w:lineRule="auto"/>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108,750 shares issuable on exercise of outstanding options exercisable by Mr. Neilson within 60 days at a weighted average exercise price of $15.07 per share. Also includes 3,665 shares of common stock held for Mr. Neilson’s individual account under our 401(k) employee savings plan, 39 shares held under our employee stock ownership plan and 38,151 shares held by Mr. Neilson’s wife.</w:t>
      </w:r>
    </w:p>
    <w:p>
      <w:pPr>
        <w:spacing w:after="0" w:line="12" w:lineRule="exact"/>
        <w:rPr>
          <w:rFonts w:ascii="Arial" w:cs="Arial" w:eastAsia="Arial" w:hAnsi="Arial"/>
          <w:sz w:val="16"/>
          <w:szCs w:val="16"/>
          <w:color w:val="auto"/>
        </w:rPr>
      </w:pPr>
    </w:p>
    <w:p>
      <w:pPr>
        <w:ind w:left="552" w:right="80"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180,000 shares issuable on exercise of outstanding options exercisable by Mr. Remington within 60 days at a weighted average exercise price of $13.35 per share.</w:t>
      </w:r>
    </w:p>
    <w:p>
      <w:pPr>
        <w:spacing w:after="0" w:line="37" w:lineRule="exact"/>
        <w:rPr>
          <w:rFonts w:ascii="Arial" w:cs="Arial" w:eastAsia="Arial" w:hAnsi="Arial"/>
          <w:sz w:val="18"/>
          <w:szCs w:val="18"/>
          <w:color w:val="auto"/>
        </w:rPr>
      </w:pPr>
    </w:p>
    <w:p>
      <w:pPr>
        <w:ind w:left="552" w:right="260" w:hanging="552"/>
        <w:spacing w:after="0" w:line="325" w:lineRule="auto"/>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34,122 shares issuable on exercise of outstanding options exercisable by Mr. Fairbanks within 60 days at a weighted average exercise price of $6.82 per share. Also includes 328 shares of common stock held for Mr. Fairbanks’ individual account under our 401(k) employee savings plan.</w:t>
      </w:r>
    </w:p>
    <w:p>
      <w:pPr>
        <w:spacing w:after="0" w:line="1" w:lineRule="exact"/>
        <w:rPr>
          <w:rFonts w:ascii="Arial" w:cs="Arial" w:eastAsia="Arial" w:hAnsi="Arial"/>
          <w:sz w:val="16"/>
          <w:szCs w:val="16"/>
          <w:color w:val="auto"/>
        </w:rPr>
      </w:pPr>
    </w:p>
    <w:p>
      <w:pPr>
        <w:ind w:left="552" w:hanging="552"/>
        <w:spacing w:after="0"/>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19,062 shares issuable on exercise of outstanding options exercisable by Mr. Hengesh within 60 days at a weighted average exercise price of</w:t>
      </w:r>
    </w:p>
    <w:p>
      <w:pPr>
        <w:spacing w:after="0" w:line="38" w:lineRule="exact"/>
        <w:rPr>
          <w:rFonts w:ascii="Arial" w:cs="Arial" w:eastAsia="Arial" w:hAnsi="Arial"/>
          <w:sz w:val="16"/>
          <w:szCs w:val="16"/>
          <w:color w:val="auto"/>
        </w:rPr>
      </w:pPr>
    </w:p>
    <w:p>
      <w:pPr>
        <w:ind w:left="552" w:right="140"/>
        <w:spacing w:after="0" w:line="261" w:lineRule="auto"/>
        <w:rPr>
          <w:rFonts w:ascii="Arial" w:cs="Arial" w:eastAsia="Arial" w:hAnsi="Arial"/>
          <w:sz w:val="16"/>
          <w:szCs w:val="16"/>
          <w:color w:val="auto"/>
        </w:rPr>
      </w:pPr>
      <w:r>
        <w:rPr>
          <w:rFonts w:ascii="Arial" w:cs="Arial" w:eastAsia="Arial" w:hAnsi="Arial"/>
          <w:sz w:val="18"/>
          <w:szCs w:val="18"/>
          <w:color w:val="auto"/>
        </w:rPr>
        <w:t>$6.97 per share. Also includes 3,015 shares of common stock held for Mr. Hengesh’s individual account under our 401(k) employee savings plan and 21 shares held under our employee stock ownership plan.</w:t>
      </w:r>
    </w:p>
    <w:p>
      <w:pPr>
        <w:spacing w:after="0" w:line="43" w:lineRule="exact"/>
        <w:rPr>
          <w:rFonts w:ascii="Arial" w:cs="Arial" w:eastAsia="Arial" w:hAnsi="Arial"/>
          <w:sz w:val="16"/>
          <w:szCs w:val="16"/>
          <w:color w:val="auto"/>
        </w:rPr>
      </w:pPr>
    </w:p>
    <w:p>
      <w:pPr>
        <w:ind w:left="552"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44,250 shares issuable on exercise of outstanding options exercisable by Mr. Bracy within 60 days at a weighted average exercise price of $17.59 per share.</w:t>
      </w:r>
    </w:p>
    <w:p>
      <w:pPr>
        <w:spacing w:after="0" w:line="37" w:lineRule="exact"/>
        <w:rPr>
          <w:rFonts w:ascii="Arial" w:cs="Arial" w:eastAsia="Arial" w:hAnsi="Arial"/>
          <w:sz w:val="18"/>
          <w:szCs w:val="18"/>
          <w:color w:val="auto"/>
        </w:rPr>
      </w:pPr>
    </w:p>
    <w:p>
      <w:pPr>
        <w:ind w:left="552" w:right="400"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27,250 shares issuable on exercise of outstanding options exercisable by Mr. Chesser within 60 days at a weighted average exercise price of $8.87 per share.</w:t>
      </w:r>
    </w:p>
    <w:p>
      <w:pPr>
        <w:spacing w:after="0" w:line="37" w:lineRule="exact"/>
        <w:rPr>
          <w:rFonts w:ascii="Arial" w:cs="Arial" w:eastAsia="Arial" w:hAnsi="Arial"/>
          <w:sz w:val="18"/>
          <w:szCs w:val="18"/>
          <w:color w:val="auto"/>
        </w:rPr>
      </w:pPr>
    </w:p>
    <w:p>
      <w:pPr>
        <w:ind w:left="552" w:right="240"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34,000 shares issuable on exercise of outstanding options exercisable by Mr. DeMerritt within 60 days at a weighted average exercise price of $20.77 per share.</w:t>
      </w:r>
    </w:p>
    <w:p>
      <w:pPr>
        <w:spacing w:after="0" w:line="37" w:lineRule="exact"/>
        <w:rPr>
          <w:rFonts w:ascii="Arial" w:cs="Arial" w:eastAsia="Arial" w:hAnsi="Arial"/>
          <w:sz w:val="18"/>
          <w:szCs w:val="18"/>
          <w:color w:val="auto"/>
        </w:rPr>
      </w:pPr>
    </w:p>
    <w:p>
      <w:pPr>
        <w:ind w:left="552" w:right="360"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27,250 shares issuable on exercise of outstanding options exercisable by Mr. Eliassen within 60 days at a weighted average exercise price of $26.17 per share.</w:t>
      </w:r>
    </w:p>
    <w:p>
      <w:pPr>
        <w:spacing w:after="0" w:line="37" w:lineRule="exact"/>
        <w:rPr>
          <w:rFonts w:ascii="Arial" w:cs="Arial" w:eastAsia="Arial" w:hAnsi="Arial"/>
          <w:sz w:val="18"/>
          <w:szCs w:val="18"/>
          <w:color w:val="auto"/>
        </w:rPr>
      </w:pPr>
    </w:p>
    <w:p>
      <w:pPr>
        <w:ind w:left="552" w:hanging="552"/>
        <w:spacing w:after="0"/>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10,000 shares issuable on exercise of outstanding options exercisable by Mr. Foley within 60 days at a price of $22.00 per share.</w:t>
      </w:r>
    </w:p>
    <w:p>
      <w:pPr>
        <w:spacing w:after="0" w:line="99" w:lineRule="exact"/>
        <w:rPr>
          <w:rFonts w:ascii="Arial" w:cs="Arial" w:eastAsia="Arial" w:hAnsi="Arial"/>
          <w:sz w:val="16"/>
          <w:szCs w:val="16"/>
          <w:color w:val="auto"/>
        </w:rPr>
      </w:pPr>
    </w:p>
    <w:p>
      <w:pPr>
        <w:ind w:left="552" w:right="80" w:hanging="552"/>
        <w:spacing w:after="0" w:line="259"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8,000 shares issuable on exercise of outstanding options exercisable by Mr. Glanville within 60 days at a price of $14.85. In conjunction with an agreement between Mr. Glanville and an affiliate of Reliant Energy Ventures, Inc., Reliant Energy Ventures, Inc. will have investment and voting power with respect to the shares issued upon exercise of this option.</w:t>
      </w:r>
    </w:p>
    <w:p>
      <w:pPr>
        <w:spacing w:after="0" w:line="45" w:lineRule="exact"/>
        <w:rPr>
          <w:rFonts w:ascii="Arial" w:cs="Arial" w:eastAsia="Arial" w:hAnsi="Arial"/>
          <w:sz w:val="18"/>
          <w:szCs w:val="18"/>
          <w:color w:val="auto"/>
        </w:rPr>
      </w:pPr>
    </w:p>
    <w:p>
      <w:pPr>
        <w:ind w:left="552" w:hanging="552"/>
        <w:spacing w:after="0"/>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issuable on exercise of outstanding options exercisable by Ms. Peters within 60 days at a weighted average exercise price of $58.75 per share.</w:t>
      </w:r>
    </w:p>
    <w:p>
      <w:pPr>
        <w:spacing w:after="0" w:line="99" w:lineRule="exact"/>
        <w:rPr>
          <w:rFonts w:ascii="Arial" w:cs="Arial" w:eastAsia="Arial" w:hAnsi="Arial"/>
          <w:sz w:val="16"/>
          <w:szCs w:val="16"/>
          <w:color w:val="auto"/>
        </w:rPr>
      </w:pPr>
    </w:p>
    <w:p>
      <w:pPr>
        <w:ind w:left="552" w:right="520" w:hanging="552"/>
        <w:spacing w:after="0" w:line="325" w:lineRule="auto"/>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48,000 shares issuable on exercise of outstanding options exercisable by Mr. White within 60 days at a weighted average exercise price of $16.45 per share. Also includes 1,193 shares of common stock held for Mr. White’s individual account under our 401(k) employee savings plan.</w:t>
      </w:r>
    </w:p>
    <w:p>
      <w:pPr>
        <w:spacing w:after="0" w:line="1" w:lineRule="exact"/>
        <w:rPr>
          <w:rFonts w:ascii="Arial" w:cs="Arial" w:eastAsia="Arial" w:hAnsi="Arial"/>
          <w:sz w:val="16"/>
          <w:szCs w:val="16"/>
          <w:color w:val="auto"/>
        </w:rPr>
      </w:pPr>
    </w:p>
    <w:p>
      <w:pPr>
        <w:ind w:left="552" w:right="460" w:hanging="552"/>
        <w:spacing w:after="0" w:line="268"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43,000 shares issuable on exercise of outstanding options exercisable by Mr. Wilson within 60 days at a weighted average exercise price of $18.22 per share.</w:t>
      </w:r>
    </w:p>
    <w:p>
      <w:pPr>
        <w:spacing w:after="0" w:line="37" w:lineRule="exact"/>
        <w:rPr>
          <w:rFonts w:ascii="Arial" w:cs="Arial" w:eastAsia="Arial" w:hAnsi="Arial"/>
          <w:sz w:val="18"/>
          <w:szCs w:val="18"/>
          <w:color w:val="auto"/>
        </w:rPr>
      </w:pPr>
    </w:p>
    <w:p>
      <w:pPr>
        <w:ind w:left="552" w:right="100" w:hanging="552"/>
        <w:spacing w:after="0" w:line="259"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999,261 shares issuable on exercise of outstanding options that are held by all directors and executive officers and are exercisable within 60 days. Also includes 21,060 shares of common stock held for such executive officers’ individual accounts under our 401(k) employee savings plan and 60 shares held for such officers’ individual accounts under our employee stock ownership plan.</w:t>
      </w:r>
    </w:p>
    <w:p>
      <w:pPr>
        <w:spacing w:after="0" w:line="45" w:lineRule="exact"/>
        <w:rPr>
          <w:rFonts w:ascii="Arial" w:cs="Arial" w:eastAsia="Arial" w:hAnsi="Arial"/>
          <w:sz w:val="18"/>
          <w:szCs w:val="18"/>
          <w:color w:val="auto"/>
        </w:rPr>
      </w:pPr>
    </w:p>
    <w:p>
      <w:pPr>
        <w:ind w:left="552" w:right="200" w:hanging="552"/>
        <w:spacing w:after="0" w:line="259"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is based on a Schedule 13G filed with the SEC on February 13, 2003 by Barclays Global Investors, NA. This filing indicates that Barclay Global Investors, NA has sole investment discretion and voting power over 1,133,243 of these shares. Additionally, Barclays Global Fund Advisors has sole investment discretion and voting power over 285,452 of these shares.</w:t>
      </w:r>
    </w:p>
    <w:p>
      <w:pPr>
        <w:spacing w:after="0" w:line="45" w:lineRule="exact"/>
        <w:rPr>
          <w:rFonts w:ascii="Arial" w:cs="Arial" w:eastAsia="Arial" w:hAnsi="Arial"/>
          <w:sz w:val="18"/>
          <w:szCs w:val="18"/>
          <w:color w:val="auto"/>
        </w:rPr>
      </w:pPr>
    </w:p>
    <w:p>
      <w:pPr>
        <w:ind w:left="552" w:right="40" w:hanging="552"/>
        <w:spacing w:after="0" w:line="256" w:lineRule="auto"/>
        <w:tabs>
          <w:tab w:leader="none" w:pos="5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is based on a Schedule 13G filed with the SEC on January 16, 2003 by Kopp Investment Advisors, Inc. and LeRoy Kopp. This filing indicates that Kopp Investment Advisors, Inc. has shared investment discretion over 1,210,099 of these shares, sole investment discretion over 625,000 of these shares and sole voting power over 940,700 of these shares. In addition, the filing indicates that Mr. Kopp has sole investment and voting power over 178,000 of these shares.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34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1995, we purchased our headquarters facility in Spokane, Washington, from Pentzer Development Corporation, a subsidiary of Avista Corporation, for $8 million. Jon E. Eliassen is a former officer of Avista. In connection with the purchase, we borrowed $5.6 million from Avista under a long-term note agreement requiring monthly payments of principal and interest, at a rate of 9% per annum through August 2015. In January 2002, we paid $4.9 million to Avista, which represents a $200,000 discount, to fully satisfy our mortgage note.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D. Neilson’s wife was employed by us during the fiscal year 2002 as vice president, marketing, at an annual salary of $190,000.</w:t>
      </w:r>
    </w:p>
    <w:p>
      <w:pPr>
        <w:spacing w:after="0" w:line="15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LIST OF SHAREHOLDERS OF RECORD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local time, at Office of the Corporate Secretary, Itron, Inc., 2818 North Sullivan Road, Spokane, Washington. A shareholder may examine the list for any legally valid purpose related to the annual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 copy of our 2002 Annual Report to Shareholders and our Form 10-K, which includes our financial statements, accompanies this proxy statement.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Under the SEC’s proxy rules, shareholder proposals that meet specified conditions may be included in our proxy statement and proxy for the 2004 annual meeting. Under Exchange Act Rules 14a-5(e) and 14a-8(e), shareholders that intend to present a proposal at our 2004 annual meeting must give us written notice of the proposal not later than December 18, 2003 for the proposal to be considered for inclusion in our proxy materials for that meeting. In addition, shareholders desiring to submit nominations for the election of directors or proposals that will not be included in our proxy materials must do so in accordance with the advance notice provisions and other applicable requirements set forth in our bylaws. Our bylaws provide that the notice of proposals not submitted for inclusion in our proxy materials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Shareholders who intend to present proposals at the 2004 annual meeting that will not be included in our proxy materials must provide to our Corporate Secretary written notice of the business they wish to propose no later than February 23, 2004 and no sooner than January 24, 2004, assuming the annual meeting is held on Friday, May 21, 2004. Our timely receipt of a proposal by a qualified shareholder will not guarantee the proposal’s inclusion in our proxy materials or presentation at the 2004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 proposals should be directed to our Corporate Secretary, Itron, Inc., P.O. Box 15288, Spokane, Washington 99215-5288.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22"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Deloitte &amp; Touche LLP has audited our books and records for the fiscal years ended December 31, 2002, 2001 and 2000. We anticipate that representatives of Deloitte &amp; Touche LLP will be present at the annual meeting. The representatives will have the opportunity to make a statement, if they so desire, and are expected to be available to respond to appropriate questions from shareholders.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do not intend to present any business at the annual meeting other than the matters described in the accompanying Notice of Annual Meeting of Shareholders, and we have no present knowledge that any other person intends to present business at the meeting. If other matters requiring the vote of the shareholders properly come before the annual meeting or if there is any adjournment or postponement of the meeting, the persons named in the accompanying proxy will have discretionary authority to vote the proxies held by them in accordance with their judgment as to those matters.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22" w:right="2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8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purpose of the Itron, Inc. Amended and Restated 2000 Stock Incentive Plan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tab/>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Option or Stock Award.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or conviction or confession of a crime punishable by law (except minor violations), in each case as determined by the Plan Administrator, and its determination shall be conclusive and binding.</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no par value per share, of the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has the meaning set forth in Section 12.3.1.</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shall be as established in good faith by the Plan Administrator or (a) if the Common Stock is listed on the Nasdaq Stock Market, the closing sales price for the Common Stock as reported by the Nasdaq Stock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w:t>
      </w:r>
    </w:p>
    <w:p>
      <w:pPr>
        <w:spacing w:after="0" w:line="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4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to purchase Common Stock granted under Section 7 with the intention that it qualify as an “incentive stock option” as that term is defined in Section 422 of the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to purchase Common Stock granted under Section 7 other than an Incentive Stock Option.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the right to purchase Common Stock granted under Section 7.</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Term</w:t>
      </w:r>
      <w:r>
        <w:rPr>
          <w:rFonts w:ascii="Arial" w:cs="Arial" w:eastAsia="Arial" w:hAnsi="Arial"/>
          <w:sz w:val="18"/>
          <w:szCs w:val="18"/>
          <w:color w:val="auto"/>
        </w:rPr>
        <w:t>” has the meaning set forth in Section 7.3.</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except as otherwise provided in Section 8.8 in connection with Incentive Stock Options, means any entity, whether now or hereafter existing, that directly or indirectly controls the Company.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the person to whom an Award is granted.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Administrator</w:t>
      </w:r>
      <w:r>
        <w:rPr>
          <w:rFonts w:ascii="Arial" w:cs="Arial" w:eastAsia="Arial" w:hAnsi="Arial"/>
          <w:sz w:val="18"/>
          <w:szCs w:val="18"/>
          <w:color w:val="auto"/>
        </w:rPr>
        <w:t>” has the meaning set forth in Section 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Corporation</w:t>
      </w:r>
      <w:r>
        <w:rPr>
          <w:rFonts w:ascii="Arial" w:cs="Arial" w:eastAsia="Arial" w:hAnsi="Arial"/>
          <w:sz w:val="18"/>
          <w:szCs w:val="18"/>
          <w:color w:val="auto"/>
        </w:rPr>
        <w:t>” means any Parent or Subsidiary of the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 Transaction</w:t>
      </w:r>
      <w:r>
        <w:rPr>
          <w:rFonts w:ascii="Arial" w:cs="Arial" w:eastAsia="Arial" w:hAnsi="Arial"/>
          <w:sz w:val="18"/>
          <w:szCs w:val="18"/>
          <w:color w:val="auto"/>
        </w:rPr>
        <w:t>” has the meaning set forth in Section 12.3.1.</w:t>
      </w:r>
    </w:p>
    <w:p>
      <w:pPr>
        <w:spacing w:after="0" w:line="77" w:lineRule="exact"/>
        <w:rPr>
          <w:sz w:val="20"/>
          <w:szCs w:val="20"/>
          <w:color w:val="auto"/>
        </w:rPr>
      </w:pPr>
    </w:p>
    <w:p>
      <w:pPr>
        <w:ind w:right="12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Retirement</w:t>
      </w:r>
      <w:r>
        <w:rPr>
          <w:rFonts w:ascii="Arial" w:cs="Arial" w:eastAsia="Arial" w:hAnsi="Arial"/>
          <w:sz w:val="16"/>
          <w:szCs w:val="16"/>
          <w:color w:val="auto"/>
        </w:rPr>
        <w:t>,” unless otherwise defined by the Plan Administrator from time to time for purposes of the Plan, means retirement on or after the individual’s normal retirement date under the Company’s 401(k) plan or other similar successor plan applicable to salaried employees.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shares of Common Stock or units denominated in Common Stock granted under Section 9, the rights of ownership of which may be subject to restrictions prescribed by the Plan Administrator.</w:t>
      </w:r>
    </w:p>
    <w:p>
      <w:pPr>
        <w:spacing w:after="0" w:line="3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except as otherwise provided in Section 8.8 in connection with Incentive Stock Options, means any entity that is directly or indirectly controlled by the Company.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Corporation</w:t>
      </w:r>
      <w:r>
        <w:rPr>
          <w:rFonts w:ascii="Arial" w:cs="Arial" w:eastAsia="Arial" w:hAnsi="Arial"/>
          <w:sz w:val="18"/>
          <w:szCs w:val="18"/>
          <w:color w:val="auto"/>
        </w:rPr>
        <w:t>” has the meaning set forth in Section 12.3.2.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has the meaning set forth in Section 7.6.</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Vesting Base Date</w:t>
      </w:r>
      <w:r>
        <w:rPr>
          <w:rFonts w:ascii="Arial" w:cs="Arial" w:eastAsia="Arial" w:hAnsi="Arial"/>
          <w:sz w:val="18"/>
          <w:szCs w:val="18"/>
          <w:color w:val="auto"/>
        </w:rPr>
        <w:t>” means the Grant Date or such other date selected by the Plan Administrator as the date from which an Option begins to vest for purposes of Section 7.4.</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tab/>
        <w:t>ADMINISTRATION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Plan Administrator</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administered by the Board and/or a committee or committees (which term includes subcommittees) appointed by, and consisting of two or more members of, the Board (a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 (a) ”outside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Administration and Interpretation by Plan Administrator</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347" w:right="259" w:bottom="1440" w:gutter="0" w:footer="0" w:header="0"/>
        </w:sectPr>
      </w:pPr>
    </w:p>
    <w:bookmarkStart w:id="27" w:name="page28"/>
    <w:bookmarkEnd w:id="27"/>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In no event, however, shall the Plan Administrator have the right to (a) without shareholder approval, cancel or amend outstanding Options for the purpose of repricing, replacing or regranting such Options with a purchase price that is less than the purchase price for the original Options, except in connection with adjustments provided in Section 12.1, or (b) issue an Option or amend an outstanding Option to provide for the grant or issuance of a new Option on exercise of the original Option. 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STOCK SUBJECT TO THE PLAN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Authorized Number of Shares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adjustment from time to time as provided in Section 12.1, the number of shares of Common Stock that shall be available for issuance under the Plan shall be 3,225,000. Shares issued under the Plan shall be drawn from authorized and unissued shares or shares now held or subsequently acquired by the Company.</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Limitations</w:t>
      </w:r>
    </w:p>
    <w:p>
      <w:pPr>
        <w:spacing w:after="0" w:line="83" w:lineRule="exact"/>
        <w:rPr>
          <w:sz w:val="20"/>
          <w:szCs w:val="20"/>
          <w:color w:val="auto"/>
        </w:rPr>
      </w:pPr>
    </w:p>
    <w:p>
      <w:pPr>
        <w:ind w:left="460" w:firstLine="443"/>
        <w:spacing w:after="0" w:line="256" w:lineRule="auto"/>
        <w:tabs>
          <w:tab w:leader="none" w:pos="11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12.1, not more than an aggregate of 300,000 shares shall be available for issuance pursuant to grants of Stock Awards under the Plan. The limitation in this Section 4.2(a) refers only to a Stock Award, which means an award of shares of Common Stock or units denominated in Common Stock granted under Section 9. This Section 4.2(a) is not intended as a limit on the number of Options that may be granted under the Plan.</w:t>
      </w:r>
    </w:p>
    <w:p>
      <w:pPr>
        <w:spacing w:after="0" w:line="48" w:lineRule="exact"/>
        <w:rPr>
          <w:rFonts w:ascii="Arial" w:cs="Arial" w:eastAsia="Arial" w:hAnsi="Arial"/>
          <w:sz w:val="18"/>
          <w:szCs w:val="18"/>
          <w:color w:val="auto"/>
        </w:rPr>
      </w:pPr>
    </w:p>
    <w:p>
      <w:pPr>
        <w:jc w:val="both"/>
        <w:ind w:left="460" w:right="200" w:firstLine="443"/>
        <w:spacing w:after="0" w:line="298" w:lineRule="auto"/>
        <w:tabs>
          <w:tab w:leader="none" w:pos="11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adjustment from time to time as provided in Section 12.1, not more than 300,000 shares of Common Stock may be made subject to Awards under the Plan to any individual in the aggregate in any one fiscal year of the Company, except that the Company may make additional one-time grants of up to 600,000 shares to newly hired individuals, such limitation to be applied in a manner consistent with the requirements of, and only to the extent required for compliance with, the exclusion from the limitation on deductibility of compensation under Section 162(m) of the Code.</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Reuse of Shares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shares of Common Stock that have been made subject to an Award that cease to be subject to the Award (other than by reason of exercise or payment of the Award to the extent it is exercised for or settled in vested and nonforfeitable shares) shall again be available for issuance in connection with future grants of Awards under the Plan; provided, however, that for purposes of Section 4.2, any such shares shall be counted in accordance with the requirements of Section 162(m) of the Code.</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tab/>
        <w:t>ELIGIBILITY</w:t>
      </w:r>
    </w:p>
    <w:p>
      <w:pPr>
        <w:spacing w:after="0" w:line="8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28" w:name="page29"/>
    <w:bookmarkEnd w:id="2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 and sale of the Company’s securities in a capital-raising transaction and do not directly or indirectly promote or maintain a market for the Company’s securities.</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Form and Grant of Awards</w:t>
      </w:r>
    </w:p>
    <w:p>
      <w:pPr>
        <w:spacing w:after="0" w:line="83"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The Plan Administrator shall have the authority, in its sole discretion, to determine the type or types of Awards to be made under the Plan. Such Awards may include, but are not limited to, Incentive Stock Options, Nonqualified Stock Options and Stock Awards. Awards may be granted singly or in combination.</w:t>
      </w:r>
    </w:p>
    <w:p>
      <w:pPr>
        <w:spacing w:after="0" w:line="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Settlement of Awards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may settle Awards through the delivery of shares of Common Stock,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Acquired Company Awards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AWARDS OF OPTIONS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Grant of Options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Option Exercise Price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for shares purchased under an Option shall be as determined by the Plan Administrator, but shall not be less than 100% of the Fair Market Value of the Common Stock on the Grant Date. For Incentive Stock Options granted to a more than 10% shareholder, the Option exercise price shall be as specified in Section 8.2.</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Term of Options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term of each Option (the “Option Term”) shall be as established by the Plan Administrator or, if not so established, shall be ten years from the Grant Date. For Incentive Stock Options, the maximum Option Term shall be as specified in Sections 8.2 and 8.4.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80" w:right="279" w:bottom="1440" w:gutter="0" w:footer="0" w:header="0"/>
        </w:sectPr>
      </w:pPr>
    </w:p>
    <w:bookmarkStart w:id="29" w:name="page30"/>
    <w:bookmarkEnd w:id="29"/>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7.4</w:t>
      </w:r>
      <w:r>
        <w:rPr>
          <w:sz w:val="20"/>
          <w:szCs w:val="20"/>
          <w:color w:val="auto"/>
        </w:rPr>
        <w:tab/>
      </w:r>
      <w:r>
        <w:rPr>
          <w:rFonts w:ascii="Arial" w:cs="Arial" w:eastAsia="Arial" w:hAnsi="Arial"/>
          <w:sz w:val="15"/>
          <w:szCs w:val="15"/>
          <w:b w:val="1"/>
          <w:bCs w:val="1"/>
          <w:color w:val="auto"/>
        </w:rPr>
        <w:t>Exercise of Options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If not so established in the instrument evidencing the Option, the Option shall vest and become exercisable according to the following schedule, which may be waived or modified by the Plan Administrator at any time:</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7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Period of Participant’s Continuous Employment or Service With the Company or Its Related</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 Total Option</w:t>
            </w:r>
          </w:p>
        </w:tc>
      </w:tr>
      <w:tr>
        <w:trPr>
          <w:trHeight w:val="174"/>
        </w:trPr>
        <w:tc>
          <w:tcPr>
            <w:tcW w:w="900" w:type="dxa"/>
            <w:vAlign w:val="bottom"/>
          </w:tcPr>
          <w:p>
            <w:pPr>
              <w:spacing w:after="0"/>
              <w:rPr>
                <w:sz w:val="15"/>
                <w:szCs w:val="15"/>
                <w:color w:val="auto"/>
              </w:rPr>
            </w:pPr>
          </w:p>
        </w:tc>
        <w:tc>
          <w:tcPr>
            <w:tcW w:w="48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7"/>
              </w:rPr>
              <w:t>Corporations From the Vesting Base Date</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86"/>
              </w:rPr>
              <w:t>That Is Vested and Exercisable</w:t>
            </w:r>
          </w:p>
        </w:tc>
      </w:tr>
      <w:tr>
        <w:trPr>
          <w:trHeight w:val="95"/>
        </w:trPr>
        <w:tc>
          <w:tcPr>
            <w:tcW w:w="90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r>
      <w:tr>
        <w:trPr>
          <w:trHeight w:val="309"/>
        </w:trPr>
        <w:tc>
          <w:tcPr>
            <w:tcW w:w="900" w:type="dxa"/>
            <w:vAlign w:val="bottom"/>
          </w:tcPr>
          <w:p>
            <w:pPr>
              <w:spacing w:after="0"/>
              <w:rPr>
                <w:sz w:val="24"/>
                <w:szCs w:val="24"/>
                <w:color w:val="auto"/>
              </w:rPr>
            </w:pPr>
          </w:p>
        </w:tc>
        <w:tc>
          <w:tcPr>
            <w:tcW w:w="486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After 1 year</w:t>
            </w:r>
          </w:p>
        </w:tc>
        <w:tc>
          <w:tcPr>
            <w:tcW w:w="556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16"/>
        </w:trPr>
        <w:tc>
          <w:tcPr>
            <w:tcW w:w="900" w:type="dxa"/>
            <w:vAlign w:val="bottom"/>
          </w:tcPr>
          <w:p>
            <w:pPr>
              <w:spacing w:after="0"/>
              <w:rPr>
                <w:sz w:val="18"/>
                <w:szCs w:val="18"/>
                <w:color w:val="auto"/>
              </w:rPr>
            </w:pPr>
          </w:p>
        </w:tc>
        <w:tc>
          <w:tcPr>
            <w:tcW w:w="486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After 2 years</w:t>
            </w:r>
          </w:p>
        </w:tc>
        <w:tc>
          <w:tcPr>
            <w:tcW w:w="55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900" w:type="dxa"/>
            <w:vAlign w:val="bottom"/>
          </w:tcPr>
          <w:p>
            <w:pPr>
              <w:spacing w:after="0"/>
              <w:rPr>
                <w:sz w:val="18"/>
                <w:szCs w:val="18"/>
                <w:color w:val="auto"/>
              </w:rPr>
            </w:pPr>
          </w:p>
        </w:tc>
        <w:tc>
          <w:tcPr>
            <w:tcW w:w="486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After 3 years</w:t>
            </w:r>
          </w:p>
        </w:tc>
        <w:tc>
          <w:tcPr>
            <w:tcW w:w="5560" w:type="dxa"/>
            <w:vAlign w:val="bottom"/>
          </w:tcPr>
          <w:p>
            <w:pPr>
              <w:jc w:val="center"/>
              <w:spacing w:after="0"/>
              <w:rPr>
                <w:sz w:val="20"/>
                <w:szCs w:val="20"/>
                <w:color w:val="auto"/>
              </w:rPr>
            </w:pPr>
            <w:r>
              <w:rPr>
                <w:rFonts w:ascii="Arial" w:cs="Arial" w:eastAsia="Arial" w:hAnsi="Arial"/>
                <w:sz w:val="18"/>
                <w:szCs w:val="18"/>
                <w:color w:val="auto"/>
                <w:w w:val="88"/>
              </w:rPr>
              <w:t>75%</w:t>
            </w:r>
          </w:p>
        </w:tc>
      </w:tr>
      <w:tr>
        <w:trPr>
          <w:trHeight w:val="222"/>
        </w:trPr>
        <w:tc>
          <w:tcPr>
            <w:tcW w:w="900" w:type="dxa"/>
            <w:vAlign w:val="bottom"/>
          </w:tcPr>
          <w:p>
            <w:pPr>
              <w:spacing w:after="0"/>
              <w:rPr>
                <w:sz w:val="19"/>
                <w:szCs w:val="19"/>
                <w:color w:val="auto"/>
              </w:rPr>
            </w:pPr>
          </w:p>
        </w:tc>
        <w:tc>
          <w:tcPr>
            <w:tcW w:w="486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After 4 years</w:t>
            </w:r>
          </w:p>
        </w:tc>
        <w:tc>
          <w:tcPr>
            <w:tcW w:w="5560" w:type="dxa"/>
            <w:vAlign w:val="bottom"/>
          </w:tcPr>
          <w:p>
            <w:pPr>
              <w:jc w:val="center"/>
              <w:spacing w:after="0"/>
              <w:rPr>
                <w:sz w:val="20"/>
                <w:szCs w:val="20"/>
                <w:color w:val="auto"/>
              </w:rPr>
            </w:pPr>
            <w:r>
              <w:rPr>
                <w:rFonts w:ascii="Arial" w:cs="Arial" w:eastAsia="Arial" w:hAnsi="Arial"/>
                <w:sz w:val="18"/>
                <w:szCs w:val="18"/>
                <w:color w:val="auto"/>
                <w:w w:val="86"/>
              </w:rPr>
              <w:t>100%</w:t>
            </w:r>
          </w:p>
        </w:tc>
      </w:tr>
    </w:tbl>
    <w:p>
      <w:pPr>
        <w:spacing w:after="0" w:line="14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Plan Administrator may adjust the vesting schedule of an Option held by a Participant who works less than “full-time” as that term is defined by the Plan Administrator or who takes a Company-approved leave of absence.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An Option may not be exercised for less than a reasonable number of shares at any one time, as determined by the Plan Administrator.</w:t>
      </w:r>
    </w:p>
    <w:p>
      <w:pPr>
        <w:spacing w:after="0" w:line="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Payment of Exercise Price</w:t>
      </w:r>
    </w:p>
    <w:p>
      <w:pPr>
        <w:spacing w:after="0" w:line="83"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2" w:lineRule="exact"/>
        <w:rPr>
          <w:sz w:val="20"/>
          <w:szCs w:val="20"/>
          <w:color w:val="auto"/>
        </w:rPr>
      </w:pPr>
    </w:p>
    <w:p>
      <w:pPr>
        <w:ind w:left="1180" w:hanging="277"/>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76" w:lineRule="exact"/>
        <w:rPr>
          <w:rFonts w:ascii="Arial" w:cs="Arial" w:eastAsia="Arial" w:hAnsi="Arial"/>
          <w:sz w:val="18"/>
          <w:szCs w:val="18"/>
          <w:color w:val="auto"/>
        </w:rPr>
      </w:pPr>
    </w:p>
    <w:p>
      <w:pPr>
        <w:ind w:left="460" w:right="120" w:firstLine="443"/>
        <w:spacing w:after="0" w:line="331" w:lineRule="auto"/>
        <w:tabs>
          <w:tab w:leader="none" w:pos="119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tendering (either actually or, if and so long as the Common Stock is registered under Section 12(b) or 12(g) of the Exchange Act, by attestation) shares of Common Stock already owned by the Participant for at least six months (or any shorter period necessary to avoid a charge to the Company’s earnings for financial reporting purposes) having a Fair Market Value on the day prior to the exercise date equal to the aggregate Option exercise price;</w:t>
      </w:r>
    </w:p>
    <w:p>
      <w:pPr>
        <w:spacing w:after="0" w:line="2" w:lineRule="exact"/>
        <w:rPr>
          <w:rFonts w:ascii="Arial" w:cs="Arial" w:eastAsia="Arial" w:hAnsi="Arial"/>
          <w:sz w:val="15"/>
          <w:szCs w:val="15"/>
          <w:color w:val="auto"/>
        </w:rPr>
      </w:pPr>
    </w:p>
    <w:p>
      <w:pPr>
        <w:ind w:left="460" w:right="40" w:firstLine="443"/>
        <w:spacing w:after="0" w:line="255" w:lineRule="auto"/>
        <w:tabs>
          <w:tab w:leader="none" w:pos="11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or loan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consideration as the Plan Administrator may permit.</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assist a Participant (including a Participant who is an officer or a director of the Company) in acquiring shares of Common Stock pursuant to an Award granted under the Plan, the Plan Administrator, in its sole discretion, may authorize, either at the Grant Date or at any time before the acquisition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22" w:right="239" w:bottom="1440" w:gutter="0" w:footer="0" w:header="0"/>
        </w:sectPr>
      </w:pPr>
    </w:p>
    <w:bookmarkStart w:id="30" w:name="page31"/>
    <w:bookmarkEnd w:id="30"/>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Award, (i) the payment by a Participant of a promissory note or (ii) the guarantee by the Company of a loan obtained by the Participant from a third party; provided, however, that any such note or loan must be full-recourse to the extent necessary to avoid charges to the Company’s earnings for financial reporting purposes. Subject to the foregoing, the Plan Administrator shall in its sole discretion specify the terms of any loans or loan guarantees, including the interest rate and terms of and security for repayment.</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Post-Termination Exercises</w:t>
      </w:r>
    </w:p>
    <w:p>
      <w:pPr>
        <w:spacing w:after="0" w:line="8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18" w:lineRule="exact"/>
        <w:rPr>
          <w:sz w:val="20"/>
          <w:szCs w:val="20"/>
          <w:color w:val="auto"/>
        </w:rPr>
      </w:pPr>
    </w:p>
    <w:p>
      <w:pPr>
        <w:ind w:left="460" w:firstLine="443"/>
        <w:spacing w:after="0" w:line="268" w:lineRule="auto"/>
        <w:tabs>
          <w:tab w:leader="none" w:pos="11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37" w:lineRule="exact"/>
        <w:rPr>
          <w:rFonts w:ascii="Arial" w:cs="Arial" w:eastAsia="Arial" w:hAnsi="Arial"/>
          <w:sz w:val="18"/>
          <w:szCs w:val="18"/>
          <w:color w:val="auto"/>
        </w:rPr>
      </w:pPr>
    </w:p>
    <w:p>
      <w:pPr>
        <w:ind w:left="1180" w:hanging="27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6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37" w:lineRule="exact"/>
        <w:rPr>
          <w:rFonts w:ascii="Arial" w:cs="Arial" w:eastAsia="Arial" w:hAnsi="Arial"/>
          <w:sz w:val="18"/>
          <w:szCs w:val="18"/>
          <w:color w:val="auto"/>
        </w:rPr>
      </w:pPr>
    </w:p>
    <w:p>
      <w:pPr>
        <w:ind w:left="1700" w:hanging="359"/>
        <w:spacing w:after="0"/>
        <w:tabs>
          <w:tab w:leader="none" w:pos="17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this Section 7. The effect of a Company-approved leave of absence on the terms and conditions of an Option shall be determined by the Plan Administrator, in its sole discretion.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31" w:name="page32"/>
    <w:bookmarkEnd w:id="3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w:t>
        <w:tab/>
        <w:t>INCENTIVE STOCK OPTION LIMITATIONS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required by Section 422 of the Code, Incentive Stock Options shall be subject to the following additional terms and conditions: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Dollar Limitation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More Than 10% Shareholders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Eligible Employees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Term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Exercisability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 (b) more than one year after the Termination Date by reason of Disability, or (c) after the Participant has been on leave of absence for more than 90 days, unless the Participant’s reemployment rights are guaranteed by statute or contract.</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Taxation of Incentive Stock Options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obtain certain tax benefits afforded to Incentive Stock Options under Section 422 of the Code, the Participant must hold the shares issued upon the exercise of an Incentive Stock Option for two years after the Grant Date and one year from the date of exercise. A Participant may be subject to the alternative minimum tax at the time of exercise of an Incentive Stock Option. The Participant shall give the Company prompt notice of any disposition of shares acquired by the exercise of an Incentive Stock Option prior to the expiration of such holding periods.</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Promissory Notes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amount of any promissory note delivered pursuant to Section 7.5 in connection with an Incentive Stock Option shall bear interest at a rate specified by the Plan Administrator, but in no case less than the rate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avoid imputation of interest (taking into account any exceptions to the imputed interest rules) for federal income tax purposes.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Code Definitions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STOCK AWARDS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Grant of Stock Awards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Plan Administrator is authorized to make Awards of Common Stock or Awards denominated in units of Common Stock on such terms and conditions and subject to such restrictions, if any (which may be based on continuous service with the Company or the achievement of performance goals related to profits, profit growth, profit-related return ratios, cash flow or total shareholder return, where such goals may be stated in absolute terms or relative to comparison companies),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manner in which shares subject to Stock Awards are held during the periods they are subject to restrictions and the circumstances under which forfeiture of the Stock Award shall occur by reason of termination of the Participant’s employment or service relationship.</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Issuance of Shares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Waiver of Restrictions</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7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tab/>
        <w:t>WITHHOLDING</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may require the Participant to pay to the Company the amount of any withholding taxes that the Company is required to withhold with respect to the grant, vesting or exercise of any Award. Subject to the Plan and applicable law, the Plan Administrator may, in its sole discretion, permit the Participant to satisfy withholding obligations, in whole or in part, (a) by paying cash, (b) by electing to have the Company withhold shares of Common Stock (up to the minimum required federal tax withholding rate), or (c) by transferring to the Company shares of Common Stock (already owned by the Participant for the period necessary to avoid a charge to the Company’s earnings for financial reporting purposes), in such amounts as are equivalent to the Fair Market Value of the withholding obligation.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280" w:right="319" w:bottom="1440" w:gutter="0" w:footer="0" w:header="0"/>
        </w:sectPr>
      </w:pPr>
    </w:p>
    <w:bookmarkStart w:id="33" w:name="page34"/>
    <w:bookmarkEnd w:id="33"/>
    <w:p>
      <w:pPr>
        <w:spacing w:after="0"/>
        <w:tabs>
          <w:tab w:leader="none" w:pos="1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w:t>
        <w:tab/>
        <w:t>ASSIGNABILITY</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a Participant designates a beneficiary on a Company-approved form who may exercise the Award or receive payment under the Award after the Participant’s death. During a Participant’s lifetime, Awards may be exercised only by the Participant. Notwithstanding the foregoing, and to the extent permitted by Section 422 of the Code, the Plan Administrator, in its sole discretion, may permit such assignment or transfer; provided, however, that any Award so assigned or transferred shall be subject to all the same terms and conditions contained in the instrument evidencing the Award.</w:t>
      </w:r>
    </w:p>
    <w:p>
      <w:pPr>
        <w:spacing w:after="0" w:line="1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ADJUSTMENTS</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Adjustment of Shares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as set forth in Section 4.1 and the maximum number and kind of securities that may be made subject to Stock Awards and to Awards to any individual as set forth in Section 4.2, (ii) the number and kind of securities that are subject to any outstanding Award and the per share price of such securities, without any change in the aggregate price to be paid therefor, and (iii) and the number and kind of securities automatically granted pursuant to a formula program established under the Plan. The determination by the Plan Administrator as to the terms of any of the foregoing adjustments shall be conclusive and binding. Notwithstanding the foregoing, a dissolution or liquidation of the Company or a Corporate Transaction shall not be governed by this Section 12.1 but shall be governed by Sections 12.2 and 12.3, respectively.</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Dissolution or Liquidation</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Plan Administrator shall notify each Participant as soon as practicable prior to the effective date of such proposed transaction. The Plan Administrator in its discretion may permit a Participant to exercise an Option until ten days prior to such transaction with respect to all vested and exercisable shares of Common Stock covered thereby and with respect to such number of unvested shares as the Plan Administrator shall determine. In addition, the Plan Administrator may provide that any forfeiture provision or Company repurchase option applicable to any Award shall lapse as to such number of shares as the Plan Administrator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Stock Award has not been waived by the Plan Administrator, the Stock Award shall be forfeited automatically immediately prior to the consummation of the proposed action.</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Corporate Transaction</w:t>
      </w:r>
    </w:p>
    <w:p>
      <w:pPr>
        <w:spacing w:after="0" w:line="77"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5"/>
          <w:szCs w:val="15"/>
          <w:b w:val="1"/>
          <w:bCs w:val="1"/>
          <w:color w:val="auto"/>
        </w:rPr>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any of the following events:</w:t>
      </w:r>
    </w:p>
    <w:p>
      <w:pPr>
        <w:spacing w:after="0" w:line="77" w:lineRule="exact"/>
        <w:rPr>
          <w:sz w:val="20"/>
          <w:szCs w:val="20"/>
          <w:color w:val="auto"/>
        </w:rPr>
      </w:pPr>
    </w:p>
    <w:p>
      <w:pPr>
        <w:ind w:left="5580" w:right="3440" w:hanging="4677"/>
        <w:spacing w:after="0" w:line="440" w:lineRule="auto"/>
        <w:tabs>
          <w:tab w:leader="none" w:pos="11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Consummation of any merger or consolidation of the Company with or into another corporation; A-9</w:t>
      </w:r>
    </w:p>
    <w:p>
      <w:pPr>
        <w:sectPr>
          <w:pgSz w:w="11900" w:h="16838" w:orient="portrait"/>
          <w:cols w:equalWidth="0" w:num="1">
            <w:col w:w="11420"/>
          </w:cols>
          <w:pgMar w:left="240" w:top="422" w:right="239" w:bottom="1440" w:gutter="0" w:footer="0" w:header="0"/>
        </w:sectPr>
      </w:pPr>
    </w:p>
    <w:bookmarkStart w:id="34" w:name="page35"/>
    <w:bookmarkEnd w:id="34"/>
    <w:p>
      <w:pPr>
        <w:ind w:left="460" w:right="240" w:firstLine="443"/>
        <w:spacing w:after="0" w:line="259" w:lineRule="auto"/>
        <w:tabs>
          <w:tab w:leader="none" w:pos="1191"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of any sale, lease, exchange or other transfer in one transaction or a series of related transactions of all or substantially all the Company’s outstanding securities or substantially all the Company’s assets other than a transfer of the Company’s assets to a majority-owned subsidiary corporation (as defined in Section 8.8) of the Company; or</w:t>
      </w:r>
    </w:p>
    <w:p>
      <w:pPr>
        <w:spacing w:after="0" w:line="45" w:lineRule="exact"/>
        <w:rPr>
          <w:rFonts w:ascii="Arial" w:cs="Arial" w:eastAsia="Arial" w:hAnsi="Arial"/>
          <w:sz w:val="18"/>
          <w:szCs w:val="18"/>
          <w:color w:val="auto"/>
        </w:rPr>
      </w:pPr>
    </w:p>
    <w:p>
      <w:pPr>
        <w:ind w:left="460" w:firstLine="443"/>
        <w:spacing w:after="0" w:line="256" w:lineRule="auto"/>
        <w:tabs>
          <w:tab w:leader="none" w:pos="1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 Transaction</w:t>
      </w:r>
      <w:r>
        <w:rPr>
          <w:rFonts w:ascii="Arial" w:cs="Arial" w:eastAsia="Arial" w:hAnsi="Arial"/>
          <w:sz w:val="18"/>
          <w:szCs w:val="18"/>
          <w:color w:val="auto"/>
        </w:rPr>
        <w:t>” means (i) a merger of the Company in which the holders of shares of Common Stock immediately prior to the merger hold at least a majority of the shares of Common Stock in the surviving corporation or parent thereof immediately after the merger, (ii) a mere reincorporation of the Company, or (iii) a transaction undertaken for the sole purpose of creating a holding company.</w:t>
      </w:r>
    </w:p>
    <w:p>
      <w:pPr>
        <w:spacing w:after="0" w:line="12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5"/>
          <w:szCs w:val="15"/>
          <w:b w:val="1"/>
          <w:bCs w:val="1"/>
          <w:color w:val="auto"/>
        </w:rPr>
        <w:t>Options</w:t>
      </w:r>
    </w:p>
    <w:p>
      <w:pPr>
        <w:spacing w:after="0" w:line="8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the event of a Corporate Transaction, except as otherwise provided in the instrument evidencing the Award or in written employment or services agreement between a Participant and the Company or a Related Corporation in connection with an Award, each outstanding Option shall be assumed, continued or an equivalent option or right substituted by the surviving corporation, the successor corporation or its parent corporation, as applicable, (the “Successor Corporation”). If the Corporate Transaction is not a Related Party Transaction, upon consummation of the Corporate Transaction the assumed or substituted options shall automatically become fully vested and exercisable whether or not the vesting requirements set forth in the applicable option agreement have been satisfied. If the Corporate Transaction is a Related Party Transaction, the vesting schedule set forth in the instrument evidencing the Option shall continue to apply to the assumed or substituted options.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event that the Successor Corporation refuses to assume or substitute for the Option, the Participant shall fully vest in and have the right to exercise the Option as to all of the shares of Common Stock subject thereto, including shares as to which the Option would not otherwise be vested or exercisable. If an Option will become fully vested and exercisable in lieu of assumption or substitution in the event of a Corporate Transaction, the Plan Administrator shall notify the Participant in writing or electronically that the Option shall be fully vested and exercisable for a specified time period after the date of such notice, and the Option shall terminate upon the expiration of such period, in each case conditioned on the consummation of the Corporate Transaction. For the purposes of this Section 12.3, the Option shall be considered assumed if, following the Corporate Transaction, the option or right confers the right to purchase or receive, for each share of Common Stock subject to the Option, immediately prior to the Corporate Transaction, the consideration (whether stock, cash, or other securities or property) received in the Corporate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Corporate Transaction is not solely common stock of the Successor Corporation, the Plan Administrator may, with the consent of the Successor Corporation, provide for the consideration to be received upon the exercise of the Option, for each share of Common Stock subject thereto, to be solely common stock of the Successor Corporation equal in fair market value to the per share consideration received by holders of Common Stock in the Corporate Transaction. All Options shall terminate and cease to remain outstanding immediately following the consummation of the Corporate Transaction, except to the extent assumed by the Successor Corporation.</w:t>
      </w:r>
    </w:p>
    <w:p>
      <w:pPr>
        <w:spacing w:after="0" w:line="109"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5"/>
          <w:szCs w:val="15"/>
          <w:b w:val="1"/>
          <w:bCs w:val="1"/>
          <w:color w:val="auto"/>
        </w:rPr>
        <w:t>Stock Awards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of a Corporate Transaction, except as otherwise provided in the instrument evidencing the Award or in a written employment or services agreement between a Participant and the Company or a Related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347" w:right="25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in connection with an Award, the vesting of shares subject to Stock Awards shall accelerate, and the forfeiture provisions to which such shares are subject shall lapse, if and to the same extent that the vesting and exercisability of outstanding Options accelerate in connection with the Corporate Transaction. If unvested Options are to be assumed, continued or substituted by a Successor Corporation without acceleration upon the occurrence of a Corporate Transaction, the forfeiture provisions to which such shares are subject will continue with respect to shares of the Successor Corporation that may be issued in exchange for such shares.</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Further Adjustment of Awards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Sections 12.2 and 12.3,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Plan Administrator may take such actions with respect to all Participants, to certain categories of Participants or only to individual Participants. The Plan Administrator may take such action before or after granting Awards to which the action relates and before or after any public announcement with respect to such sale, merger, consolidation, reorganization, liquidation or change in control that is the reason for such action.</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Limitations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5"/>
          <w:szCs w:val="15"/>
          <w:b w:val="1"/>
          <w:bCs w:val="1"/>
          <w:color w:val="auto"/>
        </w:rPr>
        <w:t>Fractional Shares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13.</w:t>
        <w:tab/>
        <w:t>AMENDMENT AND TERMINATION OF PLAN</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5"/>
          <w:szCs w:val="15"/>
          <w:b w:val="1"/>
          <w:bCs w:val="1"/>
          <w:color w:val="auto"/>
        </w:rPr>
        <w:t>Amendment of Plan</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Suspension or Termination of Plan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36" w:name="page37"/>
    <w:bookmarkEnd w:id="36"/>
    <w:p>
      <w:pPr>
        <w:spacing w:after="0"/>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Consent of Participant</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12 shall not be subject to these restrictions.</w:t>
      </w:r>
    </w:p>
    <w:p>
      <w:pPr>
        <w:spacing w:after="0" w:line="1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GENERAL</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Evidence of Awards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Awards granted under the Plan shall be evidenced by a written instrument that shall contain such terms, conditions, limitations and restrictions as the Plan Administrator shall deem advisable and that are not inconsistent with the Plan.</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No Individual Rights</w:t>
      </w:r>
    </w:p>
    <w:p>
      <w:pPr>
        <w:spacing w:after="0" w:line="8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Registration</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and the applicable requirements of any securities exchange or similar entity.</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2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b w:val="1"/>
          <w:bCs w:val="1"/>
          <w:color w:val="auto"/>
        </w:rPr>
        <w:t>No Rights as a Shareholder</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Option or Stock Award denominated in units shall entitle the Participant to any cash dividend, voting or other right of a shareholder unless and until the date of issuance under the Plan of the shares that are the subject of such Award.</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5"/>
          <w:szCs w:val="15"/>
          <w:b w:val="1"/>
          <w:bCs w:val="1"/>
          <w:color w:val="auto"/>
        </w:rPr>
        <w:t>Compliance With Laws and Regulations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22" w:right="239" w:bottom="1440" w:gutter="0" w:footer="0" w:header="0"/>
        </w:sectPr>
      </w:pPr>
    </w:p>
    <w:bookmarkStart w:id="37" w:name="page38"/>
    <w:bookmarkEnd w:id="3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b w:val="1"/>
          <w:bCs w:val="1"/>
          <w:color w:val="auto"/>
        </w:rPr>
        <w:t>Participants in Foreign Countries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Plan Administrator shall have the authority to adopt such modifications, procedures and subplans as may be necessary or desirable to comply with provisions of the laws of foreign countries in which the Company or its Related Corporations may operate to ensure the viability of the benefits from Awards granted to Participants employed in such countries and to meet the objectives of the Plan.</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No Trust or Fund</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b w:val="1"/>
          <w:bCs w:val="1"/>
          <w:color w:val="auto"/>
        </w:rPr>
        <w:t>Severability</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5"/>
          <w:szCs w:val="15"/>
          <w:b w:val="1"/>
          <w:bCs w:val="1"/>
          <w:color w:val="auto"/>
        </w:rPr>
        <w:t>Choice of Law</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principles of conflicts of laws.</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EFFECTIVE DATE</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Effective Date is the date on which the Plan is adopted by the Board, so long as it is approved by the Company’s shareholders at any time within 12 months of such adoption.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60"/>
          </w:cols>
          <w:pgMar w:left="240" w:top="280"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AUDIT/FINANCE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AUTHORITY</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purpose of the Audit and Finance Committee (the “Committee”) of Itron, Inc. (the “corporation”) is to assist the Board of Directors (the “Board”) in fulfilling its responsibilities to shareholders and the investment community by serving as an independent and objective party in monitoring (a) the quality and integrity of the financial reports and other financial information provided by the corporation to governmental bodies and the public; (b) the corporation’s auditing, accounting and financial reporting processes; (c) the corporation’s compliance with legal and regulatory requirements; (d) the independent auditors’ qualifications and independence; (e) the performance of the corporation’s internal auditors and its independent auditors; and (f) compliance with the corporation’s code of ethics for senior financial officers and compliance with its code of conduct for all personnel.</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shall have the ultimate authority and responsibility to select, evaluate and, when appropriate, replace the independent auditors. The Committee shall also have all authority necessary to fulfill the duties and responsibilities assigned to the Committee in this charter or otherwise assigned to it by the Board.</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the Committee deems appropriate, it may retain independent counsel, accounting and other professionals to assist the Committee without seeking Board approval with respect to the selection, fees or terms of engagement of any such advisors.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Committee, when appropriate, may form and delegate authority to subcommittees and may delegate authority to one or more designated members of the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w:t>
      </w:r>
    </w:p>
    <w:p>
      <w:pPr>
        <w:spacing w:after="0" w:line="7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u w:val="single" w:color="auto"/>
          <w:color w:val="auto"/>
        </w:rPr>
        <w:t>The Committee shall be comprised of three or more directors as determined by the Board, each of whom shall meet the independence requirements established by the Board, the Nasdaq Stock Market and any other regulations applicable to the corporation from time to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Literacy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member of the Committee shall be financially literate (at a minimum, able to read and understand fundamental financial statements, including the corporation’s balance sheet, income statement and cash flow statement). At least one Committee member shall have, through education and experience as a public accountant or auditor or a principal financial officer, comptroller or principal accounting officer or from performance of similar functions, sufficient financial expertise in accounting and auditing so as to be a “financial expert,” in accordance with such regulations as may be applicable to the corporation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on Other Public Company Audit Committees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member of the Committee shall serve on more than two audit committees of publicly traded companies, other than the corporation, at the same time such member serves on this Committee, unless the Board determines that such simultaneous service would not impair the ability of such member to effectively serve on this Committee. If a Committee member serves on the audit committees of both a public company and a wholly owned subsidiary of such company, such service shall be counted as service on one audit committee, rather than two.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Appointment and Removal of Members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members of the Committee shall be elected by the Board annually or until their successors shall be duly elected and qualified. Unless a Chair is elected by the full Board, the members of the Committee may designate a Chair by majority vote of the full Committee membership.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Committee shall establish a meeting calendar annually. The Committee may hold such other meetings as are necessary or appropriate in order for the Committee to fulfill its responsibilities. A secretary shall be designated to record meeting minutes. As part of its responsibility to foster open communications, the Committee should meet periodically, and at least annually, with management, internal audit personnel and the independent auditors in separate executive sessions to discuss any matter that the Committee or any of the other groups believe warrant Committee attention.</w:t>
      </w:r>
    </w:p>
    <w:p>
      <w:pPr>
        <w:spacing w:after="0" w:line="9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Any two members of the Committee shall be sufficient to constitute a quorum and sufficient to adopt any resolution or take any action, including the approval of reports and documents. Meetings may be held telephonically or in person. The independent auditors shall receive notice of meetings in advance to allow them the opportunity to attend.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an open and candid avenue of communication between the independent auditors, internal audit personnel and the Board.</w:t>
      </w:r>
    </w:p>
    <w:p>
      <w:pPr>
        <w:spacing w:after="0" w:line="76" w:lineRule="exact"/>
        <w:rPr>
          <w:rFonts w:ascii="Arial" w:cs="Arial" w:eastAsia="Arial" w:hAnsi="Arial"/>
          <w:sz w:val="18"/>
          <w:szCs w:val="18"/>
          <w:color w:val="auto"/>
        </w:rPr>
      </w:pPr>
    </w:p>
    <w:p>
      <w:pPr>
        <w:ind w:left="460" w:right="220" w:hanging="452"/>
        <w:spacing w:after="0" w:line="32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Inquire of management, the independent auditors and internal audit personnel about significant risks or exposures that exist in the corporation’s financial reporting and internal control systems, and assess the steps that management has taken to correct or manage such risks.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minutes of Committee meetings to and report, no less frequently than quarterly, to the Board concerning the Committee’s various responsibilities.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an awareness of the financial condition of the corporation and its progress in achieving its goals and objectives.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Documents/Reports</w:t>
      </w:r>
    </w:p>
    <w:p>
      <w:pPr>
        <w:spacing w:after="0" w:line="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at least annually and, if appropriate, propose changes to the Board.</w:t>
      </w:r>
    </w:p>
    <w:p>
      <w:pPr>
        <w:spacing w:after="0" w:line="76" w:lineRule="exact"/>
        <w:rPr>
          <w:rFonts w:ascii="Arial" w:cs="Arial" w:eastAsia="Arial" w:hAnsi="Arial"/>
          <w:sz w:val="18"/>
          <w:szCs w:val="18"/>
          <w:color w:val="auto"/>
        </w:rPr>
      </w:pPr>
    </w:p>
    <w:p>
      <w:pPr>
        <w:ind w:left="460" w:right="4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the corporation’s annual financial statements, including accompanying footnotes and the independent auditors’ report thereon, its quarterly financial statements, and any other reports or other financial information submitted to the public, including any certification, report, opinion or review rendered by the independent auditors.</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corporation’s 10-Qs and 10-Ks, including the corporation’s disclosures under “Management’s Discussion and Analysis of Financial Condition and Results of Operations,” prior to their filing with the SEC. Review, at the Committee’s discretion, any other filings with the SEC (e.g., 8-Ks and registration statements) before they are filed.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discretion of the Committee, review any other reports filed with any entity or governmental body.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Prepare the report required by the rules of the SEC to be included in the corporation’s annual proxy statement.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28"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w:t>
      </w:r>
    </w:p>
    <w:p>
      <w:pPr>
        <w:spacing w:after="0" w:line="77" w:lineRule="exact"/>
        <w:rPr>
          <w:sz w:val="20"/>
          <w:szCs w:val="20"/>
          <w:color w:val="auto"/>
        </w:rPr>
      </w:pPr>
    </w:p>
    <w:p>
      <w:pPr>
        <w:ind w:left="460" w:right="10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 and retain the independent auditors; determine and approve compensation of the independent auditors; resolve disagreements between management and the independent auditors; oversee and evaluate the independent auditors and, when appropriate, replace the independent auditors, with the understanding that the independent auditors shall report directly to the Committee and shall be ultimately accountable to the Committee and to the Board, as representatives of the shareholders of the corporation.</w:t>
      </w:r>
    </w:p>
    <w:p>
      <w:pPr>
        <w:spacing w:after="0" w:line="48" w:lineRule="exact"/>
        <w:rPr>
          <w:rFonts w:ascii="Arial" w:cs="Arial" w:eastAsia="Arial" w:hAnsi="Arial"/>
          <w:sz w:val="18"/>
          <w:szCs w:val="18"/>
          <w:color w:val="auto"/>
        </w:rPr>
      </w:pPr>
    </w:p>
    <w:p>
      <w:pPr>
        <w:ind w:left="460" w:right="320" w:hanging="452"/>
        <w:spacing w:after="0" w:line="29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At least annually, obtain and review the letter and written disclosures from the independent auditors consistent with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including a formal written statement by the independent auditors delineating all relationships between the auditors and the corporation; actively engage in a dialogue with the auditors with respect to that firm’s independence and any disclosed relationships or services that may impact the objectivity and independence of the auditors; and take, or recommend that the Board take, appropriate action to oversee the independence of the outside auditors.</w:t>
      </w:r>
    </w:p>
    <w:p>
      <w:pPr>
        <w:spacing w:after="0" w:line="21" w:lineRule="exact"/>
        <w:rPr>
          <w:rFonts w:ascii="Arial" w:cs="Arial" w:eastAsia="Arial" w:hAnsi="Arial"/>
          <w:sz w:val="16"/>
          <w:szCs w:val="16"/>
          <w:color w:val="auto"/>
        </w:rPr>
      </w:pPr>
    </w:p>
    <w:p>
      <w:pPr>
        <w:ind w:left="460" w:right="14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Annually discuss with the independent auditors the matters required to be discussed by Statement of Auditing Standards (“SAS”) No. 61, </w:t>
      </w:r>
      <w:r>
        <w:rPr>
          <w:rFonts w:ascii="Arial" w:cs="Arial" w:eastAsia="Arial" w:hAnsi="Arial"/>
          <w:sz w:val="16"/>
          <w:szCs w:val="16"/>
          <w:i w:val="1"/>
          <w:iCs w:val="1"/>
          <w:color w:val="auto"/>
        </w:rPr>
        <w:t>Communication</w:t>
      </w:r>
      <w:r>
        <w:rPr>
          <w:rFonts w:ascii="Arial" w:cs="Arial" w:eastAsia="Arial" w:hAnsi="Arial"/>
          <w:sz w:val="16"/>
          <w:szCs w:val="16"/>
          <w:color w:val="auto"/>
        </w:rPr>
        <w:t xml:space="preserve"> </w:t>
      </w:r>
      <w:r>
        <w:rPr>
          <w:rFonts w:ascii="Arial" w:cs="Arial" w:eastAsia="Arial" w:hAnsi="Arial"/>
          <w:sz w:val="16"/>
          <w:szCs w:val="16"/>
          <w:i w:val="1"/>
          <w:iCs w:val="1"/>
          <w:color w:val="auto"/>
        </w:rPr>
        <w:t>with Audit Committees</w:t>
      </w:r>
      <w:r>
        <w:rPr>
          <w:rFonts w:ascii="Arial" w:cs="Arial" w:eastAsia="Arial" w:hAnsi="Arial"/>
          <w:sz w:val="16"/>
          <w:szCs w:val="16"/>
          <w:color w:val="auto"/>
        </w:rPr>
        <w:t>, SAS No. 89,</w:t>
      </w:r>
      <w:r>
        <w:rPr>
          <w:rFonts w:ascii="Arial" w:cs="Arial" w:eastAsia="Arial" w:hAnsi="Arial"/>
          <w:sz w:val="16"/>
          <w:szCs w:val="16"/>
          <w:i w:val="1"/>
          <w:iCs w:val="1"/>
          <w:color w:val="auto"/>
        </w:rPr>
        <w:t xml:space="preserve"> Audit Adjustments</w:t>
      </w:r>
      <w:r>
        <w:rPr>
          <w:rFonts w:ascii="Arial" w:cs="Arial" w:eastAsia="Arial" w:hAnsi="Arial"/>
          <w:sz w:val="16"/>
          <w:szCs w:val="16"/>
          <w:color w:val="auto"/>
        </w:rPr>
        <w:t>, and SAS No. 90,</w:t>
      </w:r>
      <w:r>
        <w:rPr>
          <w:rFonts w:ascii="Arial" w:cs="Arial" w:eastAsia="Arial" w:hAnsi="Arial"/>
          <w:sz w:val="16"/>
          <w:szCs w:val="16"/>
          <w:i w:val="1"/>
          <w:iCs w:val="1"/>
          <w:color w:val="auto"/>
        </w:rPr>
        <w:t xml:space="preserve"> Audit Committee Communications</w:t>
      </w:r>
      <w:r>
        <w:rPr>
          <w:rFonts w:ascii="Arial" w:cs="Arial" w:eastAsia="Arial" w:hAnsi="Arial"/>
          <w:sz w:val="16"/>
          <w:szCs w:val="16"/>
          <w:color w:val="auto"/>
        </w:rPr>
        <w:t>, all as amended from time to time,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other matters as may be required for public disclosure or otherwise under applicable laws, rules and regulations.</w:t>
      </w:r>
    </w:p>
    <w:p>
      <w:pPr>
        <w:spacing w:after="0" w:line="12" w:lineRule="exact"/>
        <w:rPr>
          <w:rFonts w:ascii="Arial" w:cs="Arial" w:eastAsia="Arial" w:hAnsi="Arial"/>
          <w:sz w:val="16"/>
          <w:szCs w:val="16"/>
          <w:color w:val="auto"/>
        </w:rPr>
      </w:pPr>
    </w:p>
    <w:p>
      <w:pPr>
        <w:ind w:left="460" w:right="12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so determined by the Committee, based on its review and discussion of the audited financial statements with management and the independent auditors, its discussions with the independent auditors regarding the matters required to be discussed by SAS No. 61, and its discussions regarding the auditors’ independence, recommend to the Board that the audited financial statements be included in the corporation’s annual report on Form 10-K.</w:t>
      </w:r>
    </w:p>
    <w:p>
      <w:pPr>
        <w:spacing w:after="0" w:line="12"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Pre-approve the retention of the independent auditors for all audit and such non-audit services as the independent auditors are permitted to provide the corporation and approve the fees for such services, and ensure that the Committee’s approval of any non-audit services from the independent auditor is publicly disclosed pursuant to applicable laws, rules and regulations. Pre-approval of audit and non-audit services from the independent auditor may not be delegated to management, but may be delegated to one or more members of the Committee so long as the member or members report their decisions to the Committee at all regularly scheduled meetings. In considering whether to pre-approve any non-audit services from the independent auditor, the Committee or its delegees shall consider whether the provision of such services is compatible with maintaining the independence of the auditors.</w:t>
      </w:r>
    </w:p>
    <w:p>
      <w:pPr>
        <w:spacing w:after="0" w:line="25" w:lineRule="exact"/>
        <w:rPr>
          <w:rFonts w:ascii="Arial" w:cs="Arial" w:eastAsia="Arial" w:hAnsi="Arial"/>
          <w:sz w:val="16"/>
          <w:szCs w:val="16"/>
          <w:color w:val="auto"/>
        </w:rPr>
      </w:pPr>
    </w:p>
    <w:p>
      <w:pPr>
        <w:ind w:left="460" w:right="7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an annual basis, review and approve, in consultation with the independent auditors and management, the scope of the annual audit plan of the independent auditors.</w:t>
      </w:r>
    </w:p>
    <w:p>
      <w:pPr>
        <w:spacing w:after="0" w:line="37" w:lineRule="exact"/>
        <w:rPr>
          <w:rFonts w:ascii="Arial" w:cs="Arial" w:eastAsia="Arial" w:hAnsi="Arial"/>
          <w:sz w:val="18"/>
          <w:szCs w:val="18"/>
          <w:color w:val="auto"/>
        </w:rPr>
      </w:pPr>
    </w:p>
    <w:p>
      <w:pPr>
        <w:ind w:left="460" w:right="160" w:hanging="452"/>
        <w:spacing w:after="0" w:line="33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Review the performance and qualifications of the independent auditors, including the lead audit partner, and approve any proposed discharge of the independent auditors when circumstances warrant. Ensure that the independent auditors’ lead partner and reviewing partner are replaced every five years. Consider, from time to time, whether a rotation of the independent auditing firm would be in the best interests of the corporation and its shareholders.</w:t>
      </w:r>
    </w:p>
    <w:p>
      <w:pPr>
        <w:spacing w:after="0" w:line="2" w:lineRule="exact"/>
        <w:rPr>
          <w:rFonts w:ascii="Arial" w:cs="Arial" w:eastAsia="Arial" w:hAnsi="Arial"/>
          <w:sz w:val="15"/>
          <w:szCs w:val="15"/>
          <w:color w:val="auto"/>
        </w:rPr>
      </w:pPr>
    </w:p>
    <w:p>
      <w:pPr>
        <w:ind w:left="460" w:right="7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Periodically consult with the independent auditors out of the presence of management about internal controls and the fullness and accuracy of the organization’s financial statements.</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clear hiring practices for the corporation’s hiring of employees or former employees of the independent auditors who were engaged on the corporation’s account, and ensure that such practices comply with any regulations applicable to the corporation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2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Internal Auditor</w:t>
      </w:r>
    </w:p>
    <w:p>
      <w:pPr>
        <w:spacing w:after="0" w:line="77" w:lineRule="exact"/>
        <w:rPr>
          <w:sz w:val="20"/>
          <w:szCs w:val="20"/>
          <w:color w:val="auto"/>
        </w:rPr>
      </w:pPr>
    </w:p>
    <w:p>
      <w:pPr>
        <w:ind w:left="460" w:right="1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review the performance and qualifications of the internal auditor. Any discharge of the internal auditor by management must be approved by the Committee to be effective.</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Periodically consult with the internal auditor out of the presence of management about internal controls and the fullness and accuracy of the corporation’s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Reporting Processes</w:t>
      </w:r>
    </w:p>
    <w:p>
      <w:pPr>
        <w:spacing w:after="0" w:line="77" w:lineRule="exact"/>
        <w:rPr>
          <w:sz w:val="20"/>
          <w:szCs w:val="20"/>
          <w:color w:val="auto"/>
        </w:rPr>
      </w:pPr>
    </w:p>
    <w:p>
      <w:pPr>
        <w:ind w:left="460" w:right="4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consultation with the independent auditors, review the integrity, quality and appropriateness of the corporation’s financial reporting processes, both internal and external, accounting policies and disclosure practices.</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Consider and approve, if appropriate, major changes to the corporation’s auditing and accounting principles and practices, as suggested by the independent accountants or management or by other advisors to the Committee.</w:t>
      </w:r>
    </w:p>
    <w:p>
      <w:pPr>
        <w:spacing w:after="0" w:line="37"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significant management estimates and judgments made in management’s preparation of the financial statements and the view of management and the independent auditors as to the appropriateness of such judgments and related disclosures.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Inquire of management concerning material business risks so that it can assess the quality and adequacy of disclosures.</w:t>
      </w:r>
    </w:p>
    <w:p>
      <w:pPr>
        <w:spacing w:after="0" w:line="76"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Following completion of the annual audit, review any significant difficulties encountered during the course of the audit, including any restrictions on the scope of work or access to required information, adjustments noted by the independent auditors but not taken by management, communications between the audit team and the national office, and any management or internal control letters issued or proposed to be issued.</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any significant disagreements among management and the independent auditors in connection with the preparation of financial statements.</w:t>
      </w:r>
    </w:p>
    <w:p>
      <w:pPr>
        <w:spacing w:after="0" w:line="99" w:lineRule="exact"/>
        <w:rPr>
          <w:rFonts w:ascii="Arial" w:cs="Arial" w:eastAsia="Arial" w:hAnsi="Arial"/>
          <w:sz w:val="16"/>
          <w:szCs w:val="16"/>
          <w:color w:val="auto"/>
        </w:rPr>
      </w:pPr>
    </w:p>
    <w:p>
      <w:pPr>
        <w:ind w:left="460" w:right="48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with the internal auditor the internal auditor’s assessment of the integrity, quality, and appropriateness of the corporation’s financial reporting processes, both internal and external, accounting policies, and disclosure practices. Review any reports issued by the internal auditor concerning the integrity, quality, and appropriateness of the corporation’s financial reporting processes.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Internal Processes; Risk Management</w:t>
      </w:r>
    </w:p>
    <w:p>
      <w:pPr>
        <w:spacing w:after="0" w:line="77" w:lineRule="exact"/>
        <w:rPr>
          <w:sz w:val="20"/>
          <w:szCs w:val="20"/>
          <w:color w:val="auto"/>
        </w:rPr>
      </w:pPr>
    </w:p>
    <w:p>
      <w:pPr>
        <w:ind w:left="460" w:right="8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review timely reports from the independent auditors regarding (a) all critical accounting policies to be used, (b) all alternative treatments of financial information within GAAP that have been discussed with management, ramifications of the use of such alternative disclosures and treatments, and the treatment preferred by the independent auditors, and (c) other material written communications between the independent auditors and management, such as any management letter or schedule of unadjusted differences.</w:t>
      </w:r>
    </w:p>
    <w:p>
      <w:pPr>
        <w:spacing w:after="0" w:line="48"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 the effect of regulatory and accounting initiatives, as well as off-balance sheet structures on the financial statements of the corporation.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 changes in promulgated accounting and auditing standards that may materially affect the corporation’s financial reporting practices.</w:t>
      </w:r>
    </w:p>
    <w:p>
      <w:pPr>
        <w:spacing w:after="0" w:line="99" w:lineRule="exact"/>
        <w:rPr>
          <w:rFonts w:ascii="Arial" w:cs="Arial" w:eastAsia="Arial" w:hAnsi="Arial"/>
          <w:sz w:val="16"/>
          <w:szCs w:val="16"/>
          <w:color w:val="auto"/>
        </w:rPr>
      </w:pPr>
    </w:p>
    <w:p>
      <w:pPr>
        <w:ind w:left="460" w:right="480" w:hanging="452"/>
        <w:spacing w:after="0" w:line="34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Review with the independent auditors and management the results of any benchmarking or process improvement reports (including but not limited to management letters), whether or not containing recommendations, concerning process and organizational performance, efficiency or improvements.</w:t>
      </w:r>
    </w:p>
    <w:p>
      <w:pPr>
        <w:ind w:left="460" w:right="1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with the independent auditors and management the extent to which changes or improvements in financial or accounting practices, as approved by the Committee, have been implemented.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28" w:right="239" w:bottom="1440" w:gutter="0" w:footer="0" w:header="0"/>
        </w:sectPr>
      </w:pPr>
    </w:p>
    <w:bookmarkStart w:id="42" w:name="page43"/>
    <w:bookmarkEnd w:id="42"/>
    <w:p>
      <w:pPr>
        <w:ind w:left="460" w:hanging="452"/>
        <w:spacing w:after="0" w:line="32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 and review with the independent auditors the adequacy of the corporation’s internal controls, including computerized information system controls and security. Review any report issued by the independent auditors regarding management’s assessment of the corporation’s internal controls.</w:t>
      </w:r>
    </w:p>
    <w:p>
      <w:pPr>
        <w:spacing w:after="0" w:line="1" w:lineRule="exact"/>
        <w:rPr>
          <w:rFonts w:ascii="Arial" w:cs="Arial" w:eastAsia="Arial" w:hAnsi="Arial"/>
          <w:sz w:val="16"/>
          <w:szCs w:val="16"/>
          <w:color w:val="auto"/>
        </w:rPr>
      </w:pPr>
    </w:p>
    <w:p>
      <w:pPr>
        <w:ind w:left="460" w:right="540" w:hanging="452"/>
        <w:spacing w:after="0" w:line="32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any reports by management regarding the effectiveness of, or any deficiencies in, the design or operation of internal controls and any fraud, whether or not material, that involves management or other employees who have a significant role in the corporation’s internal controls.</w:t>
      </w:r>
    </w:p>
    <w:p>
      <w:pPr>
        <w:spacing w:after="0" w:line="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 and review the adequacy of the corporation’s risk management policies and procedures, including insurance and bonding, derivatives and foreign currency exchange risk mitigation and hedging.</w:t>
      </w:r>
    </w:p>
    <w:p>
      <w:pPr>
        <w:spacing w:after="0" w:line="37"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Summarize for the Board management’s recommendations on dividend policy, financing activities, capital investment, and cash management and investments.</w:t>
      </w:r>
    </w:p>
    <w:p>
      <w:pPr>
        <w:spacing w:after="0" w:line="37"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with the internal auditor the adequacy of the corporation’s internal controls, including computerized information system controls and security. Review any report issued by the internal auditor regarding the company’s internal controls.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Review and approve all related party transactions, including transactions between the corporation and its officers or directors or affiliates of officers or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Compliance</w:t>
      </w:r>
    </w:p>
    <w:p>
      <w:pPr>
        <w:spacing w:after="0" w:line="77" w:lineRule="exact"/>
        <w:rPr>
          <w:sz w:val="20"/>
          <w:szCs w:val="20"/>
          <w:color w:val="auto"/>
        </w:rPr>
      </w:pPr>
    </w:p>
    <w:p>
      <w:pPr>
        <w:ind w:left="460" w:right="2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that management has a legal review system in place to ensure that the corporation’s financial statements, reports and other financial information disseminated to governmental organizations and the public satisfy legal requirements.</w:t>
      </w:r>
    </w:p>
    <w:p>
      <w:pPr>
        <w:spacing w:after="0" w:line="37"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with the corporation’s counsel, legal compliance matters including corporate securities trading policies and any legal matter that could have a significant impact on the organization’s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Compliance and Complaint Procedures</w:t>
      </w:r>
    </w:p>
    <w:p>
      <w:pPr>
        <w:spacing w:after="0" w:line="77" w:lineRule="exact"/>
        <w:rPr>
          <w:sz w:val="20"/>
          <w:szCs w:val="20"/>
          <w:color w:val="auto"/>
        </w:rPr>
      </w:pPr>
    </w:p>
    <w:p>
      <w:pPr>
        <w:ind w:left="460" w:right="2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and monitor compliance with a code of ethics for senior financial officers pursuant to and to the extent required by regulations applicable to the corporation from time to time.</w:t>
      </w:r>
    </w:p>
    <w:p>
      <w:pPr>
        <w:spacing w:after="0" w:line="37"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and monitor compliance with a code of conduct for all employees, officers and directors pursuant to and to the extent required by regulations applicable to the corporation from time to time.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regarding accounting, internal accounting controls or auditing matters.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Establish procedures for the confidential, anonymous submission by employees of concerns regarding questionable accounting or auditing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left="460" w:right="5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 retaining independent legal counsel and other professionals to assist in the conduct of any investigation as the Committee deems appropriate or necessary.</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corporation’s by-laws and governing law, as the Committee or the Board deems appropriate or necessary.</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i w:val="1"/>
          <w:iCs w:val="1"/>
          <w:color w:val="auto"/>
        </w:rPr>
        <w:t>It is not the responsibility of the Committee to plan or conduct audits or to determine whether the Company’s financial statements are complete and accurate or in accordance with generally accepted accounting principles, as the Committee’s role is one of oversight, as distinguished from the roles of management and the independent auditor.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347"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Itron’s Board of Directors for the Annual Meeting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to be held on May 23, 2003.</w:t>
      </w:r>
    </w:p>
    <w:p>
      <w:pPr>
        <w:spacing w:after="0" w:line="16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New York Life Trust Company, as Trustee of the Itron, Inc. Incentive Savings Plan, has been requested to forward to you the enclosed proxy material relative to the securities held by us in your account but not registered in your name. Such securities can be voted only by us as holder of record. We shall be pleased to vote your securities in accordance with your wishes if you will execute this form and return it to us promptly in the enclosed business reply envelope. It is understood that, if you sign without otherwise marking the form, the securities will be voted as recommended by the Board of Directors on all matters to be considered at the meeting.</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this meeting, to the extent of our authority to vote your securities in absence of your instructions, the Trustee is directed by Itron, Inc. Incentive Savings Plan, not to vote any allocated shares with respect to which the trustee does not receive timely voting directions. In order to ensure that your securities are voted as you wish, please return your proxy to us by May 21, 2003.</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Life Trust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177800</wp:posOffset>
            </wp:positionV>
            <wp:extent cx="57975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3"/>
          <w:szCs w:val="13"/>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57975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323850</wp:posOffset>
            </wp:positionV>
            <wp:extent cx="57975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563880</wp:posOffset>
            </wp:positionV>
            <wp:extent cx="57975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803910</wp:posOffset>
            </wp:positionV>
            <wp:extent cx="57975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é Detach here from proxy voting card. é</w:t>
      </w:r>
    </w:p>
    <w:p>
      <w:pPr>
        <w:sectPr>
          <w:pgSz w:w="11900" w:h="16838" w:orient="portrait"/>
          <w:cols w:equalWidth="0" w:num="1">
            <w:col w:w="11420"/>
          </w:cols>
          <w:pgMar w:left="240" w:top="422"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ind w:left="182"/>
              <w:spacing w:after="0"/>
              <w:rPr>
                <w:sz w:val="20"/>
                <w:szCs w:val="20"/>
                <w:color w:val="auto"/>
              </w:rPr>
            </w:pPr>
            <w:r>
              <w:rPr>
                <w:rFonts w:ascii="Arial" w:cs="Arial" w:eastAsia="Arial" w:hAnsi="Arial"/>
                <w:sz w:val="14"/>
                <w:szCs w:val="14"/>
                <w:color w:val="auto"/>
                <w:w w:val="96"/>
              </w:rPr>
              <w:t>WITHHOLD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jc w:val="center"/>
              <w:ind w:left="182"/>
              <w:spacing w:after="0" w:line="149" w:lineRule="exact"/>
              <w:rPr>
                <w:sz w:val="20"/>
                <w:szCs w:val="20"/>
                <w:color w:val="auto"/>
              </w:rPr>
            </w:pPr>
            <w:r>
              <w:rPr>
                <w:rFonts w:ascii="Arial" w:cs="Arial" w:eastAsia="Arial" w:hAnsi="Arial"/>
                <w:sz w:val="14"/>
                <w:szCs w:val="14"/>
                <w:color w:val="auto"/>
                <w:w w:val="95"/>
              </w:rPr>
              <w:t>AUTHORITY to</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0" w:type="dxa"/>
            <w:vAlign w:val="bottom"/>
          </w:tcPr>
          <w:p>
            <w:pPr>
              <w:jc w:val="center"/>
              <w:ind w:left="54"/>
              <w:spacing w:after="0" w:line="149" w:lineRule="exact"/>
              <w:rPr>
                <w:sz w:val="20"/>
                <w:szCs w:val="20"/>
                <w:color w:val="auto"/>
              </w:rPr>
            </w:pPr>
            <w:r>
              <w:rPr>
                <w:rFonts w:ascii="Arial" w:cs="Arial" w:eastAsia="Arial" w:hAnsi="Arial"/>
                <w:sz w:val="14"/>
                <w:szCs w:val="14"/>
                <w:color w:val="auto"/>
                <w:w w:val="86"/>
              </w:rPr>
              <w:t>FOR the</w:t>
            </w:r>
          </w:p>
        </w:tc>
        <w:tc>
          <w:tcPr>
            <w:tcW w:w="1180" w:type="dxa"/>
            <w:vAlign w:val="bottom"/>
          </w:tcPr>
          <w:p>
            <w:pPr>
              <w:jc w:val="center"/>
              <w:ind w:left="182"/>
              <w:spacing w:after="0" w:line="149" w:lineRule="exact"/>
              <w:rPr>
                <w:sz w:val="20"/>
                <w:szCs w:val="20"/>
                <w:color w:val="auto"/>
              </w:rPr>
            </w:pPr>
            <w:r>
              <w:rPr>
                <w:rFonts w:ascii="Arial" w:cs="Arial" w:eastAsia="Arial" w:hAnsi="Arial"/>
                <w:sz w:val="14"/>
                <w:szCs w:val="14"/>
                <w:color w:val="auto"/>
                <w:w w:val="88"/>
              </w:rPr>
              <w:t>Vote for the</w:t>
            </w: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200" w:type="dxa"/>
            <w:vAlign w:val="bottom"/>
          </w:tcPr>
          <w:p>
            <w:pPr>
              <w:jc w:val="center"/>
              <w:ind w:left="54"/>
              <w:spacing w:after="0" w:line="133" w:lineRule="exact"/>
              <w:rPr>
                <w:sz w:val="20"/>
                <w:szCs w:val="20"/>
                <w:color w:val="auto"/>
              </w:rPr>
            </w:pPr>
            <w:r>
              <w:rPr>
                <w:rFonts w:ascii="Arial" w:cs="Arial" w:eastAsia="Arial" w:hAnsi="Arial"/>
                <w:sz w:val="14"/>
                <w:szCs w:val="14"/>
                <w:color w:val="auto"/>
                <w:w w:val="85"/>
              </w:rPr>
              <w:t>Nominees</w:t>
            </w:r>
          </w:p>
        </w:tc>
        <w:tc>
          <w:tcPr>
            <w:tcW w:w="1180" w:type="dxa"/>
            <w:vAlign w:val="bottom"/>
          </w:tcPr>
          <w:p>
            <w:pPr>
              <w:jc w:val="center"/>
              <w:ind w:left="182"/>
              <w:spacing w:after="0" w:line="133" w:lineRule="exact"/>
              <w:rPr>
                <w:sz w:val="20"/>
                <w:szCs w:val="20"/>
                <w:color w:val="auto"/>
              </w:rPr>
            </w:pPr>
            <w:r>
              <w:rPr>
                <w:rFonts w:ascii="Arial" w:cs="Arial" w:eastAsia="Arial" w:hAnsi="Arial"/>
                <w:sz w:val="14"/>
                <w:szCs w:val="14"/>
                <w:color w:val="auto"/>
                <w:w w:val="88"/>
              </w:rPr>
              <w:t>Nominees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200" w:type="dxa"/>
            <w:vAlign w:val="bottom"/>
            <w:vMerge w:val="restart"/>
          </w:tcPr>
          <w:p>
            <w:pPr>
              <w:jc w:val="center"/>
              <w:ind w:left="54"/>
              <w:spacing w:after="0" w:line="241" w:lineRule="exact"/>
              <w:rPr>
                <w:sz w:val="20"/>
                <w:szCs w:val="20"/>
                <w:color w:val="auto"/>
              </w:rPr>
            </w:pPr>
            <w:r>
              <w:rPr>
                <w:rFonts w:ascii="MS PGothic" w:cs="MS PGothic" w:eastAsia="MS PGothic" w:hAnsi="MS PGothic"/>
                <w:sz w:val="24"/>
                <w:szCs w:val="24"/>
                <w:color w:val="auto"/>
                <w:w w:val="91"/>
              </w:rPr>
              <w:t>☐</w:t>
            </w:r>
          </w:p>
        </w:tc>
        <w:tc>
          <w:tcPr>
            <w:tcW w:w="1180" w:type="dxa"/>
            <w:vAlign w:val="bottom"/>
            <w:vMerge w:val="restart"/>
          </w:tcPr>
          <w:p>
            <w:pPr>
              <w:jc w:val="center"/>
              <w:ind w:left="202"/>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4"/>
                <w:szCs w:val="14"/>
                <w:color w:val="auto"/>
              </w:rPr>
              <w:t>Nominees: 01 Sharon L. Nelson, 02 Michael B. Bracy,</w:t>
            </w:r>
          </w:p>
        </w:tc>
        <w:tc>
          <w:tcPr>
            <w:tcW w:w="12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4"/>
                <w:szCs w:val="14"/>
                <w:color w:val="auto"/>
                <w:w w:val="94"/>
              </w:rPr>
              <w:t>03 Thomas S. Foley, 04 Mary Ann Peters, 05 Graham M. Wilson</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780" w:type="dxa"/>
            <w:vAlign w:val="bottom"/>
          </w:tcPr>
          <w:p>
            <w:pPr>
              <w:spacing w:after="0"/>
              <w:rPr>
                <w:sz w:val="20"/>
                <w:szCs w:val="20"/>
                <w:color w:val="auto"/>
              </w:rPr>
            </w:pPr>
            <w:r>
              <w:rPr>
                <w:rFonts w:ascii="Arial" w:cs="Arial" w:eastAsia="Arial" w:hAnsi="Arial"/>
                <w:sz w:val="14"/>
                <w:szCs w:val="14"/>
                <w:color w:val="auto"/>
                <w:w w:val="91"/>
              </w:rPr>
              <w:t>WITHHOLD for the following nominee(s) only (write the name(s) of</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4"/>
                <w:szCs w:val="14"/>
                <w:color w:val="auto"/>
              </w:rPr>
              <w:t>the nominee(s) in the space below):</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color w:val="auto"/>
                <w:w w:val="91"/>
              </w:rPr>
              <w:t>Mark Here for</w:t>
            </w:r>
          </w:p>
        </w:tc>
        <w:tc>
          <w:tcPr>
            <w:tcW w:w="640" w:type="dxa"/>
            <w:vAlign w:val="bottom"/>
            <w:vMerge w:val="restart"/>
          </w:tcPr>
          <w:p>
            <w:pPr>
              <w:jc w:val="center"/>
              <w:ind w:left="222"/>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9"/>
              </w:rPr>
              <w:t>Address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60" w:type="dxa"/>
            <w:vAlign w:val="bottom"/>
          </w:tcPr>
          <w:p>
            <w:pPr>
              <w:spacing w:after="0"/>
              <w:rPr>
                <w:sz w:val="12"/>
                <w:szCs w:val="12"/>
                <w:color w:val="auto"/>
              </w:rPr>
            </w:pPr>
          </w:p>
        </w:tc>
        <w:tc>
          <w:tcPr>
            <w:tcW w:w="1740" w:type="dxa"/>
            <w:vAlign w:val="bottom"/>
            <w:gridSpan w:val="2"/>
          </w:tcPr>
          <w:p>
            <w:pPr>
              <w:jc w:val="center"/>
              <w:ind w:left="399"/>
              <w:spacing w:after="0" w:line="147" w:lineRule="exact"/>
              <w:rPr>
                <w:sz w:val="20"/>
                <w:szCs w:val="20"/>
                <w:color w:val="auto"/>
              </w:rPr>
            </w:pPr>
            <w:r>
              <w:rPr>
                <w:rFonts w:ascii="Arial" w:cs="Arial" w:eastAsia="Arial" w:hAnsi="Arial"/>
                <w:sz w:val="14"/>
                <w:szCs w:val="14"/>
                <w:color w:val="auto"/>
                <w:w w:val="86"/>
              </w:rPr>
              <w:t>Change or Comments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2380" w:type="dxa"/>
            <w:vAlign w:val="bottom"/>
            <w:gridSpan w:val="3"/>
          </w:tcPr>
          <w:p>
            <w:pPr>
              <w:ind w:left="520"/>
              <w:spacing w:after="0"/>
              <w:rPr>
                <w:sz w:val="20"/>
                <w:szCs w:val="20"/>
                <w:color w:val="auto"/>
              </w:rPr>
            </w:pPr>
            <w:r>
              <w:rPr>
                <w:rFonts w:ascii="Arial" w:cs="Arial" w:eastAsia="Arial" w:hAnsi="Arial"/>
                <w:sz w:val="14"/>
                <w:szCs w:val="14"/>
                <w:b w:val="1"/>
                <w:bCs w:val="1"/>
                <w:color w:val="auto"/>
                <w:w w:val="94"/>
              </w:rPr>
              <w:t>PLEASE SEE REVERSE SIDE</w:t>
            </w:r>
          </w:p>
        </w:tc>
        <w:tc>
          <w:tcPr>
            <w:tcW w:w="0" w:type="dxa"/>
            <w:vAlign w:val="bottom"/>
          </w:tcPr>
          <w:p>
            <w:pPr>
              <w:spacing w:after="0"/>
              <w:rPr>
                <w:sz w:val="1"/>
                <w:szCs w:val="1"/>
                <w:color w:val="auto"/>
              </w:rPr>
            </w:pPr>
          </w:p>
        </w:tc>
      </w:tr>
      <w:tr>
        <w:trPr>
          <w:trHeight w:val="622"/>
        </w:trPr>
        <w:tc>
          <w:tcPr>
            <w:tcW w:w="2360" w:type="dxa"/>
            <w:vAlign w:val="bottom"/>
          </w:tcPr>
          <w:p>
            <w:pPr>
              <w:spacing w:after="0"/>
              <w:rPr>
                <w:sz w:val="24"/>
                <w:szCs w:val="24"/>
                <w:color w:val="auto"/>
              </w:rPr>
            </w:pPr>
          </w:p>
        </w:tc>
        <w:tc>
          <w:tcPr>
            <w:tcW w:w="620" w:type="dxa"/>
            <w:vAlign w:val="bottom"/>
          </w:tcPr>
          <w:p>
            <w:pPr>
              <w:jc w:val="center"/>
              <w:ind w:left="119"/>
              <w:spacing w:after="0"/>
              <w:rPr>
                <w:sz w:val="20"/>
                <w:szCs w:val="20"/>
                <w:color w:val="auto"/>
              </w:rPr>
            </w:pPr>
            <w:r>
              <w:rPr>
                <w:rFonts w:ascii="Arial" w:cs="Arial" w:eastAsia="Arial" w:hAnsi="Arial"/>
                <w:sz w:val="14"/>
                <w:szCs w:val="14"/>
                <w:color w:val="auto"/>
                <w:w w:val="87"/>
              </w:rPr>
              <w:t>FOR</w:t>
            </w:r>
          </w:p>
        </w:tc>
        <w:tc>
          <w:tcPr>
            <w:tcW w:w="1120" w:type="dxa"/>
            <w:vAlign w:val="bottom"/>
          </w:tcPr>
          <w:p>
            <w:pPr>
              <w:jc w:val="center"/>
              <w:ind w:left="159"/>
              <w:spacing w:after="0"/>
              <w:rPr>
                <w:sz w:val="20"/>
                <w:szCs w:val="20"/>
                <w:color w:val="auto"/>
              </w:rPr>
            </w:pPr>
            <w:r>
              <w:rPr>
                <w:rFonts w:ascii="Arial" w:cs="Arial" w:eastAsia="Arial" w:hAnsi="Arial"/>
                <w:sz w:val="14"/>
                <w:szCs w:val="14"/>
                <w:color w:val="auto"/>
                <w:w w:val="97"/>
              </w:rPr>
              <w:t>AGAINST</w:t>
            </w:r>
          </w:p>
        </w:tc>
        <w:tc>
          <w:tcPr>
            <w:tcW w:w="640" w:type="dxa"/>
            <w:vAlign w:val="bottom"/>
          </w:tcPr>
          <w:p>
            <w:pPr>
              <w:ind w:left="60"/>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20"/>
                <w:szCs w:val="20"/>
                <w:color w:val="auto"/>
              </w:rPr>
            </w:pPr>
            <w:r>
              <w:rPr>
                <w:rFonts w:ascii="Arial" w:cs="Arial" w:eastAsia="Arial" w:hAnsi="Arial"/>
                <w:sz w:val="14"/>
                <w:szCs w:val="14"/>
                <w:color w:val="auto"/>
                <w:w w:val="92"/>
              </w:rPr>
              <w:t>2.APPROVAL OF AMENDED</w:t>
            </w:r>
          </w:p>
        </w:tc>
        <w:tc>
          <w:tcPr>
            <w:tcW w:w="620" w:type="dxa"/>
            <w:vAlign w:val="bottom"/>
            <w:vMerge w:val="restart"/>
          </w:tcPr>
          <w:p>
            <w:pPr>
              <w:jc w:val="center"/>
              <w:ind w:left="119"/>
              <w:spacing w:after="0" w:line="241" w:lineRule="exact"/>
              <w:rPr>
                <w:sz w:val="20"/>
                <w:szCs w:val="20"/>
                <w:color w:val="auto"/>
              </w:rPr>
            </w:pPr>
            <w:r>
              <w:rPr>
                <w:rFonts w:ascii="MS PGothic" w:cs="MS PGothic" w:eastAsia="MS PGothic" w:hAnsi="MS PGothic"/>
                <w:sz w:val="24"/>
                <w:szCs w:val="24"/>
                <w:color w:val="auto"/>
                <w:w w:val="91"/>
              </w:rPr>
              <w:t>☐</w:t>
            </w:r>
          </w:p>
        </w:tc>
        <w:tc>
          <w:tcPr>
            <w:tcW w:w="1120" w:type="dxa"/>
            <w:vAlign w:val="bottom"/>
            <w:vMerge w:val="restart"/>
          </w:tcPr>
          <w:p>
            <w:pPr>
              <w:jc w:val="center"/>
              <w:ind w:left="159"/>
              <w:spacing w:after="0" w:line="241" w:lineRule="exact"/>
              <w:rPr>
                <w:sz w:val="20"/>
                <w:szCs w:val="20"/>
                <w:color w:val="auto"/>
              </w:rPr>
            </w:pPr>
            <w:r>
              <w:rPr>
                <w:rFonts w:ascii="MS PGothic" w:cs="MS PGothic" w:eastAsia="MS PGothic" w:hAnsi="MS PGothic"/>
                <w:sz w:val="24"/>
                <w:szCs w:val="24"/>
                <w:color w:val="auto"/>
                <w:w w:val="83"/>
              </w:rPr>
              <w:t>☐</w:t>
            </w:r>
          </w:p>
        </w:tc>
        <w:tc>
          <w:tcPr>
            <w:tcW w:w="640" w:type="dxa"/>
            <w:vAlign w:val="bottom"/>
            <w:vMerge w:val="restart"/>
          </w:tcPr>
          <w:p>
            <w:pPr>
              <w:jc w:val="center"/>
              <w:ind w:left="222"/>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49"/>
        </w:trPr>
        <w:tc>
          <w:tcPr>
            <w:tcW w:w="2360" w:type="dxa"/>
            <w:vAlign w:val="bottom"/>
          </w:tcPr>
          <w:p>
            <w:pPr>
              <w:ind w:left="340"/>
              <w:spacing w:after="0" w:line="149" w:lineRule="exact"/>
              <w:rPr>
                <w:sz w:val="20"/>
                <w:szCs w:val="20"/>
                <w:color w:val="auto"/>
              </w:rPr>
            </w:pPr>
            <w:r>
              <w:rPr>
                <w:rFonts w:ascii="Arial" w:cs="Arial" w:eastAsia="Arial" w:hAnsi="Arial"/>
                <w:sz w:val="14"/>
                <w:szCs w:val="14"/>
                <w:color w:val="auto"/>
              </w:rPr>
              <w:t>AND RESTATED 2000 STOCK</w:t>
            </w:r>
          </w:p>
        </w:tc>
        <w:tc>
          <w:tcPr>
            <w:tcW w:w="6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340"/>
              <w:spacing w:after="0"/>
              <w:rPr>
                <w:sz w:val="20"/>
                <w:szCs w:val="20"/>
                <w:color w:val="auto"/>
              </w:rPr>
            </w:pPr>
            <w:r>
              <w:rPr>
                <w:rFonts w:ascii="Arial" w:cs="Arial" w:eastAsia="Arial" w:hAnsi="Arial"/>
                <w:sz w:val="14"/>
                <w:szCs w:val="14"/>
                <w:color w:val="auto"/>
              </w:rPr>
              <w:t>INCENTIVE PLAN</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9"/>
        </w:trPr>
        <w:tc>
          <w:tcPr>
            <w:tcW w:w="4100" w:type="dxa"/>
            <w:vAlign w:val="bottom"/>
            <w:gridSpan w:val="3"/>
          </w:tcPr>
          <w:p>
            <w:pPr>
              <w:ind w:left="1960"/>
              <w:spacing w:after="0"/>
              <w:rPr>
                <w:sz w:val="20"/>
                <w:szCs w:val="20"/>
                <w:color w:val="auto"/>
              </w:rPr>
            </w:pPr>
            <w:r>
              <w:rPr>
                <w:rFonts w:ascii="Arial" w:cs="Arial" w:eastAsia="Arial" w:hAnsi="Arial"/>
                <w:sz w:val="14"/>
                <w:szCs w:val="14"/>
                <w:color w:val="auto"/>
                <w:w w:val="97"/>
              </w:rPr>
              <w:t>I plan to attend the Annual Meeting</w:t>
            </w:r>
          </w:p>
        </w:tc>
        <w:tc>
          <w:tcPr>
            <w:tcW w:w="640" w:type="dxa"/>
            <w:vAlign w:val="bottom"/>
          </w:tcPr>
          <w:p>
            <w:pPr>
              <w:ind w:left="60"/>
              <w:spacing w:after="0" w:line="241"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sectPr>
          <w:pgSz w:w="11900" w:h="16838" w:orient="portrait"/>
          <w:cols w:equalWidth="0" w:num="2">
            <w:col w:w="6160" w:space="520"/>
            <w:col w:w="4740"/>
          </w:cols>
          <w:pgMar w:left="240" w:top="2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860" w:val="left"/>
          <w:tab w:leader="none" w:pos="79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68580</wp:posOffset>
            </wp:positionV>
            <wp:extent cx="6740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99"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Please sign exactly as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é </w:t>
      </w:r>
      <w:r>
        <w:rPr>
          <w:rFonts w:ascii="Arial" w:cs="Arial" w:eastAsia="Arial" w:hAnsi="Arial"/>
          <w:sz w:val="14"/>
          <w:szCs w:val="14"/>
          <w:b w:val="1"/>
          <w:bCs w:val="1"/>
          <w:color w:val="auto"/>
        </w:rPr>
        <w:t>Detach here from proxy voting card</w:t>
      </w:r>
      <w:r>
        <w:rPr>
          <w:rFonts w:ascii="Arial" w:cs="Arial" w:eastAsia="Arial" w:hAnsi="Arial"/>
          <w:sz w:val="14"/>
          <w:szCs w:val="14"/>
          <w:color w:val="auto"/>
        </w:rPr>
        <w:t xml:space="preserve"> é</w:t>
      </w:r>
    </w:p>
    <w:p>
      <w:pPr>
        <w:sectPr>
          <w:pgSz w:w="11900" w:h="16838" w:orient="portrait"/>
          <w:cols w:equalWidth="0" w:num="1">
            <w:col w:w="11420"/>
          </w:cols>
          <w:pgMar w:left="240" w:top="276" w:right="239" w:bottom="1440" w:gutter="0" w:footer="0" w:header="0"/>
          <w:type w:val="continuous"/>
        </w:sectPr>
      </w:pPr>
    </w:p>
    <w:bookmarkStart w:id="45" w:name="page46"/>
    <w:bookmarkEnd w:id="4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by Itron’s Board of Directors for the Annual Meeting of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Shareholders to be held on May 23, 2003.</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LeRoy D. Nosbaum and Robert D. Neilson and each of them, as proxies, with full power of substitution, to represent and vote as designated all shares of common stock of Itron, Inc. held of record by the undersigned on March 14, 2003 at the Annual Meeting of Shareholders of Itron to be held at the principal executive offices of Itron, Inc. – in the Atrium, 2818 North Sullivan Road, Spokane, Washington, 99216, at 8:00 a.m., local time, on Friday, May 23, 2003, with authority to vote upon the matters listed below and with discretionary authority as to any other matters that may properly come before the meeting or any adjournment or postponement thereof.</w:t>
      </w: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177800</wp:posOffset>
            </wp:positionV>
            <wp:extent cx="57975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3"/>
          <w:szCs w:val="13"/>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57975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323850</wp:posOffset>
            </wp:positionV>
            <wp:extent cx="57975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563880</wp:posOffset>
            </wp:positionV>
            <wp:extent cx="57975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803910</wp:posOffset>
            </wp:positionV>
            <wp:extent cx="57975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é Detach here from proxy voting card. é</w:t>
      </w:r>
    </w:p>
    <w:p>
      <w:pPr>
        <w:sectPr>
          <w:pgSz w:w="11900" w:h="16838" w:orient="portrait"/>
          <w:cols w:equalWidth="0" w:num="1">
            <w:col w:w="11300"/>
          </w:cols>
          <w:pgMar w:left="240" w:top="341" w:right="35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1.</w:t>
        <w:tab/>
        <w:t>ELECTION OF DIRECTORS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Nominees: 01 Sharon L. Nelson, 02 Michael B. Bracy,</w:t>
      </w:r>
    </w:p>
    <w:p>
      <w:pPr>
        <w:spacing w:after="0"/>
        <w:rPr>
          <w:sz w:val="20"/>
          <w:szCs w:val="20"/>
          <w:color w:val="auto"/>
        </w:rPr>
      </w:pPr>
      <w:r>
        <w:rPr>
          <w:rFonts w:ascii="Arial" w:cs="Arial" w:eastAsia="Arial" w:hAnsi="Arial"/>
          <w:sz w:val="12"/>
          <w:szCs w:val="12"/>
          <w:color w:val="auto"/>
        </w:rPr>
        <w:t>03 Thomas S. Foley, 04 Mary Ann Peters, 05 Graham M. Wilson</w:t>
      </w:r>
    </w:p>
    <w:p>
      <w:pPr>
        <w:spacing w:after="0" w:line="296"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WITHHOLD for the following nominee(s) only (write the name(s) of the nominee(s)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30016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20" w:type="dxa"/>
            <w:vAlign w:val="bottom"/>
          </w:tcPr>
          <w:p>
            <w:pPr>
              <w:jc w:val="center"/>
              <w:ind w:left="222"/>
              <w:spacing w:after="0"/>
              <w:rPr>
                <w:sz w:val="20"/>
                <w:szCs w:val="20"/>
                <w:color w:val="auto"/>
              </w:rPr>
            </w:pPr>
            <w:r>
              <w:rPr>
                <w:rFonts w:ascii="Arial" w:cs="Arial" w:eastAsia="Arial" w:hAnsi="Arial"/>
                <w:sz w:val="14"/>
                <w:szCs w:val="14"/>
                <w:color w:val="auto"/>
                <w:w w:val="96"/>
              </w:rPr>
              <w:t>WITHHOLD</w:t>
            </w:r>
          </w:p>
        </w:tc>
      </w:tr>
      <w:tr>
        <w:trPr>
          <w:trHeight w:val="149"/>
        </w:trPr>
        <w:tc>
          <w:tcPr>
            <w:tcW w:w="820" w:type="dxa"/>
            <w:vAlign w:val="bottom"/>
          </w:tcPr>
          <w:p>
            <w:pPr>
              <w:spacing w:after="0"/>
              <w:rPr>
                <w:sz w:val="12"/>
                <w:szCs w:val="12"/>
                <w:color w:val="auto"/>
              </w:rPr>
            </w:pPr>
          </w:p>
        </w:tc>
        <w:tc>
          <w:tcPr>
            <w:tcW w:w="1220" w:type="dxa"/>
            <w:vAlign w:val="bottom"/>
          </w:tcPr>
          <w:p>
            <w:pPr>
              <w:jc w:val="center"/>
              <w:ind w:left="222"/>
              <w:spacing w:after="0" w:line="149" w:lineRule="exact"/>
              <w:rPr>
                <w:sz w:val="20"/>
                <w:szCs w:val="20"/>
                <w:color w:val="auto"/>
              </w:rPr>
            </w:pPr>
            <w:r>
              <w:rPr>
                <w:rFonts w:ascii="Arial" w:cs="Arial" w:eastAsia="Arial" w:hAnsi="Arial"/>
                <w:sz w:val="14"/>
                <w:szCs w:val="14"/>
                <w:color w:val="auto"/>
                <w:w w:val="95"/>
              </w:rPr>
              <w:t>AUTHORITY to</w:t>
            </w:r>
          </w:p>
        </w:tc>
      </w:tr>
      <w:tr>
        <w:trPr>
          <w:trHeight w:val="149"/>
        </w:trPr>
        <w:tc>
          <w:tcPr>
            <w:tcW w:w="820" w:type="dxa"/>
            <w:vAlign w:val="bottom"/>
          </w:tcPr>
          <w:p>
            <w:pPr>
              <w:jc w:val="center"/>
              <w:ind w:right="234"/>
              <w:spacing w:after="0" w:line="149" w:lineRule="exact"/>
              <w:rPr>
                <w:sz w:val="20"/>
                <w:szCs w:val="20"/>
                <w:color w:val="auto"/>
              </w:rPr>
            </w:pPr>
            <w:r>
              <w:rPr>
                <w:rFonts w:ascii="Arial" w:cs="Arial" w:eastAsia="Arial" w:hAnsi="Arial"/>
                <w:sz w:val="14"/>
                <w:szCs w:val="14"/>
                <w:color w:val="auto"/>
                <w:w w:val="86"/>
              </w:rPr>
              <w:t>FOR the</w:t>
            </w:r>
          </w:p>
        </w:tc>
        <w:tc>
          <w:tcPr>
            <w:tcW w:w="1220" w:type="dxa"/>
            <w:vAlign w:val="bottom"/>
          </w:tcPr>
          <w:p>
            <w:pPr>
              <w:jc w:val="center"/>
              <w:ind w:left="222"/>
              <w:spacing w:after="0" w:line="149" w:lineRule="exact"/>
              <w:rPr>
                <w:sz w:val="20"/>
                <w:szCs w:val="20"/>
                <w:color w:val="auto"/>
              </w:rPr>
            </w:pPr>
            <w:r>
              <w:rPr>
                <w:rFonts w:ascii="Arial" w:cs="Arial" w:eastAsia="Arial" w:hAnsi="Arial"/>
                <w:sz w:val="14"/>
                <w:szCs w:val="14"/>
                <w:color w:val="auto"/>
                <w:w w:val="88"/>
              </w:rPr>
              <w:t>Vote for the</w:t>
            </w:r>
          </w:p>
        </w:tc>
      </w:tr>
      <w:tr>
        <w:trPr>
          <w:trHeight w:val="132"/>
        </w:trPr>
        <w:tc>
          <w:tcPr>
            <w:tcW w:w="820" w:type="dxa"/>
            <w:vAlign w:val="bottom"/>
          </w:tcPr>
          <w:p>
            <w:pPr>
              <w:jc w:val="center"/>
              <w:ind w:right="234"/>
              <w:spacing w:after="0" w:line="133" w:lineRule="exact"/>
              <w:rPr>
                <w:sz w:val="20"/>
                <w:szCs w:val="20"/>
                <w:color w:val="auto"/>
              </w:rPr>
            </w:pPr>
            <w:r>
              <w:rPr>
                <w:rFonts w:ascii="Arial" w:cs="Arial" w:eastAsia="Arial" w:hAnsi="Arial"/>
                <w:sz w:val="14"/>
                <w:szCs w:val="14"/>
                <w:color w:val="auto"/>
                <w:w w:val="82"/>
              </w:rPr>
              <w:t>nominees</w:t>
            </w:r>
          </w:p>
        </w:tc>
        <w:tc>
          <w:tcPr>
            <w:tcW w:w="1220" w:type="dxa"/>
            <w:vAlign w:val="bottom"/>
          </w:tcPr>
          <w:p>
            <w:pPr>
              <w:jc w:val="center"/>
              <w:ind w:left="222"/>
              <w:spacing w:after="0" w:line="133" w:lineRule="exact"/>
              <w:rPr>
                <w:sz w:val="20"/>
                <w:szCs w:val="20"/>
                <w:color w:val="auto"/>
              </w:rPr>
            </w:pPr>
            <w:r>
              <w:rPr>
                <w:rFonts w:ascii="Arial" w:cs="Arial" w:eastAsia="Arial" w:hAnsi="Arial"/>
                <w:sz w:val="14"/>
                <w:szCs w:val="14"/>
                <w:color w:val="auto"/>
                <w:w w:val="88"/>
              </w:rPr>
              <w:t>Nominees</w:t>
            </w:r>
          </w:p>
        </w:tc>
      </w:tr>
      <w:tr>
        <w:trPr>
          <w:trHeight w:val="384"/>
        </w:trPr>
        <w:tc>
          <w:tcPr>
            <w:tcW w:w="820" w:type="dxa"/>
            <w:vAlign w:val="bottom"/>
          </w:tcPr>
          <w:p>
            <w:pPr>
              <w:jc w:val="center"/>
              <w:ind w:right="234"/>
              <w:spacing w:after="0" w:line="241" w:lineRule="exact"/>
              <w:rPr>
                <w:sz w:val="20"/>
                <w:szCs w:val="20"/>
                <w:color w:val="auto"/>
              </w:rPr>
            </w:pPr>
            <w:r>
              <w:rPr>
                <w:rFonts w:ascii="MS PGothic" w:cs="MS PGothic" w:eastAsia="MS PGothic" w:hAnsi="MS PGothic"/>
                <w:sz w:val="24"/>
                <w:szCs w:val="24"/>
                <w:color w:val="auto"/>
                <w:w w:val="91"/>
              </w:rPr>
              <w:t>☐</w:t>
            </w:r>
          </w:p>
        </w:tc>
        <w:tc>
          <w:tcPr>
            <w:tcW w:w="1220" w:type="dxa"/>
            <w:vAlign w:val="bottom"/>
          </w:tcPr>
          <w:p>
            <w:pPr>
              <w:jc w:val="center"/>
              <w:ind w:left="222"/>
              <w:spacing w:after="0" w:line="241" w:lineRule="exact"/>
              <w:rPr>
                <w:sz w:val="20"/>
                <w:szCs w:val="20"/>
                <w:color w:val="auto"/>
              </w:rPr>
            </w:pPr>
            <w:r>
              <w:rPr>
                <w:rFonts w:ascii="MS PGothic" w:cs="MS PGothic" w:eastAsia="MS PGothic" w:hAnsi="MS PGothic"/>
                <w:sz w:val="24"/>
                <w:szCs w:val="24"/>
                <w:color w:val="auto"/>
                <w:w w:val="8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-1169035</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8"/>
        </w:trPr>
        <w:tc>
          <w:tcPr>
            <w:tcW w:w="2540" w:type="dxa"/>
            <w:vAlign w:val="bottom"/>
          </w:tcPr>
          <w:p>
            <w:pPr>
              <w:spacing w:after="0"/>
              <w:rPr>
                <w:sz w:val="24"/>
                <w:szCs w:val="24"/>
                <w:color w:val="auto"/>
              </w:rPr>
            </w:pPr>
          </w:p>
        </w:tc>
        <w:tc>
          <w:tcPr>
            <w:tcW w:w="1620" w:type="dxa"/>
            <w:vAlign w:val="bottom"/>
            <w:gridSpan w:val="2"/>
          </w:tcPr>
          <w:p>
            <w:pPr>
              <w:jc w:val="center"/>
              <w:ind w:left="202"/>
              <w:spacing w:after="0"/>
              <w:rPr>
                <w:sz w:val="20"/>
                <w:szCs w:val="20"/>
                <w:color w:val="auto"/>
              </w:rPr>
            </w:pPr>
            <w:r>
              <w:rPr>
                <w:rFonts w:ascii="Arial" w:cs="Arial" w:eastAsia="Arial" w:hAnsi="Arial"/>
                <w:sz w:val="14"/>
                <w:szCs w:val="14"/>
                <w:color w:val="auto"/>
                <w:w w:val="89"/>
              </w:rPr>
              <w:t>Mark Here for Address</w:t>
            </w:r>
          </w:p>
        </w:tc>
        <w:tc>
          <w:tcPr>
            <w:tcW w:w="640" w:type="dxa"/>
            <w:vAlign w:val="bottom"/>
            <w:vMerge w:val="restart"/>
          </w:tcPr>
          <w:p>
            <w:pPr>
              <w:jc w:val="right"/>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1620" w:type="dxa"/>
            <w:vAlign w:val="bottom"/>
            <w:gridSpan w:val="2"/>
          </w:tcPr>
          <w:p>
            <w:pPr>
              <w:jc w:val="center"/>
              <w:ind w:left="202"/>
              <w:spacing w:after="0" w:line="147" w:lineRule="exact"/>
              <w:rPr>
                <w:sz w:val="20"/>
                <w:szCs w:val="20"/>
                <w:color w:val="auto"/>
              </w:rPr>
            </w:pPr>
            <w:r>
              <w:rPr>
                <w:rFonts w:ascii="Arial" w:cs="Arial" w:eastAsia="Arial" w:hAnsi="Arial"/>
                <w:sz w:val="14"/>
                <w:szCs w:val="14"/>
                <w:color w:val="auto"/>
                <w:w w:val="86"/>
              </w:rPr>
              <w:t>Change or Comments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2260" w:type="dxa"/>
            <w:vAlign w:val="bottom"/>
            <w:gridSpan w:val="3"/>
          </w:tcPr>
          <w:p>
            <w:pPr>
              <w:ind w:left="260"/>
              <w:spacing w:after="0"/>
              <w:rPr>
                <w:sz w:val="20"/>
                <w:szCs w:val="20"/>
                <w:color w:val="auto"/>
              </w:rPr>
            </w:pPr>
            <w:r>
              <w:rPr>
                <w:rFonts w:ascii="Arial" w:cs="Arial" w:eastAsia="Arial" w:hAnsi="Arial"/>
                <w:sz w:val="14"/>
                <w:szCs w:val="14"/>
                <w:b w:val="1"/>
                <w:bCs w:val="1"/>
                <w:color w:val="auto"/>
              </w:rPr>
              <w:t>PLEASE SEE REVERSE SIDE</w:t>
            </w:r>
          </w:p>
        </w:tc>
        <w:tc>
          <w:tcPr>
            <w:tcW w:w="0" w:type="dxa"/>
            <w:vAlign w:val="bottom"/>
          </w:tcPr>
          <w:p>
            <w:pPr>
              <w:spacing w:after="0"/>
              <w:rPr>
                <w:sz w:val="1"/>
                <w:szCs w:val="1"/>
                <w:color w:val="auto"/>
              </w:rPr>
            </w:pPr>
          </w:p>
        </w:tc>
      </w:tr>
      <w:tr>
        <w:trPr>
          <w:trHeight w:val="703"/>
        </w:trPr>
        <w:tc>
          <w:tcPr>
            <w:tcW w:w="25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4"/>
                <w:szCs w:val="14"/>
                <w:color w:val="auto"/>
              </w:rPr>
              <w:t>FOR</w:t>
            </w:r>
          </w:p>
        </w:tc>
        <w:tc>
          <w:tcPr>
            <w:tcW w:w="880" w:type="dxa"/>
            <w:vAlign w:val="bottom"/>
          </w:tcPr>
          <w:p>
            <w:pPr>
              <w:jc w:val="center"/>
              <w:ind w:left="45"/>
              <w:spacing w:after="0"/>
              <w:rPr>
                <w:sz w:val="20"/>
                <w:szCs w:val="20"/>
                <w:color w:val="auto"/>
              </w:rPr>
            </w:pPr>
            <w:r>
              <w:rPr>
                <w:rFonts w:ascii="Arial" w:cs="Arial" w:eastAsia="Arial" w:hAnsi="Arial"/>
                <w:sz w:val="14"/>
                <w:szCs w:val="14"/>
                <w:color w:val="auto"/>
                <w:w w:val="94"/>
              </w:rPr>
              <w:t>AGAINST</w:t>
            </w:r>
          </w:p>
        </w:tc>
        <w:tc>
          <w:tcPr>
            <w:tcW w:w="64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w w:val="94"/>
              </w:rPr>
              <w:t>2.APPROVAL OF AMENDED AND</w:t>
            </w:r>
          </w:p>
        </w:tc>
        <w:tc>
          <w:tcPr>
            <w:tcW w:w="740" w:type="dxa"/>
            <w:vAlign w:val="bottom"/>
            <w:vMerge w:val="restart"/>
          </w:tcPr>
          <w:p>
            <w:pPr>
              <w:ind w:left="280"/>
              <w:spacing w:after="0" w:line="241" w:lineRule="exact"/>
              <w:rPr>
                <w:sz w:val="20"/>
                <w:szCs w:val="20"/>
                <w:color w:val="auto"/>
              </w:rPr>
            </w:pPr>
            <w:r>
              <w:rPr>
                <w:rFonts w:ascii="MS PGothic" w:cs="MS PGothic" w:eastAsia="MS PGothic" w:hAnsi="MS PGothic"/>
                <w:sz w:val="24"/>
                <w:szCs w:val="24"/>
                <w:color w:val="auto"/>
              </w:rPr>
              <w:t>☐</w:t>
            </w:r>
          </w:p>
        </w:tc>
        <w:tc>
          <w:tcPr>
            <w:tcW w:w="880" w:type="dxa"/>
            <w:vAlign w:val="bottom"/>
            <w:vMerge w:val="restart"/>
          </w:tcPr>
          <w:p>
            <w:pPr>
              <w:jc w:val="center"/>
              <w:ind w:left="45"/>
              <w:spacing w:after="0" w:line="241" w:lineRule="exact"/>
              <w:rPr>
                <w:sz w:val="20"/>
                <w:szCs w:val="20"/>
                <w:color w:val="auto"/>
              </w:rPr>
            </w:pPr>
            <w:r>
              <w:rPr>
                <w:rFonts w:ascii="MS PGothic" w:cs="MS PGothic" w:eastAsia="MS PGothic" w:hAnsi="MS PGothic"/>
                <w:sz w:val="24"/>
                <w:szCs w:val="24"/>
                <w:color w:val="auto"/>
                <w:w w:val="91"/>
              </w:rPr>
              <w:t>☐</w:t>
            </w:r>
          </w:p>
        </w:tc>
        <w:tc>
          <w:tcPr>
            <w:tcW w:w="640" w:type="dxa"/>
            <w:vAlign w:val="bottom"/>
            <w:vMerge w:val="restart"/>
          </w:tcPr>
          <w:p>
            <w:pPr>
              <w:jc w:val="right"/>
              <w:ind w:right="63"/>
              <w:spacing w:after="0" w:line="241"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161"/>
        </w:trPr>
        <w:tc>
          <w:tcPr>
            <w:tcW w:w="2540" w:type="dxa"/>
            <w:vAlign w:val="bottom"/>
          </w:tcPr>
          <w:p>
            <w:pPr>
              <w:ind w:left="360"/>
              <w:spacing w:after="0"/>
              <w:rPr>
                <w:sz w:val="20"/>
                <w:szCs w:val="20"/>
                <w:color w:val="auto"/>
              </w:rPr>
            </w:pPr>
            <w:r>
              <w:rPr>
                <w:rFonts w:ascii="Arial" w:cs="Arial" w:eastAsia="Arial" w:hAnsi="Arial"/>
                <w:sz w:val="14"/>
                <w:szCs w:val="14"/>
                <w:color w:val="auto"/>
              </w:rPr>
              <w:t>RESTATED 2000 STOCK</w:t>
            </w:r>
          </w:p>
        </w:tc>
        <w:tc>
          <w:tcPr>
            <w:tcW w:w="7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4"/>
          <w:szCs w:val="14"/>
          <w:color w:val="auto"/>
        </w:rPr>
        <w:t>INCENTIVE PLAN</w:t>
      </w:r>
    </w:p>
    <w:p>
      <w:pPr>
        <w:spacing w:after="0" w:line="190" w:lineRule="exact"/>
        <w:rPr>
          <w:sz w:val="20"/>
          <w:szCs w:val="20"/>
          <w:color w:val="auto"/>
        </w:rPr>
      </w:pPr>
    </w:p>
    <w:p>
      <w:pPr>
        <w:jc w:val="both"/>
        <w:ind w:left="360"/>
        <w:spacing w:after="0" w:line="228" w:lineRule="auto"/>
        <w:rPr>
          <w:sz w:val="20"/>
          <w:szCs w:val="20"/>
          <w:color w:val="auto"/>
        </w:rPr>
      </w:pPr>
      <w:r>
        <w:rPr>
          <w:rFonts w:ascii="Arial" w:cs="Arial" w:eastAsia="Arial" w:hAnsi="Arial"/>
          <w:sz w:val="14"/>
          <w:szCs w:val="14"/>
          <w:b w:val="1"/>
          <w:bCs w:val="1"/>
          <w:color w:val="auto"/>
        </w:rPr>
        <w:t>Shares represented by this proxy will be voted as directed by the shareholder in the space provided. If no direction is given, this proxy will be voted “FOR” both matters.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The Board of Directors recommends a vote “FOR” the Adoption of matter 2.</w:t>
      </w:r>
    </w:p>
    <w:p>
      <w:pPr>
        <w:spacing w:after="0" w:line="185" w:lineRule="exact"/>
        <w:rPr>
          <w:sz w:val="20"/>
          <w:szCs w:val="20"/>
          <w:color w:val="auto"/>
        </w:rPr>
      </w:pPr>
    </w:p>
    <w:p>
      <w:pPr>
        <w:ind w:left="1080"/>
        <w:spacing w:after="0" w:line="221" w:lineRule="exact"/>
        <w:tabs>
          <w:tab w:leader="none" w:pos="4200" w:val="left"/>
        </w:tabs>
        <w:rPr>
          <w:sz w:val="20"/>
          <w:szCs w:val="20"/>
          <w:color w:val="auto"/>
        </w:rPr>
      </w:pPr>
      <w:r>
        <w:rPr>
          <w:rFonts w:ascii="Arial" w:cs="Arial" w:eastAsia="Arial" w:hAnsi="Arial"/>
          <w:sz w:val="14"/>
          <w:szCs w:val="14"/>
          <w:color w:val="auto"/>
        </w:rPr>
        <w:t>I plan to attend the Annual Meeting</w:t>
      </w:r>
      <w:r>
        <w:rPr>
          <w:sz w:val="20"/>
          <w:szCs w:val="20"/>
          <w:color w:val="auto"/>
        </w:rPr>
        <w:tab/>
      </w:r>
      <w:r>
        <w:rPr>
          <w:rFonts w:ascii="MS PGothic" w:cs="MS PGothic" w:eastAsia="MS PGothic" w:hAnsi="MS PGothic"/>
          <w:sz w:val="22"/>
          <w:szCs w:val="22"/>
          <w:color w:val="auto"/>
        </w:rPr>
        <w:t>☐</w:t>
      </w:r>
    </w:p>
    <w:p>
      <w:pPr>
        <w:spacing w:after="0" w:line="200" w:lineRule="exact"/>
        <w:rPr>
          <w:sz w:val="20"/>
          <w:szCs w:val="20"/>
          <w:color w:val="auto"/>
        </w:rPr>
      </w:pPr>
    </w:p>
    <w:p>
      <w:pPr>
        <w:sectPr>
          <w:pgSz w:w="11900" w:h="16838" w:orient="portrait"/>
          <w:cols w:equalWidth="0" w:num="3">
            <w:col w:w="3780" w:space="240"/>
            <w:col w:w="2040" w:space="560"/>
            <w:col w:w="4800"/>
          </w:cols>
          <w:pgMar w:left="240" w:top="276"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3860" w:val="left"/>
          <w:tab w:leader="none" w:pos="79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68580</wp:posOffset>
            </wp:positionV>
            <wp:extent cx="67405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99"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Please sign exactly as your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é </w:t>
      </w:r>
      <w:r>
        <w:rPr>
          <w:rFonts w:ascii="Arial" w:cs="Arial" w:eastAsia="Arial" w:hAnsi="Arial"/>
          <w:sz w:val="14"/>
          <w:szCs w:val="14"/>
          <w:b w:val="1"/>
          <w:bCs w:val="1"/>
          <w:color w:val="auto"/>
        </w:rPr>
        <w:t>Detach here from proxy voting card</w:t>
      </w:r>
      <w:r>
        <w:rPr>
          <w:rFonts w:ascii="Arial" w:cs="Arial" w:eastAsia="Arial" w:hAnsi="Arial"/>
          <w:sz w:val="14"/>
          <w:szCs w:val="14"/>
          <w:color w:val="auto"/>
        </w:rPr>
        <w:t xml:space="preserve"> é</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Telephone or Mail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24 Hours a Day, 7 Days a Week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11:00 p.m., Eastern time, on May 22, 2003.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same manner as if you marked, signed and returned your proxy card.</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10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93"/>
              </w:rPr>
              <w:t>Internet</w:t>
            </w:r>
          </w:p>
        </w:tc>
        <w:tc>
          <w:tcPr>
            <w:tcW w:w="680" w:type="dxa"/>
            <w:vAlign w:val="bottom"/>
          </w:tcPr>
          <w:p>
            <w:pPr>
              <w:spacing w:after="0"/>
              <w:rPr>
                <w:sz w:val="14"/>
                <w:szCs w:val="14"/>
                <w:color w:val="auto"/>
              </w:rPr>
            </w:pPr>
          </w:p>
        </w:tc>
        <w:tc>
          <w:tcPr>
            <w:tcW w:w="3140" w:type="dxa"/>
            <w:vAlign w:val="bottom"/>
          </w:tcPr>
          <w:p>
            <w:pPr>
              <w:ind w:left="1260"/>
              <w:spacing w:after="0"/>
              <w:rPr>
                <w:sz w:val="20"/>
                <w:szCs w:val="20"/>
                <w:color w:val="auto"/>
              </w:rPr>
            </w:pPr>
            <w:r>
              <w:rPr>
                <w:rFonts w:ascii="Arial" w:cs="Arial" w:eastAsia="Arial" w:hAnsi="Arial"/>
                <w:sz w:val="14"/>
                <w:szCs w:val="14"/>
                <w:b w:val="1"/>
                <w:bCs w:val="1"/>
                <w:color w:val="auto"/>
              </w:rPr>
              <w:t>Telephone</w:t>
            </w:r>
          </w:p>
        </w:tc>
        <w:tc>
          <w:tcPr>
            <w:tcW w:w="5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Mail</w:t>
            </w:r>
          </w:p>
        </w:tc>
      </w:tr>
      <w:tr>
        <w:trPr>
          <w:trHeight w:val="148"/>
        </w:trPr>
        <w:tc>
          <w:tcPr>
            <w:tcW w:w="640" w:type="dxa"/>
            <w:vAlign w:val="bottom"/>
          </w:tcPr>
          <w:p>
            <w:pPr>
              <w:spacing w:after="0"/>
              <w:rPr>
                <w:sz w:val="12"/>
                <w:szCs w:val="12"/>
                <w:color w:val="auto"/>
              </w:rPr>
            </w:pPr>
          </w:p>
        </w:tc>
        <w:tc>
          <w:tcPr>
            <w:tcW w:w="15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http://www.eproxy.com/itri</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tcPr>
          <w:p>
            <w:pPr>
              <w:ind w:left="1120"/>
              <w:spacing w:after="0" w:line="148" w:lineRule="exact"/>
              <w:rPr>
                <w:sz w:val="20"/>
                <w:szCs w:val="20"/>
                <w:color w:val="auto"/>
              </w:rPr>
            </w:pPr>
            <w:r>
              <w:rPr>
                <w:rFonts w:ascii="Arial" w:cs="Arial" w:eastAsia="Arial" w:hAnsi="Arial"/>
                <w:sz w:val="14"/>
                <w:szCs w:val="14"/>
                <w:b w:val="1"/>
                <w:bCs w:val="1"/>
                <w:color w:val="auto"/>
              </w:rPr>
              <w:t>1-800-435-6710</w:t>
            </w: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99"/>
        </w:trPr>
        <w:tc>
          <w:tcPr>
            <w:tcW w:w="2740" w:type="dxa"/>
            <w:vAlign w:val="bottom"/>
            <w:gridSpan w:val="3"/>
          </w:tcPr>
          <w:p>
            <w:pPr>
              <w:spacing w:after="0"/>
              <w:rPr>
                <w:sz w:val="20"/>
                <w:szCs w:val="20"/>
                <w:color w:val="auto"/>
              </w:rPr>
            </w:pPr>
            <w:r>
              <w:rPr>
                <w:rFonts w:ascii="Arial" w:cs="Arial" w:eastAsia="Arial" w:hAnsi="Arial"/>
                <w:sz w:val="14"/>
                <w:szCs w:val="14"/>
                <w:color w:val="auto"/>
                <w:w w:val="94"/>
              </w:rPr>
              <w:t>Use the Internet to vote your proxy. Have your</w:t>
            </w:r>
          </w:p>
        </w:tc>
        <w:tc>
          <w:tcPr>
            <w:tcW w:w="680" w:type="dxa"/>
            <w:vAlign w:val="bottom"/>
          </w:tcPr>
          <w:p>
            <w:pPr>
              <w:ind w:left="340"/>
              <w:spacing w:after="0"/>
              <w:rPr>
                <w:sz w:val="20"/>
                <w:szCs w:val="20"/>
                <w:color w:val="auto"/>
              </w:rPr>
            </w:pPr>
            <w:r>
              <w:rPr>
                <w:rFonts w:ascii="Arial" w:cs="Arial" w:eastAsia="Arial" w:hAnsi="Arial"/>
                <w:sz w:val="14"/>
                <w:szCs w:val="14"/>
                <w:b w:val="1"/>
                <w:bCs w:val="1"/>
                <w:color w:val="auto"/>
              </w:rPr>
              <w:t>OR</w:t>
            </w:r>
          </w:p>
        </w:tc>
        <w:tc>
          <w:tcPr>
            <w:tcW w:w="3140" w:type="dxa"/>
            <w:vAlign w:val="bottom"/>
          </w:tcPr>
          <w:p>
            <w:pPr>
              <w:ind w:left="140"/>
              <w:spacing w:after="0"/>
              <w:rPr>
                <w:sz w:val="20"/>
                <w:szCs w:val="20"/>
                <w:color w:val="auto"/>
              </w:rPr>
            </w:pPr>
            <w:r>
              <w:rPr>
                <w:rFonts w:ascii="Arial" w:cs="Arial" w:eastAsia="Arial" w:hAnsi="Arial"/>
                <w:sz w:val="14"/>
                <w:szCs w:val="14"/>
                <w:color w:val="auto"/>
                <w:w w:val="97"/>
              </w:rPr>
              <w:t>Use any touch-tone telephone to vote your proxy.</w:t>
            </w: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OR</w:t>
            </w: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Mark, sign and date</w:t>
            </w:r>
          </w:p>
        </w:tc>
      </w:tr>
      <w:tr>
        <w:trPr>
          <w:trHeight w:val="149"/>
        </w:trPr>
        <w:tc>
          <w:tcPr>
            <w:tcW w:w="2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86"/>
              </w:rPr>
              <w:t>proxy card in hand when you access the web site.</w:t>
            </w:r>
          </w:p>
        </w:tc>
        <w:tc>
          <w:tcPr>
            <w:tcW w:w="680" w:type="dxa"/>
            <w:vAlign w:val="bottom"/>
          </w:tcPr>
          <w:p>
            <w:pPr>
              <w:spacing w:after="0"/>
              <w:rPr>
                <w:sz w:val="12"/>
                <w:szCs w:val="12"/>
                <w:color w:val="auto"/>
              </w:rPr>
            </w:pPr>
          </w:p>
        </w:tc>
        <w:tc>
          <w:tcPr>
            <w:tcW w:w="3140" w:type="dxa"/>
            <w:vAlign w:val="bottom"/>
          </w:tcPr>
          <w:p>
            <w:pPr>
              <w:ind w:left="160"/>
              <w:spacing w:after="0" w:line="149" w:lineRule="exact"/>
              <w:rPr>
                <w:sz w:val="20"/>
                <w:szCs w:val="20"/>
                <w:color w:val="auto"/>
              </w:rPr>
            </w:pPr>
            <w:r>
              <w:rPr>
                <w:rFonts w:ascii="Arial" w:cs="Arial" w:eastAsia="Arial" w:hAnsi="Arial"/>
                <w:sz w:val="14"/>
                <w:szCs w:val="14"/>
                <w:color w:val="auto"/>
                <w:w w:val="97"/>
              </w:rPr>
              <w:t>Have your proxy card in hand when you call. You</w:t>
            </w:r>
          </w:p>
        </w:tc>
        <w:tc>
          <w:tcPr>
            <w:tcW w:w="5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9"/>
              </w:rPr>
              <w:t>your proxy card</w:t>
            </w:r>
          </w:p>
        </w:tc>
      </w:tr>
      <w:tr>
        <w:trPr>
          <w:trHeight w:val="149"/>
        </w:trPr>
        <w:tc>
          <w:tcPr>
            <w:tcW w:w="27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You will be prompted to enter your control</w:t>
            </w:r>
          </w:p>
        </w:tc>
        <w:tc>
          <w:tcPr>
            <w:tcW w:w="680" w:type="dxa"/>
            <w:vAlign w:val="bottom"/>
          </w:tcPr>
          <w:p>
            <w:pPr>
              <w:spacing w:after="0"/>
              <w:rPr>
                <w:sz w:val="12"/>
                <w:szCs w:val="12"/>
                <w:color w:val="auto"/>
              </w:rPr>
            </w:pPr>
          </w:p>
        </w:tc>
        <w:tc>
          <w:tcPr>
            <w:tcW w:w="3140" w:type="dxa"/>
            <w:vAlign w:val="bottom"/>
          </w:tcPr>
          <w:p>
            <w:pPr>
              <w:ind w:left="160"/>
              <w:spacing w:after="0" w:line="149" w:lineRule="exact"/>
              <w:rPr>
                <w:sz w:val="20"/>
                <w:szCs w:val="20"/>
                <w:color w:val="auto"/>
              </w:rPr>
            </w:pPr>
            <w:r>
              <w:rPr>
                <w:rFonts w:ascii="Arial" w:cs="Arial" w:eastAsia="Arial" w:hAnsi="Arial"/>
                <w:sz w:val="14"/>
                <w:szCs w:val="14"/>
                <w:color w:val="auto"/>
              </w:rPr>
              <w:t>will be prompted to enter your control number,</w:t>
            </w:r>
          </w:p>
        </w:tc>
        <w:tc>
          <w:tcPr>
            <w:tcW w:w="5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r>
      <w:tr>
        <w:trPr>
          <w:trHeight w:val="149"/>
        </w:trPr>
        <w:tc>
          <w:tcPr>
            <w:tcW w:w="2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0"/>
              </w:rPr>
              <w:t>number, located in the box below, to create and</w:t>
            </w:r>
          </w:p>
        </w:tc>
        <w:tc>
          <w:tcPr>
            <w:tcW w:w="680" w:type="dxa"/>
            <w:vAlign w:val="bottom"/>
          </w:tcPr>
          <w:p>
            <w:pPr>
              <w:spacing w:after="0"/>
              <w:rPr>
                <w:sz w:val="12"/>
                <w:szCs w:val="12"/>
                <w:color w:val="auto"/>
              </w:rPr>
            </w:pPr>
          </w:p>
        </w:tc>
        <w:tc>
          <w:tcPr>
            <w:tcW w:w="3140" w:type="dxa"/>
            <w:vAlign w:val="bottom"/>
          </w:tcPr>
          <w:p>
            <w:pPr>
              <w:ind w:left="160"/>
              <w:spacing w:after="0" w:line="149" w:lineRule="exact"/>
              <w:rPr>
                <w:sz w:val="20"/>
                <w:szCs w:val="20"/>
                <w:color w:val="auto"/>
              </w:rPr>
            </w:pPr>
            <w:r>
              <w:rPr>
                <w:rFonts w:ascii="Arial" w:cs="Arial" w:eastAsia="Arial" w:hAnsi="Arial"/>
                <w:sz w:val="14"/>
                <w:szCs w:val="14"/>
                <w:color w:val="auto"/>
              </w:rPr>
              <w:t>located in the box below, and then follow the</w:t>
            </w:r>
          </w:p>
        </w:tc>
        <w:tc>
          <w:tcPr>
            <w:tcW w:w="5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1"/>
              </w:rPr>
              <w:t>return it in the</w:t>
            </w:r>
          </w:p>
        </w:tc>
      </w:tr>
      <w:tr>
        <w:trPr>
          <w:trHeight w:val="149"/>
        </w:trPr>
        <w:tc>
          <w:tcPr>
            <w:tcW w:w="27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submit an electronic ballot.</w:t>
            </w:r>
          </w:p>
        </w:tc>
        <w:tc>
          <w:tcPr>
            <w:tcW w:w="680" w:type="dxa"/>
            <w:vAlign w:val="bottom"/>
          </w:tcPr>
          <w:p>
            <w:pPr>
              <w:spacing w:after="0"/>
              <w:rPr>
                <w:sz w:val="12"/>
                <w:szCs w:val="12"/>
                <w:color w:val="auto"/>
              </w:rPr>
            </w:pPr>
          </w:p>
        </w:tc>
        <w:tc>
          <w:tcPr>
            <w:tcW w:w="3140" w:type="dxa"/>
            <w:vAlign w:val="bottom"/>
          </w:tcPr>
          <w:p>
            <w:pPr>
              <w:ind w:left="160"/>
              <w:spacing w:after="0" w:line="149" w:lineRule="exact"/>
              <w:rPr>
                <w:sz w:val="20"/>
                <w:szCs w:val="20"/>
                <w:color w:val="auto"/>
              </w:rPr>
            </w:pPr>
            <w:r>
              <w:rPr>
                <w:rFonts w:ascii="Arial" w:cs="Arial" w:eastAsia="Arial" w:hAnsi="Arial"/>
                <w:sz w:val="14"/>
                <w:szCs w:val="14"/>
                <w:color w:val="auto"/>
              </w:rPr>
              <w:t>directions given.</w:t>
            </w:r>
          </w:p>
        </w:tc>
        <w:tc>
          <w:tcPr>
            <w:tcW w:w="5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5"/>
              </w:rPr>
              <w:t>enclosed postage-paid</w:t>
            </w:r>
          </w:p>
        </w:tc>
      </w:tr>
      <w:tr>
        <w:trPr>
          <w:trHeight w:val="149"/>
        </w:trPr>
        <w:tc>
          <w:tcPr>
            <w:tcW w:w="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2"/>
              </w:rPr>
              <w:t>envelope as soon as</w:t>
            </w:r>
          </w:p>
        </w:tc>
      </w:tr>
      <w:tr>
        <w:trPr>
          <w:trHeight w:val="172"/>
        </w:trPr>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possible.</w:t>
            </w:r>
          </w:p>
        </w:tc>
      </w:tr>
      <w:tr>
        <w:trPr>
          <w:trHeight w:val="337"/>
        </w:trPr>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360" w:type="dxa"/>
            <w:vAlign w:val="bottom"/>
            <w:gridSpan w:val="3"/>
          </w:tcPr>
          <w:p>
            <w:pPr>
              <w:jc w:val="center"/>
              <w:ind w:left="292"/>
              <w:spacing w:after="0"/>
              <w:rPr>
                <w:sz w:val="20"/>
                <w:szCs w:val="20"/>
                <w:color w:val="auto"/>
              </w:rPr>
            </w:pPr>
            <w:r>
              <w:rPr>
                <w:rFonts w:ascii="Arial" w:cs="Arial" w:eastAsia="Arial" w:hAnsi="Arial"/>
                <w:sz w:val="18"/>
                <w:szCs w:val="18"/>
                <w:b w:val="1"/>
                <w:bCs w:val="1"/>
                <w:color w:val="auto"/>
                <w:w w:val="89"/>
              </w:rPr>
              <w:t>If you vote your proxy by Internet or by telephone,</w:t>
            </w: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9"/>
              </w:rPr>
              <w:t>you do NOT need to mail back your proxy card.</w:t>
            </w:r>
          </w:p>
        </w:tc>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13"/>
        </w:trPr>
        <w:tc>
          <w:tcPr>
            <w:tcW w:w="2740" w:type="dxa"/>
            <w:vAlign w:val="bottom"/>
            <w:gridSpan w:val="3"/>
          </w:tcPr>
          <w:p>
            <w:pPr>
              <w:ind w:left="20"/>
              <w:spacing w:after="0"/>
              <w:rPr>
                <w:sz w:val="20"/>
                <w:szCs w:val="20"/>
                <w:color w:val="auto"/>
              </w:rPr>
            </w:pPr>
            <w:r>
              <w:rPr>
                <w:rFonts w:ascii="Arial" w:cs="Arial" w:eastAsia="Arial" w:hAnsi="Arial"/>
                <w:sz w:val="18"/>
                <w:szCs w:val="18"/>
                <w:b w:val="1"/>
                <w:bCs w:val="1"/>
                <w:color w:val="auto"/>
              </w:rPr>
              <w:t>PLEASE VOTE</w:t>
            </w: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Arial" w:cs="Arial" w:eastAsia="Arial" w:hAnsi="Arial"/>
                <w:sz w:val="18"/>
                <w:szCs w:val="18"/>
                <w:b w:val="1"/>
                <w:bCs w:val="1"/>
                <w:color w:val="auto"/>
                <w:w w:val="98"/>
              </w:rPr>
              <w:t>CONTROL NUMBER</w:t>
            </w:r>
          </w:p>
        </w:tc>
      </w:tr>
    </w:tbl>
    <w:p>
      <w:pPr>
        <w:spacing w:after="0" w:line="1" w:lineRule="exact"/>
        <w:rPr>
          <w:sz w:val="20"/>
          <w:szCs w:val="20"/>
          <w:color w:val="auto"/>
        </w:rPr>
      </w:pPr>
    </w:p>
    <w:sectPr>
      <w:pgSz w:w="11900" w:h="16838" w:orient="portrait"/>
      <w:cols w:equalWidth="0" w:num="1">
        <w:col w:w="11420"/>
      </w:cols>
      <w:pgMar w:left="240" w:top="2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lvl w:ilvl="1">
      <w:lvlJc w:val="left"/>
      <w:lvlText w:val="(%2)"/>
      <w:numFmt w:val="lowerRoman"/>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6"/>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2019-12-13T15:49:50Z</dcterms:created>
  <dcterms:modified xsi:type="dcterms:W3CDTF">2019-12-13T15:49:50Z</dcterms:modified>
</cp:coreProperties>
</file>