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Hooper Joan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878"/>
        <w:gridCol w:w="446"/>
        <w:gridCol w:w="922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97.8259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117,113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68.45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121,493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69.3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122,936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98.95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118,895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69.3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4,380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became fully vested on June 20, 2020.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became fully vested on February 22,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sold shares of Common Stock in open market transactions to satisfy payment of the purchase price on the stock option exercises reported in this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6978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3707</Characters>
  <CharactersWithSpaces>4284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