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8"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January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48260</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67"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Date of Report (Date of Earliest Event Reported)</w:t>
      </w:r>
    </w:p>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48260</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8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(Exact Name of Registrant as Specified in its Charter)</w:t>
      </w:r>
    </w:p>
    <w:p>
      <w:pPr>
        <w:spacing w:after="0" w:line="210"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9"/>
              </w:rPr>
              <w:t>Washington</w:t>
            </w:r>
          </w:p>
        </w:tc>
        <w:tc>
          <w:tcPr>
            <w:tcW w:w="2780" w:type="dxa"/>
            <w:vAlign w:val="bottom"/>
          </w:tcPr>
          <w:p>
            <w:pPr>
              <w:jc w:val="right"/>
              <w:ind w:right="84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9"/>
              </w:rPr>
              <w:t>91-1011792</w:t>
            </w:r>
          </w:p>
        </w:tc>
      </w:tr>
      <w:tr>
        <w:trPr>
          <w:trHeight w:val="50"/>
        </w:trPr>
        <w:tc>
          <w:tcPr>
            <w:tcW w:w="28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r>
      <w:tr>
        <w:trPr>
          <w:trHeight w:val="260"/>
        </w:trPr>
        <w:tc>
          <w:tcPr>
            <w:tcW w:w="316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(State or Other Jurisdiction</w:t>
            </w:r>
          </w:p>
        </w:tc>
        <w:tc>
          <w:tcPr>
            <w:tcW w:w="2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20"/>
              <w:spacing w:after="0"/>
              <w:rPr>
                <w:sz w:val="20"/>
                <w:szCs w:val="20"/>
                <w:color w:val="auto"/>
              </w:rPr>
            </w:pPr>
            <w:r>
              <w:rPr>
                <w:rFonts w:ascii="Arial" w:cs="Arial" w:eastAsia="Arial" w:hAnsi="Arial"/>
                <w:sz w:val="20"/>
                <w:szCs w:val="20"/>
                <w:color w:val="auto"/>
                <w:w w:val="91"/>
              </w:rPr>
              <w:t>of Incorporation)</w:t>
            </w:r>
          </w:p>
        </w:tc>
        <w:tc>
          <w:tcPr>
            <w:tcW w:w="3040" w:type="dxa"/>
            <w:vAlign w:val="bottom"/>
            <w:gridSpan w:val="2"/>
          </w:tcPr>
          <w:p>
            <w:pPr>
              <w:jc w:val="center"/>
              <w:ind w:right="200"/>
              <w:spacing w:after="0"/>
              <w:rPr>
                <w:sz w:val="20"/>
                <w:szCs w:val="20"/>
                <w:color w:val="auto"/>
              </w:rPr>
            </w:pPr>
            <w:r>
              <w:rPr>
                <w:rFonts w:ascii="Arial" w:cs="Arial" w:eastAsia="Arial" w:hAnsi="Arial"/>
                <w:sz w:val="20"/>
                <w:szCs w:val="20"/>
                <w:color w:val="auto"/>
                <w:w w:val="93"/>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18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48260</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8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(Address of Principal Executive Offices, Zip Code)</w:t>
      </w:r>
    </w:p>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48260</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8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336550</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391" w:lineRule="exact"/>
        <w:rPr>
          <w:sz w:val="24"/>
          <w:szCs w:val="24"/>
          <w:color w:val="auto"/>
        </w:rPr>
      </w:pPr>
    </w:p>
    <w:p>
      <w:pPr>
        <w:spacing w:after="0" w:line="317"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Written communications pursuant to Rule 425 under Securities Act (17 CFR 230.425)</w:t>
      </w:r>
    </w:p>
    <w:p>
      <w:pPr>
        <w:spacing w:after="0" w:line="79"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Soliciting material pursuant to Rule 14a-12 under the Exchange Act (17 CFR 240.14a-12)</w:t>
      </w:r>
    </w:p>
    <w:p>
      <w:pPr>
        <w:spacing w:after="0" w:line="79"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Pre-commencement communications pursuant to Rule 14d-2(b) under the Exchange Act (17 CFR 240.14d-2(b))</w:t>
      </w:r>
    </w:p>
    <w:p>
      <w:pPr>
        <w:spacing w:after="0" w:line="79" w:lineRule="exact"/>
        <w:rPr>
          <w:sz w:val="24"/>
          <w:szCs w:val="24"/>
          <w:color w:val="auto"/>
        </w:rPr>
      </w:pPr>
    </w:p>
    <w:p>
      <w:pPr>
        <w:ind w:left="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9"/>
          <w:szCs w:val="19"/>
          <w:color w:val="auto"/>
        </w:rPr>
        <w:t>Pre-commencement communications pursuant to Rule 13e-4(c) under the Exchange Act (17 CFR 240.13e-4(c))</w:t>
      </w:r>
    </w:p>
    <w:p>
      <w:pPr>
        <w:spacing w:after="0" w:line="254" w:lineRule="exact"/>
        <w:rPr>
          <w:sz w:val="24"/>
          <w:szCs w:val="24"/>
          <w:color w:val="auto"/>
        </w:rPr>
      </w:pPr>
    </w:p>
    <w:p>
      <w:pPr>
        <w:ind w:right="300"/>
        <w:spacing w:after="0" w:line="317"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(17 CFR §230.405) or Rule 12b-2 of the Securities Exchange Act of 1934 (17 CFR §240.12b-2).</w:t>
      </w:r>
    </w:p>
    <w:p>
      <w:pPr>
        <w:spacing w:after="0" w:line="135"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Emerging growth company </w:t>
      </w:r>
      <w:r>
        <w:rPr>
          <w:rFonts w:ascii="Arial" w:cs="Arial" w:eastAsia="Arial" w:hAnsi="Arial"/>
          <w:sz w:val="16"/>
          <w:szCs w:val="16"/>
          <w:color w:val="auto"/>
        </w:rPr>
        <w:t>c</w:t>
      </w:r>
    </w:p>
    <w:p>
      <w:pPr>
        <w:spacing w:after="0" w:line="243" w:lineRule="exact"/>
        <w:rPr>
          <w:sz w:val="24"/>
          <w:szCs w:val="24"/>
          <w:color w:val="auto"/>
        </w:rPr>
      </w:pPr>
    </w:p>
    <w:p>
      <w:pPr>
        <w:ind w:right="360"/>
        <w:spacing w:after="0" w:line="3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5"/>
          <w:szCs w:val="15"/>
          <w:color w:val="auto"/>
        </w:rPr>
        <w:t>c</w:t>
      </w:r>
    </w:p>
    <w:p>
      <w:pPr>
        <w:sectPr>
          <w:pgSz w:w="11900" w:h="16838" w:orient="portrait"/>
          <w:cols w:equalWidth="0" w:num="1">
            <w:col w:w="11420"/>
          </w:cols>
          <w:pgMar w:left="240" w:top="720" w:right="2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3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January 19, 2018, Itron, Inc. (“Itron”), closed the previously announced offering of an additional $100 million aggregate principal amount of its 5.000% senior notes due 2026 (the “Notes”). The Notes were issued pursuant to an indenture, dated as of December 22, 2017, as supplemented by the First Supplemental Indenture dated as of January 5, 2018 (the “Indenture”), among Itron, the guarantors from time to time party thereto and U.S. Bank National Association, as trustee.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Notes will be guaranteed, jointly and severally, on a senior unsecured basis, by certain of Itron’s existing and future domestic subsidiaries. Itron intends to use the net proceeds from the offering of the Notes to refinance existing indebtedness, pay related fees and expenses and for general corporate purposes.</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Notes and the guarantees will be Itron’s and the guarantors’ senior unsecured obligations and will rank equally in right of payment with Itron’s and the guarantors’ existing and future senior obligations. Subject to certain exceptions, future subsidiaries that guarantee Itron’s senior secured credit facilities or guarantee certain other indebtedness will also guarantee the Notes. The Notes and the guarantees will be effectively subordinated to all of Itron’s and the guarantors’ secured indebtedness, including the senior secured credit facilities, to the extent of the value of the collateral securing such indebtedness and will be structurally subordinated to all existing and future liabilities of each of Itron’s existing and future subsidiaries that do not guarantee the Notes.</w:t>
      </w:r>
    </w:p>
    <w:p>
      <w:pPr>
        <w:spacing w:after="0" w:line="197"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Notes will bear interest at a rate of 5.000% per annum, payable semi-annually on January 15 and July 15 of each year, beginning on July 15, 2018, to persons who are registered holders of the Notes on the immediately preceding January 1 and July 1, respectively.</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event of a Change of Control (as defined in the Indenture), each holder of the Notes will have the right to require Itron to repurchase all or any part of that holder’s Notes at a purchase price of 101% of the principal amount of Notes repurchased, plus accrued and unpaid interest, if any, to the date of such repurchase.</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Notes will mature on January 15, 2026. However, prior to January 15, 2021, Itron may, at its option, redeem some or all of the Notes at a redemption price equal to 100% of the principal amount of the Notes, together with accrued and unpaid interest, if any, plus a “make-whole” premium. On or after January 15, 2021, Itron may, at its option, redeem some or all of the Notes at any time at declining redemption prices equal to 102.500% beginning on January 15, 2021, 101.250% beginning on January 15, 2022 and 100.000% beginning on January 15, 2023 and thereafter, plus, in each case, accrued and unpaid interest, if any, to the applicable redemption date. In addition, before January 15, 2021, and subject to certain conditions, Itron may, at its option, redeem up to 35% of the aggregate principal amount of Notes with the net proceeds of certain equity offerings at 105.000% of the principal amount thereof, plus accrued and unpaid interest, if any, to the date of redemption;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 at least 65% of the aggregate principal amount of Notes remains outstanding after such redemption and (ii) the redemption</w:t>
      </w:r>
      <w:r>
        <w:rPr>
          <w:rFonts w:ascii="Arial" w:cs="Arial" w:eastAsia="Arial" w:hAnsi="Arial"/>
          <w:sz w:val="19"/>
          <w:szCs w:val="19"/>
          <w:i w:val="1"/>
          <w:iCs w:val="1"/>
          <w:color w:val="auto"/>
        </w:rPr>
        <w:t xml:space="preserve"> </w:t>
      </w:r>
      <w:r>
        <w:rPr>
          <w:rFonts w:ascii="Arial" w:cs="Arial" w:eastAsia="Arial" w:hAnsi="Arial"/>
          <w:sz w:val="19"/>
          <w:szCs w:val="19"/>
          <w:color w:val="auto"/>
        </w:rPr>
        <w:t>occurs within 60 days of the closing of any such equity offering.</w:t>
      </w:r>
    </w:p>
    <w:p>
      <w:pPr>
        <w:spacing w:after="0" w:line="2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above description of the Indenture does not purport to be a complete statement of the parties’ rights and obligations under the Indenture and is qualified in its entirety by reference to the terms of the Indenture, a copy of which is attached as Exhibit 4.1 to Itron’s Current Report on Form 8-K filed December 22, 2017 and incorporated herein by reference.</w:t>
      </w:r>
    </w:p>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Notes and the related guarantees will not be registered under the Securities Act of 1933, as amended, or the securities laws of any state or other jurisdiction, and, unless so registered, may not be offered or sold in the United States absent registration or an applicable exemption from registration requirements.</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report does not constitute an offer to sell, or a solicitation of an offer to buy, any security. No offer, solicitation, or sale will be made in any jurisdiction in which such an offer, solicitation, or sale would be unlawful.</w:t>
      </w:r>
    </w:p>
    <w:p>
      <w:pPr>
        <w:sectPr>
          <w:pgSz w:w="11900" w:h="16838" w:orient="portrait"/>
          <w:cols w:equalWidth="0" w:num="1">
            <w:col w:w="11420"/>
          </w:cols>
          <w:pgMar w:left="240" w:top="607" w:right="239" w:bottom="1440" w:gutter="0" w:footer="0" w:header="0"/>
        </w:sectPr>
      </w:pPr>
    </w:p>
    <w:bookmarkStart w:id="2" w:name="page3"/>
    <w:bookmarkEnd w:id="2"/>
    <w:p>
      <w:pPr>
        <w:jc w:val="both"/>
        <w:spacing w:after="0" w:line="254" w:lineRule="auto"/>
        <w:rPr>
          <w:sz w:val="20"/>
          <w:szCs w:val="20"/>
          <w:color w:val="auto"/>
        </w:rPr>
      </w:pPr>
      <w:r>
        <w:rPr>
          <w:rFonts w:ascii="Arial" w:cs="Arial" w:eastAsia="Arial" w:hAnsi="Arial"/>
          <w:sz w:val="19"/>
          <w:szCs w:val="19"/>
          <w:color w:val="auto"/>
        </w:rPr>
        <w:t>This report may contain “forward-looking” statements, as defined in federal securities laws including the Private Securities Litigation Reform Act of 1995, which are based on our current expectations, estimates, forecasts and projections. Statements that are not historical facts, including statements about beliefs, plans and expectations are forward-looking statements. Statements that include words such as “anticipates”, “expects”, “intends”, “plans”, “predicts”, “believes”, “seeks”, “estimates”, “may”, “will”, “should”, “would”, “potential”, “continue”, “goals”, “targets” and variations of these words (or negatives of these words) or similar expressions of a future or forward-looking nature identify forward-looking statements. In addition, any statements that refer to projections or other characterizations of future events or circumstances, including any underlying assumptions are forward-looking statements. Forward-looking statements are based on current expectations and are subject to a number of risks, factors and uncertainties that could cause actual results to differ materially from those described in the forward-looking statements. Important factors and uncertainties that could cause actual results to differ materially from those described in these forward-looking statements include, without limitation: the parties’ ability to meet expectations regarding the accounting and tax treatments of the Itron Networked Solutions, Inc. (fka Silver Spring Networks, Inc.) merger (the “SSNI Acquisition”); the impact of indebtedness incurred by Itron in connection with the SSNI Acquisition and the potential impact on the rating of indebtedness of Itron; and the effects of the business combination of Itron and Itron Networked Solutions, Inc., including the combined company’s future financial condition, operating results, strategy and plans.</w:t>
      </w:r>
    </w:p>
    <w:p>
      <w:pPr>
        <w:sectPr>
          <w:pgSz w:w="11900" w:h="16838" w:orient="portrait"/>
          <w:cols w:equalWidth="0" w:num="1">
            <w:col w:w="11420"/>
          </w:cols>
          <w:pgMar w:left="240" w:top="582"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ITRON, INC.</w:t>
      </w:r>
    </w:p>
    <w:p>
      <w:pPr>
        <w:spacing w:after="0" w:line="36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3940" w:type="dxa"/>
            <w:vAlign w:val="bottom"/>
          </w:tcPr>
          <w:p>
            <w:pPr>
              <w:ind w:left="3340"/>
              <w:spacing w:after="0"/>
              <w:rPr>
                <w:sz w:val="20"/>
                <w:szCs w:val="20"/>
                <w:color w:val="auto"/>
              </w:rPr>
            </w:pPr>
            <w:r>
              <w:rPr>
                <w:rFonts w:ascii="Arial" w:cs="Arial" w:eastAsia="Arial" w:hAnsi="Arial"/>
                <w:sz w:val="18"/>
                <w:szCs w:val="18"/>
                <w:color w:val="auto"/>
              </w:rPr>
              <w:t>By:</w:t>
            </w:r>
          </w:p>
        </w:tc>
        <w:tc>
          <w:tcPr>
            <w:tcW w:w="5260" w:type="dxa"/>
            <w:vAlign w:val="bottom"/>
          </w:tcPr>
          <w:p>
            <w:pPr>
              <w:jc w:val="center"/>
              <w:spacing w:after="0"/>
              <w:rPr>
                <w:sz w:val="20"/>
                <w:szCs w:val="20"/>
                <w:color w:val="auto"/>
              </w:rPr>
            </w:pPr>
            <w:r>
              <w:rPr>
                <w:rFonts w:ascii="Arial" w:cs="Arial" w:eastAsia="Arial" w:hAnsi="Arial"/>
                <w:sz w:val="18"/>
                <w:szCs w:val="18"/>
                <w:color w:val="auto"/>
                <w:w w:val="96"/>
              </w:rPr>
              <w:t>/s/ SHANNON M. VOTAVA</w:t>
            </w:r>
          </w:p>
        </w:tc>
      </w:tr>
      <w:tr>
        <w:trPr>
          <w:trHeight w:val="27"/>
        </w:trPr>
        <w:tc>
          <w:tcPr>
            <w:tcW w:w="394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Dated: January 19, 2018</w:t>
            </w:r>
          </w:p>
        </w:tc>
        <w:tc>
          <w:tcPr>
            <w:tcW w:w="5260" w:type="dxa"/>
            <w:vAlign w:val="bottom"/>
          </w:tcPr>
          <w:p>
            <w:pPr>
              <w:jc w:val="center"/>
              <w:spacing w:after="0"/>
              <w:rPr>
                <w:sz w:val="20"/>
                <w:szCs w:val="20"/>
                <w:color w:val="auto"/>
              </w:rPr>
            </w:pPr>
            <w:r>
              <w:rPr>
                <w:rFonts w:ascii="Arial" w:cs="Arial" w:eastAsia="Arial" w:hAnsi="Arial"/>
                <w:sz w:val="18"/>
                <w:szCs w:val="18"/>
                <w:color w:val="auto"/>
                <w:w w:val="89"/>
              </w:rPr>
              <w:t>Shannon M. Votava</w:t>
            </w:r>
          </w:p>
        </w:tc>
      </w:tr>
      <w:tr>
        <w:trPr>
          <w:trHeight w:val="270"/>
        </w:trPr>
        <w:tc>
          <w:tcPr>
            <w:tcW w:w="3940" w:type="dxa"/>
            <w:vAlign w:val="bottom"/>
          </w:tcPr>
          <w:p>
            <w:pPr>
              <w:spacing w:after="0"/>
              <w:rPr>
                <w:sz w:val="23"/>
                <w:szCs w:val="23"/>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89"/>
              </w:rPr>
              <w:t>Senior Vice President, General Counsel, and Corporate Secretary</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2019-12-05T15:39:16Z</dcterms:created>
  <dcterms:modified xsi:type="dcterms:W3CDTF">2019-12-05T15:39:16Z</dcterms:modified>
</cp:coreProperties>
</file>