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520" w:val="left"/>
          <w:tab w:leader="none" w:pos="1660" w:val="left"/>
        </w:tabs>
        <w:rPr>
          <w:sz w:val="20"/>
          <w:szCs w:val="20"/>
          <w:color w:val="auto"/>
        </w:rPr>
      </w:pPr>
      <w:r>
        <w:rPr>
          <w:rFonts w:ascii="Courier New" w:cs="Courier New" w:eastAsia="Courier New" w:hAnsi="Courier New"/>
          <w:sz w:val="18"/>
          <w:szCs w:val="18"/>
          <w:color w:val="auto"/>
        </w:rPr>
        <w:t>FOR</w:t>
        <w:tab/>
        <w:t>IMMEDIATE</w:t>
      </w:r>
      <w:r>
        <w:rPr>
          <w:sz w:val="20"/>
          <w:szCs w:val="20"/>
          <w:color w:val="auto"/>
        </w:rPr>
        <w:tab/>
      </w:r>
      <w:r>
        <w:rPr>
          <w:rFonts w:ascii="Courier New" w:cs="Courier New" w:eastAsia="Courier New" w:hAnsi="Courier New"/>
          <w:sz w:val="16"/>
          <w:szCs w:val="16"/>
          <w:color w:val="auto"/>
        </w:rPr>
        <w:t>RELEASE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ITRON SETS CONVERSION PRICE FOR EXCHANGE OFFER</w:t>
      </w:r>
    </w:p>
    <w:p>
      <w:pPr>
        <w:spacing w:after="0" w:line="201" w:lineRule="exact"/>
        <w:rPr>
          <w:sz w:val="24"/>
          <w:szCs w:val="24"/>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SPOKANE, WA--March 10, 1999--Itron, Inc. (NASDAQ:ITRI), in connection with its previously announced offer to exchange up to $15,840,000 principal amount of its 6 3/4% Convertible Subordinated Notes due 2004 ("Exchange Notes"), for up to $22,000,000 principal amount of its 6 3/4% Convertible Subordinated Notes due 2004 ("Original Notes"), announced today that the conversion price for the offer has been set at $9.65. The conversion price was calculated based on a 27.5% premium above the average closing price of the stock for March 4, 1999 through March 10, 1999. The exchange offer will expire on March 12, 1999, unless extended, and is being made to all holders of Original Notes.</w:t>
      </w:r>
    </w:p>
    <w:p>
      <w:pPr>
        <w:spacing w:after="0" w:line="104" w:lineRule="exact"/>
        <w:rPr>
          <w:sz w:val="24"/>
          <w:szCs w:val="24"/>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This announcement constitutes neither an offer to sell nor a solicitation of an offer to buy the Exchange Notes or Original Notes, which are the subject of the exchange offer. Offers are made only through the Offering Circular and accompanying materials, which set forth the terms and conditions of the exchange offer and instructions for tendering Original Notes. For questions with respect to the exchange offer or to receive a copy of the Offering Circular, please call 800-635-5461, ext. 3440.</w:t>
      </w:r>
    </w:p>
    <w:p>
      <w:pPr>
        <w:spacing w:after="0" w:line="98" w:lineRule="exact"/>
        <w:rPr>
          <w:sz w:val="24"/>
          <w:szCs w:val="24"/>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Itron, Inc., a leading provider to the utility industry of data acquisition and wireless communications solutions for collecting, communicating, and analyzing electric, gas and water usage, serves over 1,500 customers in more than 45 countries around the world. The Company is headquartered in Spokane, Washington, and has engineering, design, and manufacturing facilities in several US locations and subsidiaries in the United Kingdom, France, and Australia. Itron employs approximately 1,200 people worldwide.</w:t>
      </w:r>
    </w:p>
    <w:p>
      <w:pPr>
        <w:spacing w:after="0" w:line="98" w:lineRule="exact"/>
        <w:rPr>
          <w:sz w:val="24"/>
          <w:szCs w:val="24"/>
          <w:color w:val="auto"/>
        </w:rPr>
      </w:pPr>
    </w:p>
    <w:p>
      <w:pPr>
        <w:ind w:left="220" w:right="2199" w:firstLine="843"/>
        <w:spacing w:after="0" w:line="253" w:lineRule="auto"/>
        <w:rPr>
          <w:sz w:val="20"/>
          <w:szCs w:val="20"/>
          <w:color w:val="auto"/>
        </w:rPr>
      </w:pPr>
      <w:r>
        <w:rPr>
          <w:rFonts w:ascii="Courier New" w:cs="Courier New" w:eastAsia="Courier New" w:hAnsi="Courier New"/>
          <w:sz w:val="18"/>
          <w:szCs w:val="18"/>
          <w:color w:val="auto"/>
        </w:rPr>
        <w:t>When used in this discussion, the words "expects," "anticipates," and similar expressions are intended to identify forward-looking statements that involve risks and uncertainties. Potential risks and uncertainties include the ability to close the debt exchange offer for the terms indicated. Further information on factors which could affect the Company's financial results are described in the Company's latest Annual Report, Form 10-K, Form 10-Q, and 8-K filed with the Securities and Exchange Commission.</w:t>
      </w:r>
    </w:p>
    <w:p>
      <w:pPr>
        <w:spacing w:after="0" w:line="3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 # #</w:t>
      </w:r>
    </w:p>
    <w:p>
      <w:pPr>
        <w:sectPr>
          <w:pgSz w:w="11900" w:h="16838" w:orient="portrait"/>
          <w:cols w:equalWidth="0" w:num="1">
            <w:col w:w="9899"/>
          </w:cols>
          <w:pgMar w:left="560" w:top="218"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5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58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AMENDMENT NO. 2</w:t>
      </w:r>
    </w:p>
    <w:p>
      <w:pPr>
        <w:ind w:left="4120"/>
        <w:spacing w:after="0"/>
        <w:rPr>
          <w:sz w:val="20"/>
          <w:szCs w:val="20"/>
          <w:color w:val="auto"/>
        </w:rPr>
      </w:pPr>
      <w:r>
        <w:rPr>
          <w:rFonts w:ascii="Courier New" w:cs="Courier New" w:eastAsia="Courier New" w:hAnsi="Courier New"/>
          <w:sz w:val="18"/>
          <w:szCs w:val="18"/>
          <w:color w:val="auto"/>
        </w:rPr>
        <w:t>TO</w:t>
      </w:r>
    </w:p>
    <w:p>
      <w:pPr>
        <w:ind w:left="3480"/>
        <w:spacing w:after="0" w:line="238" w:lineRule="auto"/>
        <w:rPr>
          <w:sz w:val="20"/>
          <w:szCs w:val="20"/>
          <w:color w:val="auto"/>
        </w:rPr>
      </w:pPr>
      <w:r>
        <w:rPr>
          <w:rFonts w:ascii="Courier New" w:cs="Courier New" w:eastAsia="Courier New" w:hAnsi="Courier New"/>
          <w:sz w:val="18"/>
          <w:szCs w:val="18"/>
          <w:color w:val="auto"/>
        </w:rPr>
        <w:t>SCHEDULE 13E-4</w:t>
      </w:r>
    </w:p>
    <w:p>
      <w:pPr>
        <w:ind w:left="2740"/>
        <w:spacing w:after="0"/>
        <w:rPr>
          <w:sz w:val="20"/>
          <w:szCs w:val="20"/>
          <w:color w:val="auto"/>
        </w:rPr>
      </w:pPr>
      <w:r>
        <w:rPr>
          <w:rFonts w:ascii="Courier New" w:cs="Courier New" w:eastAsia="Courier New" w:hAnsi="Courier New"/>
          <w:sz w:val="18"/>
          <w:szCs w:val="18"/>
          <w:color w:val="auto"/>
        </w:rPr>
        <w:t>Issuer Tender Offer Statement</w:t>
      </w:r>
    </w:p>
    <w:p>
      <w:pPr>
        <w:ind w:left="640"/>
        <w:spacing w:after="0" w:line="238" w:lineRule="auto"/>
        <w:rPr>
          <w:sz w:val="20"/>
          <w:szCs w:val="20"/>
          <w:color w:val="auto"/>
        </w:rPr>
      </w:pPr>
      <w:r>
        <w:rPr>
          <w:rFonts w:ascii="Courier New" w:cs="Courier New" w:eastAsia="Courier New" w:hAnsi="Courier New"/>
          <w:sz w:val="18"/>
          <w:szCs w:val="18"/>
          <w:color w:val="auto"/>
        </w:rPr>
        <w:t>(Pursuant to Section 13(e)(1) of the Securities Exchange Act of 1934)</w:t>
      </w:r>
    </w:p>
    <w:p>
      <w:pPr>
        <w:ind w:left="358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ITRON, INC.</w:t>
      </w:r>
    </w:p>
    <w:p>
      <w:pPr>
        <w:ind w:left="3380"/>
        <w:spacing w:after="0"/>
        <w:rPr>
          <w:sz w:val="20"/>
          <w:szCs w:val="20"/>
          <w:color w:val="auto"/>
        </w:rPr>
      </w:pPr>
      <w:r>
        <w:rPr>
          <w:rFonts w:ascii="Courier New" w:cs="Courier New" w:eastAsia="Courier New" w:hAnsi="Courier New"/>
          <w:sz w:val="18"/>
          <w:szCs w:val="18"/>
          <w:color w:val="auto"/>
        </w:rPr>
        <w:t>(Name of Issuer)</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1679"/>
        <w:spacing w:after="0"/>
        <w:rPr>
          <w:sz w:val="20"/>
          <w:szCs w:val="20"/>
          <w:color w:val="auto"/>
        </w:rPr>
      </w:pPr>
      <w:r>
        <w:rPr>
          <w:rFonts w:ascii="Courier New" w:cs="Courier New" w:eastAsia="Courier New" w:hAnsi="Courier New"/>
          <w:sz w:val="18"/>
          <w:szCs w:val="18"/>
          <w:color w:val="auto"/>
        </w:rPr>
        <w:t>ITRON, INC.</w:t>
      </w:r>
    </w:p>
    <w:p>
      <w:pPr>
        <w:jc w:val="center"/>
        <w:ind w:right="1679"/>
        <w:spacing w:after="0"/>
        <w:rPr>
          <w:sz w:val="20"/>
          <w:szCs w:val="20"/>
          <w:color w:val="auto"/>
        </w:rPr>
      </w:pPr>
      <w:r>
        <w:rPr>
          <w:rFonts w:ascii="Courier New" w:cs="Courier New" w:eastAsia="Courier New" w:hAnsi="Courier New"/>
          <w:sz w:val="18"/>
          <w:szCs w:val="18"/>
          <w:color w:val="auto"/>
        </w:rPr>
        <w:t>(Name of Person Filing Statement)</w:t>
      </w:r>
    </w:p>
    <w:p>
      <w:pPr>
        <w:spacing w:after="0" w:line="169"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8"/>
          <w:szCs w:val="18"/>
          <w:color w:val="auto"/>
        </w:rPr>
        <w:t>6 3/4% Convertible Subordinated Notes Due 2004,</w:t>
      </w:r>
    </w:p>
    <w:p>
      <w:pPr>
        <w:spacing w:after="0" w:line="29" w:lineRule="exact"/>
        <w:rPr>
          <w:sz w:val="20"/>
          <w:szCs w:val="20"/>
          <w:color w:val="auto"/>
        </w:rPr>
      </w:pPr>
    </w:p>
    <w:p>
      <w:pPr>
        <w:jc w:val="right"/>
        <w:ind w:right="3479"/>
        <w:spacing w:after="0"/>
        <w:rPr>
          <w:sz w:val="20"/>
          <w:szCs w:val="20"/>
          <w:color w:val="auto"/>
        </w:rPr>
      </w:pPr>
      <w:r>
        <w:rPr>
          <w:rFonts w:ascii="Courier New" w:cs="Courier New" w:eastAsia="Courier New" w:hAnsi="Courier New"/>
          <w:sz w:val="18"/>
          <w:szCs w:val="18"/>
          <w:color w:val="auto"/>
        </w:rPr>
        <w:t>CUSIP Nos. 465741-AA-4, U13126-AA-2, 465741-AC-0</w:t>
      </w:r>
    </w:p>
    <w:p>
      <w:pPr>
        <w:jc w:val="right"/>
        <w:ind w:right="3479"/>
        <w:spacing w:after="0" w:line="238" w:lineRule="auto"/>
        <w:rPr>
          <w:sz w:val="20"/>
          <w:szCs w:val="20"/>
          <w:color w:val="auto"/>
        </w:rPr>
      </w:pPr>
      <w:r>
        <w:rPr>
          <w:rFonts w:ascii="Courier New" w:cs="Courier New" w:eastAsia="Courier New" w:hAnsi="Courier New"/>
          <w:sz w:val="18"/>
          <w:szCs w:val="18"/>
          <w:color w:val="auto"/>
        </w:rPr>
        <w:t>(Title and CUSIP Number of Class of Securities)</w:t>
      </w:r>
    </w:p>
    <w:p>
      <w:pPr>
        <w:ind w:left="358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DAVID G. REMINGTON</w:t>
      </w:r>
    </w:p>
    <w:p>
      <w:pPr>
        <w:jc w:val="center"/>
        <w:ind w:right="1779"/>
        <w:spacing w:after="0"/>
        <w:rPr>
          <w:sz w:val="20"/>
          <w:szCs w:val="20"/>
          <w:color w:val="auto"/>
        </w:rPr>
      </w:pPr>
      <w:r>
        <w:rPr>
          <w:rFonts w:ascii="Courier New" w:cs="Courier New" w:eastAsia="Courier New" w:hAnsi="Courier New"/>
          <w:sz w:val="18"/>
          <w:szCs w:val="18"/>
          <w:color w:val="auto"/>
        </w:rPr>
        <w:t>Vice President and Chief Financial Officer</w:t>
      </w:r>
    </w:p>
    <w:p>
      <w:pPr>
        <w:jc w:val="center"/>
        <w:ind w:right="1679"/>
        <w:spacing w:after="0" w:line="238" w:lineRule="auto"/>
        <w:rPr>
          <w:sz w:val="20"/>
          <w:szCs w:val="20"/>
          <w:color w:val="auto"/>
        </w:rPr>
      </w:pPr>
      <w:r>
        <w:rPr>
          <w:rFonts w:ascii="Courier New" w:cs="Courier New" w:eastAsia="Courier New" w:hAnsi="Courier New"/>
          <w:sz w:val="18"/>
          <w:szCs w:val="18"/>
          <w:color w:val="auto"/>
        </w:rPr>
        <w:t>Itron, Inc.</w:t>
      </w:r>
    </w:p>
    <w:p>
      <w:pPr>
        <w:jc w:val="center"/>
        <w:ind w:right="1679"/>
        <w:spacing w:after="0"/>
        <w:rPr>
          <w:sz w:val="20"/>
          <w:szCs w:val="20"/>
          <w:color w:val="auto"/>
        </w:rPr>
      </w:pPr>
      <w:r>
        <w:rPr>
          <w:rFonts w:ascii="Courier New" w:cs="Courier New" w:eastAsia="Courier New" w:hAnsi="Courier New"/>
          <w:sz w:val="18"/>
          <w:szCs w:val="18"/>
          <w:color w:val="auto"/>
        </w:rPr>
        <w:t>2818 N. Sullivan Road</w:t>
      </w:r>
    </w:p>
    <w:p>
      <w:pPr>
        <w:ind w:left="2960"/>
        <w:spacing w:after="0" w:line="238" w:lineRule="auto"/>
        <w:rPr>
          <w:sz w:val="20"/>
          <w:szCs w:val="20"/>
          <w:color w:val="auto"/>
        </w:rPr>
      </w:pPr>
      <w:r>
        <w:rPr>
          <w:rFonts w:ascii="Courier New" w:cs="Courier New" w:eastAsia="Courier New" w:hAnsi="Courier New"/>
          <w:sz w:val="18"/>
          <w:szCs w:val="18"/>
          <w:color w:val="auto"/>
        </w:rPr>
        <w:t>Spokane, Washington 99216</w:t>
      </w:r>
    </w:p>
    <w:p>
      <w:pPr>
        <w:ind w:left="3580"/>
        <w:spacing w:after="0"/>
        <w:rPr>
          <w:sz w:val="20"/>
          <w:szCs w:val="20"/>
          <w:color w:val="auto"/>
        </w:rPr>
      </w:pPr>
      <w:r>
        <w:rPr>
          <w:rFonts w:ascii="Courier New" w:cs="Courier New" w:eastAsia="Courier New" w:hAnsi="Courier New"/>
          <w:sz w:val="18"/>
          <w:szCs w:val="18"/>
          <w:color w:val="auto"/>
        </w:rPr>
        <w:t>(509) 924-9900</w:t>
      </w:r>
    </w:p>
    <w:p>
      <w:pPr>
        <w:jc w:val="right"/>
        <w:ind w:left="740" w:right="2419"/>
        <w:spacing w:after="0" w:line="268" w:lineRule="auto"/>
        <w:rPr>
          <w:sz w:val="20"/>
          <w:szCs w:val="20"/>
          <w:color w:val="auto"/>
        </w:rPr>
      </w:pPr>
      <w:r>
        <w:rPr>
          <w:rFonts w:ascii="Courier New" w:cs="Courier New" w:eastAsia="Courier New" w:hAnsi="Courier New"/>
          <w:sz w:val="16"/>
          <w:szCs w:val="16"/>
          <w:color w:val="auto"/>
        </w:rPr>
        <w:t>(Name, Address and Telephone Number of Person Authorized to Receive Notices and Communications on Behalf of Person Filing Statement)</w:t>
      </w:r>
    </w:p>
    <w:p>
      <w:pPr>
        <w:ind w:left="358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Copies to:</w:t>
      </w:r>
    </w:p>
    <w:p>
      <w:pPr>
        <w:ind w:left="3280"/>
        <w:spacing w:after="0"/>
        <w:rPr>
          <w:sz w:val="20"/>
          <w:szCs w:val="20"/>
          <w:color w:val="auto"/>
        </w:rPr>
      </w:pPr>
      <w:r>
        <w:rPr>
          <w:rFonts w:ascii="Courier New" w:cs="Courier New" w:eastAsia="Courier New" w:hAnsi="Courier New"/>
          <w:sz w:val="18"/>
          <w:szCs w:val="18"/>
          <w:color w:val="auto"/>
        </w:rPr>
        <w:t>LINDA A. SCHOEMAKER</w:t>
      </w:r>
    </w:p>
    <w:p>
      <w:pPr>
        <w:ind w:left="3580"/>
        <w:spacing w:after="0" w:line="238" w:lineRule="auto"/>
        <w:rPr>
          <w:sz w:val="20"/>
          <w:szCs w:val="20"/>
          <w:color w:val="auto"/>
        </w:rPr>
      </w:pPr>
      <w:r>
        <w:rPr>
          <w:rFonts w:ascii="Courier New" w:cs="Courier New" w:eastAsia="Courier New" w:hAnsi="Courier New"/>
          <w:sz w:val="18"/>
          <w:szCs w:val="18"/>
          <w:color w:val="auto"/>
        </w:rPr>
        <w:t>Perkins Coie</w:t>
      </w:r>
    </w:p>
    <w:p>
      <w:pPr>
        <w:ind w:left="2740"/>
        <w:spacing w:after="0"/>
        <w:rPr>
          <w:sz w:val="20"/>
          <w:szCs w:val="20"/>
          <w:color w:val="auto"/>
        </w:rPr>
      </w:pPr>
      <w:r>
        <w:rPr>
          <w:rFonts w:ascii="Courier New" w:cs="Courier New" w:eastAsia="Courier New" w:hAnsi="Courier New"/>
          <w:sz w:val="18"/>
          <w:szCs w:val="18"/>
          <w:color w:val="auto"/>
        </w:rPr>
        <w:t>1201 Third Avenue, 40th Floor</w:t>
      </w:r>
    </w:p>
    <w:p>
      <w:pPr>
        <w:ind w:left="2640"/>
        <w:spacing w:after="0" w:line="238" w:lineRule="auto"/>
        <w:rPr>
          <w:sz w:val="20"/>
          <w:szCs w:val="20"/>
          <w:color w:val="auto"/>
        </w:rPr>
      </w:pPr>
      <w:r>
        <w:rPr>
          <w:rFonts w:ascii="Courier New" w:cs="Courier New" w:eastAsia="Courier New" w:hAnsi="Courier New"/>
          <w:sz w:val="18"/>
          <w:szCs w:val="18"/>
          <w:color w:val="auto"/>
        </w:rPr>
        <w:t>Seattle, Washington 98101-3099</w:t>
      </w:r>
    </w:p>
    <w:p>
      <w:pPr>
        <w:ind w:left="3480"/>
        <w:spacing w:after="0"/>
        <w:rPr>
          <w:sz w:val="20"/>
          <w:szCs w:val="20"/>
          <w:color w:val="auto"/>
        </w:rPr>
      </w:pPr>
      <w:r>
        <w:rPr>
          <w:rFonts w:ascii="Courier New" w:cs="Courier New" w:eastAsia="Courier New" w:hAnsi="Courier New"/>
          <w:sz w:val="18"/>
          <w:szCs w:val="18"/>
          <w:color w:val="auto"/>
        </w:rPr>
        <w:t>(206) 583-8888</w:t>
      </w:r>
    </w:p>
    <w:p>
      <w:pPr>
        <w:ind w:left="3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February 11, 1999</w:t>
      </w:r>
    </w:p>
    <w:p>
      <w:pPr>
        <w:spacing w:after="0" w:line="29" w:lineRule="exact"/>
        <w:rPr>
          <w:sz w:val="20"/>
          <w:szCs w:val="20"/>
          <w:color w:val="auto"/>
        </w:rPr>
      </w:pPr>
    </w:p>
    <w:p>
      <w:pPr>
        <w:jc w:val="center"/>
        <w:ind w:right="1579"/>
        <w:spacing w:after="0"/>
        <w:rPr>
          <w:sz w:val="20"/>
          <w:szCs w:val="20"/>
          <w:color w:val="auto"/>
        </w:rPr>
      </w:pPr>
      <w:r>
        <w:rPr>
          <w:rFonts w:ascii="Courier New" w:cs="Courier New" w:eastAsia="Courier New" w:hAnsi="Courier New"/>
          <w:sz w:val="18"/>
          <w:szCs w:val="18"/>
          <w:color w:val="auto"/>
        </w:rPr>
        <w:t>(Date Tender Offer First Published, Sent or Given to Security Holders)</w:t>
      </w:r>
    </w:p>
    <w:p>
      <w:pPr>
        <w:ind w:left="3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CALCULATION OF FILING FEE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w:t>
      </w:r>
    </w:p>
    <w:p>
      <w:pPr>
        <w:spacing w:after="0" w:line="20" w:lineRule="exact"/>
        <w:rPr>
          <w:sz w:val="20"/>
          <w:szCs w:val="20"/>
          <w:color w:val="auto"/>
        </w:rPr>
      </w:pPr>
    </w:p>
    <w:p>
      <w:pPr>
        <w:ind w:left="220"/>
        <w:spacing w:after="0"/>
        <w:tabs>
          <w:tab w:leader="none" w:pos="5880" w:val="left"/>
        </w:tabs>
        <w:rPr>
          <w:sz w:val="20"/>
          <w:szCs w:val="20"/>
          <w:color w:val="auto"/>
        </w:rPr>
      </w:pPr>
      <w:r>
        <w:rPr>
          <w:rFonts w:ascii="Courier New" w:cs="Courier New" w:eastAsia="Courier New" w:hAnsi="Courier New"/>
          <w:sz w:val="18"/>
          <w:szCs w:val="18"/>
          <w:color w:val="auto"/>
        </w:rPr>
        <w:t>Transaction Valuation(1)</w:t>
      </w:r>
      <w:r>
        <w:rPr>
          <w:sz w:val="20"/>
          <w:szCs w:val="20"/>
          <w:color w:val="auto"/>
        </w:rPr>
        <w:tab/>
      </w:r>
      <w:r>
        <w:rPr>
          <w:rFonts w:ascii="Courier New" w:cs="Courier New" w:eastAsia="Courier New" w:hAnsi="Courier New"/>
          <w:sz w:val="16"/>
          <w:szCs w:val="16"/>
          <w:color w:val="auto"/>
        </w:rPr>
        <w:t>Amount of Filing Fee(2)</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7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$22,000,000</w:t>
      </w:r>
      <w:r>
        <w:rPr>
          <w:rFonts w:ascii="Courier New" w:cs="Courier New" w:eastAsia="Courier New" w:hAnsi="Courier New"/>
          <w:sz w:val="16"/>
          <w:szCs w:val="16"/>
          <w:color w:val="auto"/>
        </w:rPr>
        <w:t>$4,400*</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jc w:val="both"/>
        <w:ind w:left="540" w:right="1779" w:hanging="532"/>
        <w:spacing w:after="0" w:line="292"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the book value of the notes to be received by Itron, Inc., in accordance with Rule 0-11(b) under the Securities Exchange Act of 1934, as amended.</w:t>
      </w:r>
    </w:p>
    <w:p>
      <w:pPr>
        <w:spacing w:after="0" w:line="66" w:lineRule="exact"/>
        <w:rPr>
          <w:rFonts w:ascii="Courier New" w:cs="Courier New" w:eastAsia="Courier New" w:hAnsi="Courier New"/>
          <w:sz w:val="18"/>
          <w:szCs w:val="18"/>
          <w:color w:val="auto"/>
        </w:rPr>
      </w:pPr>
    </w:p>
    <w:p>
      <w:pPr>
        <w:jc w:val="both"/>
        <w:ind w:left="540" w:right="1779" w:hanging="532"/>
        <w:spacing w:after="0" w:line="292"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Calculated based on the transaction valuation multiplied by one-fiftieth of one percent, in accordance with Rule 0-11(b) under the Securities Exchange Act of 1934, as amended.</w:t>
      </w:r>
    </w:p>
    <w:p>
      <w:pPr>
        <w:spacing w:after="0" w:line="66"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paid.</w:t>
      </w:r>
    </w:p>
    <w:p>
      <w:pPr>
        <w:spacing w:after="0" w:line="201" w:lineRule="exact"/>
        <w:rPr>
          <w:sz w:val="20"/>
          <w:szCs w:val="20"/>
          <w:color w:val="auto"/>
        </w:rPr>
      </w:pPr>
    </w:p>
    <w:p>
      <w:pPr>
        <w:jc w:val="both"/>
        <w:ind w:left="540" w:right="1779"/>
        <w:spacing w:after="0" w:line="265" w:lineRule="auto"/>
        <w:rPr>
          <w:sz w:val="20"/>
          <w:szCs w:val="20"/>
          <w:color w:val="auto"/>
        </w:rPr>
      </w:pPr>
      <w:r>
        <w:rPr>
          <w:rFonts w:ascii="Courier New" w:cs="Courier New" w:eastAsia="Courier New" w:hAnsi="Courier New"/>
          <w:sz w:val="18"/>
          <w:szCs w:val="18"/>
          <w:color w:val="auto"/>
        </w:rPr>
        <w:t>Check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110" w:right="1440" w:bottom="0" w:gutter="0" w:footer="0" w:header="0"/>
        </w:sectPr>
      </w:pPr>
    </w:p>
    <w:p>
      <w:pPr>
        <w:spacing w:after="0" w:line="2" w:lineRule="exact"/>
        <w:rPr>
          <w:sz w:val="20"/>
          <w:szCs w:val="20"/>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Amount previously paid:</w:t>
      </w:r>
      <w:r>
        <w:rPr>
          <w:sz w:val="20"/>
          <w:szCs w:val="20"/>
          <w:color w:val="auto"/>
        </w:rPr>
        <w:tab/>
      </w: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Filing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w:t>
      </w:r>
    </w:p>
    <w:p>
      <w:pPr>
        <w:spacing w:after="0" w:line="22" w:lineRule="exact"/>
        <w:rPr>
          <w:sz w:val="20"/>
          <w:szCs w:val="20"/>
          <w:color w:val="auto"/>
        </w:rPr>
      </w:pPr>
    </w:p>
    <w:p>
      <w:pPr>
        <w:sectPr>
          <w:pgSz w:w="11900" w:h="16838" w:orient="portrait"/>
          <w:cols w:equalWidth="0" w:num="3">
            <w:col w:w="5080" w:space="720"/>
            <w:col w:w="1380" w:space="520"/>
            <w:col w:w="2519"/>
          </w:cols>
          <w:pgMar w:left="240" w:top="110" w:right="1440" w:bottom="0" w:gutter="0" w:footer="0" w:header="0"/>
          <w:type w:val="continuous"/>
        </w:sectPr>
      </w:pPr>
    </w:p>
    <w:p>
      <w:pPr>
        <w:spacing w:after="0"/>
        <w:tabs>
          <w:tab w:leader="none" w:pos="2840" w:val="left"/>
        </w:tabs>
        <w:rPr>
          <w:sz w:val="20"/>
          <w:szCs w:val="20"/>
          <w:color w:val="auto"/>
        </w:rPr>
      </w:pPr>
      <w:r>
        <w:rPr>
          <w:rFonts w:ascii="Courier New" w:cs="Courier New" w:eastAsia="Courier New" w:hAnsi="Courier New"/>
          <w:sz w:val="18"/>
          <w:szCs w:val="18"/>
          <w:color w:val="auto"/>
        </w:rPr>
        <w:t>Form or registration no.:</w:t>
      </w:r>
      <w:r>
        <w:rPr>
          <w:sz w:val="20"/>
          <w:szCs w:val="20"/>
          <w:color w:val="auto"/>
        </w:rPr>
        <w:tab/>
      </w: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Date filed: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w:t>
      </w:r>
    </w:p>
    <w:p>
      <w:pPr>
        <w:spacing w:after="0" w:line="129" w:lineRule="exact"/>
        <w:rPr>
          <w:sz w:val="20"/>
          <w:szCs w:val="20"/>
          <w:color w:val="auto"/>
        </w:rPr>
      </w:pPr>
    </w:p>
    <w:p>
      <w:pPr>
        <w:sectPr>
          <w:pgSz w:w="11900" w:h="16838" w:orient="portrait"/>
          <w:cols w:equalWidth="0" w:num="3">
            <w:col w:w="5080" w:space="720"/>
            <w:col w:w="1500" w:space="720"/>
            <w:col w:w="2199"/>
          </w:cols>
          <w:pgMar w:left="240" w:top="11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860" w:type="dxa"/>
            <w:vAlign w:val="bottom"/>
          </w:tcPr>
          <w:p>
            <w:pPr>
              <w:spacing w:after="0"/>
              <w:rPr>
                <w:sz w:val="20"/>
                <w:szCs w:val="20"/>
                <w:color w:val="auto"/>
              </w:rPr>
            </w:pPr>
            <w:r>
              <w:rPr>
                <w:rFonts w:ascii="Courier New" w:cs="Courier New" w:eastAsia="Courier New" w:hAnsi="Courier New"/>
                <w:sz w:val="18"/>
                <w:szCs w:val="18"/>
                <w:color w:val="auto"/>
              </w:rPr>
              <w:t>Item 9.  Material</w:t>
            </w:r>
          </w:p>
        </w:tc>
        <w:tc>
          <w:tcPr>
            <w:tcW w:w="252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to Be Filed as Exhibits</w:t>
            </w:r>
          </w:p>
        </w:tc>
        <w:tc>
          <w:tcPr>
            <w:tcW w:w="9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(a)(1)</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Offering Circular</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dated</w:t>
            </w:r>
          </w:p>
        </w:tc>
        <w:tc>
          <w:tcPr>
            <w:tcW w:w="940" w:type="dxa"/>
            <w:vAlign w:val="bottom"/>
          </w:tcPr>
          <w:p>
            <w:pPr>
              <w:ind w:left="60"/>
              <w:spacing w:after="0"/>
              <w:rPr>
                <w:sz w:val="20"/>
                <w:szCs w:val="20"/>
                <w:color w:val="auto"/>
              </w:rPr>
            </w:pPr>
            <w:r>
              <w:rPr>
                <w:rFonts w:ascii="Courier New" w:cs="Courier New" w:eastAsia="Courier New" w:hAnsi="Courier New"/>
                <w:sz w:val="18"/>
                <w:szCs w:val="18"/>
                <w:color w:val="auto"/>
                <w:w w:val="99"/>
              </w:rPr>
              <w:t>February</w:t>
            </w:r>
          </w:p>
        </w:tc>
        <w:tc>
          <w:tcPr>
            <w:tcW w:w="3020" w:type="dxa"/>
            <w:vAlign w:val="bottom"/>
          </w:tcPr>
          <w:p>
            <w:pPr>
              <w:ind w:left="60"/>
              <w:spacing w:after="0"/>
              <w:rPr>
                <w:sz w:val="20"/>
                <w:szCs w:val="20"/>
                <w:color w:val="auto"/>
              </w:rPr>
            </w:pPr>
            <w:r>
              <w:rPr>
                <w:rFonts w:ascii="Courier New" w:cs="Courier New" w:eastAsia="Courier New" w:hAnsi="Courier New"/>
                <w:sz w:val="18"/>
                <w:szCs w:val="18"/>
                <w:color w:val="auto"/>
                <w:w w:val="97"/>
              </w:rPr>
              <w:t>11, 1999.*  (Exhibit (a)(1))</w:t>
            </w:r>
          </w:p>
        </w:tc>
      </w:tr>
      <w:tr>
        <w:trPr>
          <w:trHeight w:val="405"/>
        </w:trPr>
        <w:tc>
          <w:tcPr>
            <w:tcW w:w="1860" w:type="dxa"/>
            <w:vAlign w:val="bottom"/>
          </w:tcPr>
          <w:p>
            <w:pPr>
              <w:ind w:left="960"/>
              <w:spacing w:after="0"/>
              <w:rPr>
                <w:sz w:val="20"/>
                <w:szCs w:val="20"/>
                <w:color w:val="auto"/>
              </w:rPr>
            </w:pPr>
            <w:r>
              <w:rPr>
                <w:rFonts w:ascii="Courier New" w:cs="Courier New" w:eastAsia="Courier New" w:hAnsi="Courier New"/>
                <w:sz w:val="18"/>
                <w:szCs w:val="18"/>
                <w:color w:val="auto"/>
              </w:rPr>
              <w:t>(a)(2)</w:t>
            </w:r>
          </w:p>
        </w:tc>
        <w:tc>
          <w:tcPr>
            <w:tcW w:w="1880" w:type="dxa"/>
            <w:vAlign w:val="bottom"/>
          </w:tcPr>
          <w:p>
            <w:pPr>
              <w:ind w:left="40"/>
              <w:spacing w:after="0"/>
              <w:rPr>
                <w:sz w:val="20"/>
                <w:szCs w:val="20"/>
                <w:color w:val="auto"/>
              </w:rPr>
            </w:pPr>
            <w:r>
              <w:rPr>
                <w:rFonts w:ascii="Courier New" w:cs="Courier New" w:eastAsia="Courier New" w:hAnsi="Courier New"/>
                <w:sz w:val="18"/>
                <w:szCs w:val="18"/>
                <w:color w:val="auto"/>
                <w:w w:val="99"/>
              </w:rPr>
              <w:t>Form of Letter of</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Transmittal.*</w:t>
            </w:r>
          </w:p>
        </w:tc>
        <w:tc>
          <w:tcPr>
            <w:tcW w:w="3020" w:type="dxa"/>
            <w:vAlign w:val="bottom"/>
          </w:tcPr>
          <w:p>
            <w:pPr>
              <w:ind w:left="60"/>
              <w:spacing w:after="0"/>
              <w:rPr>
                <w:sz w:val="20"/>
                <w:szCs w:val="20"/>
                <w:color w:val="auto"/>
              </w:rPr>
            </w:pPr>
            <w:r>
              <w:rPr>
                <w:rFonts w:ascii="Courier New" w:cs="Courier New" w:eastAsia="Courier New" w:hAnsi="Courier New"/>
                <w:sz w:val="18"/>
                <w:szCs w:val="18"/>
                <w:color w:val="auto"/>
              </w:rPr>
              <w:t>(Exhibit (a)(2))</w:t>
            </w:r>
          </w:p>
        </w:tc>
      </w:tr>
    </w:tbl>
    <w:p>
      <w:pPr>
        <w:sectPr>
          <w:pgSz w:w="11900" w:h="16838" w:orient="portrait"/>
          <w:cols w:equalWidth="0" w:num="1">
            <w:col w:w="10219"/>
          </w:cols>
          <w:pgMar w:left="240" w:top="110" w:right="1440" w:bottom="0" w:gutter="0" w:footer="0" w:header="0"/>
          <w:type w:val="continuous"/>
        </w:sectPr>
      </w:pPr>
    </w:p>
    <w:bookmarkStart w:id="2" w:name="page3"/>
    <w:bookmarkEnd w:id="2"/>
    <w:p>
      <w:pPr>
        <w:ind w:left="960"/>
        <w:spacing w:after="0"/>
        <w:tabs>
          <w:tab w:leader="none" w:pos="1880" w:val="left"/>
          <w:tab w:leader="none" w:pos="6200" w:val="left"/>
        </w:tabs>
        <w:rPr>
          <w:sz w:val="20"/>
          <w:szCs w:val="20"/>
          <w:color w:val="auto"/>
        </w:rPr>
      </w:pPr>
      <w:r>
        <w:rPr>
          <w:rFonts w:ascii="Courier New" w:cs="Courier New" w:eastAsia="Courier New" w:hAnsi="Courier New"/>
          <w:sz w:val="18"/>
          <w:szCs w:val="18"/>
          <w:color w:val="auto"/>
        </w:rPr>
        <w:t>(a)(3)</w:t>
      </w:r>
      <w:r>
        <w:rPr>
          <w:sz w:val="20"/>
          <w:szCs w:val="20"/>
          <w:color w:val="auto"/>
        </w:rPr>
        <w:tab/>
      </w:r>
      <w:r>
        <w:rPr>
          <w:rFonts w:ascii="Courier New" w:cs="Courier New" w:eastAsia="Courier New" w:hAnsi="Courier New"/>
          <w:sz w:val="18"/>
          <w:szCs w:val="18"/>
          <w:color w:val="auto"/>
        </w:rPr>
        <w:t>Form of Notice of Guaranteed Delivery.*</w:t>
      </w:r>
      <w:r>
        <w:rPr>
          <w:sz w:val="20"/>
          <w:szCs w:val="20"/>
          <w:color w:val="auto"/>
        </w:rPr>
        <w:tab/>
      </w:r>
      <w:r>
        <w:rPr>
          <w:rFonts w:ascii="Courier New" w:cs="Courier New" w:eastAsia="Courier New" w:hAnsi="Courier New"/>
          <w:sz w:val="16"/>
          <w:szCs w:val="16"/>
          <w:color w:val="auto"/>
        </w:rPr>
        <w:t>(Exhibit (a)(3))</w:t>
      </w:r>
    </w:p>
    <w:p>
      <w:pPr>
        <w:spacing w:after="0" w:line="201" w:lineRule="exact"/>
        <w:rPr>
          <w:sz w:val="20"/>
          <w:szCs w:val="20"/>
          <w:color w:val="auto"/>
        </w:rPr>
      </w:pPr>
    </w:p>
    <w:p>
      <w:pPr>
        <w:ind w:right="1879" w:firstLine="948"/>
        <w:spacing w:after="0" w:line="347" w:lineRule="auto"/>
        <w:rPr>
          <w:sz w:val="20"/>
          <w:szCs w:val="20"/>
          <w:color w:val="auto"/>
        </w:rPr>
      </w:pPr>
      <w:r>
        <w:rPr>
          <w:rFonts w:ascii="Courier New" w:cs="Courier New" w:eastAsia="Courier New" w:hAnsi="Courier New"/>
          <w:sz w:val="18"/>
          <w:szCs w:val="18"/>
          <w:color w:val="auto"/>
        </w:rPr>
        <w:t>(a)(4) Letter to Brokers, Dealers, Commercial Banks, Trust Companies and Other Nominees, dated February 11, 1999.* (Exhibit (a)(4))</w:t>
      </w:r>
    </w:p>
    <w:p>
      <w:pPr>
        <w:spacing w:after="0" w:line="18" w:lineRule="exact"/>
        <w:rPr>
          <w:sz w:val="20"/>
          <w:szCs w:val="20"/>
          <w:color w:val="auto"/>
        </w:rPr>
      </w:pPr>
    </w:p>
    <w:p>
      <w:pPr>
        <w:ind w:right="1999" w:firstLine="948"/>
        <w:spacing w:after="0" w:line="292" w:lineRule="auto"/>
        <w:rPr>
          <w:sz w:val="20"/>
          <w:szCs w:val="20"/>
          <w:color w:val="auto"/>
        </w:rPr>
      </w:pPr>
      <w:r>
        <w:rPr>
          <w:rFonts w:ascii="Courier New" w:cs="Courier New" w:eastAsia="Courier New" w:hAnsi="Courier New"/>
          <w:sz w:val="18"/>
          <w:szCs w:val="18"/>
          <w:color w:val="auto"/>
        </w:rPr>
        <w:t>(a)(5) Letter to Clients for use by Brokers, Dealers, Commercial Banks, Trust Companies and Other Nominees, dated February 11, 1999.* (Exhibit (a)(5))</w:t>
      </w:r>
    </w:p>
    <w:p>
      <w:pPr>
        <w:spacing w:after="0" w:line="66" w:lineRule="exact"/>
        <w:rPr>
          <w:sz w:val="20"/>
          <w:szCs w:val="20"/>
          <w:color w:val="auto"/>
        </w:rPr>
      </w:pPr>
    </w:p>
    <w:p>
      <w:pPr>
        <w:ind w:left="960"/>
        <w:spacing w:after="0"/>
        <w:tabs>
          <w:tab w:leader="none" w:pos="1880" w:val="left"/>
          <w:tab w:leader="none" w:pos="6420" w:val="left"/>
        </w:tabs>
        <w:rPr>
          <w:sz w:val="20"/>
          <w:szCs w:val="20"/>
          <w:color w:val="auto"/>
        </w:rPr>
      </w:pPr>
      <w:r>
        <w:rPr>
          <w:rFonts w:ascii="Courier New" w:cs="Courier New" w:eastAsia="Courier New" w:hAnsi="Courier New"/>
          <w:sz w:val="18"/>
          <w:szCs w:val="18"/>
          <w:color w:val="auto"/>
        </w:rPr>
        <w:t>(a)(6)</w:t>
      </w:r>
      <w:r>
        <w:rPr>
          <w:sz w:val="20"/>
          <w:szCs w:val="20"/>
          <w:color w:val="auto"/>
        </w:rPr>
        <w:tab/>
      </w:r>
      <w:r>
        <w:rPr>
          <w:rFonts w:ascii="Courier New" w:cs="Courier New" w:eastAsia="Courier New" w:hAnsi="Courier New"/>
          <w:sz w:val="18"/>
          <w:szCs w:val="18"/>
          <w:color w:val="auto"/>
        </w:rPr>
        <w:t>Press Release, dated February 26, 1999.**</w:t>
      </w:r>
      <w:r>
        <w:rPr>
          <w:sz w:val="20"/>
          <w:szCs w:val="20"/>
          <w:color w:val="auto"/>
        </w:rPr>
        <w:tab/>
      </w:r>
      <w:r>
        <w:rPr>
          <w:rFonts w:ascii="Courier New" w:cs="Courier New" w:eastAsia="Courier New" w:hAnsi="Courier New"/>
          <w:sz w:val="16"/>
          <w:szCs w:val="16"/>
          <w:color w:val="auto"/>
        </w:rPr>
        <w:t>(Exhibit (a)(6))</w:t>
      </w:r>
    </w:p>
    <w:p>
      <w:pPr>
        <w:spacing w:after="0" w:line="201"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8"/>
          <w:szCs w:val="18"/>
          <w:color w:val="auto"/>
        </w:rPr>
        <w:t>(a)(7)</w:t>
      </w:r>
      <w:r>
        <w:rPr>
          <w:sz w:val="20"/>
          <w:szCs w:val="20"/>
          <w:color w:val="auto"/>
        </w:rPr>
        <w:tab/>
      </w:r>
      <w:r>
        <w:rPr>
          <w:rFonts w:ascii="Courier New" w:cs="Courier New" w:eastAsia="Courier New" w:hAnsi="Courier New"/>
          <w:sz w:val="18"/>
          <w:szCs w:val="18"/>
          <w:color w:val="auto"/>
        </w:rPr>
        <w:t>Press Release, dated March 10, 1999.</w:t>
      </w:r>
    </w:p>
    <w:p>
      <w:pPr>
        <w:spacing w:after="0" w:line="201" w:lineRule="exact"/>
        <w:rPr>
          <w:sz w:val="20"/>
          <w:szCs w:val="20"/>
          <w:color w:val="auto"/>
        </w:rPr>
      </w:pPr>
    </w:p>
    <w:p>
      <w:pPr>
        <w:ind w:left="1900" w:hanging="944"/>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right="1779" w:firstLine="956"/>
        <w:spacing w:after="0" w:line="347" w:lineRule="auto"/>
        <w:tabs>
          <w:tab w:leader="none" w:pos="1369"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Indenture by and between the Company and Chase Manhattan Bank and Trust Company, National Association, as Trustee.* (Exhibit (c))</w:t>
      </w:r>
    </w:p>
    <w:p>
      <w:pPr>
        <w:spacing w:after="0" w:line="18"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both"/>
        <w:ind w:right="1779" w:firstLine="8"/>
        <w:spacing w:after="0" w:line="292" w:lineRule="auto"/>
        <w:tabs>
          <w:tab w:leader="none" w:pos="21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as the exhibit designated above to the Company's Schedule 13E-4 Issuer Tender Offer Statement dated February 11, 1999, and incorporated into this Amendment No. 2 to Schedule 13E-4 by reference.</w:t>
      </w:r>
    </w:p>
    <w:p>
      <w:pPr>
        <w:spacing w:after="0" w:line="66" w:lineRule="exact"/>
        <w:rPr>
          <w:sz w:val="20"/>
          <w:szCs w:val="20"/>
          <w:color w:val="auto"/>
        </w:rPr>
      </w:pPr>
    </w:p>
    <w:p>
      <w:pPr>
        <w:ind w:right="1879" w:firstLine="8"/>
        <w:spacing w:after="0" w:line="282"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as the exhibit designated above to the Company's Amendment No. 1 to Schedule 13E-4 Issuer Tender Offer Statement, dated February 26, 1999, and incorporated into this Amendment No. 2 to Schedule 13E-4 by</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reference.</w:t>
      </w:r>
    </w:p>
    <w:p>
      <w:pPr>
        <w:sectPr>
          <w:pgSz w:w="11900" w:h="16838" w:orient="portrait"/>
          <w:cols w:equalWidth="0" w:num="1">
            <w:col w:w="10219"/>
          </w:cols>
          <w:pgMar w:left="240" w:top="312" w:right="1440" w:bottom="1440" w:gutter="0" w:footer="0" w:header="0"/>
        </w:sectPr>
      </w:pPr>
    </w:p>
    <w:bookmarkStart w:id="3" w:name="page4"/>
    <w:bookmarkEnd w:id="3"/>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948"/>
        <w:spacing w:after="0" w:line="292"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DAVID G. REMINGTON</w:t>
      </w:r>
    </w:p>
    <w:p>
      <w:pPr>
        <w:spacing w:after="0" w:line="2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David G. Remington</w:t>
      </w:r>
    </w:p>
    <w:p>
      <w:pPr>
        <w:ind w:left="3900"/>
        <w:spacing w:after="0"/>
        <w:rPr>
          <w:sz w:val="20"/>
          <w:szCs w:val="20"/>
          <w:color w:val="auto"/>
        </w:rPr>
      </w:pPr>
      <w:r>
        <w:rPr>
          <w:rFonts w:ascii="Courier New" w:cs="Courier New" w:eastAsia="Courier New" w:hAnsi="Courier New"/>
          <w:sz w:val="18"/>
          <w:szCs w:val="18"/>
          <w:color w:val="auto"/>
        </w:rPr>
        <w:t>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March 11, 1999</w:t>
      </w:r>
    </w:p>
    <w:sectPr>
      <w:pgSz w:w="11900" w:h="16838" w:orient="portrait"/>
      <w:cols w:equalWidth="0" w:num="1">
        <w:col w:w="10219"/>
      </w:cols>
      <w:pgMar w:left="240" w:top="10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lowerLetter"/>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2020-02-22T06:53:14Z</dcterms:created>
  <dcterms:modified xsi:type="dcterms:W3CDTF">2020-02-22T06:53:14Z</dcterms:modified>
</cp:coreProperties>
</file>