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120650</wp:posOffset>
            </wp:positionV>
            <wp:extent cx="113157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w:t>
      </w:r>
    </w:p>
    <w:p>
      <w:pPr>
        <w:spacing w:after="0" w:line="279" w:lineRule="exact"/>
        <w:rPr>
          <w:sz w:val="24"/>
          <w:szCs w:val="24"/>
          <w:color w:val="auto"/>
        </w:rPr>
      </w:pPr>
    </w:p>
    <w:p>
      <w:pPr>
        <w:ind w:right="14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540"/>
        <w:spacing w:after="0" w:line="277" w:lineRule="auto"/>
        <w:rPr>
          <w:sz w:val="20"/>
          <w:szCs w:val="20"/>
          <w:color w:val="auto"/>
        </w:rPr>
      </w:pPr>
      <w:r>
        <w:rPr>
          <w:rFonts w:ascii="Arial" w:cs="Arial" w:eastAsia="Arial" w:hAnsi="Arial"/>
          <w:sz w:val="18"/>
          <w:szCs w:val="18"/>
          <w:color w:val="auto"/>
        </w:rPr>
        <w:t>As previously reported, on February 27, 2019, Itron, Inc. issued a press release announcing its financial results for the three and twelve months ended December 31, 2018.</w:t>
      </w:r>
    </w:p>
    <w:p>
      <w:pPr>
        <w:spacing w:after="0" w:line="224" w:lineRule="exact"/>
        <w:rPr>
          <w:sz w:val="20"/>
          <w:szCs w:val="20"/>
          <w:color w:val="auto"/>
        </w:rPr>
      </w:pPr>
    </w:p>
    <w:p>
      <w:pPr>
        <w:ind w:left="1160" w:right="180"/>
        <w:spacing w:after="0" w:line="277" w:lineRule="auto"/>
        <w:rPr>
          <w:sz w:val="20"/>
          <w:szCs w:val="20"/>
          <w:color w:val="auto"/>
        </w:rPr>
      </w:pPr>
      <w:r>
        <w:rPr>
          <w:rFonts w:ascii="Arial" w:cs="Arial" w:eastAsia="Arial" w:hAnsi="Arial"/>
          <w:sz w:val="18"/>
          <w:szCs w:val="18"/>
          <w:color w:val="auto"/>
        </w:rPr>
        <w:t>The press release has been revised to correct the 2019 revenue guidance range. Previously, we reported revenue guidance for 2019 of $2.35 billion to $2.75 billion. The correct 2019 revenue guidance range is $2.35 billion to $2.45 billion.</w:t>
      </w:r>
    </w:p>
    <w:p>
      <w:pPr>
        <w:spacing w:after="0" w:line="224" w:lineRule="exact"/>
        <w:rPr>
          <w:sz w:val="20"/>
          <w:szCs w:val="20"/>
          <w:color w:val="auto"/>
        </w:rPr>
      </w:pPr>
    </w:p>
    <w:p>
      <w:pPr>
        <w:jc w:val="both"/>
        <w:ind w:left="1160" w:right="160"/>
        <w:spacing w:after="0" w:line="312" w:lineRule="auto"/>
        <w:rPr>
          <w:sz w:val="20"/>
          <w:szCs w:val="20"/>
          <w:color w:val="auto"/>
        </w:rPr>
      </w:pPr>
      <w:r>
        <w:rPr>
          <w:rFonts w:ascii="Arial" w:cs="Arial" w:eastAsia="Arial" w:hAnsi="Arial"/>
          <w:sz w:val="16"/>
          <w:szCs w:val="16"/>
          <w:color w:val="auto"/>
        </w:rPr>
        <w:t>The information in Item 2.02 of this Report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stated by specific reference in such filing.</w:t>
      </w:r>
    </w:p>
    <w:p>
      <w:pPr>
        <w:spacing w:after="0" w:line="1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160" w:hanging="744"/>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Exhibit</w:t>
      </w:r>
    </w:p>
    <w:p>
      <w:pPr>
        <w:spacing w:after="0" w:line="36"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Correcting and Replacing Press Release Dated February 27, 2019.</w:t>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*This exhibit is intended to be furnished and shall not be deemed "filed" for purposes of the Exchange 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information presented in this Current Report on Form 8-K contains forward-looking statements within in the meaning of the Private Securities Litigation Reform Act of 1995. These statements relate to our expectations about revenues, operations, financial performance, earnings, earnings per share, cash flows and restructuring activities including headcount reductions and other cost savings initiatives.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5700" w:val="left"/>
          <w:tab w:leader="none" w:pos="8020" w:val="left"/>
        </w:tabs>
        <w:rPr>
          <w:sz w:val="20"/>
          <w:szCs w:val="20"/>
          <w:color w:val="auto"/>
        </w:rPr>
      </w:pPr>
      <w:r>
        <w:rPr>
          <w:rFonts w:ascii="Arial" w:cs="Arial" w:eastAsia="Arial" w:hAnsi="Arial"/>
          <w:sz w:val="18"/>
          <w:szCs w:val="18"/>
          <w:color w:val="auto"/>
        </w:rPr>
        <w:t>Dated: 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Joan S. Hooper</w:t>
      </w:r>
    </w:p>
    <w:p>
      <w:pPr>
        <w:spacing w:after="0" w:line="3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3" w:name="page4"/>
    <w:bookmarkEnd w:id="3"/>
    <w:p>
      <w:pPr>
        <w:ind w:left="474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Correcting and Replacing Press Release Dated February 27, 2019</w:t>
        </w:r>
      </w:hyperlink>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auto"/>
        </w:rPr>
        <w:t>CORRECTING and REPLACING Itron Announces Fourth Quarter and Full Year 2018 Financial Results and 2019</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Guidance</w:t>
      </w:r>
    </w:p>
    <w:p>
      <w:pPr>
        <w:spacing w:after="0" w:line="188"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LIBERTY LAKE, Wash.--(BUSINESS WIRE)--February 27, 2019--Under “Financial Guidance,” first bullet should read: Revenue between $2.35 and $2.45 billion (instead of Revenue between $2.35 and $2.75 billion).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corrected release reads: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FOURTH QUARTER AND FULL YEAR 2018 FINANCIAL RESULTS AND 2019 GUIDANCE</w:t>
      </w:r>
    </w:p>
    <w:p>
      <w:pPr>
        <w:spacing w:after="0" w:line="212"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Itron, Inc. (NASDAQ:ITRI), which is innovating the way utilities and cities manage energy and water, announced today financial results for its fourth quarter and full year ended Dec. 31, 2018. Highlights for the quarter and full year include:</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revenue of $587 million and $2.4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gross margin of 30.1 percent and 30.7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GAAP net income of $24 million and full year GAAP loss of $99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GAAP diluted earnings per share of $0.60 and full year GAAP loss per share of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non-GAAP diluted earnings per share of $0.88 and $2.65;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Adjusted EBITDA of $59 million and $236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 solid fourth quarter performance concluded the year as we transition to our new operating segments,” said Philip Mezey, Itron’s president and chief executive officer. “While we did experience some challenges during 2018, we have made significant progress on our strategic initiatives, restructuring programs and integration efforts to deliver long-term value for our customers and investors.”</w:t>
      </w:r>
    </w:p>
    <w:p>
      <w:pPr>
        <w:spacing w:after="0" w:line="18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“Looking ahead to 2019, we continue to execute on our strategy as we optimize our operations and drive progress on the technology roadmap,” continued Mezey. “We remain focused on delivering our financial and customer commitments as an energy, water and smart city leader.”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Total revenue of $587 million increased 7 percent, or 9 percent excluding the impact of changes in foreign currency exchange rates, compared with the fourth quarter of 2017, driven by growth in the Networked Solutions segment.</w:t>
      </w:r>
    </w:p>
    <w:p>
      <w:pPr>
        <w:spacing w:after="0" w:line="173"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By segment, Networked Solutions revenue increased 20 percent driven by strong North America deployments. Device Solutions revenue decreased 5 percent driven by lower shipments in EMEA, and Outcomes decreased 8 percent on an unfavorable year over year comparison as several large software projects were completed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Gross Margin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Consolidated gross margin of 30.1 percent decreased 170 basis points compared with the fourth quarter of 2017 driven primarily by higher special warranty costs.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Income, Net Income and Earnings per Share (EPS)</w:t>
      </w:r>
    </w:p>
    <w:p>
      <w:pPr>
        <w:spacing w:after="0" w:line="206"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GAAP operating income decreased to $29 million compared with $48 million in the fourth quarter of 2017 primarily driven by higher operating expenses from the acquisition of Silver Spring Networks. Non-GAAP operating income decreased to $49 million compared with $56 million in 2017 due to higher operating expenses from the acquisition of Silver Spring Networks in 2018.</w:t>
      </w:r>
    </w:p>
    <w:p>
      <w:pPr>
        <w:spacing w:after="0" w:line="134"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GAAP net income attributable to Itron, Inc. for the quarter was $24 million, or $0.60 per diluted share, compared with net income of $2 million, or $0.05 per diluted share, in 2017. The higher GAAP net income and EPS were primarily driven by a GAAP tax benefit due to favorable discrete tax items.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Non-GAAP net income of $35 million, or $0.88 per diluted share, decreased compared with $40 million, or $1.01 per diluted share, in 2017. The decrease reflects lower non-GAAP operating income, partially offset by a Non-GAAP tax benefit driven by favorable discrete tax items.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In the fourth quarter, cash provided by operating activities of $42 million and free cash flow of $25 million decreased compared with the fourth quarter of 2017. The decrease in cash flow was primarily driven by the timing of working capital.</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Bookings were $786 million in the fourth quarter. This is a book to bill ratio of 1.3 for the quarter and over 1 to 1 for the full year. Total backlog was $3.2 billion and 12-month backlog was $1.3 billion at the end of the quarter, a year-over-year increase of 81 percent and 45 percent,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2019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$2.35 and $2.45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$2.35 and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Guidance assumes an average euro to U.S. dollar foreign currency exchange rate of $1.14 in 2019, diluted weighted average shares outstanding of approximately 40.65 million for the year, a non-GAAP effective tax rate for the year of approximately 31 percent and total interest expense of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ind w:right="180"/>
        <w:spacing w:after="0" w:line="252" w:lineRule="auto"/>
        <w:rPr>
          <w:sz w:val="20"/>
          <w:szCs w:val="20"/>
          <w:color w:val="auto"/>
        </w:rPr>
      </w:pPr>
      <w:r>
        <w:rPr>
          <w:rFonts w:ascii="Arial" w:cs="Arial" w:eastAsia="Arial" w:hAnsi="Arial"/>
          <w:sz w:val="21"/>
          <w:szCs w:val="21"/>
          <w:color w:val="auto"/>
        </w:rPr>
        <w:t>A reconciliation of forward-looking non-GAAP diluted EPS to the GAAP diluted EPS has not been provided because we are unable to predict with reasonable certainty the potential amount or timing of restructuring and acquisition and integration related expenses and their related tax effects without unreasonable effort. These items are uncertain, depend on various factors and could have a material impact on GAAP results for the guidance period.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EST on Feb. 27, 2019.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Mar. 4, 2019. To access the telephone replay, dial (888) 203-1112 (domestic) or (719) 457-0820 (international) and enter passcode 9539336.</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 xml:space="preserve">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1"/>
          <w:szCs w:val="21"/>
          <w:u w:val="single" w:color="auto"/>
          <w:color w:val="auto"/>
        </w:rPr>
        <w:t>www.itron.com</w:t>
      </w:r>
      <w:r>
        <w:rPr>
          <w:rFonts w:ascii="Arial" w:cs="Arial" w:eastAsia="Arial" w:hAnsi="Arial"/>
          <w:sz w:val="21"/>
          <w:szCs w:val="21"/>
          <w:color w:val="auto"/>
        </w:rPr>
        <w:t>.</w:t>
      </w:r>
    </w:p>
    <w:p>
      <w:pPr>
        <w:spacing w:after="0" w:line="179"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Itron® and OpenWay® are registered trademarks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 31, 2017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80" w:type="dxa"/>
            <w:vAlign w:val="bottom"/>
          </w:tcPr>
          <w:p>
            <w:pPr>
              <w:spacing w:after="0"/>
              <w:rPr>
                <w:sz w:val="15"/>
                <w:szCs w:val="15"/>
                <w:color w:val="auto"/>
              </w:rPr>
            </w:pPr>
          </w:p>
        </w:tc>
        <w:tc>
          <w:tcPr>
            <w:tcW w:w="206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3"/>
            <w:vMerge w:val="restart"/>
          </w:tcPr>
          <w:p>
            <w:pPr>
              <w:jc w:val="right"/>
              <w:ind w:right="64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8"/>
        </w:trPr>
        <w:tc>
          <w:tcPr>
            <w:tcW w:w="6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602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Product revenues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516,718</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492,863</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2,095,458</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1,813,925</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Service revenues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70,326</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57,913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280,659</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204,272</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587,044</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550,776</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2,376,117</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2,018,197</w:t>
            </w:r>
          </w:p>
        </w:tc>
        <w:tc>
          <w:tcPr>
            <w:tcW w:w="0" w:type="dxa"/>
            <w:vAlign w:val="bottom"/>
          </w:tcPr>
          <w:p>
            <w:pPr>
              <w:spacing w:after="0"/>
              <w:rPr>
                <w:sz w:val="1"/>
                <w:szCs w:val="1"/>
                <w:color w:val="auto"/>
              </w:rPr>
            </w:pPr>
          </w:p>
        </w:tc>
      </w:tr>
      <w:tr>
        <w:trPr>
          <w:trHeight w:val="164"/>
        </w:trPr>
        <w:tc>
          <w:tcPr>
            <w:tcW w:w="6020" w:type="dxa"/>
            <w:vAlign w:val="bottom"/>
          </w:tcPr>
          <w:p>
            <w:pPr>
              <w:spacing w:after="0"/>
              <w:rPr>
                <w:sz w:val="20"/>
                <w:szCs w:val="20"/>
                <w:color w:val="auto"/>
              </w:rPr>
            </w:pPr>
            <w:r>
              <w:rPr>
                <w:rFonts w:ascii="Arial" w:cs="Arial" w:eastAsia="Arial" w:hAnsi="Arial"/>
                <w:sz w:val="14"/>
                <w:szCs w:val="14"/>
                <w:color w:val="auto"/>
              </w:rPr>
              <w:t>Cost of revenues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Product cost of revenues</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369,912</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338,839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1,476,498</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1,204,127</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Services cost of revenues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40,342</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36,855</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169,300</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137,319</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cost of revenues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410,254</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375,694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1,645,798</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1,341,446</w:t>
            </w:r>
          </w:p>
        </w:tc>
        <w:tc>
          <w:tcPr>
            <w:tcW w:w="0" w:type="dxa"/>
            <w:vAlign w:val="bottom"/>
          </w:tcPr>
          <w:p>
            <w:pPr>
              <w:spacing w:after="0"/>
              <w:rPr>
                <w:sz w:val="1"/>
                <w:szCs w:val="1"/>
                <w:color w:val="auto"/>
              </w:rPr>
            </w:pPr>
          </w:p>
        </w:tc>
      </w:tr>
      <w:tr>
        <w:trPr>
          <w:trHeight w:val="346"/>
        </w:trPr>
        <w:tc>
          <w:tcPr>
            <w:tcW w:w="6020" w:type="dxa"/>
            <w:vAlign w:val="bottom"/>
          </w:tcPr>
          <w:p>
            <w:pPr>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176,790</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175,082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730,319</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676,751</w:t>
            </w:r>
          </w:p>
        </w:tc>
        <w:tc>
          <w:tcPr>
            <w:tcW w:w="0" w:type="dxa"/>
            <w:vAlign w:val="bottom"/>
          </w:tcPr>
          <w:p>
            <w:pPr>
              <w:spacing w:after="0"/>
              <w:rPr>
                <w:sz w:val="1"/>
                <w:szCs w:val="1"/>
                <w:color w:val="auto"/>
              </w:rPr>
            </w:pPr>
          </w:p>
        </w:tc>
      </w:tr>
      <w:tr>
        <w:trPr>
          <w:trHeight w:val="344"/>
        </w:trPr>
        <w:tc>
          <w:tcPr>
            <w:tcW w:w="602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Sales, general and administrative</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90,377</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79,083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423,210</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325,264</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45,607</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43,161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207,905</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169,407</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5,641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71,713</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Restructuring</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(5,725)</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77,183</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148,273</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126,886</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780,011</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521,874</w:t>
            </w:r>
          </w:p>
        </w:tc>
        <w:tc>
          <w:tcPr>
            <w:tcW w:w="0" w:type="dxa"/>
            <w:vAlign w:val="bottom"/>
          </w:tcPr>
          <w:p>
            <w:pPr>
              <w:spacing w:after="0"/>
              <w:rPr>
                <w:sz w:val="1"/>
                <w:szCs w:val="1"/>
                <w:color w:val="auto"/>
              </w:rPr>
            </w:pPr>
          </w:p>
        </w:tc>
      </w:tr>
      <w:tr>
        <w:trPr>
          <w:trHeight w:val="339"/>
        </w:trPr>
        <w:tc>
          <w:tcPr>
            <w:tcW w:w="602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28,517</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48,196</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(49,692)</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154,877</w:t>
            </w:r>
          </w:p>
        </w:tc>
        <w:tc>
          <w:tcPr>
            <w:tcW w:w="0" w:type="dxa"/>
            <w:vAlign w:val="bottom"/>
          </w:tcPr>
          <w:p>
            <w:pPr>
              <w:spacing w:after="0"/>
              <w:rPr>
                <w:sz w:val="1"/>
                <w:szCs w:val="1"/>
                <w:color w:val="auto"/>
              </w:rPr>
            </w:pPr>
          </w:p>
        </w:tc>
      </w:tr>
      <w:tr>
        <w:trPr>
          <w:trHeight w:val="176"/>
        </w:trPr>
        <w:tc>
          <w:tcPr>
            <w:tcW w:w="602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428</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2,153</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(13,883)</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(3,769)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(58,203)</w:t>
            </w:r>
          </w:p>
        </w:tc>
        <w:tc>
          <w:tcPr>
            <w:tcW w:w="5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(13,845)</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(811)</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(3,409)</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(8,583)</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(14,266)</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(59,459)</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(20,302)</w:t>
            </w:r>
          </w:p>
        </w:tc>
        <w:tc>
          <w:tcPr>
            <w:tcW w:w="0" w:type="dxa"/>
            <w:vAlign w:val="bottom"/>
          </w:tcPr>
          <w:p>
            <w:pPr>
              <w:spacing w:after="0"/>
              <w:rPr>
                <w:sz w:val="1"/>
                <w:szCs w:val="1"/>
                <w:color w:val="auto"/>
              </w:rPr>
            </w:pPr>
          </w:p>
        </w:tc>
      </w:tr>
      <w:tr>
        <w:trPr>
          <w:trHeight w:val="339"/>
        </w:trPr>
        <w:tc>
          <w:tcPr>
            <w:tcW w:w="60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14,251</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44,453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(109,151)</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134,575</w:t>
            </w:r>
          </w:p>
        </w:tc>
        <w:tc>
          <w:tcPr>
            <w:tcW w:w="0" w:type="dxa"/>
            <w:vAlign w:val="bottom"/>
          </w:tcPr>
          <w:p>
            <w:pPr>
              <w:spacing w:after="0"/>
              <w:rPr>
                <w:sz w:val="1"/>
                <w:szCs w:val="1"/>
                <w:color w:val="auto"/>
              </w:rPr>
            </w:pPr>
          </w:p>
        </w:tc>
      </w:tr>
      <w:tr>
        <w:trPr>
          <w:trHeight w:val="181"/>
        </w:trPr>
        <w:tc>
          <w:tcPr>
            <w:tcW w:w="602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10,878</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(42,079)</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12,570</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(74,326)</w:t>
            </w:r>
          </w:p>
        </w:tc>
        <w:tc>
          <w:tcPr>
            <w:tcW w:w="0" w:type="dxa"/>
            <w:vAlign w:val="bottom"/>
          </w:tcPr>
          <w:p>
            <w:pPr>
              <w:spacing w:after="0"/>
              <w:rPr>
                <w:sz w:val="1"/>
                <w:szCs w:val="1"/>
                <w:color w:val="auto"/>
              </w:rPr>
            </w:pPr>
          </w:p>
        </w:tc>
      </w:tr>
      <w:tr>
        <w:trPr>
          <w:trHeight w:val="164"/>
        </w:trPr>
        <w:tc>
          <w:tcPr>
            <w:tcW w:w="602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25,129</w:t>
            </w:r>
          </w:p>
        </w:tc>
        <w:tc>
          <w:tcPr>
            <w:tcW w:w="4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2,374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(96,581)</w:t>
            </w:r>
          </w:p>
        </w:tc>
        <w:tc>
          <w:tcPr>
            <w:tcW w:w="5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60,249</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1,252</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2,669</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169"/>
        </w:trPr>
        <w:tc>
          <w:tcPr>
            <w:tcW w:w="602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23,877</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1,780</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(99,250)</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2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0.61</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(2.53)</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0.60</w:t>
            </w:r>
          </w:p>
        </w:tc>
        <w:tc>
          <w:tcPr>
            <w:tcW w:w="46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0.05</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(2.53)</w:t>
            </w:r>
          </w:p>
        </w:tc>
        <w:tc>
          <w:tcPr>
            <w:tcW w:w="500" w:type="dxa"/>
            <w:vAlign w:val="bottom"/>
            <w:tcBorders>
              <w:top w:val="single" w:sz="8" w:color="auto"/>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2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39,444</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38,745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39,244</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38,655</w:t>
            </w:r>
          </w:p>
        </w:tc>
        <w:tc>
          <w:tcPr>
            <w:tcW w:w="0" w:type="dxa"/>
            <w:vAlign w:val="bottom"/>
          </w:tcPr>
          <w:p>
            <w:pPr>
              <w:spacing w:after="0"/>
              <w:rPr>
                <w:sz w:val="1"/>
                <w:szCs w:val="1"/>
                <w:color w:val="auto"/>
              </w:rPr>
            </w:pPr>
          </w:p>
        </w:tc>
      </w:tr>
      <w:tr>
        <w:trPr>
          <w:trHeight w:val="182"/>
        </w:trPr>
        <w:tc>
          <w:tcPr>
            <w:tcW w:w="602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39,885</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39,530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39,244</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39,387</w:t>
            </w:r>
          </w:p>
        </w:tc>
        <w:tc>
          <w:tcPr>
            <w:tcW w:w="0" w:type="dxa"/>
            <w:vAlign w:val="bottom"/>
          </w:tcPr>
          <w:p>
            <w:pPr>
              <w:spacing w:after="0"/>
              <w:rPr>
                <w:sz w:val="1"/>
                <w:szCs w:val="1"/>
                <w:color w:val="auto"/>
              </w:rPr>
            </w:pPr>
          </w:p>
        </w:tc>
      </w:tr>
      <w:tr>
        <w:trPr>
          <w:trHeight w:val="309"/>
        </w:trPr>
        <w:tc>
          <w:tcPr>
            <w:tcW w:w="6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80" w:type="dxa"/>
            <w:vAlign w:val="bottom"/>
          </w:tcPr>
          <w:p>
            <w:pPr>
              <w:spacing w:after="0"/>
              <w:rPr>
                <w:sz w:val="15"/>
                <w:szCs w:val="15"/>
                <w:color w:val="auto"/>
              </w:rPr>
            </w:pPr>
          </w:p>
        </w:tc>
        <w:tc>
          <w:tcPr>
            <w:tcW w:w="192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gridSpan w:val="2"/>
            <w:vMerge w:val="restart"/>
          </w:tcPr>
          <w:p>
            <w:pPr>
              <w:jc w:val="center"/>
              <w:ind w:left="608"/>
              <w:spacing w:after="0"/>
              <w:rPr>
                <w:sz w:val="20"/>
                <w:szCs w:val="20"/>
                <w:color w:val="auto"/>
              </w:rPr>
            </w:pPr>
            <w:r>
              <w:rPr>
                <w:rFonts w:ascii="Arial" w:cs="Arial" w:eastAsia="Arial" w:hAnsi="Arial"/>
                <w:sz w:val="14"/>
                <w:szCs w:val="14"/>
                <w:b w:val="1"/>
                <w:bCs w:val="1"/>
                <w:color w:val="auto"/>
                <w:w w:val="93"/>
              </w:rPr>
              <w:t>Twelve Months Ended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Device Solutions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227,602</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238,438</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933,365</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882,896</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Networked Solutions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305,132</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253,588</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1,224,144</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947,384</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Outcomes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54,310</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58,750</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218,608</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187,917</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587,044</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550,776</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2,376,117</w:t>
            </w:r>
          </w:p>
        </w:tc>
        <w:tc>
          <w:tcPr>
            <w:tcW w:w="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2,018,197</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Device Solutions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38,423</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54,244</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187,254</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216,631</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Networked Solutions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122,883</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105,868</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482,471</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412,375</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Outcomes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15,484</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14,970</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60,594</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47,745</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176,790</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175,082</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730,319</w:t>
            </w:r>
          </w:p>
        </w:tc>
        <w:tc>
          <w:tcPr>
            <w:tcW w:w="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676,751</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Device Solutions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25,267</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40,324</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130,988</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159,641</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Networked Solutions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94,897</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82,867</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360,779</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322,367</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Outcomes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6,668</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3,752</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16,634</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4,915</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(98,315)</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(78,747)</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(558,093)</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(332,046)</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28,517</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48,196</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(49,692)</w:t>
            </w:r>
          </w:p>
        </w:tc>
        <w:tc>
          <w:tcPr>
            <w:tcW w:w="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154,877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METER AND MODULE SUMMARY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60" w:type="dxa"/>
            <w:vAlign w:val="bottom"/>
          </w:tcPr>
          <w:p>
            <w:pPr>
              <w:spacing w:after="0"/>
              <w:rPr>
                <w:sz w:val="20"/>
                <w:szCs w:val="20"/>
                <w:color w:val="auto"/>
              </w:rPr>
            </w:pPr>
            <w:r>
              <w:rPr>
                <w:rFonts w:ascii="Arial" w:cs="Arial" w:eastAsia="Arial" w:hAnsi="Arial"/>
                <w:sz w:val="14"/>
                <w:szCs w:val="14"/>
                <w:color w:val="auto"/>
              </w:rPr>
              <w:t>(Units in thousands)</w:t>
            </w:r>
          </w:p>
        </w:tc>
        <w:tc>
          <w:tcPr>
            <w:tcW w:w="380" w:type="dxa"/>
            <w:vAlign w:val="bottom"/>
          </w:tcPr>
          <w:p>
            <w:pPr>
              <w:spacing w:after="0"/>
              <w:rPr>
                <w:sz w:val="24"/>
                <w:szCs w:val="24"/>
                <w:color w:val="auto"/>
              </w:rPr>
            </w:pPr>
          </w:p>
        </w:tc>
        <w:tc>
          <w:tcPr>
            <w:tcW w:w="192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3"/>
              </w:rPr>
              <w:t>Year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Arial" w:cs="Arial" w:eastAsia="Arial" w:hAnsi="Arial"/>
                <w:sz w:val="14"/>
                <w:szCs w:val="14"/>
                <w:b w:val="1"/>
                <w:bCs w:val="1"/>
                <w:color w:val="auto"/>
              </w:rPr>
              <w:t>Itron Endpoints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Standard endpoints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4,140</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3,740</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16,360</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15,740</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Networked endpoints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5,170</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4,630</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21,540</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16,640</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endpoints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9,310</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8,370</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37,900</w:t>
            </w: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32,380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218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Pr>
          <w:p>
            <w:pPr>
              <w:spacing w:after="0"/>
              <w:rPr>
                <w:sz w:val="15"/>
                <w:szCs w:val="15"/>
                <w:color w:val="auto"/>
              </w:rPr>
            </w:pPr>
          </w:p>
        </w:tc>
        <w:tc>
          <w:tcPr>
            <w:tcW w:w="21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40" w:type="dxa"/>
            <w:vAlign w:val="bottom"/>
          </w:tcPr>
          <w:p>
            <w:pPr>
              <w:ind w:left="268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120,221</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176,274</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437,161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398,029</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220,674</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193,835</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118,085</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81,604</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896,141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849,742</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226,551</w:t>
            </w:r>
          </w:p>
        </w:tc>
        <w:tc>
          <w:tcPr>
            <w:tcW w:w="62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200,768</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64,830</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49,971</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Restricted cash</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2,056</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311,010</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Other long-term assets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45,288</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43,666</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257,583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95,228</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1,116,533</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555,762</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2,608,982</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LIABILITIES AND EQUITY</w:t>
            </w: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309,951</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262,166</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70,136</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56,736</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88,603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90,505</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14,753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16,100</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28,438</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19,688</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47,205</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93,621</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41,438</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652,707</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507,783</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988,185</w:t>
            </w:r>
          </w:p>
        </w:tc>
        <w:tc>
          <w:tcPr>
            <w:tcW w:w="62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593,572</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13,238</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13,712</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91,522</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95,717</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1,543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127,739</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88,206</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1,874,934</w:t>
            </w:r>
          </w:p>
        </w:tc>
        <w:tc>
          <w:tcPr>
            <w:tcW w:w="620" w:type="dxa"/>
            <w:vAlign w:val="bottom"/>
          </w:tcPr>
          <w:p>
            <w:pPr>
              <w:spacing w:after="0"/>
              <w:rPr>
                <w:sz w:val="15"/>
                <w:szCs w:val="15"/>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1,300,515</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Equity</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1,334,364</w:t>
            </w:r>
          </w:p>
        </w:tc>
        <w:tc>
          <w:tcPr>
            <w:tcW w:w="620" w:type="dxa"/>
            <w:vAlign w:val="bottom"/>
          </w:tcPr>
          <w:p>
            <w:pPr>
              <w:spacing w:after="0"/>
              <w:rPr>
                <w:sz w:val="15"/>
                <w:szCs w:val="15"/>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1,294,767</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Accumulated other comprehensive loss,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(196,305)</w:t>
            </w:r>
          </w:p>
        </w:tc>
        <w:tc>
          <w:tcPr>
            <w:tcW w:w="620" w:type="dxa"/>
            <w:vAlign w:val="bottom"/>
          </w:tcPr>
          <w:p>
            <w:pPr>
              <w:spacing w:after="0"/>
              <w:rPr>
                <w:sz w:val="15"/>
                <w:szCs w:val="15"/>
                <w:color w:val="auto"/>
              </w:rPr>
            </w:pPr>
          </w:p>
        </w:tc>
        <w:tc>
          <w:tcPr>
            <w:tcW w:w="2100" w:type="dxa"/>
            <w:vAlign w:val="bottom"/>
          </w:tcPr>
          <w:p>
            <w:pPr>
              <w:jc w:val="right"/>
              <w:ind w:right="148"/>
              <w:spacing w:after="0"/>
              <w:rPr>
                <w:sz w:val="20"/>
                <w:szCs w:val="20"/>
                <w:color w:val="auto"/>
              </w:rPr>
            </w:pPr>
            <w:r>
              <w:rPr>
                <w:rFonts w:ascii="Arial" w:cs="Arial" w:eastAsia="Arial" w:hAnsi="Arial"/>
                <w:sz w:val="14"/>
                <w:szCs w:val="14"/>
                <w:color w:val="auto"/>
              </w:rPr>
              <w:t>(170,478)</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(425,396)</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(337,873)</w:t>
            </w:r>
          </w:p>
        </w:tc>
        <w:tc>
          <w:tcPr>
            <w:tcW w:w="0" w:type="dxa"/>
            <w:vAlign w:val="bottom"/>
          </w:tcPr>
          <w:p>
            <w:pPr>
              <w:spacing w:after="0"/>
              <w:rPr>
                <w:sz w:val="1"/>
                <w:szCs w:val="1"/>
                <w:color w:val="auto"/>
              </w:rPr>
            </w:pPr>
          </w:p>
        </w:tc>
      </w:tr>
      <w:tr>
        <w:trPr>
          <w:trHeight w:val="164"/>
        </w:trPr>
        <w:tc>
          <w:tcPr>
            <w:tcW w:w="6040" w:type="dxa"/>
            <w:vAlign w:val="bottom"/>
          </w:tcPr>
          <w:p>
            <w:pPr>
              <w:ind w:left="420"/>
              <w:spacing w:after="0"/>
              <w:rPr>
                <w:sz w:val="20"/>
                <w:szCs w:val="20"/>
                <w:color w:val="auto"/>
              </w:rPr>
            </w:pPr>
            <w:r>
              <w:rPr>
                <w:rFonts w:ascii="Arial" w:cs="Arial" w:eastAsia="Arial" w:hAnsi="Arial"/>
                <w:sz w:val="14"/>
                <w:szCs w:val="14"/>
                <w:color w:val="auto"/>
              </w:rPr>
              <w:t>Total Itron, Inc. shareholders' equity</w:t>
            </w:r>
          </w:p>
        </w:tc>
        <w:tc>
          <w:tcPr>
            <w:tcW w:w="480" w:type="dxa"/>
            <w:vAlign w:val="bottom"/>
          </w:tcPr>
          <w:p>
            <w:pPr>
              <w:spacing w:after="0"/>
              <w:rPr>
                <w:sz w:val="14"/>
                <w:szCs w:val="1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712,663</w:t>
            </w:r>
          </w:p>
        </w:tc>
        <w:tc>
          <w:tcPr>
            <w:tcW w:w="620" w:type="dxa"/>
            <w:vAlign w:val="bottom"/>
          </w:tcPr>
          <w:p>
            <w:pPr>
              <w:spacing w:after="0"/>
              <w:rPr>
                <w:sz w:val="14"/>
                <w:szCs w:val="1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786,416</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21,385</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19,216</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equity</w:t>
            </w: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734,048</w:t>
            </w:r>
          </w:p>
        </w:tc>
        <w:tc>
          <w:tcPr>
            <w:tcW w:w="6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2,608,982</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left="308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Prepaid debt fees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financing activities</w:t>
      </w:r>
    </w:p>
    <w:p>
      <w:pPr>
        <w:spacing w:after="0" w:line="190" w:lineRule="exact"/>
        <w:rPr>
          <w:sz w:val="20"/>
          <w:szCs w:val="20"/>
          <w:color w:val="auto"/>
        </w:rPr>
      </w:pPr>
    </w:p>
    <w:p>
      <w:pPr>
        <w:ind w:right="3420"/>
        <w:spacing w:after="0" w:line="298" w:lineRule="auto"/>
        <w:rPr>
          <w:sz w:val="20"/>
          <w:szCs w:val="20"/>
          <w:color w:val="auto"/>
        </w:rPr>
      </w:pPr>
      <w:r>
        <w:rPr>
          <w:rFonts w:ascii="Arial" w:cs="Arial" w:eastAsia="Arial" w:hAnsi="Arial"/>
          <w:sz w:val="13"/>
          <w:szCs w:val="13"/>
          <w:color w:val="auto"/>
        </w:rPr>
        <w:t>Effect of foreign exchange rate changes on cash, cash equivalents, and restricted cash (Decrease) increase in cash, cash equivalents, and restricted cash</w:t>
      </w:r>
    </w:p>
    <w:p>
      <w:pPr>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346"/>
        </w:trPr>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(96,581)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60,249</w:t>
            </w:r>
          </w:p>
        </w:tc>
      </w:tr>
      <w:tr>
        <w:trPr>
          <w:trHeight w:val="344"/>
        </w:trPr>
        <w:tc>
          <w:tcPr>
            <w:tcW w:w="2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122,497</w:t>
            </w:r>
          </w:p>
        </w:tc>
        <w:tc>
          <w:tcPr>
            <w:tcW w:w="3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63,215</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31,263</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21,407</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7,046</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1,067</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(19,130)</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50,667</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859</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(2,297)</w:t>
            </w:r>
          </w:p>
        </w:tc>
      </w:tr>
      <w:tr>
        <w:trPr>
          <w:trHeight w:val="182"/>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1,452</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3,673</w:t>
            </w:r>
          </w:p>
        </w:tc>
      </w:tr>
      <w:tr>
        <w:trPr>
          <w:trHeight w:val="344"/>
        </w:trPr>
        <w:tc>
          <w:tcPr>
            <w:tcW w:w="2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15,524</w:t>
            </w:r>
          </w:p>
        </w:tc>
        <w:tc>
          <w:tcPr>
            <w:tcW w:w="3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(17,573)</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(25,613)</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(16,242)</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(23,589)</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8,112</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3,020</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11,230</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20,101</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78,463</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(9,565)</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1,926</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27,584</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(41,309)</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20,815</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(10,554)</w:t>
            </w:r>
          </w:p>
        </w:tc>
      </w:tr>
      <w:tr>
        <w:trPr>
          <w:trHeight w:val="181"/>
        </w:trPr>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34,072</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(20,680)</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109,755</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191,354</w:t>
            </w:r>
          </w:p>
        </w:tc>
      </w:tr>
      <w:tr>
        <w:trPr>
          <w:trHeight w:val="515"/>
        </w:trPr>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(59,952)</w:t>
            </w:r>
          </w:p>
        </w:tc>
        <w:tc>
          <w:tcPr>
            <w:tcW w:w="3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(49,495)</w:t>
            </w:r>
          </w:p>
        </w:tc>
      </w:tr>
      <w:tr>
        <w:trPr>
          <w:trHeight w:val="182"/>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(803,075)</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(99,386)</w:t>
            </w:r>
          </w:p>
        </w:tc>
      </w:tr>
    </w:tbl>
    <w:p>
      <w:pPr>
        <w:ind w:left="2020" w:hanging="1294"/>
        <w:spacing w:after="0"/>
        <w:tabs>
          <w:tab w:leader="none" w:pos="2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702</w:t>
      </w:r>
    </w:p>
    <w:p>
      <w:pPr>
        <w:spacing w:after="0" w:line="2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(862,658)</w:t>
      </w:r>
      <w:r>
        <w:rPr>
          <w:rFonts w:ascii="Arial" w:cs="Arial" w:eastAsia="Arial" w:hAnsi="Arial"/>
          <w:sz w:val="13"/>
          <w:szCs w:val="13"/>
          <w:color w:val="auto"/>
        </w:rPr>
        <w:t>(148,179)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5005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778,938</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335,000</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(363,359)</w:t>
            </w:r>
          </w:p>
        </w:tc>
        <w:tc>
          <w:tcPr>
            <w:tcW w:w="4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(29,063)</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9,171</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3,609</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(24,042)</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1"/>
        </w:trPr>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(4,887)</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(7,587)</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395,821</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301,959</w:t>
            </w:r>
          </w:p>
        </w:tc>
      </w:tr>
      <w:tr>
        <w:trPr>
          <w:trHeight w:val="3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(7,925)</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8,636</w:t>
            </w:r>
          </w:p>
        </w:tc>
      </w:tr>
      <w:tr>
        <w:trPr>
          <w:trHeight w:val="164"/>
        </w:trPr>
        <w:tc>
          <w:tcPr>
            <w:tcW w:w="2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(365,007)</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353,770</w:t>
            </w:r>
          </w:p>
        </w:tc>
      </w:tr>
      <w:tr>
        <w:trPr>
          <w:trHeight w:val="181"/>
        </w:trPr>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487,335</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133,565</w:t>
            </w:r>
          </w:p>
        </w:tc>
      </w:tr>
      <w:tr>
        <w:trPr>
          <w:trHeight w:val="169"/>
        </w:trPr>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122,328</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487,335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340" w:space="720"/>
            <w:col w:w="2360"/>
          </w:cols>
          <w:pgMar w:left="240" w:top="306"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Most Directly Comparable GAAP Financial Measures.”</w:t>
      </w:r>
    </w:p>
    <w:p>
      <w:pPr>
        <w:spacing w:after="0" w:line="153"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and the impact of the Tax Cuts and Jobs Act (“Tax Act”).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3" w:name="page14"/>
    <w:bookmarkEnd w:id="13"/>
    <w:p>
      <w:pPr>
        <w:ind w:right="60"/>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impact from the Tax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7"/>
              </w:rPr>
              <w:t>Three Months Ended December 31,</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4960" w:type="dxa"/>
            <w:vAlign w:val="bottom"/>
          </w:tcPr>
          <w:p>
            <w:pPr>
              <w:spacing w:after="0"/>
              <w:rPr>
                <w:sz w:val="20"/>
                <w:szCs w:val="20"/>
                <w:color w:val="auto"/>
              </w:rPr>
            </w:pPr>
            <w:r>
              <w:rPr>
                <w:rFonts w:ascii="Arial" w:cs="Arial" w:eastAsia="Arial" w:hAnsi="Arial"/>
                <w:sz w:val="14"/>
                <w:szCs w:val="14"/>
                <w:b w:val="1"/>
                <w:bCs w:val="1"/>
                <w:color w:val="auto"/>
              </w:rPr>
              <w:t>NON-GAAP NET INCOME &amp; DILUTED EPS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net income (loss) attributable to Itron, Inc.</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23,877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1,780</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(99,250)</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71,713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1,176</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6,869</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8,042</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91,916</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Tax Cuts and Jobs Act adjustment</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30,424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30,424</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(10,249)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(42,700)</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(12,544)</w:t>
            </w:r>
          </w:p>
        </w:tc>
        <w:tc>
          <w:tcPr>
            <w:tcW w:w="0" w:type="dxa"/>
            <w:vAlign w:val="bottom"/>
          </w:tcPr>
          <w:p>
            <w:pPr>
              <w:spacing w:after="0"/>
              <w:rPr>
                <w:sz w:val="1"/>
                <w:szCs w:val="1"/>
                <w:color w:val="auto"/>
              </w:rPr>
            </w:pPr>
          </w:p>
        </w:tc>
      </w:tr>
      <w:tr>
        <w:trPr>
          <w:trHeight w:val="137"/>
        </w:trPr>
        <w:tc>
          <w:tcPr>
            <w:tcW w:w="4960" w:type="dxa"/>
            <w:vAlign w:val="bottom"/>
          </w:tcPr>
          <w:p>
            <w:pPr>
              <w:ind w:left="220"/>
              <w:spacing w:after="0" w:line="137" w:lineRule="exact"/>
              <w:rPr>
                <w:sz w:val="20"/>
                <w:szCs w:val="20"/>
                <w:color w:val="auto"/>
              </w:rPr>
            </w:pPr>
            <w:r>
              <w:rPr>
                <w:rFonts w:ascii="Arial" w:cs="Arial" w:eastAsia="Arial" w:hAnsi="Arial"/>
                <w:sz w:val="14"/>
                <w:szCs w:val="14"/>
                <w:color w:val="auto"/>
              </w:rPr>
              <w:t>Non-GAAP net income attributable to</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960" w:type="dxa"/>
            <w:vAlign w:val="bottom"/>
          </w:tcPr>
          <w:p>
            <w:pPr>
              <w:ind w:left="220"/>
              <w:spacing w:after="0"/>
              <w:rPr>
                <w:sz w:val="20"/>
                <w:szCs w:val="20"/>
                <w:color w:val="auto"/>
              </w:rPr>
            </w:pPr>
            <w:r>
              <w:rPr>
                <w:rFonts w:ascii="Arial" w:cs="Arial" w:eastAsia="Arial" w:hAnsi="Arial"/>
                <w:sz w:val="14"/>
                <w:szCs w:val="14"/>
                <w:color w:val="auto"/>
              </w:rPr>
              <w:t>Itron, Inc.</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35,135</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39,791</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105,731</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120,486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ind w:left="220"/>
              <w:spacing w:after="0"/>
              <w:rPr>
                <w:sz w:val="20"/>
                <w:szCs w:val="20"/>
                <w:color w:val="auto"/>
              </w:rPr>
            </w:pPr>
            <w:r>
              <w:rPr>
                <w:rFonts w:ascii="Arial" w:cs="Arial" w:eastAsia="Arial" w:hAnsi="Arial"/>
                <w:sz w:val="14"/>
                <w:szCs w:val="14"/>
                <w:color w:val="auto"/>
              </w:rPr>
              <w:t>Non-GAAP diluted EPS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0.88</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2.65</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39,885</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39,530</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39,840</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39,387</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net income (loss) attributable to Itron, Inc.</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23,877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1,780</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(99,250)</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(428)</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(2,153)</w:t>
            </w:r>
          </w:p>
        </w:tc>
        <w:tc>
          <w:tcPr>
            <w:tcW w:w="4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13,883</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3,769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58,203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13,845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Income tax (benefit) provision</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(10,878)</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42,079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(12,570)</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74,326</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30,069</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17,215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122,497</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63,215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8,042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91,916</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58,840</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66,281</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235,826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230,115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42,372</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76,853</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109,755</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191,354</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(17,459)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(16,002)</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(59,952)</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(49,495)</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24,913</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60,851</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49,803</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141,859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operating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28,517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48,196</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(49,692)</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154,877</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71,713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8,042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91,916</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48,848</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55,933</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191,120</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199,219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operating expenses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148,273</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126,886</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780,011</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521,874</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(71,713)</w:t>
            </w:r>
          </w:p>
        </w:tc>
        <w:tc>
          <w:tcPr>
            <w:tcW w:w="4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(8,042)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(91,916)</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Non-GAAP operating expenses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127,942</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119,149</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539,199</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477,532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Kenneth P. Gianella</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(669) 770-4643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Rebecca Hussey</w:t>
      </w:r>
    </w:p>
    <w:p>
      <w:pPr>
        <w:spacing w:after="0" w:line="238" w:lineRule="auto"/>
        <w:rPr>
          <w:sz w:val="20"/>
          <w:szCs w:val="20"/>
          <w:color w:val="auto"/>
        </w:rPr>
      </w:pPr>
      <w:r>
        <w:rPr>
          <w:rFonts w:ascii="Arial" w:cs="Arial" w:eastAsia="Arial" w:hAnsi="Arial"/>
          <w:sz w:val="22"/>
          <w:szCs w:val="22"/>
          <w:color w:val="auto"/>
        </w:rPr>
        <w:t>Manager, Investor Relations</w:t>
      </w:r>
    </w:p>
    <w:p>
      <w:pPr>
        <w:spacing w:after="0"/>
        <w:rPr>
          <w:sz w:val="20"/>
          <w:szCs w:val="20"/>
          <w:color w:val="auto"/>
        </w:rPr>
      </w:pPr>
      <w:r>
        <w:rPr>
          <w:rFonts w:ascii="Arial" w:cs="Arial" w:eastAsia="Arial" w:hAnsi="Arial"/>
          <w:sz w:val="22"/>
          <w:szCs w:val="22"/>
          <w:color w:val="auto"/>
        </w:rPr>
        <w:t>(509) 891-3574</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36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2019-12-28T15:11:06Z</dcterms:created>
  <dcterms:modified xsi:type="dcterms:W3CDTF">2019-12-28T15:11:06Z</dcterms:modified>
</cp:coreProperties>
</file>