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5" w:lineRule="auto"/>
        <w:rPr>
          <w:sz w:val="20"/>
          <w:szCs w:val="20"/>
          <w:color w:val="auto"/>
        </w:rPr>
      </w:pPr>
      <w:r>
        <w:rPr>
          <w:rFonts w:ascii="Arial" w:cs="Arial" w:eastAsia="Arial" w:hAnsi="Arial"/>
          <w:sz w:val="22"/>
          <w:szCs w:val="22"/>
          <w:b w:val="1"/>
          <w:bCs w:val="1"/>
          <w:color w:val="auto"/>
        </w:rPr>
        <w:t>Washington, D.C. 20549</w:t>
      </w: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right"/>
              <w:ind w:right="1290"/>
              <w:spacing w:after="0"/>
              <w:rPr>
                <w:sz w:val="20"/>
                <w:szCs w:val="20"/>
                <w:color w:val="auto"/>
              </w:rPr>
            </w:pPr>
            <w:r>
              <w:rPr>
                <w:rFonts w:ascii="Arial" w:cs="Arial" w:eastAsia="Arial" w:hAnsi="Arial"/>
                <w:sz w:val="18"/>
                <w:szCs w:val="18"/>
                <w:b w:val="1"/>
                <w:bCs w:val="1"/>
                <w:color w:val="auto"/>
              </w:rPr>
              <w:t>000-22418</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1"/>
              </w:rPr>
              <w:t>(State or Other Jurisdiction</w:t>
            </w:r>
          </w:p>
        </w:tc>
        <w:tc>
          <w:tcPr>
            <w:tcW w:w="6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5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(Commission</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30"/>
              <w:spacing w:after="0"/>
              <w:rPr>
                <w:sz w:val="20"/>
                <w:szCs w:val="20"/>
                <w:color w:val="auto"/>
              </w:rPr>
            </w:pPr>
            <w:r>
              <w:rPr>
                <w:rFonts w:ascii="Arial" w:cs="Arial" w:eastAsia="Arial" w:hAnsi="Arial"/>
                <w:sz w:val="18"/>
                <w:szCs w:val="18"/>
                <w:color w:val="auto"/>
                <w:w w:val="94"/>
              </w:rPr>
              <w:t>of Incorporation)</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60"/>
              <w:spacing w:after="0"/>
              <w:rPr>
                <w:sz w:val="20"/>
                <w:szCs w:val="20"/>
                <w:color w:val="auto"/>
              </w:rPr>
            </w:pPr>
            <w:r>
              <w:rPr>
                <w:rFonts w:ascii="Arial" w:cs="Arial" w:eastAsia="Arial" w:hAnsi="Arial"/>
                <w:sz w:val="18"/>
                <w:szCs w:val="18"/>
                <w:color w:val="auto"/>
                <w:w w:val="94"/>
              </w:rPr>
              <w:t>File Number)</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right"/>
              <w:ind w:right="1130"/>
              <w:spacing w:after="0"/>
              <w:rPr>
                <w:sz w:val="20"/>
                <w:szCs w:val="20"/>
                <w:color w:val="auto"/>
              </w:rPr>
            </w:pPr>
            <w:r>
              <w:rPr>
                <w:rFonts w:ascii="Arial" w:cs="Arial" w:eastAsia="Arial" w:hAnsi="Arial"/>
                <w:sz w:val="18"/>
                <w:szCs w:val="18"/>
                <w:b w:val="1"/>
                <w:bCs w:val="1"/>
                <w:color w:val="auto"/>
              </w:rPr>
              <w:t>(509) 924-9900</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6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2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7"/>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2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5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97"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3, 2023, Itron, Inc. issued a press release announcing its financial results for the three and six months ended June 30, 2023. A copy of this press release and accompanying financial statements are attached as Exhibit 99.1.</w:t>
      </w:r>
    </w:p>
    <w:p>
      <w:pPr>
        <w:spacing w:after="0" w:line="1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400" w:hanging="744"/>
        <w:spacing w:after="0"/>
        <w:tabs>
          <w:tab w:leader="none" w:pos="1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Press Release Dated August 3, 2023.</w:t>
      </w:r>
      <w:r>
        <w:rPr>
          <w:rFonts w:ascii="Arial" w:cs="Arial" w:eastAsia="Arial" w:hAnsi="Arial"/>
          <w:sz w:val="16"/>
          <w:szCs w:val="16"/>
          <w:color w:val="000000"/>
        </w:rPr>
        <w:t>*</w:t>
      </w:r>
    </w:p>
    <w:p>
      <w:pPr>
        <w:spacing w:after="0" w:line="23" w:lineRule="exact"/>
        <w:rPr>
          <w:sz w:val="20"/>
          <w:szCs w:val="20"/>
          <w:color w:val="auto"/>
        </w:rPr>
      </w:pPr>
    </w:p>
    <w:p>
      <w:pPr>
        <w:ind w:left="880" w:hanging="872"/>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1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*This exhibit is intended to be furnished and shall not be deemed "filed" for purposes of the Exchange Act.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December 31, 2022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1900" w:type="dxa"/>
            <w:vAlign w:val="bottom"/>
            <w:gridSpan w:val="2"/>
          </w:tcPr>
          <w:p>
            <w:pPr>
              <w:ind w:left="520"/>
              <w:spacing w:after="0"/>
              <w:rPr>
                <w:sz w:val="20"/>
                <w:szCs w:val="20"/>
                <w:color w:val="auto"/>
              </w:rPr>
            </w:pPr>
            <w:r>
              <w:rPr>
                <w:rFonts w:ascii="Arial" w:cs="Arial" w:eastAsia="Arial" w:hAnsi="Arial"/>
                <w:sz w:val="18"/>
                <w:szCs w:val="18"/>
                <w:color w:val="auto"/>
              </w:rPr>
              <w:t>ITRON, INC.</w:t>
            </w:r>
          </w:p>
        </w:tc>
        <w:tc>
          <w:tcPr>
            <w:tcW w:w="5180" w:type="dxa"/>
            <w:vAlign w:val="bottom"/>
          </w:tcPr>
          <w:p>
            <w:pPr>
              <w:spacing w:after="0"/>
              <w:rPr>
                <w:sz w:val="20"/>
                <w:szCs w:val="20"/>
                <w:color w:val="auto"/>
              </w:rPr>
            </w:pPr>
          </w:p>
        </w:tc>
      </w:tr>
      <w:tr>
        <w:trPr>
          <w:trHeight w:val="453"/>
        </w:trPr>
        <w:tc>
          <w:tcPr>
            <w:tcW w:w="3600" w:type="dxa"/>
            <w:vAlign w:val="bottom"/>
          </w:tcPr>
          <w:p>
            <w:pPr>
              <w:spacing w:after="0"/>
              <w:rPr>
                <w:sz w:val="24"/>
                <w:szCs w:val="24"/>
                <w:color w:val="auto"/>
              </w:rPr>
            </w:pPr>
          </w:p>
        </w:tc>
        <w:tc>
          <w:tcPr>
            <w:tcW w:w="1900" w:type="dxa"/>
            <w:vAlign w:val="bottom"/>
            <w:gridSpan w:val="2"/>
          </w:tcPr>
          <w:p>
            <w:pPr>
              <w:ind w:left="520"/>
              <w:spacing w:after="0"/>
              <w:rPr>
                <w:sz w:val="20"/>
                <w:szCs w:val="20"/>
                <w:color w:val="auto"/>
              </w:rPr>
            </w:pPr>
            <w:r>
              <w:rPr>
                <w:rFonts w:ascii="Arial" w:cs="Arial" w:eastAsia="Arial" w:hAnsi="Arial"/>
                <w:sz w:val="18"/>
                <w:szCs w:val="18"/>
                <w:color w:val="auto"/>
              </w:rPr>
              <w:t>By:</w:t>
            </w:r>
          </w:p>
        </w:tc>
        <w:tc>
          <w:tcPr>
            <w:tcW w:w="5180" w:type="dxa"/>
            <w:vAlign w:val="bottom"/>
          </w:tcPr>
          <w:p>
            <w:pPr>
              <w:jc w:val="center"/>
              <w:ind w:right="730"/>
              <w:spacing w:after="0"/>
              <w:rPr>
                <w:sz w:val="20"/>
                <w:szCs w:val="20"/>
                <w:color w:val="auto"/>
              </w:rPr>
            </w:pPr>
            <w:r>
              <w:rPr>
                <w:rFonts w:ascii="Arial" w:cs="Arial" w:eastAsia="Arial" w:hAnsi="Arial"/>
                <w:sz w:val="18"/>
                <w:szCs w:val="18"/>
                <w:color w:val="auto"/>
                <w:w w:val="92"/>
              </w:rPr>
              <w:t>/s/ JOAN S. HOOPER</w:t>
            </w:r>
          </w:p>
        </w:tc>
      </w:tr>
      <w:tr>
        <w:trPr>
          <w:trHeight w:val="209"/>
        </w:trPr>
        <w:tc>
          <w:tcPr>
            <w:tcW w:w="4680" w:type="dxa"/>
            <w:vAlign w:val="bottom"/>
            <w:gridSpan w:val="2"/>
          </w:tcPr>
          <w:p>
            <w:pPr>
              <w:jc w:val="center"/>
              <w:ind w:right="970"/>
              <w:spacing w:after="0" w:line="202" w:lineRule="exact"/>
              <w:rPr>
                <w:sz w:val="20"/>
                <w:szCs w:val="20"/>
                <w:color w:val="auto"/>
              </w:rPr>
            </w:pPr>
            <w:r>
              <w:rPr>
                <w:rFonts w:ascii="Arial" w:cs="Arial" w:eastAsia="Arial" w:hAnsi="Arial"/>
                <w:sz w:val="18"/>
                <w:szCs w:val="18"/>
                <w:color w:val="auto"/>
                <w:w w:val="90"/>
              </w:rPr>
              <w:t>August 3, 2023</w:t>
            </w:r>
          </w:p>
        </w:tc>
        <w:tc>
          <w:tcPr>
            <w:tcW w:w="8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tcPr>
          <w:p>
            <w:pPr>
              <w:jc w:val="center"/>
              <w:ind w:right="750"/>
              <w:spacing w:after="0" w:line="202" w:lineRule="exact"/>
              <w:rPr>
                <w:sz w:val="20"/>
                <w:szCs w:val="20"/>
                <w:color w:val="auto"/>
              </w:rPr>
            </w:pPr>
            <w:r>
              <w:rPr>
                <w:rFonts w:ascii="Arial" w:cs="Arial" w:eastAsia="Arial" w:hAnsi="Arial"/>
                <w:sz w:val="18"/>
                <w:szCs w:val="18"/>
                <w:color w:val="auto"/>
                <w:w w:val="87"/>
              </w:rPr>
              <w:t>Joan S. Hooper</w:t>
            </w:r>
          </w:p>
        </w:tc>
      </w:tr>
      <w:tr>
        <w:trPr>
          <w:trHeight w:val="23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900" w:type="dxa"/>
            <w:vAlign w:val="bottom"/>
            <w:gridSpan w:val="2"/>
          </w:tcPr>
          <w:p>
            <w:pPr>
              <w:spacing w:after="0"/>
              <w:rPr>
                <w:sz w:val="20"/>
                <w:szCs w:val="20"/>
                <w:color w:val="auto"/>
              </w:rPr>
            </w:pPr>
          </w:p>
        </w:tc>
        <w:tc>
          <w:tcPr>
            <w:tcW w:w="5180" w:type="dxa"/>
            <w:vAlign w:val="bottom"/>
          </w:tcPr>
          <w:p>
            <w:pPr>
              <w:jc w:val="center"/>
              <w:ind w:right="750"/>
              <w:spacing w:after="0"/>
              <w:rPr>
                <w:sz w:val="20"/>
                <w:szCs w:val="20"/>
                <w:color w:val="auto"/>
              </w:rPr>
            </w:pPr>
            <w:r>
              <w:rPr>
                <w:rFonts w:ascii="Arial" w:cs="Arial" w:eastAsia="Arial" w:hAnsi="Arial"/>
                <w:sz w:val="18"/>
                <w:szCs w:val="18"/>
                <w:color w:val="auto"/>
                <w:w w:val="91"/>
              </w:rPr>
              <w:t>Senior Vice President and Chief Financial Officer</w:t>
            </w: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Itron Announces Second Quarter 2023 Financial Results</w:t>
      </w:r>
    </w:p>
    <w:p>
      <w:pPr>
        <w:spacing w:after="0" w:line="227" w:lineRule="exact"/>
        <w:rPr>
          <w:sz w:val="20"/>
          <w:szCs w:val="20"/>
          <w:color w:val="auto"/>
        </w:rPr>
      </w:pPr>
    </w:p>
    <w:p>
      <w:pPr>
        <w:ind w:right="260"/>
        <w:spacing w:after="0"/>
        <w:rPr>
          <w:sz w:val="20"/>
          <w:szCs w:val="20"/>
          <w:color w:val="auto"/>
        </w:rPr>
      </w:pPr>
      <w:r>
        <w:rPr>
          <w:rFonts w:ascii="Arial" w:cs="Arial" w:eastAsia="Arial" w:hAnsi="Arial"/>
          <w:sz w:val="22"/>
          <w:szCs w:val="22"/>
          <w:color w:val="auto"/>
        </w:rPr>
        <w:t>LIBERTY LAKE, Wash.--(BUSINESS WIRE)--August 3, 2023--Itron, Inc. (NASDAQ: ITRI), which is innovating the way utilities and cities manage energy and water, announced today financial results for its second quarter ended June 30, 2023. Key results for the quarter include (compared with the second quarter of 2022):</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of $541 million, increased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8" w:lineRule="auto"/>
        <w:rPr>
          <w:sz w:val="20"/>
          <w:szCs w:val="20"/>
          <w:color w:val="auto"/>
        </w:rPr>
      </w:pPr>
      <w:r>
        <w:rPr>
          <w:rFonts w:ascii="Arial" w:cs="Arial" w:eastAsia="Arial" w:hAnsi="Arial"/>
          <w:sz w:val="22"/>
          <w:szCs w:val="22"/>
          <w:color w:val="auto"/>
        </w:rPr>
        <w:t>Gross profit of $174 million, increased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GAAP net income of $24 million, increased $61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GAAP diluted earnings per share of $0.53, increased $1.35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Non-GAAP diluted EPS of $0.65, increased $0.58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1" w:lineRule="auto"/>
        <w:rPr>
          <w:sz w:val="20"/>
          <w:szCs w:val="20"/>
          <w:color w:val="auto"/>
        </w:rPr>
      </w:pPr>
      <w:r>
        <w:rPr>
          <w:rFonts w:ascii="Arial" w:cs="Arial" w:eastAsia="Arial" w:hAnsi="Arial"/>
          <w:sz w:val="22"/>
          <w:szCs w:val="22"/>
          <w:color w:val="auto"/>
        </w:rPr>
        <w:t>Adjusted EBITDA of $49 million, increased 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Arial" w:cs="Arial" w:eastAsia="Arial" w:hAnsi="Arial"/>
          <w:sz w:val="22"/>
          <w:szCs w:val="22"/>
          <w:color w:val="auto"/>
        </w:rPr>
        <w:t>Free cash flow of $36 million, increased $26 million;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Total backlog of $4.5 billion increased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ind w:right="440"/>
        <w:spacing w:after="0" w:line="238" w:lineRule="auto"/>
        <w:rPr>
          <w:sz w:val="20"/>
          <w:szCs w:val="20"/>
          <w:color w:val="auto"/>
        </w:rPr>
      </w:pPr>
      <w:r>
        <w:rPr>
          <w:rFonts w:ascii="Arial" w:cs="Arial" w:eastAsia="Arial" w:hAnsi="Arial"/>
          <w:sz w:val="22"/>
          <w:szCs w:val="22"/>
          <w:color w:val="auto"/>
        </w:rPr>
        <w:t>“Second quarter 2023 results highlight the execution capability of the team as we capitalized on our strong backlog position, improved asset utilization, and improved component availability. The Company’s financial performance demonstrates the opportunity for value creation available through improving the resiliency, reliability, and agility of the global grid,” said Tom Deitrich, Itron’s president and CEO.</w:t>
      </w:r>
    </w:p>
    <w:p>
      <w:pPr>
        <w:spacing w:after="0" w:line="18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“It is evident that the urgency to invest in energy and water infrastructure for accelerating rates of electrification, increased adoption of distributed energy resources, and the impact of climate change is growing rapidly. Itron will continue to innovate and help our customers address extremely complex challenges, and we believe that we are positioned to maintain operational momentum throughout the second half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Summary of Second Quarter Consolidated Financial Results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(All comparisons made are against the prior year period unless otherwise noted)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Revenue</w:t>
      </w:r>
    </w:p>
    <w:p>
      <w:pPr>
        <w:spacing w:after="0" w:line="206"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Total second quarter revenue increased 25%, to $541 million. The increase was due to improving supply chain conditions and strong operational execution.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Device Solutions revenue increased 8%, or 7% in constant currency, due primarily to growth in the Water vertical.</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Networked Solutions revenue increased 34%, due to improving supply chain conditions.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Outcomes revenue increased 16%, or 17% in constant currency, due to higher software license sales and recurring services.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Gross Margin</w:t>
      </w:r>
    </w:p>
    <w:p>
      <w:pPr>
        <w:spacing w:after="0" w:line="206" w:lineRule="exact"/>
        <w:rPr>
          <w:sz w:val="20"/>
          <w:szCs w:val="20"/>
          <w:color w:val="auto"/>
        </w:rPr>
      </w:pPr>
    </w:p>
    <w:p>
      <w:pPr>
        <w:ind w:right="1000"/>
        <w:spacing w:after="0" w:line="250" w:lineRule="auto"/>
        <w:rPr>
          <w:sz w:val="20"/>
          <w:szCs w:val="20"/>
          <w:color w:val="auto"/>
        </w:rPr>
      </w:pPr>
      <w:r>
        <w:rPr>
          <w:rFonts w:ascii="Arial" w:cs="Arial" w:eastAsia="Arial" w:hAnsi="Arial"/>
          <w:sz w:val="22"/>
          <w:szCs w:val="22"/>
          <w:color w:val="auto"/>
        </w:rPr>
        <w:t>Consolidated company gross margin of 32.1% increased 290 basis points from the prior year due to favorable mix and operational efficiencies.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Operating Expenses and Operating Income (Loss)</w:t>
      </w:r>
    </w:p>
    <w:p>
      <w:pPr>
        <w:spacing w:after="0" w:line="206" w:lineRule="exact"/>
        <w:rPr>
          <w:sz w:val="20"/>
          <w:szCs w:val="20"/>
          <w:color w:val="auto"/>
        </w:rPr>
      </w:pPr>
    </w:p>
    <w:p>
      <w:pPr>
        <w:ind w:right="280"/>
        <w:spacing w:after="0" w:line="238" w:lineRule="auto"/>
        <w:rPr>
          <w:sz w:val="20"/>
          <w:szCs w:val="20"/>
          <w:color w:val="auto"/>
        </w:rPr>
      </w:pPr>
      <w:r>
        <w:rPr>
          <w:rFonts w:ascii="Arial" w:cs="Arial" w:eastAsia="Arial" w:hAnsi="Arial"/>
          <w:sz w:val="22"/>
          <w:szCs w:val="22"/>
          <w:color w:val="auto"/>
        </w:rPr>
        <w:t>GAAP operating expenses of $139 million decreased $21 million from the prior year due to a goodwill impairment in the prior year related to our Device Solutions segment, partially offset by increased labor costs, including variable compensation. Non-GAAP operating expenses of $133 million increased $16 million from the prior year due to increased labor costs, including variable compensation.</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22"/>
          <w:szCs w:val="22"/>
          <w:color w:val="auto"/>
        </w:rPr>
        <w:t>GAAP operating income of $35 million was $69 million higher than the prior year due to higher gross profit and lower operating expenses. Non-GAAP operating income of $41 million was $32 million higher than the prior year due to higher gross profit, partially offset by higher operating expenses.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Net Income (Loss) and Earnings (Loss) per Share</w:t>
      </w:r>
    </w:p>
    <w:p>
      <w:pPr>
        <w:spacing w:after="0" w:line="206" w:lineRule="exact"/>
        <w:rPr>
          <w:sz w:val="20"/>
          <w:szCs w:val="20"/>
          <w:color w:val="auto"/>
        </w:rPr>
      </w:pPr>
    </w:p>
    <w:p>
      <w:pPr>
        <w:ind w:right="520"/>
        <w:spacing w:after="0" w:line="274" w:lineRule="auto"/>
        <w:rPr>
          <w:sz w:val="20"/>
          <w:szCs w:val="20"/>
          <w:color w:val="auto"/>
        </w:rPr>
      </w:pPr>
      <w:r>
        <w:rPr>
          <w:rFonts w:ascii="Arial" w:cs="Arial" w:eastAsia="Arial" w:hAnsi="Arial"/>
          <w:sz w:val="21"/>
          <w:szCs w:val="21"/>
          <w:color w:val="auto"/>
        </w:rPr>
        <w:t>Net income attributable to Itron, Inc. for the quarter was $24 million, or $0.53 per diluted share, compared with a net loss of $(37) million, or $(0.82) per share in 2022. The increase was driven by higher GAAP operating income.</w:t>
      </w:r>
    </w:p>
    <w:p>
      <w:pPr>
        <w:spacing w:after="0" w:line="151" w:lineRule="exact"/>
        <w:rPr>
          <w:sz w:val="20"/>
          <w:szCs w:val="20"/>
          <w:color w:val="auto"/>
        </w:rPr>
      </w:pPr>
    </w:p>
    <w:p>
      <w:pPr>
        <w:spacing w:after="0" w:line="287" w:lineRule="auto"/>
        <w:rPr>
          <w:sz w:val="20"/>
          <w:szCs w:val="20"/>
          <w:color w:val="auto"/>
        </w:rPr>
      </w:pPr>
      <w:r>
        <w:rPr>
          <w:rFonts w:ascii="Arial" w:cs="Arial" w:eastAsia="Arial" w:hAnsi="Arial"/>
          <w:sz w:val="19"/>
          <w:szCs w:val="19"/>
          <w:color w:val="auto"/>
        </w:rPr>
        <w:t>Non-GAAP net income, which excludes the expenses associated with amortization of intangible assets, amortization of debt placement fees, restructuring, loss on sale of business, strategic initiative expenses, goodwill impairment, acquisition and integration, and the tax effect of excluding these expenses, was $30 million, or $0.65 per diluted share, compared with $3 million, or $0.07 per diluted share, in 2022. The increase was due to higher non-GAAP operating income and favorable tax impact.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Cash Flow</w:t>
      </w:r>
    </w:p>
    <w:p>
      <w:pPr>
        <w:spacing w:after="0" w:line="20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Net cash provided by operating activities was $42 million in the second quarter compared with $15 million in the prior year. Free cash flow was $36 million in the second quarter compared with $10 million in the prior year. The increase in cash flow was due to higher earnings, partially offset by change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Other Measures</w:t>
      </w:r>
    </w:p>
    <w:p>
      <w:pPr>
        <w:spacing w:after="0" w:line="212" w:lineRule="exact"/>
        <w:rPr>
          <w:sz w:val="20"/>
          <w:szCs w:val="20"/>
          <w:color w:val="auto"/>
        </w:rPr>
      </w:pPr>
    </w:p>
    <w:p>
      <w:pPr>
        <w:ind w:right="220"/>
        <w:spacing w:after="0" w:line="250" w:lineRule="auto"/>
        <w:rPr>
          <w:sz w:val="20"/>
          <w:szCs w:val="20"/>
          <w:color w:val="auto"/>
        </w:rPr>
      </w:pPr>
      <w:r>
        <w:rPr>
          <w:rFonts w:ascii="Arial" w:cs="Arial" w:eastAsia="Arial" w:hAnsi="Arial"/>
          <w:sz w:val="22"/>
          <w:szCs w:val="22"/>
          <w:color w:val="auto"/>
        </w:rPr>
        <w:t>Total backlog at quarter end was $4.5 billion compared with $4.1 billion in the prior year. Bookings in the quarter totaled $475 million.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Q3 2023 Outlook and Full Year 2023 Guidance Update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Outlook for the third quarter of 2023 is as follows:</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Revenue between $535 and $545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-99060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22"/>
          <w:szCs w:val="22"/>
          <w:color w:val="auto"/>
        </w:rPr>
        <w:t>Non-GAAP diluted EPS between $0.44 and $0.56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Itron's guidance for the full year 2023 has been updated as follows:</w:t>
      </w:r>
    </w:p>
    <w:p>
      <w:pPr>
        <w:spacing w:after="0" w:line="206" w:lineRule="exact"/>
        <w:rPr>
          <w:sz w:val="20"/>
          <w:szCs w:val="20"/>
          <w:color w:val="auto"/>
        </w:rPr>
      </w:pPr>
    </w:p>
    <w:p>
      <w:pPr>
        <w:ind w:left="540" w:right="2980"/>
        <w:spacing w:after="0" w:line="328" w:lineRule="auto"/>
        <w:rPr>
          <w:sz w:val="20"/>
          <w:szCs w:val="20"/>
          <w:color w:val="auto"/>
        </w:rPr>
      </w:pPr>
      <w:r>
        <w:rPr>
          <w:rFonts w:ascii="Arial" w:cs="Arial" w:eastAsia="Arial" w:hAnsi="Arial"/>
          <w:sz w:val="19"/>
          <w:szCs w:val="19"/>
          <w:color w:val="auto"/>
        </w:rPr>
        <w:t>Revenue between $2.11 to $2.14 billion vs. previous guidance of $1.85 to $1.95 billion Non-GAAP diluted EPS between $2.03 to $2.28 vs. previous guidance of $0.70 to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-317500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-163195</wp:posOffset>
            </wp:positionV>
            <wp:extent cx="68580" cy="68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Earnings Conference Call</w:t>
      </w:r>
    </w:p>
    <w:p>
      <w:pPr>
        <w:spacing w:after="0" w:line="212"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Itron will host a conference call to discuss the financial results contained in this release at 10 a.m. EDT on August 3, 2023. Interested parties may listen to the conference call on a live webcast. The webcast, along with a supplemental presentation, may be accessed from the company’s website at https://investors.itron.com/events.cfm. Participants should access the webcast 10 minutes prior to the start of the call. A webcast replay of the conference call will be available through August 9, 2023 and may be accessed on the company's website at http://investors.itron.com/events.cfm.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Itron</w:t>
      </w:r>
    </w:p>
    <w:p>
      <w:pPr>
        <w:spacing w:after="0" w:line="212"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Itron enables utilities and cities to safely, securely and reliably deliver critical infrastructure solutions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www.itron.com.</w:t>
      </w:r>
    </w:p>
    <w:p>
      <w:pPr>
        <w:spacing w:after="0" w:line="141" w:lineRule="exact"/>
        <w:rPr>
          <w:sz w:val="20"/>
          <w:szCs w:val="20"/>
          <w:color w:val="auto"/>
        </w:rPr>
      </w:pPr>
    </w:p>
    <w:p>
      <w:pPr>
        <w:ind w:right="300"/>
        <w:spacing w:after="0" w:line="210" w:lineRule="auto"/>
        <w:rPr>
          <w:sz w:val="20"/>
          <w:szCs w:val="20"/>
          <w:color w:val="auto"/>
        </w:rPr>
      </w:pPr>
      <w:r>
        <w:rPr>
          <w:rFonts w:ascii="Arial" w:cs="Arial" w:eastAsia="Arial" w:hAnsi="Arial"/>
          <w:sz w:val="20"/>
          <w:szCs w:val="20"/>
          <w:color w:val="auto"/>
        </w:rPr>
        <w:t>Itron</w:t>
      </w:r>
      <w:r>
        <w:rPr>
          <w:rFonts w:ascii="Arial" w:cs="Arial" w:eastAsia="Arial" w:hAnsi="Arial"/>
          <w:sz w:val="32"/>
          <w:szCs w:val="32"/>
          <w:color w:val="auto"/>
          <w:vertAlign w:val="superscript"/>
        </w:rPr>
        <w:t>®</w:t>
      </w:r>
      <w:r>
        <w:rPr>
          <w:rFonts w:ascii="Arial" w:cs="Arial" w:eastAsia="Arial" w:hAnsi="Arial"/>
          <w:sz w:val="20"/>
          <w:szCs w:val="20"/>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Cautionary Note Regarding Forward Looking Statements</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 31, 2022 and other reports on file with the Securities and Exchange Commission. Itron undertakes no obligation to update or revise any information in this press release.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212" w:lineRule="exact"/>
        <w:rPr>
          <w:sz w:val="20"/>
          <w:szCs w:val="20"/>
          <w:color w:val="auto"/>
        </w:rPr>
      </w:pPr>
    </w:p>
    <w:p>
      <w:pPr>
        <w:ind w:right="40"/>
        <w:spacing w:after="0" w:line="270" w:lineRule="auto"/>
        <w:rPr>
          <w:sz w:val="20"/>
          <w:szCs w:val="20"/>
          <w:color w:val="auto"/>
        </w:rPr>
      </w:pPr>
      <w:r>
        <w:rPr>
          <w:rFonts w:ascii="Arial" w:cs="Arial" w:eastAsia="Arial" w:hAnsi="Arial"/>
          <w:sz w:val="19"/>
          <w:szCs w:val="19"/>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 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When providing future outlooks and/or earnings guidance, a reconciliation of forward-looking non-GAAP diluted EPS to the GAAP diluted EPS has not been provided because we are unable to predict with reasonable certainty the potential amount or timing of restructuring related expenses and their related tax effects without unreasonable effort. These costs are uncertain, depend on various factors and could have a material impact on GAAP results for the guidance period. A more detailed discussion of why we use non-GAAP financial measures, the limitations of using such measures, and reconciliations between non-GAAP and the nearest GAAP financial measures are included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 except per share data)</w:t>
      </w:r>
    </w:p>
    <w:p>
      <w:pPr>
        <w:sectPr>
          <w:pgSz w:w="11900" w:h="16838" w:orient="portrait"/>
          <w:cols w:equalWidth="0" w:num="1">
            <w:col w:w="11240"/>
          </w:cols>
          <w:pgMar w:left="320" w:top="135" w:right="339" w:bottom="1440" w:gutter="0" w:footer="0" w:header="0"/>
        </w:sectPr>
      </w:pPr>
    </w:p>
    <w:p>
      <w:pPr>
        <w:spacing w:after="0" w:line="32"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40640</wp:posOffset>
            </wp:positionV>
            <wp:extent cx="19888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53" w:lineRule="exact"/>
        <w:rPr>
          <w:sz w:val="20"/>
          <w:szCs w:val="20"/>
          <w:color w:val="auto"/>
        </w:rPr>
      </w:pPr>
    </w:p>
    <w:p>
      <w:pPr>
        <w:ind w:left="5340"/>
        <w:spacing w:after="0"/>
        <w:tabs>
          <w:tab w:leader="none" w:pos="68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40640</wp:posOffset>
            </wp:positionV>
            <wp:extent cx="19977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97710" cy="8890"/>
                    </a:xfrm>
                    <a:prstGeom prst="rect">
                      <a:avLst/>
                    </a:prstGeom>
                    <a:noFill/>
                  </pic:spPr>
                </pic:pic>
              </a:graphicData>
            </a:graphic>
          </wp:anchor>
        </w:drawing>
      </w:r>
    </w:p>
    <w:p>
      <w:pPr>
        <w:spacing w:after="0" w:line="53"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7" w:lineRule="exact"/>
        <w:rPr>
          <w:sz w:val="20"/>
          <w:szCs w:val="20"/>
          <w:color w:val="auto"/>
        </w:rPr>
      </w:pPr>
    </w:p>
    <w:p>
      <w:pPr>
        <w:sectPr>
          <w:pgSz w:w="11900" w:h="16838" w:orient="portrait"/>
          <w:cols w:equalWidth="0" w:num="2">
            <w:col w:w="7880" w:space="720"/>
            <w:col w:w="264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4740" w:type="dxa"/>
            <w:vAlign w:val="bottom"/>
          </w:tcPr>
          <w:p>
            <w:pPr>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Product revenues</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464,803</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359,898</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881,127</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759,708</w:t>
            </w:r>
          </w:p>
        </w:tc>
      </w:tr>
      <w:tr>
        <w:trPr>
          <w:trHeight w:val="256"/>
        </w:trPr>
        <w:tc>
          <w:tcPr>
            <w:tcW w:w="4740" w:type="dxa"/>
            <w:vAlign w:val="bottom"/>
          </w:tcPr>
          <w:p>
            <w:pPr>
              <w:ind w:left="220"/>
              <w:spacing w:after="0"/>
              <w:rPr>
                <w:sz w:val="20"/>
                <w:szCs w:val="20"/>
                <w:color w:val="auto"/>
              </w:rPr>
            </w:pPr>
            <w:r>
              <w:rPr>
                <w:rFonts w:ascii="Arial" w:cs="Arial" w:eastAsia="Arial" w:hAnsi="Arial"/>
                <w:sz w:val="18"/>
                <w:szCs w:val="18"/>
                <w:color w:val="auto"/>
              </w:rPr>
              <w:t>Service revenues</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76,267</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71,984</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154,561</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147,505</w:t>
            </w:r>
          </w:p>
        </w:tc>
      </w:tr>
      <w:tr>
        <w:trPr>
          <w:trHeight w:val="224"/>
        </w:trPr>
        <w:tc>
          <w:tcPr>
            <w:tcW w:w="4740" w:type="dxa"/>
            <w:vAlign w:val="bottom"/>
          </w:tcPr>
          <w:p>
            <w:pPr>
              <w:ind w:left="420"/>
              <w:spacing w:after="0"/>
              <w:rPr>
                <w:sz w:val="20"/>
                <w:szCs w:val="20"/>
                <w:color w:val="auto"/>
              </w:rPr>
            </w:pPr>
            <w:r>
              <w:rPr>
                <w:rFonts w:ascii="Arial" w:cs="Arial" w:eastAsia="Arial" w:hAnsi="Arial"/>
                <w:sz w:val="18"/>
                <w:szCs w:val="18"/>
                <w:color w:val="auto"/>
              </w:rPr>
              <w:t>Total revenues</w:t>
            </w:r>
          </w:p>
        </w:tc>
        <w:tc>
          <w:tcPr>
            <w:tcW w:w="4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541,070</w:t>
            </w:r>
          </w:p>
        </w:tc>
        <w:tc>
          <w:tcPr>
            <w:tcW w:w="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431,882</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1,035,688</w:t>
            </w:r>
          </w:p>
        </w:tc>
        <w:tc>
          <w:tcPr>
            <w:tcW w:w="5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907,213</w:t>
            </w:r>
          </w:p>
        </w:tc>
      </w:tr>
      <w:tr>
        <w:trPr>
          <w:trHeight w:val="242"/>
        </w:trPr>
        <w:tc>
          <w:tcPr>
            <w:tcW w:w="4740" w:type="dxa"/>
            <w:vAlign w:val="bottom"/>
          </w:tcPr>
          <w:p>
            <w:pPr>
              <w:spacing w:after="0"/>
              <w:rPr>
                <w:sz w:val="20"/>
                <w:szCs w:val="20"/>
                <w:color w:val="auto"/>
              </w:rPr>
            </w:pPr>
            <w:r>
              <w:rPr>
                <w:rFonts w:ascii="Arial" w:cs="Arial" w:eastAsia="Arial" w:hAnsi="Arial"/>
                <w:sz w:val="18"/>
                <w:szCs w:val="18"/>
                <w:color w:val="auto"/>
              </w:rPr>
              <w:t>Cost of revenues</w:t>
            </w: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Product cost of revenues</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322,288</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265,278</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619,631</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560,098</w:t>
            </w: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Service cost of revenues</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44,835</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40,499</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85,742</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85,786</w:t>
            </w: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Total cost of revenues</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367,123</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305,777</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705,373</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645,884</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Gross profit</w:t>
            </w:r>
          </w:p>
        </w:tc>
        <w:tc>
          <w:tcPr>
            <w:tcW w:w="4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173,947</w:t>
            </w:r>
          </w:p>
        </w:tc>
        <w:tc>
          <w:tcPr>
            <w:tcW w:w="520" w:type="dxa"/>
            <w:vAlign w:val="bottom"/>
          </w:tcPr>
          <w:p>
            <w:pPr>
              <w:spacing w:after="0"/>
              <w:rPr>
                <w:sz w:val="19"/>
                <w:szCs w:val="19"/>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126,105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330,315</w:t>
            </w:r>
          </w:p>
        </w:tc>
        <w:tc>
          <w:tcPr>
            <w:tcW w:w="50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261,329</w:t>
            </w:r>
          </w:p>
        </w:tc>
      </w:tr>
      <w:tr>
        <w:trPr>
          <w:trHeight w:val="485"/>
        </w:trPr>
        <w:tc>
          <w:tcPr>
            <w:tcW w:w="474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Sales, general and administrative</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79,079</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72,877</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154,600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149,278</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53,560</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45,055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103,125</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94,651</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Amortization of intangible assets</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4,722</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6,485</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9,770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13,038</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874</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(3,459)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37,483</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(9,825)</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Loss on sale of business</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612</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630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2,415</w:t>
            </w: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Goodwill impairment</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38,480</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38,480</w:t>
            </w: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138,847</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159,632</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305,608</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288,037</w:t>
            </w:r>
          </w:p>
        </w:tc>
      </w:tr>
      <w:tr>
        <w:trPr>
          <w:trHeight w:val="466"/>
        </w:trPr>
        <w:tc>
          <w:tcPr>
            <w:tcW w:w="4740" w:type="dxa"/>
            <w:vAlign w:val="bottom"/>
          </w:tcPr>
          <w:p>
            <w:pPr>
              <w:spacing w:after="0"/>
              <w:rPr>
                <w:sz w:val="20"/>
                <w:szCs w:val="20"/>
                <w:color w:val="auto"/>
              </w:rPr>
            </w:pPr>
            <w:r>
              <w:rPr>
                <w:rFonts w:ascii="Arial" w:cs="Arial" w:eastAsia="Arial" w:hAnsi="Arial"/>
                <w:sz w:val="18"/>
                <w:szCs w:val="18"/>
                <w:color w:val="auto"/>
              </w:rPr>
              <w:t>Operating income (loss)</w:t>
            </w:r>
          </w:p>
        </w:tc>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35,100</w:t>
            </w:r>
          </w:p>
        </w:tc>
        <w:tc>
          <w:tcPr>
            <w:tcW w:w="52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(33,527)</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24,707</w:t>
            </w:r>
          </w:p>
        </w:tc>
        <w:tc>
          <w:tcPr>
            <w:tcW w:w="5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(26,708)</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Other income (expense)</w:t>
            </w: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1,508</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3,326</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566</w:t>
            </w: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(1,977)</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(1,660)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(4,034)</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(3,252)</w:t>
            </w:r>
          </w:p>
        </w:tc>
      </w:tr>
      <w:tr>
        <w:trPr>
          <w:trHeight w:val="256"/>
        </w:trPr>
        <w:tc>
          <w:tcPr>
            <w:tcW w:w="47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(333)</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(1,386)</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(1,808)</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(2,075)</w:t>
            </w: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(802)</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(2,697)</w:t>
            </w: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(2,516)</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(4,761)</w:t>
            </w:r>
          </w:p>
        </w:tc>
      </w:tr>
      <w:tr>
        <w:trPr>
          <w:trHeight w:val="466"/>
        </w:trPr>
        <w:tc>
          <w:tcPr>
            <w:tcW w:w="47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34,298</w:t>
            </w:r>
          </w:p>
        </w:tc>
        <w:tc>
          <w:tcPr>
            <w:tcW w:w="520" w:type="dxa"/>
            <w:vAlign w:val="bottom"/>
          </w:tcPr>
          <w:p>
            <w:pPr>
              <w:spacing w:after="0"/>
              <w:rPr>
                <w:sz w:val="24"/>
                <w:szCs w:val="24"/>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(36,224)</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22,191</w:t>
            </w:r>
          </w:p>
        </w:tc>
        <w:tc>
          <w:tcPr>
            <w:tcW w:w="50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(31,469)</w:t>
            </w:r>
          </w:p>
        </w:tc>
      </w:tr>
      <w:tr>
        <w:trPr>
          <w:trHeight w:val="257"/>
        </w:trPr>
        <w:tc>
          <w:tcPr>
            <w:tcW w:w="4740" w:type="dxa"/>
            <w:vAlign w:val="bottom"/>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(9,195)</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(9,125)</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(4,500)</w:t>
            </w:r>
          </w:p>
        </w:tc>
      </w:tr>
      <w:tr>
        <w:trPr>
          <w:trHeight w:val="224"/>
        </w:trPr>
        <w:tc>
          <w:tcPr>
            <w:tcW w:w="474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19"/>
                <w:szCs w:val="19"/>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25,103</w:t>
            </w:r>
          </w:p>
        </w:tc>
        <w:tc>
          <w:tcPr>
            <w:tcW w:w="520" w:type="dxa"/>
            <w:vAlign w:val="bottom"/>
          </w:tcPr>
          <w:p>
            <w:pPr>
              <w:spacing w:after="0"/>
              <w:rPr>
                <w:sz w:val="19"/>
                <w:szCs w:val="19"/>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(36,865)</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13,066</w:t>
            </w:r>
          </w:p>
        </w:tc>
        <w:tc>
          <w:tcPr>
            <w:tcW w:w="500" w:type="dxa"/>
            <w:vAlign w:val="bottom"/>
          </w:tcPr>
          <w:p>
            <w:pPr>
              <w:spacing w:after="0"/>
              <w:rPr>
                <w:sz w:val="19"/>
                <w:szCs w:val="19"/>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(35,969)</w:t>
            </w:r>
          </w:p>
        </w:tc>
      </w:tr>
      <w:tr>
        <w:trPr>
          <w:trHeight w:val="256"/>
        </w:trPr>
        <w:tc>
          <w:tcPr>
            <w:tcW w:w="474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4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902</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701</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92</w:t>
            </w:r>
          </w:p>
        </w:tc>
      </w:tr>
      <w:tr>
        <w:trPr>
          <w:trHeight w:val="237"/>
        </w:trPr>
        <w:tc>
          <w:tcPr>
            <w:tcW w:w="4740" w:type="dxa"/>
            <w:vAlign w:val="bottom"/>
          </w:tcPr>
          <w:p>
            <w:pPr>
              <w:spacing w:after="0"/>
              <w:rPr>
                <w:sz w:val="20"/>
                <w:szCs w:val="20"/>
                <w:color w:val="auto"/>
              </w:rPr>
            </w:pPr>
            <w:r>
              <w:rPr>
                <w:rFonts w:ascii="Arial" w:cs="Arial" w:eastAsia="Arial" w:hAnsi="Arial"/>
                <w:sz w:val="18"/>
                <w:szCs w:val="18"/>
                <w:color w:val="auto"/>
              </w:rPr>
              <w:t>Net income (loss) attributable to Itron, Inc.</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24,201</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(36,967)</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12,365</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(36,061)</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67"/>
        </w:trPr>
        <w:tc>
          <w:tcPr>
            <w:tcW w:w="4740" w:type="dxa"/>
            <w:vAlign w:val="bottom"/>
          </w:tcPr>
          <w:p>
            <w:pPr>
              <w:spacing w:after="0"/>
              <w:rPr>
                <w:sz w:val="20"/>
                <w:szCs w:val="20"/>
                <w:color w:val="auto"/>
              </w:rPr>
            </w:pPr>
            <w:r>
              <w:rPr>
                <w:rFonts w:ascii="Arial" w:cs="Arial" w:eastAsia="Arial" w:hAnsi="Arial"/>
                <w:sz w:val="18"/>
                <w:szCs w:val="18"/>
                <w:color w:val="auto"/>
              </w:rPr>
              <w:t>Net income (loss) per common share - Basic</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0.53</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4"/>
                <w:szCs w:val="24"/>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0.27</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(0.80)</w:t>
            </w:r>
          </w:p>
        </w:tc>
      </w:tr>
      <w:tr>
        <w:trPr>
          <w:trHeight w:val="20"/>
        </w:trPr>
        <w:tc>
          <w:tcPr>
            <w:tcW w:w="4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Net income (loss) per common share - Diluted</w:t>
            </w:r>
          </w:p>
        </w:tc>
        <w:tc>
          <w:tcPr>
            <w:tcW w:w="4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0.53</w:t>
            </w:r>
          </w:p>
        </w:tc>
        <w:tc>
          <w:tcPr>
            <w:tcW w:w="5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0.27</w:t>
            </w:r>
          </w:p>
        </w:tc>
        <w:tc>
          <w:tcPr>
            <w:tcW w:w="5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(0.80)</w:t>
            </w:r>
          </w:p>
        </w:tc>
      </w:tr>
      <w:tr>
        <w:trPr>
          <w:trHeight w:val="20"/>
        </w:trPr>
        <w:tc>
          <w:tcPr>
            <w:tcW w:w="47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53"/>
        </w:trPr>
        <w:tc>
          <w:tcPr>
            <w:tcW w:w="474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48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45,435</w:t>
            </w:r>
          </w:p>
        </w:tc>
        <w:tc>
          <w:tcPr>
            <w:tcW w:w="52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45,066</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45,358</w:t>
            </w:r>
          </w:p>
        </w:tc>
        <w:tc>
          <w:tcPr>
            <w:tcW w:w="50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45,042</w:t>
            </w:r>
          </w:p>
        </w:tc>
      </w:tr>
      <w:tr>
        <w:trPr>
          <w:trHeight w:val="243"/>
        </w:trPr>
        <w:tc>
          <w:tcPr>
            <w:tcW w:w="474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48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45,781</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45,066</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45,677</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45,042</w:t>
            </w:r>
          </w:p>
        </w:tc>
      </w:tr>
      <w:tr>
        <w:trPr>
          <w:trHeight w:val="196"/>
        </w:trPr>
        <w:tc>
          <w:tcPr>
            <w:tcW w:w="4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135"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(Unaudited, in thousands)</w:t>
      </w:r>
    </w:p>
    <w:p>
      <w:pPr>
        <w:sectPr>
          <w:pgSz w:w="11900" w:h="16838" w:orient="portrait"/>
          <w:cols w:equalWidth="0" w:num="1">
            <w:col w:w="11240"/>
          </w:cols>
          <w:pgMar w:left="320" w:top="135" w:right="339" w:bottom="1440" w:gutter="0" w:footer="0" w:header="0"/>
        </w:sectPr>
      </w:pPr>
    </w:p>
    <w:p>
      <w:pPr>
        <w:spacing w:after="0" w:line="32"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40640</wp:posOffset>
            </wp:positionV>
            <wp:extent cx="198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53" w:lineRule="exact"/>
        <w:rPr>
          <w:sz w:val="20"/>
          <w:szCs w:val="20"/>
          <w:color w:val="auto"/>
        </w:rPr>
      </w:pPr>
    </w:p>
    <w:p>
      <w:pPr>
        <w:ind w:left="5340"/>
        <w:spacing w:after="0"/>
        <w:tabs>
          <w:tab w:leader="none" w:pos="68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40640</wp:posOffset>
            </wp:positionV>
            <wp:extent cx="19977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97710" cy="8890"/>
                    </a:xfrm>
                    <a:prstGeom prst="rect">
                      <a:avLst/>
                    </a:prstGeom>
                    <a:noFill/>
                  </pic:spPr>
                </pic:pic>
              </a:graphicData>
            </a:graphic>
          </wp:anchor>
        </w:drawing>
      </w:r>
    </w:p>
    <w:p>
      <w:pPr>
        <w:spacing w:after="0" w:line="53"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7" w:lineRule="exact"/>
        <w:rPr>
          <w:sz w:val="20"/>
          <w:szCs w:val="20"/>
          <w:color w:val="auto"/>
        </w:rPr>
      </w:pPr>
    </w:p>
    <w:p>
      <w:pPr>
        <w:sectPr>
          <w:pgSz w:w="11900" w:h="16838" w:orient="portrait"/>
          <w:cols w:equalWidth="0" w:num="2">
            <w:col w:w="7880" w:space="720"/>
            <w:col w:w="2640"/>
          </w:cols>
          <w:pgMar w:left="320" w:top="135" w:right="339" w:bottom="1440" w:gutter="0" w:footer="0" w:header="0"/>
          <w:type w:val="continuous"/>
        </w:sectPr>
      </w:pPr>
    </w:p>
    <w:tbl>
      <w:tblPr>
        <w:tblLayout w:type="fixed"/>
        <w:tblInd w:w="0" w:type="dxa"/>
        <w:tblCellMar>
          <w:top w:w="0" w:type="dxa"/>
          <w:left w:w="0" w:type="dxa"/>
          <w:bottom w:w="0" w:type="dxa"/>
          <w:right w:w="0" w:type="dxa"/>
        </w:tblCellMar>
      </w:tblPr>
      <w:tr>
        <w:trPr>
          <w:trHeight w:val="249"/>
        </w:trPr>
        <w:tc>
          <w:tcPr>
            <w:tcW w:w="4740" w:type="dxa"/>
            <w:vAlign w:val="bottom"/>
          </w:tcPr>
          <w:p>
            <w:pPr>
              <w:spacing w:after="0"/>
              <w:rPr>
                <w:sz w:val="20"/>
                <w:szCs w:val="20"/>
                <w:color w:val="auto"/>
              </w:rPr>
            </w:pPr>
            <w:r>
              <w:rPr>
                <w:rFonts w:ascii="Arial" w:cs="Arial" w:eastAsia="Arial" w:hAnsi="Arial"/>
                <w:sz w:val="18"/>
                <w:szCs w:val="18"/>
                <w:b w:val="1"/>
                <w:bCs w:val="1"/>
                <w:color w:val="auto"/>
              </w:rPr>
              <w:t>Product revenues</w:t>
            </w:r>
          </w:p>
        </w:tc>
        <w:tc>
          <w:tcPr>
            <w:tcW w:w="4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112,509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103,433</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229,960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241,319</w:t>
            </w: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4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330,668</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241,592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612,138</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490,860</w:t>
            </w:r>
          </w:p>
        </w:tc>
        <w:tc>
          <w:tcPr>
            <w:tcW w:w="0" w:type="dxa"/>
            <w:vAlign w:val="bottom"/>
          </w:tcPr>
          <w:p>
            <w:pPr>
              <w:spacing w:after="0"/>
              <w:rPr>
                <w:sz w:val="1"/>
                <w:szCs w:val="1"/>
                <w:color w:val="auto"/>
              </w:rPr>
            </w:pP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21,626</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14,873</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39,029</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27,529</w:t>
            </w:r>
          </w:p>
        </w:tc>
        <w:tc>
          <w:tcPr>
            <w:tcW w:w="0" w:type="dxa"/>
            <w:vAlign w:val="bottom"/>
          </w:tcPr>
          <w:p>
            <w:pPr>
              <w:spacing w:after="0"/>
              <w:rPr>
                <w:sz w:val="1"/>
                <w:szCs w:val="1"/>
                <w:color w:val="auto"/>
              </w:rPr>
            </w:pP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464,803</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359,898</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881,127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759,708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Service revenues</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651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1,377</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1,454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4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30,262</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27,870</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62,260</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57,422</w:t>
            </w:r>
          </w:p>
        </w:tc>
        <w:tc>
          <w:tcPr>
            <w:tcW w:w="0" w:type="dxa"/>
            <w:vAlign w:val="bottom"/>
          </w:tcPr>
          <w:p>
            <w:pPr>
              <w:spacing w:after="0"/>
              <w:rPr>
                <w:sz w:val="1"/>
                <w:szCs w:val="1"/>
                <w:color w:val="auto"/>
              </w:rPr>
            </w:pP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45,354</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42,737</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90,847</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87,027</w:t>
            </w:r>
          </w:p>
        </w:tc>
        <w:tc>
          <w:tcPr>
            <w:tcW w:w="0" w:type="dxa"/>
            <w:vAlign w:val="bottom"/>
          </w:tcPr>
          <w:p>
            <w:pPr>
              <w:spacing w:after="0"/>
              <w:rPr>
                <w:sz w:val="1"/>
                <w:szCs w:val="1"/>
                <w:color w:val="auto"/>
              </w:rPr>
            </w:pP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76,267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71,984</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154,561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147,505</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113,160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104,810</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231,414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244,375</w:t>
            </w: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4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360,930</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269,462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674,398</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548,282</w:t>
            </w:r>
          </w:p>
        </w:tc>
        <w:tc>
          <w:tcPr>
            <w:tcW w:w="0" w:type="dxa"/>
            <w:vAlign w:val="bottom"/>
          </w:tcPr>
          <w:p>
            <w:pPr>
              <w:spacing w:after="0"/>
              <w:rPr>
                <w:sz w:val="1"/>
                <w:szCs w:val="1"/>
                <w:color w:val="auto"/>
              </w:rPr>
            </w:pPr>
          </w:p>
        </w:tc>
      </w:tr>
      <w:tr>
        <w:trPr>
          <w:trHeight w:val="256"/>
        </w:trPr>
        <w:tc>
          <w:tcPr>
            <w:tcW w:w="47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66,980</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57,610</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129,876</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114,556</w:t>
            </w:r>
          </w:p>
        </w:tc>
        <w:tc>
          <w:tcPr>
            <w:tcW w:w="0" w:type="dxa"/>
            <w:vAlign w:val="bottom"/>
          </w:tcPr>
          <w:p>
            <w:pPr>
              <w:spacing w:after="0"/>
              <w:rPr>
                <w:sz w:val="1"/>
                <w:szCs w:val="1"/>
                <w:color w:val="auto"/>
              </w:rPr>
            </w:pP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541,070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431,882</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1,035,688</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907,213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Gross profit</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24,719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13,878</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48,432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35,684</w:t>
            </w: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4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121,873</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89,909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227,649</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181,260</w:t>
            </w:r>
          </w:p>
        </w:tc>
        <w:tc>
          <w:tcPr>
            <w:tcW w:w="0" w:type="dxa"/>
            <w:vAlign w:val="bottom"/>
          </w:tcPr>
          <w:p>
            <w:pPr>
              <w:spacing w:after="0"/>
              <w:rPr>
                <w:sz w:val="1"/>
                <w:szCs w:val="1"/>
                <w:color w:val="auto"/>
              </w:rPr>
            </w:pPr>
          </w:p>
        </w:tc>
      </w:tr>
      <w:tr>
        <w:trPr>
          <w:trHeight w:val="257"/>
        </w:trPr>
        <w:tc>
          <w:tcPr>
            <w:tcW w:w="47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27,355</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22,318</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54,234</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44,385</w:t>
            </w:r>
          </w:p>
        </w:tc>
        <w:tc>
          <w:tcPr>
            <w:tcW w:w="0" w:type="dxa"/>
            <w:vAlign w:val="bottom"/>
          </w:tcPr>
          <w:p>
            <w:pPr>
              <w:spacing w:after="0"/>
              <w:rPr>
                <w:sz w:val="1"/>
                <w:szCs w:val="1"/>
                <w:color w:val="auto"/>
              </w:rPr>
            </w:pPr>
          </w:p>
        </w:tc>
      </w:tr>
      <w:tr>
        <w:trPr>
          <w:trHeight w:val="236"/>
        </w:trPr>
        <w:tc>
          <w:tcPr>
            <w:tcW w:w="47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173,947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126,105</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330,315</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261,329</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Operating income (loss)</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Device Solutions</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14,084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5,459</w:t>
            </w: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28,162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17,037</w:t>
            </w: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Networked Solutions</w:t>
            </w:r>
          </w:p>
        </w:tc>
        <w:tc>
          <w:tcPr>
            <w:tcW w:w="4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88,593</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62,282</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163,549</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123,289</w:t>
            </w: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Outcomes</w:t>
            </w:r>
          </w:p>
        </w:tc>
        <w:tc>
          <w:tcPr>
            <w:tcW w:w="480" w:type="dxa"/>
            <w:vAlign w:val="bottom"/>
          </w:tcPr>
          <w:p>
            <w:pPr>
              <w:spacing w:after="0"/>
              <w:rPr>
                <w:sz w:val="21"/>
                <w:szCs w:val="21"/>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12,676</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9,109</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color w:val="auto"/>
              </w:rPr>
              <w:t>25,587</w:t>
            </w:r>
          </w:p>
        </w:tc>
        <w:tc>
          <w:tcPr>
            <w:tcW w:w="440" w:type="dxa"/>
            <w:vAlign w:val="bottom"/>
          </w:tcPr>
          <w:p>
            <w:pPr>
              <w:spacing w:after="0"/>
              <w:rPr>
                <w:sz w:val="21"/>
                <w:szCs w:val="21"/>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17,450</w:t>
            </w:r>
          </w:p>
        </w:tc>
        <w:tc>
          <w:tcPr>
            <w:tcW w:w="0" w:type="dxa"/>
            <w:vAlign w:val="bottom"/>
          </w:tcPr>
          <w:p>
            <w:pPr>
              <w:spacing w:after="0"/>
              <w:rPr>
                <w:sz w:val="1"/>
                <w:szCs w:val="1"/>
                <w:color w:val="auto"/>
              </w:rPr>
            </w:pPr>
          </w:p>
        </w:tc>
      </w:tr>
      <w:tr>
        <w:trPr>
          <w:trHeight w:val="256"/>
        </w:trPr>
        <w:tc>
          <w:tcPr>
            <w:tcW w:w="4740" w:type="dxa"/>
            <w:vAlign w:val="bottom"/>
          </w:tcPr>
          <w:p>
            <w:pPr>
              <w:ind w:left="220"/>
              <w:spacing w:after="0"/>
              <w:rPr>
                <w:sz w:val="20"/>
                <w:szCs w:val="20"/>
                <w:color w:val="auto"/>
              </w:rPr>
            </w:pPr>
            <w:r>
              <w:rPr>
                <w:rFonts w:ascii="Arial" w:cs="Arial" w:eastAsia="Arial" w:hAnsi="Arial"/>
                <w:sz w:val="18"/>
                <w:szCs w:val="18"/>
                <w:color w:val="auto"/>
              </w:rPr>
              <w:t>Corporate unallocated</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(80,253)</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(110,377)</w:t>
            </w:r>
          </w:p>
        </w:tc>
        <w:tc>
          <w:tcPr>
            <w:tcW w:w="2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(192,591)</w:t>
            </w: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(184,484)</w:t>
            </w:r>
          </w:p>
        </w:tc>
        <w:tc>
          <w:tcPr>
            <w:tcW w:w="0" w:type="dxa"/>
            <w:vAlign w:val="bottom"/>
          </w:tcPr>
          <w:p>
            <w:pPr>
              <w:spacing w:after="0"/>
              <w:rPr>
                <w:sz w:val="1"/>
                <w:szCs w:val="1"/>
                <w:color w:val="auto"/>
              </w:rPr>
            </w:pP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Total Company</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35,100</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(33,527)</w:t>
            </w:r>
          </w:p>
        </w:tc>
        <w:tc>
          <w:tcPr>
            <w:tcW w:w="240" w:type="dxa"/>
            <w:vAlign w:val="bottom"/>
          </w:tcPr>
          <w:p>
            <w:pPr>
              <w:spacing w:after="0"/>
              <w:rPr>
                <w:sz w:val="20"/>
                <w:szCs w:val="20"/>
                <w:color w:val="auto"/>
              </w:rPr>
            </w:pP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24,707</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Total Gross Margin</w:t>
            </w: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196"/>
        </w:trPr>
        <w:tc>
          <w:tcPr>
            <w:tcW w:w="47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980" w:type="dxa"/>
            <w:vAlign w:val="bottom"/>
          </w:tcPr>
          <w:p>
            <w:pPr>
              <w:spacing w:after="0"/>
              <w:rPr>
                <w:sz w:val="20"/>
                <w:szCs w:val="20"/>
                <w:color w:val="auto"/>
              </w:rPr>
            </w:pPr>
            <w:r>
              <w:rPr>
                <w:rFonts w:ascii="Arial" w:cs="Arial" w:eastAsia="Arial" w:hAnsi="Arial"/>
                <w:sz w:val="18"/>
                <w:szCs w:val="18"/>
                <w:color w:val="auto"/>
              </w:rPr>
              <w:t>(Unaudited, in thousands)</w:t>
            </w: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June 30, 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0"/>
              </w:rPr>
              <w:t>December 31, 2022</w:t>
            </w:r>
          </w:p>
        </w:tc>
        <w:tc>
          <w:tcPr>
            <w:tcW w:w="0" w:type="dxa"/>
            <w:vAlign w:val="bottom"/>
          </w:tcPr>
          <w:p>
            <w:pPr>
              <w:spacing w:after="0"/>
              <w:rPr>
                <w:sz w:val="1"/>
                <w:szCs w:val="1"/>
                <w:color w:val="auto"/>
              </w:rPr>
            </w:pPr>
          </w:p>
        </w:tc>
      </w:tr>
      <w:tr>
        <w:trPr>
          <w:trHeight w:val="223"/>
        </w:trPr>
        <w:tc>
          <w:tcPr>
            <w:tcW w:w="6980" w:type="dxa"/>
            <w:vAlign w:val="bottom"/>
          </w:tcPr>
          <w:p>
            <w:pPr>
              <w:ind w:left="314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232,787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202,007</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318,809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280,435</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267,042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228,701</w:t>
            </w:r>
          </w:p>
        </w:tc>
        <w:tc>
          <w:tcPr>
            <w:tcW w:w="0" w:type="dxa"/>
            <w:vAlign w:val="bottom"/>
          </w:tcPr>
          <w:p>
            <w:pPr>
              <w:spacing w:after="0"/>
              <w:rPr>
                <w:sz w:val="1"/>
                <w:szCs w:val="1"/>
                <w:color w:val="auto"/>
              </w:rPr>
            </w:pPr>
          </w:p>
        </w:tc>
      </w:tr>
      <w:tr>
        <w:trPr>
          <w:trHeight w:val="257"/>
        </w:trPr>
        <w:tc>
          <w:tcPr>
            <w:tcW w:w="698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151,349</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118,441</w:t>
            </w:r>
          </w:p>
        </w:tc>
        <w:tc>
          <w:tcPr>
            <w:tcW w:w="0" w:type="dxa"/>
            <w:vAlign w:val="bottom"/>
          </w:tcPr>
          <w:p>
            <w:pPr>
              <w:spacing w:after="0"/>
              <w:rPr>
                <w:sz w:val="1"/>
                <w:szCs w:val="1"/>
                <w:color w:val="auto"/>
              </w:rPr>
            </w:pPr>
          </w:p>
        </w:tc>
      </w:tr>
      <w:tr>
        <w:trPr>
          <w:trHeight w:val="224"/>
        </w:trPr>
        <w:tc>
          <w:tcPr>
            <w:tcW w:w="69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969,987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829,584</w:t>
            </w:r>
          </w:p>
        </w:tc>
        <w:tc>
          <w:tcPr>
            <w:tcW w:w="0" w:type="dxa"/>
            <w:vAlign w:val="bottom"/>
          </w:tcPr>
          <w:p>
            <w:pPr>
              <w:spacing w:after="0"/>
              <w:rPr>
                <w:sz w:val="1"/>
                <w:szCs w:val="1"/>
                <w:color w:val="auto"/>
              </w:rPr>
            </w:pPr>
          </w:p>
        </w:tc>
      </w:tr>
      <w:tr>
        <w:trPr>
          <w:trHeight w:val="485"/>
        </w:trPr>
        <w:tc>
          <w:tcPr>
            <w:tcW w:w="69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132,648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140,123</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213,777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211,982</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Other long-term assets</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35,447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39,901</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Operating lease right-of-use assets, net</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44,642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52,826</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55,378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64,941</w:t>
            </w: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1,046,759</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1,038,721</w:t>
            </w:r>
          </w:p>
        </w:tc>
        <w:tc>
          <w:tcPr>
            <w:tcW w:w="0" w:type="dxa"/>
            <w:vAlign w:val="bottom"/>
          </w:tcPr>
          <w:p>
            <w:pPr>
              <w:spacing w:after="0"/>
              <w:rPr>
                <w:sz w:val="1"/>
                <w:szCs w:val="1"/>
                <w:color w:val="auto"/>
              </w:rPr>
            </w:pPr>
          </w:p>
        </w:tc>
      </w:tr>
      <w:tr>
        <w:trPr>
          <w:trHeight w:val="237"/>
        </w:trPr>
        <w:tc>
          <w:tcPr>
            <w:tcW w:w="698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2,498,638</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2,378,078</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234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234,928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237,178</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52,834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42,869</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Wages and benefits payable</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99,611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89,431</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Taxes payable</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14,365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15,324</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Current portion of warranty</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17,847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18,203</w:t>
            </w:r>
          </w:p>
        </w:tc>
        <w:tc>
          <w:tcPr>
            <w:tcW w:w="0" w:type="dxa"/>
            <w:vAlign w:val="bottom"/>
          </w:tcPr>
          <w:p>
            <w:pPr>
              <w:spacing w:after="0"/>
              <w:rPr>
                <w:sz w:val="1"/>
                <w:szCs w:val="1"/>
                <w:color w:val="auto"/>
              </w:rPr>
            </w:pPr>
          </w:p>
        </w:tc>
      </w:tr>
      <w:tr>
        <w:trPr>
          <w:trHeight w:val="256"/>
        </w:trPr>
        <w:tc>
          <w:tcPr>
            <w:tcW w:w="6980" w:type="dxa"/>
            <w:vAlign w:val="bottom"/>
          </w:tcPr>
          <w:p>
            <w:pPr>
              <w:ind w:left="220"/>
              <w:spacing w:after="0"/>
              <w:rPr>
                <w:sz w:val="20"/>
                <w:szCs w:val="20"/>
                <w:color w:val="auto"/>
              </w:rPr>
            </w:pPr>
            <w:r>
              <w:rPr>
                <w:rFonts w:ascii="Arial" w:cs="Arial" w:eastAsia="Arial" w:hAnsi="Arial"/>
                <w:sz w:val="18"/>
                <w:szCs w:val="18"/>
                <w:color w:val="auto"/>
              </w:rPr>
              <w:t>Unearned revenue</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140,335</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95,567</w:t>
            </w:r>
          </w:p>
        </w:tc>
        <w:tc>
          <w:tcPr>
            <w:tcW w:w="0" w:type="dxa"/>
            <w:vAlign w:val="bottom"/>
          </w:tcPr>
          <w:p>
            <w:pPr>
              <w:spacing w:after="0"/>
              <w:rPr>
                <w:sz w:val="1"/>
                <w:szCs w:val="1"/>
                <w:color w:val="auto"/>
              </w:rPr>
            </w:pPr>
          </w:p>
        </w:tc>
      </w:tr>
      <w:tr>
        <w:trPr>
          <w:trHeight w:val="224"/>
        </w:trPr>
        <w:tc>
          <w:tcPr>
            <w:tcW w:w="69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559,920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498,572</w:t>
            </w:r>
          </w:p>
        </w:tc>
        <w:tc>
          <w:tcPr>
            <w:tcW w:w="0" w:type="dxa"/>
            <w:vAlign w:val="bottom"/>
          </w:tcPr>
          <w:p>
            <w:pPr>
              <w:spacing w:after="0"/>
              <w:rPr>
                <w:sz w:val="1"/>
                <w:szCs w:val="1"/>
                <w:color w:val="auto"/>
              </w:rPr>
            </w:pPr>
          </w:p>
        </w:tc>
      </w:tr>
      <w:tr>
        <w:trPr>
          <w:trHeight w:val="485"/>
        </w:trPr>
        <w:tc>
          <w:tcPr>
            <w:tcW w:w="6980" w:type="dxa"/>
            <w:vAlign w:val="bottom"/>
          </w:tcPr>
          <w:p>
            <w:pPr>
              <w:spacing w:after="0"/>
              <w:rPr>
                <w:sz w:val="20"/>
                <w:szCs w:val="20"/>
                <w:color w:val="auto"/>
              </w:rPr>
            </w:pPr>
            <w:r>
              <w:rPr>
                <w:rFonts w:ascii="Arial" w:cs="Arial" w:eastAsia="Arial" w:hAnsi="Arial"/>
                <w:sz w:val="18"/>
                <w:szCs w:val="18"/>
                <w:color w:val="auto"/>
              </w:rPr>
              <w:t>Long-term debt, net</w:t>
            </w:r>
          </w:p>
        </w:tc>
        <w:tc>
          <w:tcPr>
            <w:tcW w:w="340" w:type="dxa"/>
            <w:vAlign w:val="bottom"/>
          </w:tcPr>
          <w:p>
            <w:pPr>
              <w:spacing w:after="0"/>
              <w:rPr>
                <w:sz w:val="24"/>
                <w:szCs w:val="24"/>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453,667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452,526</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Long-term warranty</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7,639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Pension benefit obligation</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59,739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57,839</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43"/>
        </w:trPr>
        <w:tc>
          <w:tcPr>
            <w:tcW w:w="69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35,944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44,370</w:t>
            </w:r>
          </w:p>
        </w:tc>
        <w:tc>
          <w:tcPr>
            <w:tcW w:w="0" w:type="dxa"/>
            <w:vAlign w:val="bottom"/>
          </w:tcPr>
          <w:p>
            <w:pPr>
              <w:spacing w:after="0"/>
              <w:rPr>
                <w:sz w:val="1"/>
                <w:szCs w:val="1"/>
                <w:color w:val="auto"/>
              </w:rPr>
            </w:pPr>
          </w:p>
        </w:tc>
      </w:tr>
      <w:tr>
        <w:trPr>
          <w:trHeight w:val="256"/>
        </w:trPr>
        <w:tc>
          <w:tcPr>
            <w:tcW w:w="6980" w:type="dxa"/>
            <w:vAlign w:val="bottom"/>
          </w:tcPr>
          <w:p>
            <w:pPr>
              <w:spacing w:after="0"/>
              <w:rPr>
                <w:sz w:val="20"/>
                <w:szCs w:val="20"/>
                <w:color w:val="auto"/>
              </w:rPr>
            </w:pPr>
            <w:r>
              <w:rPr>
                <w:rFonts w:ascii="Arial" w:cs="Arial" w:eastAsia="Arial" w:hAnsi="Arial"/>
                <w:sz w:val="18"/>
                <w:szCs w:val="18"/>
                <w:color w:val="auto"/>
              </w:rPr>
              <w:t>Other long-term obligations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151,989</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124,887</w:t>
            </w:r>
          </w:p>
        </w:tc>
        <w:tc>
          <w:tcPr>
            <w:tcW w:w="0" w:type="dxa"/>
            <w:vAlign w:val="bottom"/>
          </w:tcPr>
          <w:p>
            <w:pPr>
              <w:spacing w:after="0"/>
              <w:rPr>
                <w:sz w:val="1"/>
                <w:szCs w:val="1"/>
                <w:color w:val="auto"/>
              </w:rPr>
            </w:pPr>
          </w:p>
        </w:tc>
      </w:tr>
      <w:tr>
        <w:trPr>
          <w:trHeight w:val="224"/>
        </w:trPr>
        <w:tc>
          <w:tcPr>
            <w:tcW w:w="69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1,269,751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1,186,522</w:t>
            </w:r>
          </w:p>
        </w:tc>
        <w:tc>
          <w:tcPr>
            <w:tcW w:w="0" w:type="dxa"/>
            <w:vAlign w:val="bottom"/>
          </w:tcPr>
          <w:p>
            <w:pPr>
              <w:spacing w:after="0"/>
              <w:rPr>
                <w:sz w:val="1"/>
                <w:szCs w:val="1"/>
                <w:color w:val="auto"/>
              </w:rPr>
            </w:pPr>
          </w:p>
        </w:tc>
      </w:tr>
      <w:tr>
        <w:trPr>
          <w:trHeight w:val="485"/>
        </w:trPr>
        <w:tc>
          <w:tcPr>
            <w:tcW w:w="6980" w:type="dxa"/>
            <w:vAlign w:val="bottom"/>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21"/>
                <w:szCs w:val="21"/>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1,803,813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1,788,479</w:t>
            </w:r>
          </w:p>
        </w:tc>
        <w:tc>
          <w:tcPr>
            <w:tcW w:w="0" w:type="dxa"/>
            <w:vAlign w:val="bottom"/>
          </w:tcPr>
          <w:p>
            <w:pPr>
              <w:spacing w:after="0"/>
              <w:rPr>
                <w:sz w:val="1"/>
                <w:szCs w:val="1"/>
                <w:color w:val="auto"/>
              </w:rPr>
            </w:pPr>
          </w:p>
        </w:tc>
      </w:tr>
      <w:tr>
        <w:trPr>
          <w:trHeight w:val="243"/>
        </w:trPr>
        <w:tc>
          <w:tcPr>
            <w:tcW w:w="6980" w:type="dxa"/>
            <w:vAlign w:val="bottom"/>
          </w:tcPr>
          <w:p>
            <w:pPr>
              <w:ind w:left="220"/>
              <w:spacing w:after="0"/>
              <w:rPr>
                <w:sz w:val="20"/>
                <w:szCs w:val="20"/>
                <w:color w:val="auto"/>
              </w:rPr>
            </w:pPr>
            <w:r>
              <w:rPr>
                <w:rFonts w:ascii="Arial" w:cs="Arial" w:eastAsia="Arial" w:hAnsi="Arial"/>
                <w:sz w:val="18"/>
                <w:szCs w:val="18"/>
                <w:color w:val="auto"/>
              </w:rPr>
              <w:t>Accumulated other comprehensive loss, net</w:t>
            </w:r>
          </w:p>
        </w:tc>
        <w:tc>
          <w:tcPr>
            <w:tcW w:w="34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color w:val="auto"/>
              </w:rPr>
              <w:t>(85,722)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(94,674)</w:t>
            </w:r>
          </w:p>
        </w:tc>
        <w:tc>
          <w:tcPr>
            <w:tcW w:w="0" w:type="dxa"/>
            <w:vAlign w:val="bottom"/>
          </w:tcPr>
          <w:p>
            <w:pPr>
              <w:spacing w:after="0"/>
              <w:rPr>
                <w:sz w:val="1"/>
                <w:szCs w:val="1"/>
                <w:color w:val="auto"/>
              </w:rPr>
            </w:pPr>
          </w:p>
        </w:tc>
      </w:tr>
      <w:tr>
        <w:trPr>
          <w:trHeight w:val="256"/>
        </w:trPr>
        <w:tc>
          <w:tcPr>
            <w:tcW w:w="698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(512,967)</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(525,332)</w:t>
            </w:r>
          </w:p>
        </w:tc>
        <w:tc>
          <w:tcPr>
            <w:tcW w:w="0" w:type="dxa"/>
            <w:vAlign w:val="bottom"/>
          </w:tcPr>
          <w:p>
            <w:pPr>
              <w:spacing w:after="0"/>
              <w:rPr>
                <w:sz w:val="1"/>
                <w:szCs w:val="1"/>
                <w:color w:val="auto"/>
              </w:rPr>
            </w:pPr>
          </w:p>
        </w:tc>
      </w:tr>
      <w:tr>
        <w:trPr>
          <w:trHeight w:val="224"/>
        </w:trPr>
        <w:tc>
          <w:tcPr>
            <w:tcW w:w="6980" w:type="dxa"/>
            <w:vAlign w:val="bottom"/>
          </w:tcPr>
          <w:p>
            <w:pPr>
              <w:ind w:left="420"/>
              <w:spacing w:after="0"/>
              <w:rPr>
                <w:sz w:val="20"/>
                <w:szCs w:val="20"/>
                <w:color w:val="auto"/>
              </w:rPr>
            </w:pPr>
            <w:r>
              <w:rPr>
                <w:rFonts w:ascii="Arial" w:cs="Arial" w:eastAsia="Arial" w:hAnsi="Arial"/>
                <w:sz w:val="18"/>
                <w:szCs w:val="18"/>
                <w:color w:val="auto"/>
              </w:rPr>
              <w:t>Total Itron, Inc. shareholders' equity</w:t>
            </w:r>
          </w:p>
        </w:tc>
        <w:tc>
          <w:tcPr>
            <w:tcW w:w="340" w:type="dxa"/>
            <w:vAlign w:val="bottom"/>
          </w:tcPr>
          <w:p>
            <w:pPr>
              <w:spacing w:after="0"/>
              <w:rPr>
                <w:sz w:val="19"/>
                <w:szCs w:val="19"/>
                <w:color w:val="auto"/>
              </w:rPr>
            </w:pP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1,205,124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color w:val="auto"/>
              </w:rPr>
              <w:t>1,168,473</w:t>
            </w:r>
          </w:p>
        </w:tc>
        <w:tc>
          <w:tcPr>
            <w:tcW w:w="0" w:type="dxa"/>
            <w:vAlign w:val="bottom"/>
          </w:tcPr>
          <w:p>
            <w:pPr>
              <w:spacing w:after="0"/>
              <w:rPr>
                <w:sz w:val="1"/>
                <w:szCs w:val="1"/>
                <w:color w:val="auto"/>
              </w:rPr>
            </w:pPr>
          </w:p>
        </w:tc>
      </w:tr>
      <w:tr>
        <w:trPr>
          <w:trHeight w:val="256"/>
        </w:trPr>
        <w:tc>
          <w:tcPr>
            <w:tcW w:w="698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34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23,763</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23,083</w:t>
            </w:r>
          </w:p>
        </w:tc>
        <w:tc>
          <w:tcPr>
            <w:tcW w:w="0" w:type="dxa"/>
            <w:vAlign w:val="bottom"/>
          </w:tcPr>
          <w:p>
            <w:pPr>
              <w:spacing w:after="0"/>
              <w:rPr>
                <w:sz w:val="1"/>
                <w:szCs w:val="1"/>
                <w:color w:val="auto"/>
              </w:rPr>
            </w:pPr>
          </w:p>
        </w:tc>
      </w:tr>
      <w:tr>
        <w:trPr>
          <w:trHeight w:val="236"/>
        </w:trPr>
        <w:tc>
          <w:tcPr>
            <w:tcW w:w="6980" w:type="dxa"/>
            <w:vAlign w:val="bottom"/>
          </w:tcPr>
          <w:p>
            <w:pPr>
              <w:ind w:left="42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1,228,887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1,191,556</w:t>
            </w:r>
          </w:p>
        </w:tc>
        <w:tc>
          <w:tcPr>
            <w:tcW w:w="0" w:type="dxa"/>
            <w:vAlign w:val="bottom"/>
          </w:tcPr>
          <w:p>
            <w:pPr>
              <w:spacing w:after="0"/>
              <w:rPr>
                <w:sz w:val="1"/>
                <w:szCs w:val="1"/>
                <w:color w:val="auto"/>
              </w:rPr>
            </w:pPr>
          </w:p>
        </w:tc>
      </w:tr>
      <w:tr>
        <w:trPr>
          <w:trHeight w:val="237"/>
        </w:trPr>
        <w:tc>
          <w:tcPr>
            <w:tcW w:w="698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2,498,638</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2,378,078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5"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9"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(Unaudited, in thousands)</w:t>
      </w:r>
      <w:r>
        <w:rPr>
          <w:sz w:val="20"/>
          <w:szCs w:val="20"/>
          <w:color w:val="auto"/>
        </w:rPr>
        <w:tab/>
      </w:r>
      <w:r>
        <w:rPr>
          <w:rFonts w:ascii="Arial" w:cs="Arial" w:eastAsia="Arial" w:hAnsi="Arial"/>
          <w:sz w:val="16"/>
          <w:szCs w:val="16"/>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26035</wp:posOffset>
            </wp:positionV>
            <wp:extent cx="27089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30" w:lineRule="exact"/>
        <w:rPr>
          <w:sz w:val="20"/>
          <w:szCs w:val="20"/>
          <w:color w:val="auto"/>
        </w:rPr>
      </w:pPr>
    </w:p>
    <w:p>
      <w:pPr>
        <w:jc w:val="both"/>
        <w:ind w:left="7800"/>
        <w:spacing w:after="0"/>
        <w:tabs>
          <w:tab w:leader="none" w:pos="1002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26035</wp:posOffset>
            </wp:positionV>
            <wp:extent cx="27089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Operating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income (loss)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Depreciation and amortization of intangible assets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Non-cash operating lease expense</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of prepaid debt fees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taxes,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Loss on sale of business</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Goodwill impairment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non-cash</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adjustments, net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Changes in operating assets and liabilities, net of acquisition and sale of business:</w:t>
      </w:r>
    </w:p>
    <w:p>
      <w:pPr>
        <w:spacing w:after="0" w:line="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receivable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Inventories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current assets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long-term assets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Accounts payable, other current liabilities, and taxes payable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Wages and benefits payable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Unearned revenue</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Warranty</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Restructuring</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operating,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provided by operating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Investing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Net proceeds (payments) related to the sale of business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Acquisitions of property, plant, and equipment</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Business acquisitions, net of cash and cash equivalents acquired</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investing,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provided by (used in)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Issuance of common stock</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Repurchase of common stock</w:t>
      </w:r>
    </w:p>
    <w:p>
      <w:pPr>
        <w:spacing w:after="0" w:line="3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Prepaid debt fees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financing, net</w:t>
      </w:r>
    </w:p>
    <w:p>
      <w:pPr>
        <w:spacing w:after="0" w:line="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cash provided by (used in) financing activities</w:t>
      </w:r>
    </w:p>
    <w:p>
      <w:pPr>
        <w:spacing w:after="0" w:line="293" w:lineRule="exact"/>
        <w:rPr>
          <w:sz w:val="20"/>
          <w:szCs w:val="20"/>
          <w:color w:val="auto"/>
        </w:rPr>
      </w:pPr>
    </w:p>
    <w:p>
      <w:pPr>
        <w:ind w:right="1480"/>
        <w:spacing w:after="0" w:line="289" w:lineRule="auto"/>
        <w:rPr>
          <w:sz w:val="20"/>
          <w:szCs w:val="20"/>
          <w:color w:val="auto"/>
        </w:rPr>
      </w:pPr>
      <w:r>
        <w:rPr>
          <w:rFonts w:ascii="Arial" w:cs="Arial" w:eastAsia="Arial" w:hAnsi="Arial"/>
          <w:sz w:val="18"/>
          <w:szCs w:val="18"/>
          <w:color w:val="auto"/>
        </w:rPr>
        <w:t>Effect of foreign exchange rate changes on cash and cash equivalents Increase in cash and cash equivalents</w:t>
      </w:r>
    </w:p>
    <w:p>
      <w:pPr>
        <w:spacing w:after="0" w:line="1" w:lineRule="exact"/>
        <w:rPr>
          <w:sz w:val="20"/>
          <w:szCs w:val="20"/>
          <w:color w:val="auto"/>
        </w:rPr>
      </w:pPr>
    </w:p>
    <w:p>
      <w:pPr>
        <w:ind w:right="2940"/>
        <w:spacing w:after="0" w:line="430" w:lineRule="auto"/>
        <w:rPr>
          <w:sz w:val="20"/>
          <w:szCs w:val="20"/>
          <w:color w:val="auto"/>
        </w:rPr>
      </w:pPr>
      <w:r>
        <w:rPr>
          <w:rFonts w:ascii="Arial" w:cs="Arial" w:eastAsia="Arial" w:hAnsi="Arial"/>
          <w:sz w:val="16"/>
          <w:szCs w:val="16"/>
          <w:color w:val="auto"/>
        </w:rPr>
        <w:t>Cash and cash equivalents at beginning of period 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13,066</w:t>
            </w: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(35,969)</w:t>
            </w:r>
          </w:p>
        </w:tc>
      </w:tr>
      <w:tr>
        <w:trPr>
          <w:trHeight w:val="486"/>
        </w:trPr>
        <w:tc>
          <w:tcPr>
            <w:tcW w:w="72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28,368</w:t>
            </w:r>
          </w:p>
        </w:tc>
        <w:tc>
          <w:tcPr>
            <w:tcW w:w="8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33,251</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8,141</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8,234</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13,694</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12,532</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1,820</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1,720</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(2,509)</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(4,061)</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630</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2,415</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38,480</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922</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(817)</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(199)</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194</w:t>
            </w:r>
          </w:p>
        </w:tc>
      </w:tr>
      <w:tr>
        <w:trPr>
          <w:trHeight w:val="486"/>
        </w:trPr>
        <w:tc>
          <w:tcPr>
            <w:tcW w:w="72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(34,681)</w:t>
            </w:r>
          </w:p>
        </w:tc>
        <w:tc>
          <w:tcPr>
            <w:tcW w:w="8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28,924</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(36,466)</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(13,592)</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(33,554)</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(10,688)</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5,595</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(3,134)</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4,670</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(16,611)</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9,040</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(22,264)</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42,919</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36,093</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(440)</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(2,501)</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31,181</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(23,448)</w:t>
            </w:r>
          </w:p>
        </w:tc>
      </w:tr>
      <w:tr>
        <w:trPr>
          <w:trHeight w:val="250"/>
        </w:trPr>
        <w:tc>
          <w:tcPr>
            <w:tcW w:w="7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(9,208)</w:t>
            </w:r>
          </w:p>
        </w:tc>
        <w:tc>
          <w:tcPr>
            <w:tcW w:w="8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(6,102)</w:t>
            </w:r>
          </w:p>
        </w:tc>
      </w:tr>
      <w:tr>
        <w:trPr>
          <w:trHeight w:val="230"/>
        </w:trPr>
        <w:tc>
          <w:tcPr>
            <w:tcW w:w="72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42,989</w:t>
            </w:r>
          </w:p>
        </w:tc>
        <w:tc>
          <w:tcPr>
            <w:tcW w:w="8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22,656</w:t>
            </w:r>
          </w:p>
        </w:tc>
      </w:tr>
      <w:tr>
        <w:trPr>
          <w:trHeight w:val="728"/>
        </w:trPr>
        <w:tc>
          <w:tcPr>
            <w:tcW w:w="72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(772)</w:t>
            </w:r>
          </w:p>
        </w:tc>
        <w:tc>
          <w:tcPr>
            <w:tcW w:w="8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55,933</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(12,498)</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(10,663)</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50"/>
        </w:trPr>
        <w:tc>
          <w:tcPr>
            <w:tcW w:w="7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50</w:t>
            </w:r>
          </w:p>
        </w:tc>
        <w:tc>
          <w:tcPr>
            <w:tcW w:w="8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1,722</w:t>
            </w:r>
          </w:p>
        </w:tc>
      </w:tr>
      <w:tr>
        <w:trPr>
          <w:trHeight w:val="230"/>
        </w:trPr>
        <w:tc>
          <w:tcPr>
            <w:tcW w:w="72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(13,220)</w:t>
            </w:r>
          </w:p>
        </w:tc>
        <w:tc>
          <w:tcPr>
            <w:tcW w:w="8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47,015</w:t>
            </w:r>
          </w:p>
        </w:tc>
      </w:tr>
      <w:tr>
        <w:trPr>
          <w:trHeight w:val="728"/>
        </w:trPr>
        <w:tc>
          <w:tcPr>
            <w:tcW w:w="720" w:type="dxa"/>
            <w:vAlign w:val="bottom"/>
          </w:tcPr>
          <w:p>
            <w:pPr>
              <w:spacing w:after="0"/>
              <w:rPr>
                <w:sz w:val="24"/>
                <w:szCs w:val="24"/>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1,641</w:t>
            </w:r>
          </w:p>
        </w:tc>
        <w:tc>
          <w:tcPr>
            <w:tcW w:w="84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1,797</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(16,972)</w:t>
            </w:r>
          </w:p>
        </w:tc>
      </w:tr>
      <w:tr>
        <w:trPr>
          <w:trHeight w:val="243"/>
        </w:trPr>
        <w:tc>
          <w:tcPr>
            <w:tcW w:w="720" w:type="dxa"/>
            <w:vAlign w:val="bottom"/>
          </w:tcPr>
          <w:p>
            <w:pPr>
              <w:spacing w:after="0"/>
              <w:rPr>
                <w:sz w:val="21"/>
                <w:szCs w:val="21"/>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rPr>
              <w:t>(517)</w:t>
            </w:r>
          </w:p>
        </w:tc>
        <w:tc>
          <w:tcPr>
            <w:tcW w:w="8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(695)</w:t>
            </w:r>
          </w:p>
        </w:tc>
      </w:tr>
      <w:tr>
        <w:trPr>
          <w:trHeight w:val="250"/>
        </w:trPr>
        <w:tc>
          <w:tcPr>
            <w:tcW w:w="7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(354)</w:t>
            </w:r>
          </w:p>
        </w:tc>
        <w:tc>
          <w:tcPr>
            <w:tcW w:w="8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(4,206)</w:t>
            </w:r>
          </w:p>
        </w:tc>
      </w:tr>
      <w:tr>
        <w:trPr>
          <w:trHeight w:val="230"/>
        </w:trPr>
        <w:tc>
          <w:tcPr>
            <w:tcW w:w="72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770</w:t>
            </w:r>
          </w:p>
        </w:tc>
        <w:tc>
          <w:tcPr>
            <w:tcW w:w="8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(20,076)</w:t>
            </w:r>
          </w:p>
        </w:tc>
      </w:tr>
      <w:tr>
        <w:trPr>
          <w:trHeight w:val="492"/>
        </w:trPr>
        <w:tc>
          <w:tcPr>
            <w:tcW w:w="7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241</w:t>
            </w:r>
          </w:p>
        </w:tc>
        <w:tc>
          <w:tcPr>
            <w:tcW w:w="8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(3,674)</w:t>
            </w:r>
          </w:p>
        </w:tc>
      </w:tr>
      <w:tr>
        <w:trPr>
          <w:trHeight w:val="230"/>
        </w:trPr>
        <w:tc>
          <w:tcPr>
            <w:tcW w:w="72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Arial" w:cs="Arial" w:eastAsia="Arial" w:hAnsi="Arial"/>
                <w:sz w:val="18"/>
                <w:szCs w:val="18"/>
                <w:color w:val="auto"/>
              </w:rPr>
              <w:t>30,780</w:t>
            </w:r>
          </w:p>
        </w:tc>
        <w:tc>
          <w:tcPr>
            <w:tcW w:w="840" w:type="dxa"/>
            <w:vAlign w:val="bottom"/>
          </w:tcPr>
          <w:p>
            <w:pPr>
              <w:spacing w:after="0"/>
              <w:rPr>
                <w:sz w:val="20"/>
                <w:szCs w:val="20"/>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45,921</w:t>
            </w:r>
          </w:p>
        </w:tc>
      </w:tr>
      <w:tr>
        <w:trPr>
          <w:trHeight w:val="249"/>
        </w:trPr>
        <w:tc>
          <w:tcPr>
            <w:tcW w:w="7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202,007</w:t>
            </w:r>
          </w:p>
        </w:tc>
        <w:tc>
          <w:tcPr>
            <w:tcW w:w="8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162,579</w:t>
            </w:r>
          </w:p>
        </w:tc>
      </w:tr>
      <w:tr>
        <w:trPr>
          <w:trHeight w:val="237"/>
        </w:trPr>
        <w:tc>
          <w:tcPr>
            <w:tcW w:w="7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232,787</w:t>
            </w:r>
          </w:p>
        </w:tc>
        <w:tc>
          <w:tcPr>
            <w:tcW w:w="8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208,500</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80" w:space="500"/>
            <w:col w:w="4260"/>
          </w:cols>
          <w:pgMar w:left="320" w:top="135"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About Non-GAAP Financial Measures</w:t>
      </w:r>
    </w:p>
    <w:p>
      <w:pPr>
        <w:spacing w:after="0" w:line="212" w:lineRule="exact"/>
        <w:rPr>
          <w:sz w:val="20"/>
          <w:szCs w:val="20"/>
          <w:color w:val="auto"/>
        </w:rPr>
      </w:pPr>
    </w:p>
    <w:p>
      <w:pPr>
        <w:ind w:right="220"/>
        <w:spacing w:after="0" w:line="277" w:lineRule="auto"/>
        <w:rPr>
          <w:sz w:val="20"/>
          <w:szCs w:val="20"/>
          <w:color w:val="auto"/>
        </w:rPr>
      </w:pPr>
      <w:r>
        <w:rPr>
          <w:rFonts w:ascii="Arial" w:cs="Arial" w:eastAsia="Arial" w:hAnsi="Arial"/>
          <w:sz w:val="19"/>
          <w:szCs w:val="19"/>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5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strategic initiative expenses, goodwill impairment,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200" w:lineRule="exact"/>
        <w:rPr>
          <w:sz w:val="20"/>
          <w:szCs w:val="20"/>
          <w:color w:val="auto"/>
        </w:rPr>
      </w:pPr>
    </w:p>
    <w:p>
      <w:pPr>
        <w:spacing w:after="0" w:line="208" w:lineRule="exact"/>
        <w:rPr>
          <w:sz w:val="20"/>
          <w:szCs w:val="20"/>
          <w:color w:val="auto"/>
        </w:rPr>
      </w:pPr>
    </w:p>
    <w:p>
      <w:pPr>
        <w:ind w:right="180"/>
        <w:spacing w:after="0" w:line="270" w:lineRule="auto"/>
        <w:rPr>
          <w:sz w:val="20"/>
          <w:szCs w:val="20"/>
          <w:color w:val="auto"/>
        </w:rPr>
      </w:pPr>
      <w:r>
        <w:rPr>
          <w:rFonts w:ascii="Arial" w:cs="Arial" w:eastAsia="Arial" w:hAnsi="Arial"/>
          <w:sz w:val="19"/>
          <w:szCs w:val="19"/>
          <w:i w:val="1"/>
          <w:iCs w:val="1"/>
          <w:u w:val="single" w:color="auto"/>
          <w:color w:val="auto"/>
        </w:rPr>
        <w:t>Non-GAAP operating expenses</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non-GAAP operating income</w:t>
      </w:r>
      <w:r>
        <w:rPr>
          <w:rFonts w:ascii="Arial" w:cs="Arial" w:eastAsia="Arial" w:hAnsi="Arial"/>
          <w:sz w:val="19"/>
          <w:szCs w:val="19"/>
          <w:i w:val="1"/>
          <w:iCs w:val="1"/>
          <w:color w:val="auto"/>
        </w:rPr>
        <w:t xml:space="preserve"> </w:t>
      </w:r>
      <w:r>
        <w:rPr>
          <w:rFonts w:ascii="Arial" w:cs="Arial" w:eastAsia="Arial" w:hAnsi="Arial"/>
          <w:sz w:val="19"/>
          <w:szCs w:val="19"/>
          <w:color w:val="auto"/>
        </w:rPr>
        <w:t>– We define non-GAAP operating expenses as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expenses excluding certain expenses related to the amortization of intangible assets, restructuring, loss on sale of business, strategic initiative expenses, goodwill impairment, and acquisition and integration. We define non-GAAP operating income as operating income (loss) excluding the expenses related to the amortization of intangible assets, restructuring, loss on sale of business, strategic initiative expenses, goodwill impairment, and acquisition and integration.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ind w:right="20"/>
        <w:spacing w:after="0" w:line="273" w:lineRule="auto"/>
        <w:rPr>
          <w:sz w:val="20"/>
          <w:szCs w:val="20"/>
          <w:color w:val="auto"/>
        </w:rPr>
      </w:pPr>
      <w:r>
        <w:rPr>
          <w:rFonts w:ascii="Arial" w:cs="Arial" w:eastAsia="Arial" w:hAnsi="Arial"/>
          <w:sz w:val="19"/>
          <w:szCs w:val="19"/>
          <w:i w:val="1"/>
          <w:iCs w:val="1"/>
          <w:u w:val="single" w:color="auto"/>
          <w:color w:val="auto"/>
        </w:rPr>
        <w:t>Non-GAAP net income</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and</w:t>
      </w:r>
      <w:r>
        <w:rPr>
          <w:rFonts w:ascii="Arial" w:cs="Arial" w:eastAsia="Arial" w:hAnsi="Arial"/>
          <w:sz w:val="19"/>
          <w:szCs w:val="19"/>
          <w:i w:val="1"/>
          <w:iCs w:val="1"/>
          <w:color w:val="auto"/>
        </w:rPr>
        <w:t xml:space="preserve"> </w:t>
      </w:r>
      <w:r>
        <w:rPr>
          <w:rFonts w:ascii="Arial" w:cs="Arial" w:eastAsia="Arial" w:hAnsi="Arial"/>
          <w:sz w:val="19"/>
          <w:szCs w:val="19"/>
          <w:i w:val="1"/>
          <w:iCs w:val="1"/>
          <w:u w:val="single" w:color="auto"/>
          <w:color w:val="auto"/>
        </w:rPr>
        <w:t>non-GAAP diluted EPS</w:t>
      </w:r>
      <w:r>
        <w:rPr>
          <w:rFonts w:ascii="Arial" w:cs="Arial" w:eastAsia="Arial" w:hAnsi="Arial"/>
          <w:sz w:val="19"/>
          <w:szCs w:val="19"/>
          <w:i w:val="1"/>
          <w:iCs w:val="1"/>
          <w:color w:val="auto"/>
        </w:rPr>
        <w:t xml:space="preserve"> </w:t>
      </w:r>
      <w:r>
        <w:rPr>
          <w:rFonts w:ascii="Arial" w:cs="Arial" w:eastAsia="Arial" w:hAnsi="Arial"/>
          <w:sz w:val="19"/>
          <w:szCs w:val="19"/>
          <w:color w:val="auto"/>
        </w:rPr>
        <w:t>– We define non-GAAP net income as net income (loss) attributable to Itron,</w:t>
      </w:r>
      <w:r>
        <w:rPr>
          <w:rFonts w:ascii="Arial" w:cs="Arial" w:eastAsia="Arial" w:hAnsi="Arial"/>
          <w:sz w:val="19"/>
          <w:szCs w:val="19"/>
          <w:i w:val="1"/>
          <w:iCs w:val="1"/>
          <w:color w:val="auto"/>
        </w:rPr>
        <w:t xml:space="preserve"> </w:t>
      </w:r>
      <w:r>
        <w:rPr>
          <w:rFonts w:ascii="Arial" w:cs="Arial" w:eastAsia="Arial" w:hAnsi="Arial"/>
          <w:sz w:val="19"/>
          <w:szCs w:val="19"/>
          <w:color w:val="auto"/>
        </w:rPr>
        <w:t>Inc. excluding the expenses associated with amortization of intangible assets, amortization of debt placement fees, restructuring, loss on sale of business, strategic initiative expenses, goodwill impairment, acquisition and integration,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155"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87" w:lineRule="exact"/>
        <w:rPr>
          <w:sz w:val="20"/>
          <w:szCs w:val="20"/>
          <w:color w:val="auto"/>
        </w:rPr>
      </w:pPr>
    </w:p>
    <w:p>
      <w:pPr>
        <w:spacing w:after="0" w:line="246" w:lineRule="auto"/>
        <w:rPr>
          <w:sz w:val="20"/>
          <w:szCs w:val="20"/>
          <w:color w:val="auto"/>
        </w:rPr>
      </w:pPr>
      <w:r>
        <w:rPr>
          <w:rFonts w:ascii="Arial" w:cs="Arial" w:eastAsia="Arial" w:hAnsi="Arial"/>
          <w:sz w:val="21"/>
          <w:szCs w:val="21"/>
          <w:i w:val="1"/>
          <w:iCs w:val="1"/>
          <w:u w:val="single" w:color="auto"/>
          <w:color w:val="auto"/>
        </w:rPr>
        <w:t>Adjusted EBITDA</w:t>
      </w:r>
      <w:r>
        <w:rPr>
          <w:rFonts w:ascii="Arial" w:cs="Arial" w:eastAsia="Arial" w:hAnsi="Arial"/>
          <w:sz w:val="21"/>
          <w:szCs w:val="21"/>
          <w:i w:val="1"/>
          <w:iCs w:val="1"/>
          <w:color w:val="auto"/>
        </w:rPr>
        <w:t xml:space="preserve"> </w:t>
      </w:r>
      <w:r>
        <w:rPr>
          <w:rFonts w:ascii="Arial" w:cs="Arial" w:eastAsia="Arial" w:hAnsi="Arial"/>
          <w:sz w:val="21"/>
          <w:szCs w:val="21"/>
          <w:color w:val="auto"/>
        </w:rPr>
        <w:t>– We define adjusted EBITDA as net income (loss) (a) minus interest income, (b) plus interest expense,</w:t>
      </w:r>
      <w:r>
        <w:rPr>
          <w:rFonts w:ascii="Arial" w:cs="Arial" w:eastAsia="Arial" w:hAnsi="Arial"/>
          <w:sz w:val="21"/>
          <w:szCs w:val="21"/>
          <w:i w:val="1"/>
          <w:iCs w:val="1"/>
          <w:color w:val="auto"/>
        </w:rPr>
        <w:t xml:space="preserve"> </w:t>
      </w:r>
      <w:r>
        <w:rPr>
          <w:rFonts w:ascii="Arial" w:cs="Arial" w:eastAsia="Arial" w:hAnsi="Arial"/>
          <w:sz w:val="21"/>
          <w:szCs w:val="21"/>
          <w:color w:val="auto"/>
        </w:rPr>
        <w:t>depreciation and amortization, restructuring, loss on sale of business, strategic initiative expenses, goodwill impairment, acquisition and integration,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80" w:lineRule="exact"/>
        <w:rPr>
          <w:sz w:val="20"/>
          <w:szCs w:val="20"/>
          <w:color w:val="auto"/>
        </w:rPr>
      </w:pPr>
    </w:p>
    <w:p>
      <w:pPr>
        <w:ind w:right="60"/>
        <w:spacing w:after="0" w:line="249" w:lineRule="auto"/>
        <w:rPr>
          <w:sz w:val="20"/>
          <w:szCs w:val="20"/>
          <w:color w:val="auto"/>
        </w:rPr>
      </w:pPr>
      <w:r>
        <w:rPr>
          <w:rFonts w:ascii="Arial" w:cs="Arial" w:eastAsia="Arial" w:hAnsi="Arial"/>
          <w:sz w:val="21"/>
          <w:szCs w:val="21"/>
          <w:i w:val="1"/>
          <w:iCs w:val="1"/>
          <w:u w:val="single" w:color="auto"/>
          <w:color w:val="auto"/>
        </w:rPr>
        <w:t>Free cash flow</w:t>
      </w:r>
      <w:r>
        <w:rPr>
          <w:rFonts w:ascii="Arial" w:cs="Arial" w:eastAsia="Arial" w:hAnsi="Arial"/>
          <w:sz w:val="21"/>
          <w:szCs w:val="21"/>
          <w:i w:val="1"/>
          <w:iCs w:val="1"/>
          <w:color w:val="auto"/>
        </w:rPr>
        <w:t xml:space="preserve"> </w:t>
      </w:r>
      <w:r>
        <w:rPr>
          <w:rFonts w:ascii="Arial" w:cs="Arial" w:eastAsia="Arial" w:hAnsi="Arial"/>
          <w:sz w:val="21"/>
          <w:szCs w:val="21"/>
          <w:color w:val="auto"/>
        </w:rPr>
        <w:t>– We define free cash flow as net cash provided by operating activities less cash used for acquisitions of property,</w:t>
      </w:r>
      <w:r>
        <w:rPr>
          <w:rFonts w:ascii="Arial" w:cs="Arial" w:eastAsia="Arial" w:hAnsi="Arial"/>
          <w:sz w:val="21"/>
          <w:szCs w:val="21"/>
          <w:i w:val="1"/>
          <w:iCs w:val="1"/>
          <w:color w:val="auto"/>
        </w:rPr>
        <w:t xml:space="preserve"> </w:t>
      </w:r>
      <w:r>
        <w:rPr>
          <w:rFonts w:ascii="Arial" w:cs="Arial" w:eastAsia="Arial" w:hAnsi="Arial"/>
          <w:sz w:val="21"/>
          <w:szCs w:val="21"/>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78"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i w:val="1"/>
          <w:iCs w:val="1"/>
          <w:u w:val="single" w:color="auto"/>
          <w:color w:val="auto"/>
        </w:rPr>
        <w:t>Constant currency</w:t>
      </w:r>
      <w:r>
        <w:rPr>
          <w:rFonts w:ascii="Arial" w:cs="Arial" w:eastAsia="Arial" w:hAnsi="Arial"/>
          <w:sz w:val="19"/>
          <w:szCs w:val="19"/>
          <w:i w:val="1"/>
          <w:iCs w:val="1"/>
          <w:color w:val="auto"/>
        </w:rPr>
        <w:t xml:space="preserve"> </w:t>
      </w:r>
      <w:r>
        <w:rPr>
          <w:rFonts w:ascii="Arial" w:cs="Arial" w:eastAsia="Arial" w:hAnsi="Arial"/>
          <w:sz w:val="19"/>
          <w:szCs w:val="19"/>
          <w:color w:val="auto"/>
        </w:rPr>
        <w:t>– We refer to the impact of foreign currency exchange rate fluctuations in our discussions of financial results,</w:t>
      </w:r>
      <w:r>
        <w:rPr>
          <w:rFonts w:ascii="Arial" w:cs="Arial" w:eastAsia="Arial" w:hAnsi="Arial"/>
          <w:sz w:val="19"/>
          <w:szCs w:val="19"/>
          <w:i w:val="1"/>
          <w:iCs w:val="1"/>
          <w:color w:val="auto"/>
        </w:rPr>
        <w:t xml:space="preserve"> </w:t>
      </w:r>
      <w:r>
        <w:rPr>
          <w:rFonts w:ascii="Arial" w:cs="Arial" w:eastAsia="Arial" w:hAnsi="Arial"/>
          <w:sz w:val="19"/>
          <w:szCs w:val="19"/>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4" w:right="359" w:bottom="1440" w:gutter="0" w:footer="0" w:header="0"/>
        </w:sectPr>
      </w:pPr>
    </w:p>
    <w:bookmarkStart w:id="13" w:name="page14"/>
    <w:bookmarkEnd w:id="13"/>
    <w:p>
      <w:pPr>
        <w:ind w:right="100"/>
        <w:spacing w:after="0" w:line="274" w:lineRule="auto"/>
        <w:rPr>
          <w:sz w:val="20"/>
          <w:szCs w:val="20"/>
          <w:color w:val="auto"/>
        </w:rPr>
      </w:pPr>
      <w:r>
        <w:rPr>
          <w:rFonts w:ascii="Arial" w:cs="Arial" w:eastAsia="Arial" w:hAnsi="Arial"/>
          <w:sz w:val="21"/>
          <w:szCs w:val="21"/>
          <w:color w:val="auto"/>
        </w:rPr>
        <w:t>The tables below reconcile the non-GAAP financial measures of operating expenses, operating income, net income, diluted EPS, adjusted EBITDA, and free cash flow with the most directly comparable GAAP financial measures.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RECONCILIATIONS OF NON-GAAP FINANCIAL MEASURES</w:t>
      </w:r>
    </w:p>
    <w:p>
      <w:pPr>
        <w:spacing w:after="0" w:line="36" w:lineRule="exact"/>
        <w:rPr>
          <w:sz w:val="20"/>
          <w:szCs w:val="20"/>
          <w:color w:val="auto"/>
        </w:rPr>
      </w:pPr>
    </w:p>
    <w:p>
      <w:pPr>
        <w:ind w:right="2520" w:firstLine="2511"/>
        <w:spacing w:after="0" w:line="281" w:lineRule="auto"/>
        <w:rPr>
          <w:sz w:val="20"/>
          <w:szCs w:val="20"/>
          <w:color w:val="auto"/>
        </w:rPr>
      </w:pPr>
      <w:r>
        <w:rPr>
          <w:rFonts w:ascii="Arial" w:cs="Arial" w:eastAsia="Arial" w:hAnsi="Arial"/>
          <w:sz w:val="18"/>
          <w:szCs w:val="18"/>
          <w:b w:val="1"/>
          <w:bCs w:val="1"/>
          <w:color w:val="auto"/>
        </w:rPr>
        <w:t xml:space="preserve">TO THE MOST DIRECTLY COMPARABLE GAAP FINANCIAL MEASURES </w:t>
      </w:r>
      <w:r>
        <w:rPr>
          <w:rFonts w:ascii="Arial" w:cs="Arial" w:eastAsia="Arial" w:hAnsi="Arial"/>
          <w:sz w:val="18"/>
          <w:szCs w:val="18"/>
          <w:color w:val="auto"/>
        </w:rPr>
        <w:t>(Unaudited,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COMPANY RECONCILIATIONS</w:t>
            </w: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4"/>
              </w:rPr>
              <w:t>Three Months Ended June 30,</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2023</w:t>
            </w: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29"/>
        </w:trPr>
        <w:tc>
          <w:tcPr>
            <w:tcW w:w="4740" w:type="dxa"/>
            <w:vAlign w:val="bottom"/>
          </w:tcPr>
          <w:p>
            <w:pPr>
              <w:ind w:left="220"/>
              <w:spacing w:after="0"/>
              <w:rPr>
                <w:sz w:val="20"/>
                <w:szCs w:val="20"/>
                <w:color w:val="auto"/>
              </w:rPr>
            </w:pPr>
            <w:r>
              <w:rPr>
                <w:rFonts w:ascii="Arial" w:cs="Arial" w:eastAsia="Arial" w:hAnsi="Arial"/>
                <w:sz w:val="18"/>
                <w:szCs w:val="18"/>
                <w:b w:val="1"/>
                <w:bCs w:val="1"/>
                <w:color w:val="auto"/>
              </w:rPr>
              <w:t>NON-GAAP OPERATING EXPENSES</w:t>
            </w: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420"/>
              <w:spacing w:after="0"/>
              <w:rPr>
                <w:sz w:val="20"/>
                <w:szCs w:val="20"/>
                <w:color w:val="auto"/>
              </w:rPr>
            </w:pPr>
            <w:r>
              <w:rPr>
                <w:rFonts w:ascii="Arial" w:cs="Arial" w:eastAsia="Arial" w:hAnsi="Arial"/>
                <w:sz w:val="18"/>
                <w:szCs w:val="18"/>
                <w:color w:val="auto"/>
              </w:rPr>
              <w:t>GAAP operating expenses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138,847</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159,632</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305,608</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288,037</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(4,722)</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(6,485)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(9,770)</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(874)</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3,459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(37,483)</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(612)</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(630)</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Strategic initiative</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(38,480)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(38,480)</w:t>
            </w:r>
          </w:p>
        </w:tc>
        <w:tc>
          <w:tcPr>
            <w:tcW w:w="0" w:type="dxa"/>
            <w:vAlign w:val="bottom"/>
          </w:tcPr>
          <w:p>
            <w:pPr>
              <w:spacing w:after="0"/>
              <w:rPr>
                <w:sz w:val="1"/>
                <w:szCs w:val="1"/>
                <w:color w:val="auto"/>
              </w:rPr>
            </w:pPr>
          </w:p>
        </w:tc>
      </w:tr>
      <w:tr>
        <w:trPr>
          <w:trHeight w:val="257"/>
        </w:trPr>
        <w:tc>
          <w:tcPr>
            <w:tcW w:w="474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(89)</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6"/>
        </w:trPr>
        <w:tc>
          <w:tcPr>
            <w:tcW w:w="4740" w:type="dxa"/>
            <w:vAlign w:val="bottom"/>
          </w:tcPr>
          <w:p>
            <w:pPr>
              <w:ind w:left="420"/>
              <w:spacing w:after="0"/>
              <w:rPr>
                <w:sz w:val="20"/>
                <w:szCs w:val="20"/>
                <w:color w:val="auto"/>
              </w:rPr>
            </w:pPr>
            <w:r>
              <w:rPr>
                <w:rFonts w:ascii="Arial" w:cs="Arial" w:eastAsia="Arial" w:hAnsi="Arial"/>
                <w:sz w:val="18"/>
                <w:szCs w:val="18"/>
                <w:color w:val="auto"/>
              </w:rPr>
              <w:t>Non-GAAP operating expenses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132,595</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117,068</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257,636</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243,003</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OPERATING INCOME</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420"/>
              <w:spacing w:after="0"/>
              <w:rPr>
                <w:sz w:val="20"/>
                <w:szCs w:val="20"/>
                <w:color w:val="auto"/>
              </w:rPr>
            </w:pPr>
            <w:r>
              <w:rPr>
                <w:rFonts w:ascii="Arial" w:cs="Arial" w:eastAsia="Arial" w:hAnsi="Arial"/>
                <w:sz w:val="18"/>
                <w:szCs w:val="18"/>
                <w:color w:val="auto"/>
              </w:rPr>
              <w:t>GAAP operating income (loss)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35,100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(33,527)</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24,707</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(26,708)</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4,722</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6,485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9,770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874</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(3,459)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37,483</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612</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630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Strategic initiative</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38,480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38,480</w:t>
            </w:r>
          </w:p>
        </w:tc>
        <w:tc>
          <w:tcPr>
            <w:tcW w:w="0" w:type="dxa"/>
            <w:vAlign w:val="bottom"/>
          </w:tcPr>
          <w:p>
            <w:pPr>
              <w:spacing w:after="0"/>
              <w:rPr>
                <w:sz w:val="1"/>
                <w:szCs w:val="1"/>
                <w:color w:val="auto"/>
              </w:rPr>
            </w:pPr>
          </w:p>
        </w:tc>
      </w:tr>
      <w:tr>
        <w:trPr>
          <w:trHeight w:val="257"/>
        </w:trPr>
        <w:tc>
          <w:tcPr>
            <w:tcW w:w="474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6"/>
        </w:trPr>
        <w:tc>
          <w:tcPr>
            <w:tcW w:w="4740" w:type="dxa"/>
            <w:vAlign w:val="bottom"/>
          </w:tcPr>
          <w:p>
            <w:pPr>
              <w:ind w:left="420"/>
              <w:spacing w:after="0"/>
              <w:rPr>
                <w:sz w:val="20"/>
                <w:szCs w:val="20"/>
                <w:color w:val="auto"/>
              </w:rPr>
            </w:pPr>
            <w:r>
              <w:rPr>
                <w:rFonts w:ascii="Arial" w:cs="Arial" w:eastAsia="Arial" w:hAnsi="Arial"/>
                <w:sz w:val="18"/>
                <w:szCs w:val="18"/>
                <w:color w:val="auto"/>
              </w:rPr>
              <w:t>Non-GAAP operating income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41,352</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9,037</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72,679</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18,326</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NON-GAAP NET INCOME &amp; DILUTED EPS</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420"/>
              <w:spacing w:after="0"/>
              <w:rPr>
                <w:sz w:val="20"/>
                <w:szCs w:val="20"/>
                <w:color w:val="auto"/>
              </w:rPr>
            </w:pPr>
            <w:r>
              <w:rPr>
                <w:rFonts w:ascii="Arial" w:cs="Arial" w:eastAsia="Arial" w:hAnsi="Arial"/>
                <w:sz w:val="18"/>
                <w:szCs w:val="18"/>
                <w:color w:val="auto"/>
              </w:rPr>
              <w:t>GAAP net income (loss) attributable to Itron, Inc.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24,201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(36,967)</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12,365</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(36,061)</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4,722</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6,485</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9,770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Amortization of debt placement fees</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887</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836</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1,732</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874</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(3,459)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37,483</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612</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630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Strategic initiative</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38,480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38,480</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56"/>
        </w:trPr>
        <w:tc>
          <w:tcPr>
            <w:tcW w:w="4740" w:type="dxa"/>
            <w:vAlign w:val="bottom"/>
          </w:tcPr>
          <w:p>
            <w:pPr>
              <w:ind w:left="620"/>
              <w:spacing w:after="0"/>
              <w:rPr>
                <w:sz w:val="20"/>
                <w:szCs w:val="20"/>
                <w:color w:val="auto"/>
              </w:rPr>
            </w:pPr>
            <w:r>
              <w:rPr>
                <w:rFonts w:ascii="Arial" w:cs="Arial" w:eastAsia="Arial" w:hAnsi="Arial"/>
                <w:sz w:val="18"/>
                <w:szCs w:val="18"/>
                <w:color w:val="auto"/>
              </w:rPr>
              <w:t>Income tax effect of non-GAAP adjustments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(1,516)</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(3,300)</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(9,863)</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Non-GAAP net income attributable to Itron, Inc.</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29,824</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3,133</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52,206</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8,304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740" w:type="dxa"/>
            <w:vAlign w:val="bottom"/>
          </w:tcPr>
          <w:p>
            <w:pPr>
              <w:ind w:left="420"/>
              <w:spacing w:after="0"/>
              <w:rPr>
                <w:sz w:val="20"/>
                <w:szCs w:val="20"/>
                <w:color w:val="auto"/>
              </w:rPr>
            </w:pPr>
            <w:r>
              <w:rPr>
                <w:rFonts w:ascii="Arial" w:cs="Arial" w:eastAsia="Arial" w:hAnsi="Arial"/>
                <w:sz w:val="18"/>
                <w:szCs w:val="18"/>
                <w:color w:val="auto"/>
              </w:rPr>
              <w:t>Non-GAAP diluted EPS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0.65</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0.07</w:t>
            </w:r>
          </w:p>
        </w:tc>
        <w:tc>
          <w:tcPr>
            <w:tcW w:w="60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1.14</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420"/>
              <w:spacing w:after="0"/>
              <w:rPr>
                <w:sz w:val="20"/>
                <w:szCs w:val="20"/>
                <w:color w:val="auto"/>
              </w:rPr>
            </w:pPr>
            <w:r>
              <w:rPr>
                <w:rFonts w:ascii="Arial" w:cs="Arial" w:eastAsia="Arial" w:hAnsi="Arial"/>
                <w:sz w:val="18"/>
                <w:szCs w:val="18"/>
                <w:color w:val="auto"/>
                <w:w w:val="92"/>
              </w:rPr>
              <w:t>Non-GAAP weighted average common shares outstanding</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vMerge w:val="restart"/>
          </w:tcPr>
          <w:p>
            <w:pPr>
              <w:jc w:val="right"/>
              <w:ind w:right="110"/>
              <w:spacing w:after="0"/>
              <w:rPr>
                <w:sz w:val="20"/>
                <w:szCs w:val="20"/>
                <w:color w:val="auto"/>
              </w:rPr>
            </w:pPr>
            <w:r>
              <w:rPr>
                <w:rFonts w:ascii="Arial" w:cs="Arial" w:eastAsia="Arial" w:hAnsi="Arial"/>
                <w:sz w:val="18"/>
                <w:szCs w:val="18"/>
                <w:color w:val="auto"/>
              </w:rPr>
              <w:t>45,781</w:t>
            </w:r>
          </w:p>
        </w:tc>
        <w:tc>
          <w:tcPr>
            <w:tcW w:w="520" w:type="dxa"/>
            <w:vAlign w:val="bottom"/>
          </w:tcPr>
          <w:p>
            <w:pPr>
              <w:spacing w:after="0"/>
              <w:rPr>
                <w:sz w:val="24"/>
                <w:szCs w:val="24"/>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color w:val="auto"/>
              </w:rPr>
              <w:t>45,228</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vMerge w:val="restart"/>
          </w:tcPr>
          <w:p>
            <w:pPr>
              <w:jc w:val="right"/>
              <w:ind w:right="130"/>
              <w:spacing w:after="0"/>
              <w:rPr>
                <w:sz w:val="20"/>
                <w:szCs w:val="20"/>
                <w:color w:val="auto"/>
              </w:rPr>
            </w:pPr>
            <w:r>
              <w:rPr>
                <w:rFonts w:ascii="Arial" w:cs="Arial" w:eastAsia="Arial" w:hAnsi="Arial"/>
                <w:sz w:val="18"/>
                <w:szCs w:val="18"/>
                <w:color w:val="auto"/>
              </w:rPr>
              <w:t>45,677</w:t>
            </w:r>
          </w:p>
        </w:tc>
        <w:tc>
          <w:tcPr>
            <w:tcW w:w="500" w:type="dxa"/>
            <w:vAlign w:val="bottom"/>
          </w:tcPr>
          <w:p>
            <w:pPr>
              <w:spacing w:after="0"/>
              <w:rPr>
                <w:sz w:val="24"/>
                <w:szCs w:val="24"/>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45,234</w:t>
            </w:r>
          </w:p>
        </w:tc>
        <w:tc>
          <w:tcPr>
            <w:tcW w:w="0" w:type="dxa"/>
            <w:vAlign w:val="bottom"/>
          </w:tcPr>
          <w:p>
            <w:pPr>
              <w:spacing w:after="0"/>
              <w:rPr>
                <w:sz w:val="1"/>
                <w:szCs w:val="1"/>
                <w:color w:val="auto"/>
              </w:rPr>
            </w:pPr>
          </w:p>
        </w:tc>
      </w:tr>
      <w:tr>
        <w:trPr>
          <w:trHeight w:val="203"/>
        </w:trPr>
        <w:tc>
          <w:tcPr>
            <w:tcW w:w="4740" w:type="dxa"/>
            <w:vAlign w:val="bottom"/>
          </w:tcPr>
          <w:p>
            <w:pPr>
              <w:ind w:left="420"/>
              <w:spacing w:after="0" w:line="203" w:lineRule="exact"/>
              <w:rPr>
                <w:sz w:val="20"/>
                <w:szCs w:val="20"/>
                <w:color w:val="auto"/>
              </w:rPr>
            </w:pPr>
            <w:r>
              <w:rPr>
                <w:rFonts w:ascii="Arial" w:cs="Arial" w:eastAsia="Arial" w:hAnsi="Arial"/>
                <w:sz w:val="18"/>
                <w:szCs w:val="18"/>
                <w:color w:val="auto"/>
              </w:rPr>
              <w:t>- Diluted</w:t>
            </w: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420"/>
              <w:spacing w:after="0"/>
              <w:rPr>
                <w:sz w:val="20"/>
                <w:szCs w:val="20"/>
                <w:color w:val="auto"/>
              </w:rPr>
            </w:pPr>
            <w:r>
              <w:rPr>
                <w:rFonts w:ascii="Arial" w:cs="Arial" w:eastAsia="Arial" w:hAnsi="Arial"/>
                <w:sz w:val="18"/>
                <w:szCs w:val="18"/>
                <w:color w:val="auto"/>
              </w:rPr>
              <w:t>GAAP net income (loss) attributable to Itron, Inc.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24,201</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(36,967)</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12,365</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(36,061)</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(1,508)</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(3,326)</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1,977</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1,660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4,034</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Income tax provision</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9,195</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641</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9,125</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13,905</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16,414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28,368</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33,251</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Restructuring</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874</w:t>
            </w:r>
          </w:p>
        </w:tc>
        <w:tc>
          <w:tcPr>
            <w:tcW w:w="52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(3,459)</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37,483</w:t>
            </w:r>
          </w:p>
        </w:tc>
        <w:tc>
          <w:tcPr>
            <w:tcW w:w="500" w:type="dxa"/>
            <w:vAlign w:val="bottom"/>
          </w:tcPr>
          <w:p>
            <w:pPr>
              <w:spacing w:after="0"/>
              <w:rPr>
                <w:sz w:val="21"/>
                <w:szCs w:val="21"/>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Loss on sale of business</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612</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194</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630</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Strategic initiative</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710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21"/>
                <w:szCs w:val="21"/>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38,480</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38,480</w:t>
            </w:r>
          </w:p>
        </w:tc>
        <w:tc>
          <w:tcPr>
            <w:tcW w:w="0" w:type="dxa"/>
            <w:vAlign w:val="bottom"/>
          </w:tcPr>
          <w:p>
            <w:pPr>
              <w:spacing w:after="0"/>
              <w:rPr>
                <w:sz w:val="1"/>
                <w:szCs w:val="1"/>
                <w:color w:val="auto"/>
              </w:rPr>
            </w:pPr>
          </w:p>
        </w:tc>
      </w:tr>
      <w:tr>
        <w:trPr>
          <w:trHeight w:val="256"/>
        </w:trPr>
        <w:tc>
          <w:tcPr>
            <w:tcW w:w="4740" w:type="dxa"/>
            <w:vAlign w:val="bottom"/>
          </w:tcPr>
          <w:p>
            <w:pPr>
              <w:ind w:left="620"/>
              <w:spacing w:after="0"/>
              <w:rPr>
                <w:sz w:val="20"/>
                <w:szCs w:val="20"/>
                <w:color w:val="auto"/>
              </w:rPr>
            </w:pPr>
            <w:r>
              <w:rPr>
                <w:rFonts w:ascii="Arial" w:cs="Arial" w:eastAsia="Arial" w:hAnsi="Arial"/>
                <w:sz w:val="18"/>
                <w:szCs w:val="18"/>
                <w:color w:val="auto"/>
              </w:rPr>
              <w:t>Acquisition and integration</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44</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89</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49,300</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17,478</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88,768</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36,372</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FREE CASH FLOW</w:t>
            </w: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6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41,560</w:t>
            </w:r>
          </w:p>
        </w:tc>
        <w:tc>
          <w:tcPr>
            <w:tcW w:w="5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15,065</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42,989</w:t>
            </w: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22,656</w:t>
            </w:r>
          </w:p>
        </w:tc>
        <w:tc>
          <w:tcPr>
            <w:tcW w:w="0" w:type="dxa"/>
            <w:vAlign w:val="bottom"/>
          </w:tcPr>
          <w:p>
            <w:pPr>
              <w:spacing w:after="0"/>
              <w:rPr>
                <w:sz w:val="1"/>
                <w:szCs w:val="1"/>
                <w:color w:val="auto"/>
              </w:rPr>
            </w:pPr>
          </w:p>
        </w:tc>
      </w:tr>
      <w:tr>
        <w:trPr>
          <w:trHeight w:val="257"/>
        </w:trPr>
        <w:tc>
          <w:tcPr>
            <w:tcW w:w="4740" w:type="dxa"/>
            <w:vAlign w:val="bottom"/>
          </w:tcPr>
          <w:p>
            <w:pPr>
              <w:ind w:left="620"/>
              <w:spacing w:after="0"/>
              <w:rPr>
                <w:sz w:val="20"/>
                <w:szCs w:val="20"/>
                <w:color w:val="auto"/>
              </w:rPr>
            </w:pPr>
            <w:r>
              <w:rPr>
                <w:rFonts w:ascii="Arial" w:cs="Arial" w:eastAsia="Arial" w:hAnsi="Arial"/>
                <w:sz w:val="18"/>
                <w:szCs w:val="18"/>
                <w:color w:val="auto"/>
              </w:rPr>
              <w:t>Acquisitions of property, plant, and equipment</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(5,596)</w:t>
            </w:r>
          </w:p>
        </w:tc>
        <w:tc>
          <w:tcPr>
            <w:tcW w:w="5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(5,294)</w:t>
            </w:r>
          </w:p>
        </w:tc>
        <w:tc>
          <w:tcPr>
            <w:tcW w:w="2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(12,498)</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(10,663)</w:t>
            </w:r>
          </w:p>
        </w:tc>
        <w:tc>
          <w:tcPr>
            <w:tcW w:w="0" w:type="dxa"/>
            <w:vAlign w:val="bottom"/>
          </w:tcPr>
          <w:p>
            <w:pPr>
              <w:spacing w:after="0"/>
              <w:rPr>
                <w:sz w:val="1"/>
                <w:szCs w:val="1"/>
                <w:color w:val="auto"/>
              </w:rPr>
            </w:pPr>
          </w:p>
        </w:tc>
      </w:tr>
      <w:tr>
        <w:trPr>
          <w:trHeight w:val="237"/>
        </w:trPr>
        <w:tc>
          <w:tcPr>
            <w:tcW w:w="4740" w:type="dxa"/>
            <w:vAlign w:val="bottom"/>
          </w:tcPr>
          <w:p>
            <w:pPr>
              <w:ind w:left="420"/>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35,964</w:t>
            </w:r>
          </w:p>
        </w:tc>
        <w:tc>
          <w:tcPr>
            <w:tcW w:w="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9,771</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30,491</w:t>
            </w:r>
          </w:p>
        </w:tc>
        <w:tc>
          <w:tcPr>
            <w:tcW w:w="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11,993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34" w:right="339" w:bottom="325" w:gutter="0" w:footer="0" w:header="0"/>
        </w:sectPr>
      </w:pPr>
    </w:p>
    <w:bookmarkStart w:id="14" w:name="page15"/>
    <w:bookmarkEnd w:id="14"/>
    <w:p>
      <w:pPr>
        <w:spacing w:after="0"/>
        <w:rPr>
          <w:sz w:val="20"/>
          <w:szCs w:val="20"/>
          <w:color w:val="auto"/>
        </w:rPr>
      </w:pPr>
      <w:r>
        <w:rPr>
          <w:rFonts w:ascii="Arial" w:cs="Arial" w:eastAsia="Arial" w:hAnsi="Arial"/>
          <w:sz w:val="25"/>
          <w:szCs w:val="25"/>
          <w:b w:val="1"/>
          <w:bCs w:val="1"/>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Itron,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Paul Vincent</w:t>
      </w:r>
    </w:p>
    <w:p>
      <w:pPr>
        <w:spacing w:after="0"/>
        <w:rPr>
          <w:sz w:val="20"/>
          <w:szCs w:val="20"/>
          <w:color w:val="auto"/>
        </w:rPr>
      </w:pPr>
      <w:r>
        <w:rPr>
          <w:rFonts w:ascii="Arial" w:cs="Arial" w:eastAsia="Arial" w:hAnsi="Arial"/>
          <w:sz w:val="19"/>
          <w:szCs w:val="19"/>
          <w:color w:val="auto"/>
        </w:rPr>
        <w:t>Vice President,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(512) 560-1172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David Means</w:t>
      </w:r>
    </w:p>
    <w:p>
      <w:pPr>
        <w:spacing w:after="0" w:line="238" w:lineRule="auto"/>
        <w:rPr>
          <w:sz w:val="20"/>
          <w:szCs w:val="20"/>
          <w:color w:val="auto"/>
        </w:rPr>
      </w:pPr>
      <w:r>
        <w:rPr>
          <w:rFonts w:ascii="Arial" w:cs="Arial" w:eastAsia="Arial" w:hAnsi="Arial"/>
          <w:sz w:val="22"/>
          <w:szCs w:val="22"/>
          <w:color w:val="auto"/>
        </w:rPr>
        <w:t>Director, Investor Relations</w:t>
      </w:r>
    </w:p>
    <w:p>
      <w:pPr>
        <w:spacing w:after="0"/>
        <w:rPr>
          <w:sz w:val="20"/>
          <w:szCs w:val="20"/>
          <w:color w:val="auto"/>
        </w:rPr>
      </w:pPr>
      <w:r>
        <w:rPr>
          <w:rFonts w:ascii="Arial" w:cs="Arial" w:eastAsia="Arial" w:hAnsi="Arial"/>
          <w:sz w:val="22"/>
          <w:szCs w:val="22"/>
          <w:color w:val="auto"/>
        </w:rPr>
        <w:t>(737) 242-8448</w:t>
      </w:r>
    </w:p>
    <w:sectPr>
      <w:pgSz w:w="11900" w:h="16838" w:orient="portrait"/>
      <w:cols w:equalWidth="0" w:num="1">
        <w:col w:w="10139"/>
      </w:cols>
      <w:pgMar w:left="32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2023-08-03T07:45:15Z</dcterms:created>
  <dcterms:modified xsi:type="dcterms:W3CDTF">2023-08-03T07:45:15Z</dcterms:modified>
</cp:coreProperties>
</file>