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3, 2005</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233" w:right="239" w:bottom="856" w:gutter="0" w:footer="0" w:header="0"/>
        </w:sectPr>
      </w:pPr>
    </w:p>
    <w:p>
      <w:pPr>
        <w:spacing w:after="0" w:line="200" w:lineRule="exact"/>
        <w:rPr>
          <w:sz w:val="24"/>
          <w:szCs w:val="24"/>
          <w:color w:val="auto"/>
        </w:rPr>
      </w:pPr>
    </w:p>
    <w:p>
      <w:pPr>
        <w:spacing w:after="0" w:line="299"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56" w:lineRule="exact"/>
        <w:rPr>
          <w:sz w:val="24"/>
          <w:szCs w:val="24"/>
          <w:color w:val="auto"/>
        </w:rPr>
      </w:pPr>
    </w:p>
    <w:p>
      <w:pPr>
        <w:sectPr>
          <w:pgSz w:w="11900" w:h="16838" w:orient="portrait"/>
          <w:cols w:equalWidth="0" w:num="2">
            <w:col w:w="7540" w:space="720"/>
            <w:col w:w="3160"/>
          </w:cols>
          <w:pgMar w:left="240" w:top="233" w:right="239" w:bottom="856" w:gutter="0" w:footer="0" w:header="0"/>
          <w:type w:val="continuous"/>
        </w:sectPr>
      </w:pPr>
    </w:p>
    <w:p>
      <w:pPr>
        <w:ind w:left="11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47" w:lineRule="exact"/>
        <w:rPr>
          <w:sz w:val="24"/>
          <w:szCs w:val="24"/>
          <w:color w:val="auto"/>
        </w:rPr>
      </w:pPr>
    </w:p>
    <w:p>
      <w:pPr>
        <w:sectPr>
          <w:pgSz w:w="11900" w:h="16838" w:orient="portrait"/>
          <w:cols w:equalWidth="0" w:num="2">
            <w:col w:w="6940" w:space="720"/>
            <w:col w:w="3760"/>
          </w:cols>
          <w:pgMar w:left="240" w:top="233" w:right="239" w:bottom="85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2818 N. Sullivan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178435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233" w:right="239" w:bottom="856" w:gutter="0" w:footer="0" w:header="0"/>
          <w:type w:val="continuous"/>
        </w:sect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2002 EMPLOYEE STOCK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Russell N. Fairbanks, Jr.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Sr.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2818 N. Sullivan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Bor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1201 Third Avenue, Suite 4800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98101-3099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4"/>
                <w:szCs w:val="14"/>
                <w:b w:val="1"/>
                <w:bCs w:val="1"/>
                <w:color w:val="auto"/>
              </w:rPr>
              <w:t>Proposed Maximum</w:t>
            </w: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Proposed Maximum</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Amount to be</w:t>
            </w:r>
          </w:p>
        </w:tc>
        <w:tc>
          <w:tcPr>
            <w:tcW w:w="17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Offering Price Per</w:t>
            </w:r>
          </w:p>
        </w:tc>
        <w:tc>
          <w:tcPr>
            <w:tcW w:w="17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Aggregate Offering</w:t>
            </w:r>
          </w:p>
        </w:tc>
        <w:tc>
          <w:tcPr>
            <w:tcW w:w="4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20" w:type="dxa"/>
            <w:vAlign w:val="bottom"/>
          </w:tcPr>
          <w:p>
            <w:pPr>
              <w:spacing w:after="0"/>
              <w:rPr>
                <w:sz w:val="15"/>
                <w:szCs w:val="15"/>
                <w:color w:val="auto"/>
              </w:rPr>
            </w:pPr>
          </w:p>
        </w:tc>
        <w:tc>
          <w:tcPr>
            <w:tcW w:w="5300" w:type="dxa"/>
            <w:vAlign w:val="bottom"/>
            <w:gridSpan w:val="2"/>
          </w:tcPr>
          <w:p>
            <w:pPr>
              <w:ind w:left="1540"/>
              <w:spacing w:after="0"/>
              <w:rPr>
                <w:sz w:val="20"/>
                <w:szCs w:val="20"/>
                <w:color w:val="auto"/>
              </w:rPr>
            </w:pPr>
            <w:r>
              <w:rPr>
                <w:rFonts w:ascii="Arial" w:cs="Arial" w:eastAsia="Arial" w:hAnsi="Arial"/>
                <w:sz w:val="14"/>
                <w:szCs w:val="14"/>
                <w:b w:val="1"/>
                <w:bCs w:val="1"/>
                <w:color w:val="auto"/>
              </w:rPr>
              <w:t>Title of Securities to be Registered</w:t>
            </w:r>
          </w:p>
        </w:tc>
        <w:tc>
          <w:tcPr>
            <w:tcW w:w="1400" w:type="dxa"/>
            <w:vAlign w:val="bottom"/>
          </w:tcPr>
          <w:p>
            <w:pPr>
              <w:jc w:val="right"/>
              <w:ind w:right="200"/>
              <w:spacing w:after="0"/>
              <w:rPr>
                <w:sz w:val="20"/>
                <w:szCs w:val="20"/>
                <w:color w:val="auto"/>
              </w:rPr>
            </w:pPr>
            <w:r>
              <w:rPr>
                <w:rFonts w:ascii="Arial" w:cs="Arial" w:eastAsia="Arial" w:hAnsi="Arial"/>
                <w:sz w:val="14"/>
                <w:szCs w:val="14"/>
                <w:b w:val="1"/>
                <w:bCs w:val="1"/>
                <w:color w:val="auto"/>
              </w:rPr>
              <w:t>Registered (1)</w:t>
            </w:r>
          </w:p>
        </w:tc>
        <w:tc>
          <w:tcPr>
            <w:tcW w:w="480" w:type="dxa"/>
            <w:vAlign w:val="bottom"/>
          </w:tcPr>
          <w:p>
            <w:pPr>
              <w:spacing w:after="0"/>
              <w:rPr>
                <w:sz w:val="15"/>
                <w:szCs w:val="15"/>
                <w:color w:val="auto"/>
              </w:rPr>
            </w:pPr>
          </w:p>
        </w:tc>
        <w:tc>
          <w:tcPr>
            <w:tcW w:w="1240" w:type="dxa"/>
            <w:vAlign w:val="bottom"/>
          </w:tcPr>
          <w:p>
            <w:pPr>
              <w:jc w:val="right"/>
              <w:ind w:right="517"/>
              <w:spacing w:after="0"/>
              <w:rPr>
                <w:sz w:val="20"/>
                <w:szCs w:val="20"/>
                <w:color w:val="auto"/>
              </w:rPr>
            </w:pPr>
            <w:r>
              <w:rPr>
                <w:rFonts w:ascii="Arial" w:cs="Arial" w:eastAsia="Arial" w:hAnsi="Arial"/>
                <w:sz w:val="14"/>
                <w:szCs w:val="14"/>
                <w:b w:val="1"/>
                <w:bCs w:val="1"/>
                <w:color w:val="auto"/>
              </w:rPr>
              <w:t>Share (2)</w:t>
            </w:r>
          </w:p>
        </w:tc>
        <w:tc>
          <w:tcPr>
            <w:tcW w:w="500" w:type="dxa"/>
            <w:vAlign w:val="bottom"/>
          </w:tcPr>
          <w:p>
            <w:pPr>
              <w:spacing w:after="0"/>
              <w:rPr>
                <w:sz w:val="15"/>
                <w:szCs w:val="15"/>
                <w:color w:val="auto"/>
              </w:rPr>
            </w:pPr>
          </w:p>
        </w:tc>
        <w:tc>
          <w:tcPr>
            <w:tcW w:w="1240" w:type="dxa"/>
            <w:vAlign w:val="bottom"/>
          </w:tcPr>
          <w:p>
            <w:pPr>
              <w:jc w:val="right"/>
              <w:ind w:right="537"/>
              <w:spacing w:after="0"/>
              <w:rPr>
                <w:sz w:val="20"/>
                <w:szCs w:val="20"/>
                <w:color w:val="auto"/>
              </w:rPr>
            </w:pPr>
            <w:r>
              <w:rPr>
                <w:rFonts w:ascii="Arial" w:cs="Arial" w:eastAsia="Arial" w:hAnsi="Arial"/>
                <w:sz w:val="14"/>
                <w:szCs w:val="14"/>
                <w:b w:val="1"/>
                <w:bCs w:val="1"/>
                <w:color w:val="auto"/>
              </w:rPr>
              <w:t>Price (2)</w:t>
            </w:r>
          </w:p>
        </w:tc>
        <w:tc>
          <w:tcPr>
            <w:tcW w:w="1260" w:type="dxa"/>
            <w:vAlign w:val="bottom"/>
            <w:gridSpan w:val="3"/>
          </w:tcPr>
          <w:p>
            <w:pPr>
              <w:ind w:left="280"/>
              <w:spacing w:after="0"/>
              <w:rPr>
                <w:sz w:val="20"/>
                <w:szCs w:val="20"/>
                <w:color w:val="auto"/>
              </w:rPr>
            </w:pPr>
            <w:r>
              <w:rPr>
                <w:rFonts w:ascii="Arial" w:cs="Arial" w:eastAsia="Arial" w:hAnsi="Arial"/>
                <w:sz w:val="14"/>
                <w:szCs w:val="14"/>
                <w:b w:val="1"/>
                <w:bCs w:val="1"/>
                <w:color w:val="auto"/>
                <w:w w:val="87"/>
              </w:rPr>
              <w:t>Registration Fee</w:t>
            </w:r>
          </w:p>
        </w:tc>
      </w:tr>
      <w:tr>
        <w:trPr>
          <w:trHeight w:val="201"/>
        </w:trPr>
        <w:tc>
          <w:tcPr>
            <w:tcW w:w="20" w:type="dxa"/>
            <w:vAlign w:val="bottom"/>
          </w:tcPr>
          <w:p>
            <w:pPr>
              <w:spacing w:after="0"/>
              <w:rPr>
                <w:sz w:val="17"/>
                <w:szCs w:val="17"/>
                <w:color w:val="auto"/>
              </w:rPr>
            </w:pPr>
          </w:p>
        </w:tc>
        <w:tc>
          <w:tcPr>
            <w:tcW w:w="53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Common Stock, no par value, together with associated common stock</w:t>
            </w:r>
          </w:p>
        </w:tc>
        <w:tc>
          <w:tcPr>
            <w:tcW w:w="14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purchase rights, under the:</w:t>
            </w:r>
          </w:p>
        </w:tc>
        <w:tc>
          <w:tcPr>
            <w:tcW w:w="2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Itron, Inc. Amended and Restated 2000</w:t>
            </w: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 Incentive Plan</w:t>
            </w: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1,225,000</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41.40</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50,715,000</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5,969.16</w:t>
            </w:r>
          </w:p>
        </w:tc>
        <w:tc>
          <w:tcPr>
            <w:tcW w:w="20" w:type="dxa"/>
            <w:vAlign w:val="bottom"/>
            <w:tcBorders>
              <w:bottom w:val="single" w:sz="8" w:color="auto"/>
            </w:tcBorders>
          </w:tcPr>
          <w:p>
            <w:pPr>
              <w:spacing w:after="0"/>
              <w:rPr>
                <w:sz w:val="18"/>
                <w:szCs w:val="18"/>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8"/>
                <w:szCs w:val="18"/>
                <w:color w:val="auto"/>
                <w:w w:val="88"/>
              </w:rPr>
              <w:t>Itron, Inc. Amended and Restated 2002</w:t>
            </w:r>
          </w:p>
        </w:tc>
        <w:tc>
          <w:tcPr>
            <w:tcW w:w="2520" w:type="dxa"/>
            <w:vAlign w:val="bottom"/>
          </w:tcPr>
          <w:p>
            <w:pPr>
              <w:ind w:left="20"/>
              <w:spacing w:after="0"/>
              <w:rPr>
                <w:sz w:val="20"/>
                <w:szCs w:val="20"/>
                <w:color w:val="auto"/>
              </w:rPr>
            </w:pPr>
            <w:r>
              <w:rPr>
                <w:rFonts w:ascii="Arial" w:cs="Arial" w:eastAsia="Arial" w:hAnsi="Arial"/>
                <w:sz w:val="18"/>
                <w:szCs w:val="18"/>
                <w:color w:val="auto"/>
                <w:w w:val="98"/>
              </w:rPr>
              <w:t>Employee Stock Purchase Plan</w:t>
            </w:r>
          </w:p>
        </w:tc>
        <w:tc>
          <w:tcPr>
            <w:tcW w:w="1400" w:type="dxa"/>
            <w:vAlign w:val="bottom"/>
          </w:tcPr>
          <w:p>
            <w:pPr>
              <w:jc w:val="right"/>
              <w:ind w:right="200"/>
              <w:spacing w:after="0"/>
              <w:rPr>
                <w:sz w:val="20"/>
                <w:szCs w:val="20"/>
                <w:color w:val="auto"/>
              </w:rPr>
            </w:pPr>
            <w:r>
              <w:rPr>
                <w:rFonts w:ascii="Arial" w:cs="Arial" w:eastAsia="Arial" w:hAnsi="Arial"/>
                <w:sz w:val="18"/>
                <w:szCs w:val="18"/>
                <w:color w:val="auto"/>
              </w:rPr>
              <w:t>184,411</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7"/>
              <w:spacing w:after="0"/>
              <w:rPr>
                <w:sz w:val="20"/>
                <w:szCs w:val="20"/>
                <w:color w:val="auto"/>
              </w:rPr>
            </w:pPr>
            <w:r>
              <w:rPr>
                <w:rFonts w:ascii="Arial" w:cs="Arial" w:eastAsia="Arial" w:hAnsi="Arial"/>
                <w:sz w:val="18"/>
                <w:szCs w:val="18"/>
                <w:color w:val="auto"/>
              </w:rPr>
              <w:t>41.40</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7"/>
              <w:spacing w:after="0"/>
              <w:rPr>
                <w:sz w:val="20"/>
                <w:szCs w:val="20"/>
                <w:color w:val="auto"/>
              </w:rPr>
            </w:pPr>
            <w:r>
              <w:rPr>
                <w:rFonts w:ascii="Arial" w:cs="Arial" w:eastAsia="Arial" w:hAnsi="Arial"/>
                <w:sz w:val="18"/>
                <w:szCs w:val="18"/>
                <w:color w:val="auto"/>
              </w:rPr>
              <w:t>7,634,615</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898.59</w:t>
            </w:r>
          </w:p>
        </w:tc>
      </w:tr>
      <w:tr>
        <w:trPr>
          <w:trHeight w:val="216"/>
        </w:trPr>
        <w:tc>
          <w:tcPr>
            <w:tcW w:w="20" w:type="dxa"/>
            <w:vAlign w:val="bottom"/>
          </w:tcPr>
          <w:p>
            <w:pPr>
              <w:spacing w:after="0"/>
              <w:rPr>
                <w:sz w:val="18"/>
                <w:szCs w:val="18"/>
                <w:color w:val="auto"/>
              </w:rPr>
            </w:pPr>
          </w:p>
        </w:tc>
        <w:tc>
          <w:tcPr>
            <w:tcW w:w="27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Total</w:t>
            </w:r>
          </w:p>
        </w:tc>
        <w:tc>
          <w:tcPr>
            <w:tcW w:w="25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00"/>
              <w:spacing w:after="0"/>
              <w:rPr>
                <w:sz w:val="20"/>
                <w:szCs w:val="20"/>
                <w:color w:val="auto"/>
              </w:rPr>
            </w:pPr>
            <w:r>
              <w:rPr>
                <w:rFonts w:ascii="Arial" w:cs="Arial" w:eastAsia="Arial" w:hAnsi="Arial"/>
                <w:sz w:val="18"/>
                <w:szCs w:val="18"/>
                <w:color w:val="auto"/>
              </w:rPr>
              <w:t>1,409,411</w:t>
            </w:r>
          </w:p>
        </w:tc>
        <w:tc>
          <w:tcPr>
            <w:tcW w:w="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color w:val="auto"/>
              </w:rPr>
              <w:t>41.40</w:t>
            </w:r>
          </w:p>
        </w:tc>
        <w:tc>
          <w:tcPr>
            <w:tcW w:w="5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color w:val="auto"/>
              </w:rPr>
              <w:t>58,349,615</w:t>
            </w:r>
          </w:p>
        </w:tc>
        <w:tc>
          <w:tcPr>
            <w:tcW w:w="4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6,867.75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right="2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an indeterminate number of additional shares which may be necessary to adjust the number of shares reserved for issuance pursuant to the plans as the result of any future stock split, stock dividend or similar adjustment of the Registrant’s outstanding Common Stock.</w:t>
      </w:r>
    </w:p>
    <w:p>
      <w:pPr>
        <w:ind w:left="460" w:right="4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under the Securities Act of 1933, as amended, (the “Securities Act”). The proposed maximum offering price per share is estimated to be $41.40 based on the average of the high ($41.90) and low ($40.89) sales prices of Itron, Inc.’s Common Stock on May 31, 2005, as reported for such date by the Nasdaq National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856" w:gutter="0" w:footer="0" w:header="0"/>
          <w:type w:val="continuous"/>
        </w:sectPr>
      </w:pPr>
    </w:p>
    <w:bookmarkStart w:id="1" w:name="page2"/>
    <w:bookmarkEnd w:id="1"/>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Itron, Inc., a Washington corporation (the “Registrant”), are hereby incorporated by reference in this Registration Statement:</w:t>
      </w:r>
    </w:p>
    <w:p>
      <w:pPr>
        <w:spacing w:after="0" w:line="37" w:lineRule="exact"/>
        <w:rPr>
          <w:sz w:val="20"/>
          <w:szCs w:val="20"/>
          <w:color w:val="auto"/>
        </w:rPr>
      </w:pPr>
    </w:p>
    <w:p>
      <w:pPr>
        <w:ind w:left="900" w:right="3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2004, filed on March 11, 2005, which contains audited financial statements for the most recent fiscal year for which such statements have been filed;</w:t>
      </w:r>
    </w:p>
    <w:p>
      <w:pPr>
        <w:spacing w:after="0" w:line="37"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2005, filed on May 3, 2005, which contains unaudited interim financial statements;</w:t>
      </w:r>
    </w:p>
    <w:p>
      <w:pPr>
        <w:spacing w:after="0" w:line="37"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February 15, 2005 (as to Item 8.01 only), February 18, 2005, March 11, 2005, April 20, 2005, May 6, 2005, May 17, 2005, May 19, 2005 and May 26, 2005 and the Registrant’s amended Current Report on Form 8-K/A, filed on February 7, 2005; and</w:t>
      </w:r>
    </w:p>
    <w:p>
      <w:pPr>
        <w:spacing w:after="0" w:line="4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Registration Statements on Form 8-A filed on September 18, 1993 and December 16, 2002, under Section 12(g) of the Securities Exchange Act of 1934, as amended (the “Exchange Act”), including any amendments or reports filed for the purpose of updating such description.</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All documents filed by the Registrant pursuant to Sections 13(a), 13(c), 14 or 15(d) of the Exchange Act after the date hereof,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103"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ectPr>
          <w:pgSz w:w="11900" w:h="16838" w:orient="portrait"/>
          <w:cols w:equalWidth="0" w:num="1">
            <w:col w:w="11420"/>
          </w:cols>
          <w:pgMar w:left="240" w:top="274" w:right="239" w:bottom="1440" w:gutter="0" w:footer="0" w:header="0"/>
        </w:sectPr>
      </w:pPr>
    </w:p>
    <w:bookmarkStart w:id="2" w:name="page3"/>
    <w:bookmarkEnd w:id="2"/>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Itron’s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restated bylaws, this right to indemnification is a contract right. Itron’s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29"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Itron’s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2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Itron’s restated articles of incorporation do not limit indemnification if the director or officer is wholly successful on the merits of the 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046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88"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Perkins Coie LLP regarding legality of the Common Stock being registered.</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Independent Registered Public Accounting Firm.</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Perkins Coie LLP (included in opinion filed as Exhibit 5.1).</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(see signature page).</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Itron, Inc. Amended and Restated 2000 Stock Incentive Plan (incorporated by reference to Appendix A to the Definitive Proxy Statement on Schedule</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14A filed with the Commission on March 11, 2005).</w:t>
      </w:r>
    </w:p>
    <w:p>
      <w:pPr>
        <w:spacing w:after="0" w:line="111" w:lineRule="exact"/>
        <w:rPr>
          <w:sz w:val="20"/>
          <w:szCs w:val="20"/>
          <w:color w:val="auto"/>
        </w:rPr>
      </w:pPr>
    </w:p>
    <w:p>
      <w:pPr>
        <w:ind w:left="800" w:hanging="652"/>
        <w:spacing w:after="0" w:line="268" w:lineRule="auto"/>
        <w:tabs>
          <w:tab w:leader="none" w:pos="7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Itron, Inc. Amended and Restated 2002 Employee Stock Purchase Plan (incorporated by reference to Appendix B to the Definitive Proxy Statement on Schedule 14A filed with the Commission on March 11,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 Undertakings.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77"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7" w:lineRule="exact"/>
        <w:rPr>
          <w:rFonts w:ascii="Arial" w:cs="Arial" w:eastAsia="Arial" w:hAnsi="Arial"/>
          <w:sz w:val="18"/>
          <w:szCs w:val="18"/>
          <w:color w:val="auto"/>
        </w:rPr>
      </w:pPr>
    </w:p>
    <w:p>
      <w:pPr>
        <w:ind w:right="320" w:firstLine="921"/>
        <w:spacing w:after="0" w:line="370" w:lineRule="auto"/>
        <w:tabs>
          <w:tab w:leader="none" w:pos="1171" w:val="left"/>
        </w:tabs>
        <w:numPr>
          <w:ilvl w:val="1"/>
          <w:numId w:val="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48" w:lineRule="exact"/>
        <w:rPr>
          <w:rFonts w:ascii="Arial" w:cs="Arial" w:eastAsia="Arial" w:hAnsi="Arial"/>
          <w:sz w:val="15"/>
          <w:szCs w:val="15"/>
          <w:color w:val="auto"/>
        </w:rPr>
      </w:pPr>
    </w:p>
    <w:p>
      <w:pPr>
        <w:ind w:right="540" w:firstLine="921"/>
        <w:spacing w:after="0" w:line="268"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1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u w:val="single" w:color="auto"/>
          <w:color w:val="auto"/>
        </w:rPr>
        <w:t>provided, however</w:t>
      </w:r>
      <w:r>
        <w:rPr>
          <w:rFonts w:ascii="Arial" w:cs="Arial" w:eastAsia="Arial" w:hAnsi="Arial"/>
          <w:sz w:val="18"/>
          <w:szCs w:val="18"/>
          <w:color w:val="auto"/>
        </w:rPr>
        <w:t>, that paragraphs A(1)(i) and A(1)(ii) above do not apply if the information required to be included in a post-effective amendment by those paragraphs is contained in periodic reports filed or furnished by the Registrant pursuant to Section 13 or Section 15(d) of the Exchange Act of that are incorporated by reference in this Registration Statement.</w:t>
      </w:r>
    </w:p>
    <w:p>
      <w:pPr>
        <w:spacing w:after="0" w:line="127" w:lineRule="exact"/>
        <w:rPr>
          <w:sz w:val="20"/>
          <w:szCs w:val="20"/>
          <w:color w:val="auto"/>
        </w:rPr>
      </w:pPr>
    </w:p>
    <w:p>
      <w:pPr>
        <w:ind w:firstLine="464"/>
        <w:spacing w:after="0" w:line="370" w:lineRule="auto"/>
        <w:tabs>
          <w:tab w:leader="none" w:pos="705" w:val="left"/>
        </w:tabs>
        <w:numPr>
          <w:ilvl w:val="1"/>
          <w:numId w:val="5"/>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8" w:lineRule="exact"/>
        <w:rPr>
          <w:rFonts w:ascii="Arial" w:cs="Arial" w:eastAsia="Arial" w:hAnsi="Arial"/>
          <w:sz w:val="15"/>
          <w:szCs w:val="15"/>
          <w:color w:val="auto"/>
        </w:rPr>
      </w:pPr>
    </w:p>
    <w:p>
      <w:pPr>
        <w:ind w:right="200" w:firstLine="464"/>
        <w:spacing w:after="0" w:line="268" w:lineRule="auto"/>
        <w:tabs>
          <w:tab w:leader="none" w:pos="70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right="180" w:firstLine="8"/>
        <w:spacing w:after="0" w:line="256" w:lineRule="auto"/>
        <w:tabs>
          <w:tab w:leader="none" w:pos="2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20" w:firstLine="8"/>
        <w:spacing w:after="0" w:line="290" w:lineRule="auto"/>
        <w:tabs>
          <w:tab w:leader="none" w:pos="20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18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Spokane, State of Washington, on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June, 2005.</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person whose individual signature appears below hereby authorizes LeRoy D. Nosbaum and Steven M. Helmbrecht,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127" w:lineRule="exact"/>
        <w:rPr>
          <w:sz w:val="20"/>
          <w:szCs w:val="20"/>
          <w:color w:val="auto"/>
        </w:rPr>
      </w:pPr>
    </w:p>
    <w:p>
      <w:pPr>
        <w:ind w:right="60" w:firstLine="456"/>
        <w:spacing w:after="0" w:line="29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June, 2005.</w:t>
      </w:r>
    </w:p>
    <w:p>
      <w:pPr>
        <w:spacing w:after="0" w:line="17"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68580</wp:posOffset>
            </wp:positionV>
            <wp:extent cx="445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68580</wp:posOffset>
            </wp:positionV>
            <wp:extent cx="240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2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EROY</w:t>
      </w:r>
      <w:r>
        <w:rPr>
          <w:rFonts w:ascii="Arial" w:cs="Arial" w:eastAsia="Arial" w:hAnsi="Arial"/>
          <w:sz w:val="18"/>
          <w:szCs w:val="18"/>
          <w:color w:val="auto"/>
        </w:rPr>
        <w:t xml:space="preserve"> D. N</w:t>
      </w:r>
      <w:r>
        <w:rPr>
          <w:rFonts w:ascii="Arial" w:cs="Arial" w:eastAsia="Arial" w:hAnsi="Arial"/>
          <w:sz w:val="14"/>
          <w:szCs w:val="14"/>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LeRoy D. Nosbaum</w:t>
      </w:r>
    </w:p>
    <w:p>
      <w:pPr>
        <w:spacing w:after="0" w:line="27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Robert D. Neilson</w:t>
      </w:r>
    </w:p>
    <w:p>
      <w:pPr>
        <w:spacing w:after="0" w:line="22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 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696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37"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Steven M. Helmbrecht</w:t>
      </w:r>
    </w:p>
    <w:p>
      <w:pPr>
        <w:spacing w:after="0" w:line="22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Michael B. Bracy</w:t>
      </w:r>
    </w:p>
    <w:p>
      <w:pPr>
        <w:spacing w:after="0" w:line="22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ED</w:t>
      </w:r>
      <w:r>
        <w:rPr>
          <w:rFonts w:ascii="Arial" w:cs="Arial" w:eastAsia="Arial" w:hAnsi="Arial"/>
          <w:sz w:val="18"/>
          <w:szCs w:val="18"/>
          <w:color w:val="auto"/>
        </w:rPr>
        <w:t xml:space="preserve"> C. D</w:t>
      </w:r>
      <w:r>
        <w:rPr>
          <w:rFonts w:ascii="Arial" w:cs="Arial" w:eastAsia="Arial" w:hAnsi="Arial"/>
          <w:sz w:val="14"/>
          <w:szCs w:val="14"/>
          <w:color w:val="auto"/>
        </w:rPr>
        <w:t>E</w:t>
      </w:r>
      <w:r>
        <w:rPr>
          <w:rFonts w:ascii="Arial" w:cs="Arial" w:eastAsia="Arial" w:hAnsi="Arial"/>
          <w:sz w:val="18"/>
          <w:szCs w:val="18"/>
          <w:color w:val="auto"/>
        </w:rPr>
        <w:t>M</w:t>
      </w:r>
      <w:r>
        <w:rPr>
          <w:rFonts w:ascii="Arial" w:cs="Arial" w:eastAsia="Arial" w:hAnsi="Arial"/>
          <w:sz w:val="14"/>
          <w:szCs w:val="14"/>
          <w:color w:val="auto"/>
        </w:rPr>
        <w:t>ERRITT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Ted C. DeMerritt</w:t>
      </w:r>
    </w:p>
    <w:p>
      <w:pPr>
        <w:spacing w:after="0" w:line="2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w:t>
      </w:r>
      <w:r>
        <w:rPr>
          <w:rFonts w:ascii="Arial" w:cs="Arial" w:eastAsia="Arial" w:hAnsi="Arial"/>
          <w:sz w:val="18"/>
          <w:szCs w:val="18"/>
          <w:color w:val="auto"/>
        </w:rPr>
        <w:t xml:space="preserve"> E. E</w:t>
      </w:r>
      <w:r>
        <w:rPr>
          <w:rFonts w:ascii="Arial" w:cs="Arial" w:eastAsia="Arial" w:hAnsi="Arial"/>
          <w:sz w:val="14"/>
          <w:szCs w:val="14"/>
          <w:color w:val="auto"/>
        </w:rPr>
        <w:t>LIASSEN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Jon E. Eliassen</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S. F</w:t>
      </w:r>
      <w:r>
        <w:rPr>
          <w:rFonts w:ascii="Arial" w:cs="Arial" w:eastAsia="Arial" w:hAnsi="Arial"/>
          <w:sz w:val="14"/>
          <w:szCs w:val="14"/>
          <w:color w:val="auto"/>
        </w:rPr>
        <w:t>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Thomas S. Foley</w:t>
      </w:r>
    </w:p>
    <w:p>
      <w:pPr>
        <w:spacing w:after="0" w:line="22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S. G</w:t>
      </w:r>
      <w:r>
        <w:rPr>
          <w:rFonts w:ascii="Arial" w:cs="Arial" w:eastAsia="Arial" w:hAnsi="Arial"/>
          <w:sz w:val="14"/>
          <w:szCs w:val="14"/>
          <w:color w:val="auto"/>
        </w:rPr>
        <w:t>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Thomas S. Glanville</w:t>
      </w:r>
    </w:p>
    <w:p>
      <w:pPr>
        <w:spacing w:after="0" w:line="22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HARON</w:t>
      </w:r>
      <w:r>
        <w:rPr>
          <w:rFonts w:ascii="Arial" w:cs="Arial" w:eastAsia="Arial" w:hAnsi="Arial"/>
          <w:sz w:val="18"/>
          <w:szCs w:val="18"/>
          <w:color w:val="auto"/>
        </w:rPr>
        <w:t xml:space="preserve"> L. N</w:t>
      </w:r>
      <w:r>
        <w:rPr>
          <w:rFonts w:ascii="Arial" w:cs="Arial" w:eastAsia="Arial" w:hAnsi="Arial"/>
          <w:sz w:val="14"/>
          <w:szCs w:val="14"/>
          <w:color w:val="auto"/>
        </w:rPr>
        <w: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Sharon L. Nelson</w:t>
      </w:r>
    </w:p>
    <w:p>
      <w:pPr>
        <w:spacing w:after="0" w:line="22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ARY</w:t>
      </w:r>
      <w:r>
        <w:rPr>
          <w:rFonts w:ascii="Arial" w:cs="Arial" w:eastAsia="Arial" w:hAnsi="Arial"/>
          <w:sz w:val="18"/>
          <w:szCs w:val="18"/>
          <w:color w:val="auto"/>
        </w:rPr>
        <w:t xml:space="preserve"> A</w:t>
      </w:r>
      <w:r>
        <w:rPr>
          <w:rFonts w:ascii="Arial" w:cs="Arial" w:eastAsia="Arial" w:hAnsi="Arial"/>
          <w:sz w:val="14"/>
          <w:szCs w:val="14"/>
          <w:color w:val="auto"/>
        </w:rPr>
        <w:t>NN</w:t>
      </w:r>
      <w:r>
        <w:rPr>
          <w:rFonts w:ascii="Arial" w:cs="Arial" w:eastAsia="Arial" w:hAnsi="Arial"/>
          <w:sz w:val="18"/>
          <w:szCs w:val="18"/>
          <w:color w:val="auto"/>
        </w:rPr>
        <w:t xml:space="preserve"> P</w:t>
      </w:r>
      <w:r>
        <w:rPr>
          <w:rFonts w:ascii="Arial" w:cs="Arial" w:eastAsia="Arial" w:hAnsi="Arial"/>
          <w:sz w:val="14"/>
          <w:szCs w:val="14"/>
          <w:color w:val="auto"/>
        </w:rPr>
        <w:t>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Mary Ann Peters</w:t>
      </w:r>
    </w:p>
    <w:p>
      <w:pPr>
        <w:spacing w:after="0" w:line="22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RAHAM</w:t>
      </w:r>
      <w:r>
        <w:rPr>
          <w:rFonts w:ascii="Arial" w:cs="Arial" w:eastAsia="Arial" w:hAnsi="Arial"/>
          <w:sz w:val="18"/>
          <w:szCs w:val="18"/>
          <w:color w:val="auto"/>
        </w:rPr>
        <w:t xml:space="preserve"> M. W</w:t>
      </w:r>
      <w:r>
        <w:rPr>
          <w:rFonts w:ascii="Arial" w:cs="Arial" w:eastAsia="Arial" w:hAnsi="Arial"/>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Chairman of the Board and</w:t>
      </w:r>
    </w:p>
    <w:p>
      <w:pPr>
        <w:spacing w:after="0" w:line="1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President and Chief Operating Officer and Director</w:t>
      </w:r>
    </w:p>
    <w:p>
      <w:pPr>
        <w:spacing w:after="0" w:line="200" w:lineRule="exact"/>
        <w:rPr>
          <w:sz w:val="20"/>
          <w:szCs w:val="20"/>
          <w:color w:val="auto"/>
        </w:rPr>
      </w:pPr>
    </w:p>
    <w:p>
      <w:pPr>
        <w:spacing w:after="0" w:line="210"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Sr. Vice President and Chief Financial Officer (Principal</w:t>
      </w:r>
    </w:p>
    <w:p>
      <w:pPr>
        <w:spacing w:after="0" w:line="3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2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Director</w:t>
      </w:r>
    </w:p>
    <w:p>
      <w:pPr>
        <w:spacing w:after="0" w:line="45" w:lineRule="exact"/>
        <w:rPr>
          <w:sz w:val="20"/>
          <w:szCs w:val="20"/>
          <w:color w:val="auto"/>
        </w:rPr>
      </w:pPr>
    </w:p>
    <w:p>
      <w:pPr>
        <w:sectPr>
          <w:pgSz w:w="11900" w:h="16838" w:orient="portrait"/>
          <w:cols w:equalWidth="0" w:num="2">
            <w:col w:w="6160" w:space="720"/>
            <w:col w:w="4520"/>
          </w:cols>
          <w:pgMar w:left="240" w:top="274" w:right="259" w:bottom="1440" w:gutter="0" w:footer="0" w:header="0"/>
          <w:type w:val="continuous"/>
        </w:sectPr>
      </w:pPr>
    </w:p>
    <w:p>
      <w:pPr>
        <w:ind w:left="2360"/>
        <w:spacing w:after="0"/>
        <w:rPr>
          <w:sz w:val="20"/>
          <w:szCs w:val="20"/>
          <w:color w:val="auto"/>
        </w:rPr>
      </w:pPr>
      <w:r>
        <w:rPr>
          <w:rFonts w:ascii="Arial" w:cs="Arial" w:eastAsia="Arial" w:hAnsi="Arial"/>
          <w:sz w:val="12"/>
          <w:szCs w:val="12"/>
          <w:b w:val="1"/>
          <w:bCs w:val="1"/>
          <w:color w:val="auto"/>
        </w:rPr>
        <w:t>Graham M. Wilson</w:t>
      </w:r>
    </w:p>
    <w:p>
      <w:pPr>
        <w:sectPr>
          <w:pgSz w:w="11900" w:h="16838" w:orient="portrait"/>
          <w:cols w:equalWidth="0" w:num="1">
            <w:col w:w="11400"/>
          </w:cols>
          <w:pgMar w:left="240" w:top="274" w:right="25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EXHIBITS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046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88"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Perkins Coie LLP regarding legality of the Common Stock being registered.</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Independent Registered Public Accounting Firm.</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Perkins Coie LLP (included in opinion filed as Exhibit 5.1).</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(see signature page).</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Itron, Inc. Amended and Restated 2000 Stock Incentive Plan (incorporated by reference to Appendix A to the Definitive Proxy Statement on Schedule</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14A filed with the Commission on March 11, 2005).</w:t>
      </w:r>
    </w:p>
    <w:p>
      <w:pPr>
        <w:spacing w:after="0" w:line="111" w:lineRule="exact"/>
        <w:rPr>
          <w:sz w:val="20"/>
          <w:szCs w:val="20"/>
          <w:color w:val="auto"/>
        </w:rPr>
      </w:pPr>
    </w:p>
    <w:p>
      <w:pPr>
        <w:ind w:left="800" w:hanging="652"/>
        <w:spacing w:after="0" w:line="268" w:lineRule="auto"/>
        <w:tabs>
          <w:tab w:leader="none" w:pos="7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Itron, Inc. Amended and Restated 2002 Employee Stock Purchase Plan (incorporated by reference to Appendix B to the Definitive Proxy Statement on Schedule 14A filed with the Commission on March 11, 2005).</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ERKINS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OIE</w:t>
      </w:r>
      <w:r>
        <w:rPr>
          <w:rFonts w:ascii="Arial" w:cs="Arial" w:eastAsia="Arial" w:hAnsi="Arial"/>
          <w:sz w:val="18"/>
          <w:szCs w:val="18"/>
          <w:b w:val="1"/>
          <w:bCs w:val="1"/>
          <w:color w:val="auto"/>
        </w:rPr>
        <w:t xml:space="preserve"> LLP</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1201 T</w:t>
      </w:r>
      <w:r>
        <w:rPr>
          <w:rFonts w:ascii="Arial" w:cs="Arial" w:eastAsia="Arial" w:hAnsi="Arial"/>
          <w:sz w:val="14"/>
          <w:szCs w:val="14"/>
          <w:color w:val="auto"/>
        </w:rPr>
        <w:t>HIRD</w:t>
      </w:r>
      <w:r>
        <w:rPr>
          <w:rFonts w:ascii="Arial" w:cs="Arial" w:eastAsia="Arial" w:hAnsi="Arial"/>
          <w:sz w:val="18"/>
          <w:szCs w:val="18"/>
          <w:color w:val="auto"/>
        </w:rPr>
        <w:t xml:space="preserve"> A</w:t>
      </w:r>
      <w:r>
        <w:rPr>
          <w:rFonts w:ascii="Arial" w:cs="Arial" w:eastAsia="Arial" w:hAnsi="Arial"/>
          <w:sz w:val="14"/>
          <w:szCs w:val="14"/>
          <w:color w:val="auto"/>
        </w:rPr>
        <w:t>VENUE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4800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EATTLE</w:t>
      </w:r>
      <w:r>
        <w:rPr>
          <w:rFonts w:ascii="Arial" w:cs="Arial" w:eastAsia="Arial" w:hAnsi="Arial"/>
          <w:sz w:val="18"/>
          <w:szCs w:val="18"/>
          <w:color w:val="auto"/>
        </w:rPr>
        <w:t>, WA 98101-3099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HONE</w:t>
      </w:r>
      <w:r>
        <w:rPr>
          <w:rFonts w:ascii="Arial" w:cs="Arial" w:eastAsia="Arial" w:hAnsi="Arial"/>
          <w:sz w:val="18"/>
          <w:szCs w:val="18"/>
          <w:color w:val="auto"/>
        </w:rPr>
        <w:t>: 206 359-8000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AX</w:t>
      </w:r>
      <w:r>
        <w:rPr>
          <w:rFonts w:ascii="Arial" w:cs="Arial" w:eastAsia="Arial" w:hAnsi="Arial"/>
          <w:sz w:val="18"/>
          <w:szCs w:val="18"/>
          <w:color w:val="auto"/>
        </w:rPr>
        <w:t>: 206 359-9000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www.perkinscoie.com</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2818 N. Sullivan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Spokane, WA 99216-1897</w:t>
      </w:r>
    </w:p>
    <w:p>
      <w:pPr>
        <w:spacing w:after="0" w:line="14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Registration Statement on Form S-8 of Shares of Common Stock,</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no par value, of Itron, Inc.</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up to 1,409,411 shares of common stock, no par value (the “Shares”), of which up to an additional 1,225,000 shares may be issued pursuant to the Itron, Inc. Amended and Restated 2000 Stock Incentive Plan and up to an additional 184,411 shares may be issued pursuant to the Itron, Inc. 2002 Employee Stock Purchase Plan (together, the “Plans”).</w:t>
      </w:r>
    </w:p>
    <w:p>
      <w:pPr>
        <w:spacing w:after="0" w:line="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examined the Registration Statement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2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Based upon and subject to the foregoing, we are of the opinion that any original issuance Shares that may be issued pursuant to the Plans have been duly authorized and that, upon the due execution by Itron, Inc. of any certificates representing the Shares, the registration by its registrar of such Shares and the sale thereof by Itron, Inc. in accordance with the terms of the Plans, and the receipt of consideration therefor in accordance with the terms of the Plans, such Shares will be validly issued, fully paid and nonassessable.</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PERKINS COIE LLP</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March 11, 2005, relating to the financial statements and financial statement schedule of Itron, Inc., and management’s report on the effectiveness of internal control over financial reporting appearing in the Annual Report on Form 10-K of Itron, Inc. for the year ended December 31, 2004.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upperLetter"/>
      <w:start w:val="1"/>
    </w:lvl>
    <w:lvl w:ilvl="1">
      <w:lvlJc w:val="left"/>
      <w:lvlText w:val="(%2)"/>
      <w:numFmt w:val="decimal"/>
      <w:start w:val="2"/>
    </w:lvl>
  </w:abstractNum>
  <w:abstractNum w:abstractNumId="5">
    <w:nsid w:val="507ED7A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2019-12-13T15:23:11Z</dcterms:created>
  <dcterms:modified xsi:type="dcterms:W3CDTF">2019-12-13T15:23:11Z</dcterms:modified>
</cp:coreProperties>
</file>