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346075</wp:posOffset>
            </wp:positionH>
            <wp:positionV relativeFrom="page">
              <wp:posOffset>646430</wp:posOffset>
            </wp:positionV>
            <wp:extent cx="6877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-278130</wp:posOffset>
            </wp:positionV>
            <wp:extent cx="10121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364" w:lineRule="exact"/>
        <w:rPr>
          <w:sz w:val="24"/>
          <w:szCs w:val="24"/>
          <w:color w:val="auto"/>
        </w:rPr>
      </w:pPr>
    </w:p>
    <w:p>
      <w:pPr>
        <w:ind w:left="660" w:right="2140" w:hanging="625"/>
        <w:spacing w:after="0" w:line="276" w:lineRule="auto"/>
        <w:tabs>
          <w:tab w:leader="none" w:pos="4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480" w:hanging="445"/>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071"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1071" w:right="239" w:bottom="1440" w:gutter="0" w:footer="0" w:header="0"/>
          <w:type w:val="continuous"/>
        </w:sectPr>
      </w:pPr>
    </w:p>
    <w:p>
      <w:pPr>
        <w:spacing w:after="0" w:line="5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000-22418</w:t>
      </w:r>
    </w:p>
    <w:p>
      <w:pPr>
        <w:sectPr>
          <w:pgSz w:w="11900" w:h="16838" w:orient="portrait"/>
          <w:cols w:equalWidth="0" w:num="1">
            <w:col w:w="11420"/>
          </w:cols>
          <w:pgMar w:left="240" w:top="1071" w:right="239" w:bottom="1440" w:gutter="0" w:footer="0" w:header="0"/>
          <w:type w:val="continuous"/>
        </w:sectPr>
      </w:pPr>
    </w:p>
    <w:p>
      <w:pPr>
        <w:spacing w:after="0" w:line="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ITRON,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1071" w:right="239" w:bottom="1440" w:gutter="0" w:footer="0" w:header="0"/>
          <w:type w:val="continuous"/>
        </w:sectPr>
      </w:pPr>
    </w:p>
    <w:p>
      <w:pPr>
        <w:spacing w:after="0" w:line="175"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1071" w:right="239" w:bottom="1440" w:gutter="0" w:footer="0" w:header="0"/>
          <w:type w:val="continuous"/>
        </w:sectPr>
      </w:pPr>
    </w:p>
    <w:p>
      <w:pPr>
        <w:ind w:left="19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1071"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and telephone number of registrant’s principal executive offices)</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jc w:val="center"/>
              <w:ind w:left="1683"/>
              <w:spacing w:after="0"/>
              <w:rPr>
                <w:sz w:val="20"/>
                <w:szCs w:val="20"/>
                <w:color w:val="auto"/>
              </w:rPr>
            </w:pPr>
            <w:r>
              <w:rPr>
                <w:rFonts w:ascii="Arial" w:cs="Arial" w:eastAsia="Arial" w:hAnsi="Arial"/>
                <w:sz w:val="16"/>
                <w:szCs w:val="16"/>
                <w:b w:val="1"/>
                <w:bCs w:val="1"/>
                <w:color w:val="auto"/>
                <w:w w:val="88"/>
              </w:rPr>
              <w:t>Title of each class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7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jc w:val="center"/>
              <w:ind w:left="1663"/>
              <w:spacing w:after="0"/>
              <w:rPr>
                <w:sz w:val="20"/>
                <w:szCs w:val="20"/>
                <w:color w:val="auto"/>
              </w:rPr>
            </w:pPr>
            <w:r>
              <w:rPr>
                <w:rFonts w:ascii="Arial" w:cs="Arial" w:eastAsia="Arial" w:hAnsi="Arial"/>
                <w:sz w:val="16"/>
                <w:szCs w:val="16"/>
                <w:color w:val="auto"/>
                <w:w w:val="92"/>
              </w:rPr>
              <w:t>Common stock, no par value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tcPr>
          <w:p>
            <w:pPr>
              <w:jc w:val="center"/>
              <w:spacing w:after="0"/>
              <w:rPr>
                <w:sz w:val="20"/>
                <w:szCs w:val="20"/>
                <w:color w:val="auto"/>
              </w:rPr>
            </w:pPr>
            <w:r>
              <w:rPr>
                <w:rFonts w:ascii="Arial" w:cs="Arial" w:eastAsia="Arial" w:hAnsi="Arial"/>
                <w:sz w:val="16"/>
                <w:szCs w:val="16"/>
                <w:color w:val="auto"/>
                <w:w w:val="96"/>
              </w:rPr>
              <w:t>NASDAQ Global Select Market</w:t>
            </w:r>
          </w:p>
        </w:tc>
      </w:tr>
      <w:tr>
        <w:trPr>
          <w:trHeight w:val="257"/>
        </w:trPr>
        <w:tc>
          <w:tcPr>
            <w:tcW w:w="3780" w:type="dxa"/>
            <w:vAlign w:val="bottom"/>
          </w:tcPr>
          <w:p>
            <w:pPr>
              <w:jc w:val="center"/>
              <w:ind w:left="1663"/>
              <w:spacing w:after="0"/>
              <w:rPr>
                <w:sz w:val="20"/>
                <w:szCs w:val="20"/>
                <w:color w:val="auto"/>
              </w:rPr>
            </w:pPr>
            <w:r>
              <w:rPr>
                <w:rFonts w:ascii="Arial" w:cs="Arial" w:eastAsia="Arial" w:hAnsi="Arial"/>
                <w:sz w:val="16"/>
                <w:szCs w:val="16"/>
                <w:color w:val="auto"/>
                <w:w w:val="88"/>
              </w:rPr>
              <w:t>Preferred share purchase rights</w:t>
            </w: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0" w:type="dxa"/>
            <w:vAlign w:val="bottom"/>
          </w:tcPr>
          <w:p>
            <w:pPr>
              <w:jc w:val="center"/>
              <w:spacing w:after="0"/>
              <w:rPr>
                <w:sz w:val="20"/>
                <w:szCs w:val="20"/>
                <w:color w:val="auto"/>
              </w:rPr>
            </w:pPr>
            <w:r>
              <w:rPr>
                <w:rFonts w:ascii="Arial" w:cs="Arial" w:eastAsia="Arial" w:hAnsi="Arial"/>
                <w:sz w:val="16"/>
                <w:szCs w:val="16"/>
                <w:color w:val="auto"/>
                <w:w w:val="96"/>
              </w:rPr>
              <w:t>NASDAQ Global Select Market</w:t>
            </w:r>
          </w:p>
        </w:tc>
      </w:tr>
      <w:tr>
        <w:trPr>
          <w:trHeight w:val="197"/>
        </w:trPr>
        <w:tc>
          <w:tcPr>
            <w:tcW w:w="3780" w:type="dxa"/>
            <w:vAlign w:val="bottom"/>
          </w:tcPr>
          <w:p>
            <w:pPr>
              <w:spacing w:after="0"/>
              <w:rPr>
                <w:sz w:val="17"/>
                <w:szCs w:val="17"/>
                <w:color w:val="auto"/>
              </w:rPr>
            </w:pPr>
          </w:p>
        </w:tc>
        <w:tc>
          <w:tcPr>
            <w:tcW w:w="724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r>
      <w:tr>
        <w:trPr>
          <w:trHeight w:val="223"/>
        </w:trPr>
        <w:tc>
          <w:tcPr>
            <w:tcW w:w="11020" w:type="dxa"/>
            <w:vAlign w:val="bottom"/>
            <w:gridSpan w:val="4"/>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26"/>
        </w:trPr>
        <w:tc>
          <w:tcPr>
            <w:tcW w:w="11020" w:type="dxa"/>
            <w:vAlign w:val="bottom"/>
            <w:gridSpan w:val="4"/>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p>
      <w:pPr>
        <w:spacing w:after="0" w:line="217" w:lineRule="exact"/>
        <w:rPr>
          <w:sz w:val="24"/>
          <w:szCs w:val="24"/>
          <w:color w:val="auto"/>
        </w:rPr>
      </w:pPr>
    </w:p>
    <w:tbl>
      <w:tblPr>
        <w:tblLayout w:type="fixed"/>
        <w:tblInd w:w="580" w:type="dxa"/>
        <w:tblCellMar>
          <w:top w:w="0" w:type="dxa"/>
          <w:left w:w="0" w:type="dxa"/>
          <w:bottom w:w="0" w:type="dxa"/>
          <w:right w:w="0" w:type="dxa"/>
        </w:tblCellMar>
      </w:tblPr>
      <w:tr>
        <w:trPr>
          <w:trHeight w:val="226"/>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c>
          <w:tcPr>
            <w:tcW w:w="6420" w:type="dxa"/>
            <w:vAlign w:val="bottom"/>
          </w:tcPr>
          <w:p>
            <w:pPr>
              <w:ind w:left="4360"/>
              <w:spacing w:after="0"/>
              <w:rPr>
                <w:sz w:val="20"/>
                <w:szCs w:val="20"/>
                <w:color w:val="auto"/>
              </w:rPr>
            </w:pPr>
            <w:r>
              <w:rPr>
                <w:rFonts w:ascii="Arial" w:cs="Arial" w:eastAsia="Arial" w:hAnsi="Arial"/>
                <w:sz w:val="14"/>
                <w:szCs w:val="14"/>
                <w:color w:val="auto"/>
              </w:rPr>
              <w:t>Accelerated filer</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3"/>
        </w:trPr>
        <w:tc>
          <w:tcPr>
            <w:tcW w:w="166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380"/>
              <w:spacing w:after="0"/>
              <w:rPr>
                <w:sz w:val="20"/>
                <w:szCs w:val="20"/>
                <w:color w:val="auto"/>
              </w:rPr>
            </w:pPr>
            <w:r>
              <w:rPr>
                <w:rFonts w:ascii="Arial" w:cs="Arial" w:eastAsia="Arial" w:hAnsi="Arial"/>
                <w:sz w:val="14"/>
                <w:szCs w:val="14"/>
                <w:color w:val="auto"/>
              </w:rPr>
              <w:t>o</w:t>
            </w:r>
          </w:p>
        </w:tc>
        <w:tc>
          <w:tcPr>
            <w:tcW w:w="642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420" w:type="dxa"/>
            <w:vAlign w:val="bottom"/>
          </w:tcPr>
          <w:p>
            <w:pPr>
              <w:ind w:left="4360"/>
              <w:spacing w:after="0"/>
              <w:rPr>
                <w:sz w:val="20"/>
                <w:szCs w:val="20"/>
                <w:color w:val="auto"/>
              </w:rPr>
            </w:pPr>
            <w:r>
              <w:rPr>
                <w:rFonts w:ascii="Arial" w:cs="Arial" w:eastAsia="Arial" w:hAnsi="Arial"/>
                <w:sz w:val="14"/>
                <w:szCs w:val="14"/>
                <w:color w:val="auto"/>
              </w:rPr>
              <w:t>Smaller reporting company</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As of June 30, 2011 (the last business day of the registrant’s most recently completed second fiscal quarter), the aggregate market value of the shares of common stock held by non-affiliates of the registrant (based on the closing price for the common stock on the NASDAQ Global Select Market) was $1,957,036,021.</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2012 there were outstanding 39,826,906 shares of the registrant’s common stock, no par value, which is the only class of common stock of the registrant.</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information called for by Part III is incorporated by reference to the definitive Proxy Statement for the Annual Meeting of Shareholders of the Company to be held on May 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218440</wp:posOffset>
            </wp:positionV>
            <wp:extent cx="70408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08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132715</wp:posOffset>
            </wp:positionV>
            <wp:extent cx="70408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Itron, Inc. is filing this Amendment No. 1 on Form 10-K/A (Form 10-K/A) to its Annual Report on Form 10-K for the fiscal year ended December 31, 2011 as filed with the Securities and Exchange Commission (SEC) on February 16, 2012 (the Original Filing) solely to correct an administrative error in the content of Exhibit 23.1, Consent of Ernst &amp; Young LLP Independent Registered Public Accounting Firm (Consent). The error relates to the date of Ernst &amp; Young's Consent and to an erroneous reference to the date of Ernst &amp; Young's audit reports. The date of the Consent and the reference to the date of Ernst &amp; Young's audit reports included in the Consent as part of the Original Filing was February 16, 2011. The correct date of the Consent is February 16, 2012 and the correct date of the audit reports included in the Original Filing is February 16, 2012. A new consent with the correct dates is filed as an exhibit attached hereto.</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Rule 12b-15 under the SEC Act of 1934, as amended, this Form10-K/A also contains new certifications pursuant to Section 302 of the Sarbanes-Oxley Act of 2002, which are attached hereto. Because no financial statements have been included in this Form 10-K/A and this Form 10-K/A does not contain or amend any disclosure with respect to Items 307 and 308 of Regulation S-K, paragraphs 3, 4, and 5 of the certifications have been omitted.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Exhibit</w:t>
            </w:r>
          </w:p>
        </w:tc>
        <w:tc>
          <w:tcPr>
            <w:tcW w:w="9680" w:type="dxa"/>
            <w:vAlign w:val="bottom"/>
          </w:tcPr>
          <w:p>
            <w:pPr>
              <w:spacing w:after="0"/>
              <w:rPr>
                <w:sz w:val="18"/>
                <w:szCs w:val="18"/>
                <w:color w:val="auto"/>
              </w:rPr>
            </w:pPr>
          </w:p>
        </w:tc>
      </w:tr>
      <w:tr>
        <w:trPr>
          <w:trHeight w:val="234"/>
        </w:trPr>
        <w:tc>
          <w:tcPr>
            <w:tcW w:w="12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Number</w:t>
            </w:r>
          </w:p>
        </w:tc>
        <w:tc>
          <w:tcPr>
            <w:tcW w:w="9680" w:type="dxa"/>
            <w:vAlign w:val="bottom"/>
          </w:tcPr>
          <w:p>
            <w:pPr>
              <w:ind w:left="396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80" w:type="dxa"/>
            <w:vAlign w:val="bottom"/>
            <w:tcBorders>
              <w:bottom w:val="single" w:sz="8" w:color="auto"/>
            </w:tcBorders>
          </w:tcPr>
          <w:p>
            <w:pPr>
              <w:spacing w:after="0"/>
              <w:rPr>
                <w:sz w:val="2"/>
                <w:szCs w:val="2"/>
                <w:color w:val="auto"/>
              </w:rPr>
            </w:pPr>
          </w:p>
        </w:tc>
      </w:tr>
      <w:tr>
        <w:trPr>
          <w:trHeight w:val="358"/>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92"/>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392"/>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392"/>
        </w:trPr>
        <w:tc>
          <w:tcPr>
            <w:tcW w:w="104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68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described above, no other changes have been made to the Original Filing and this Form 10-K/A does not amend, update, or change the financial statements or any other items or disclosures in the Original Filing.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does not update any disclosures to reflect developments since the filing date of the Original Filing.</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day of February, 2012.</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ITRON, INC.</w:t>
      </w:r>
    </w:p>
    <w:p>
      <w:pPr>
        <w:spacing w:after="0" w:line="385" w:lineRule="exact"/>
        <w:rPr>
          <w:sz w:val="20"/>
          <w:szCs w:val="20"/>
          <w:color w:val="auto"/>
        </w:rPr>
      </w:pPr>
    </w:p>
    <w:p>
      <w:pPr>
        <w:ind w:left="394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9"/>
          <w:szCs w:val="19"/>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34925</wp:posOffset>
            </wp:positionV>
            <wp:extent cx="4562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7"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Steven M. Helmbrecht</w:t>
      </w:r>
    </w:p>
    <w:p>
      <w:pPr>
        <w:spacing w:after="0" w:line="63"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Sr. Vice President and Chief Financial Officer</w:t>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40" w:hanging="26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Statement (Form S-8 No. 333-40356) pertaining to the Itron, Inc. 2000 Stock Incentive Commission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Statement (Form S-8 No. 333-89966) pertaining to the Itron, Inc. 2002 Employee Stock Purchase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Statement (Form S-8 No. 333-97571) pertaining to the Itron, Inc. Amended and Restated 2000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Statement (Form S-8 No. 333-115987) pertaining to the Itron, Inc. Amended and Restated 2000 Stock Incentive Plan,</w:t>
      </w:r>
    </w:p>
    <w:p>
      <w:pPr>
        <w:spacing w:after="0" w:line="225" w:lineRule="exact"/>
        <w:rPr>
          <w:rFonts w:ascii="Arial" w:cs="Arial" w:eastAsia="Arial" w:hAnsi="Arial"/>
          <w:sz w:val="18"/>
          <w:szCs w:val="18"/>
          <w:color w:val="auto"/>
        </w:rPr>
      </w:pPr>
    </w:p>
    <w:p>
      <w:pPr>
        <w:ind w:left="820" w:right="180" w:hanging="245"/>
        <w:spacing w:after="0" w:line="277" w:lineRule="auto"/>
        <w:tabs>
          <w:tab w:leader="none" w:pos="83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Statement (Form S-8 No. 333-125461) pertaining to the Itron, Inc. Amended and Restated 2000 Stock Incentive Plan, and the Itron, Inc. Amended and Restated 2002 Employee Stock Purchase Plan,</w:t>
      </w:r>
    </w:p>
    <w:p>
      <w:pPr>
        <w:spacing w:after="0" w:line="170" w:lineRule="exact"/>
        <w:rPr>
          <w:rFonts w:ascii="Arial" w:cs="Arial" w:eastAsia="Arial" w:hAnsi="Arial"/>
          <w:sz w:val="18"/>
          <w:szCs w:val="18"/>
          <w:color w:val="auto"/>
        </w:rPr>
      </w:pPr>
    </w:p>
    <w:p>
      <w:pPr>
        <w:ind w:left="840" w:hanging="26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Statement (Form S-8 No. 333-134749) pertaining to the Itron, Inc. Amended and Restated 2000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Statement (Form S-8 No. 333-143048) pertaining to the Itron, Inc. Amended and Restated 2000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Statement (Form S-8 No. 333-166601) pertaining to the Itron, Inc. 2010 Stock Incentive Plan, and</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Registration Statement (Form S-3ASR No. 333-158417) of Itron, Inc. and in the related Prospectus,</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of our reports dated February 16, 2012, with respect to the consolidated financial statements and schedule of Itron, Inc. and the effectiveness of internal control over financial reporting of Itron, Inc. included in this Annual Report (Form 10-K) of Itron, Inc. for the year ended December 31,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17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80"/>
        <w:spacing w:after="0"/>
        <w:tabs>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400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2012</w:t>
      </w:r>
    </w:p>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8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8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2012</w:t>
      </w:r>
    </w:p>
    <w:p>
      <w:pPr>
        <w:sectPr>
          <w:pgSz w:w="11900" w:h="16838" w:orient="portrait"/>
          <w:cols w:equalWidth="0" w:num="1">
            <w:col w:w="11420"/>
          </w:cols>
          <w:pgMar w:left="240" w:top="5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10-K/A for the year ended December 31, 2011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21, 2012</w:t>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21, 2012</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2019-12-09T09:13:53Z</dcterms:created>
  <dcterms:modified xsi:type="dcterms:W3CDTF">2019-12-09T09:13:53Z</dcterms:modified>
</cp:coreProperties>
</file>