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May 3, 2011</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ITRON, INC.</w:t>
      </w:r>
    </w:p>
    <w:p>
      <w:pPr>
        <w:spacing w:after="0" w:line="5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1500"/>
        <w:spacing w:after="0"/>
        <w:rPr>
          <w:sz w:val="20"/>
          <w:szCs w:val="20"/>
          <w:color w:val="auto"/>
        </w:rPr>
      </w:pPr>
      <w:r>
        <w:rPr>
          <w:rFonts w:ascii="Arial" w:cs="Arial" w:eastAsia="Arial" w:hAnsi="Arial"/>
          <w:sz w:val="15"/>
          <w:szCs w:val="15"/>
          <w:b w:val="1"/>
          <w:bCs w:val="1"/>
          <w:color w:val="auto"/>
        </w:rPr>
        <w:t>Washington</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000-22418</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91-1011792</w:t>
      </w:r>
    </w:p>
    <w:p>
      <w:pPr>
        <w:spacing w:after="0" w:line="47"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2120"/>
        <w:spacing w:after="0"/>
        <w:rPr>
          <w:sz w:val="20"/>
          <w:szCs w:val="20"/>
          <w:color w:val="auto"/>
        </w:rPr>
      </w:pPr>
      <w:r>
        <w:rPr>
          <w:rFonts w:ascii="Arial" w:cs="Arial" w:eastAsia="Arial" w:hAnsi="Arial"/>
          <w:sz w:val="11"/>
          <w:szCs w:val="11"/>
          <w:b w:val="1"/>
          <w:bCs w:val="1"/>
          <w:color w:val="auto"/>
        </w:rPr>
        <w:t>(Commission</w:t>
      </w:r>
    </w:p>
    <w:p>
      <w:pPr>
        <w:spacing w:after="0" w:line="25" w:lineRule="exact"/>
        <w:rPr>
          <w:sz w:val="24"/>
          <w:szCs w:val="24"/>
          <w:color w:val="auto"/>
        </w:rPr>
      </w:pPr>
    </w:p>
    <w:p>
      <w:pPr>
        <w:jc w:val="center"/>
        <w:ind w:right="2120"/>
        <w:spacing w:after="0"/>
        <w:rPr>
          <w:sz w:val="20"/>
          <w:szCs w:val="20"/>
          <w:color w:val="auto"/>
        </w:rPr>
      </w:pPr>
      <w:r>
        <w:rPr>
          <w:rFonts w:ascii="Arial" w:cs="Arial" w:eastAsia="Arial" w:hAnsi="Arial"/>
          <w:sz w:val="14"/>
          <w:szCs w:val="14"/>
          <w:b w:val="1"/>
          <w:bCs w:val="1"/>
          <w:color w:val="auto"/>
        </w:rPr>
        <w:t>File No.)</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jc w:val="center"/>
        <w:ind w:right="-419"/>
        <w:spacing w:after="0"/>
        <w:rPr>
          <w:sz w:val="20"/>
          <w:szCs w:val="20"/>
          <w:color w:val="auto"/>
        </w:rPr>
      </w:pPr>
      <w:r>
        <w:rPr>
          <w:rFonts w:ascii="Arial" w:cs="Arial" w:eastAsia="Arial" w:hAnsi="Arial"/>
          <w:sz w:val="16"/>
          <w:szCs w:val="16"/>
          <w:b w:val="1"/>
          <w:bCs w:val="1"/>
          <w:color w:val="auto"/>
        </w:rPr>
        <w:t>2111 N. Molter Road, Liberty Lake, WA 99019</w:t>
      </w:r>
    </w:p>
    <w:p>
      <w:pPr>
        <w:spacing w:after="0" w:line="44"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3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(509) 924-9900</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020"/>
          </w:cols>
          <w:pgMar w:left="240" w:top="314" w:right="639" w:bottom="1440" w:gutter="0" w:footer="0" w:header="0"/>
          <w:type w:val="continuous"/>
        </w:sectPr>
      </w:pPr>
    </w:p>
    <w:p>
      <w:pPr>
        <w:spacing w:after="0" w:line="364"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Itron, Inc. (the Company) held its 2011 Annual Meeting of Shareholders on May 3, 2011. Four proposals were voted upon at the annual meeting. The proposals are described in detail in the Company’s proxy statement filed with the Securities and Exchange Commission on March 15, 2011. All of the proposals passed. The final results for the votes regarding each proposal are set forth below.</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Proposal One: The following nominees for Director were elected for three-year terms ending in 2014:</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61"/>
        </w:trPr>
        <w:tc>
          <w:tcPr>
            <w:tcW w:w="5160" w:type="dxa"/>
            <w:vAlign w:val="bottom"/>
            <w:gridSpan w:val="3"/>
          </w:tcPr>
          <w:p>
            <w:pPr>
              <w:spacing w:after="0"/>
              <w:rPr>
                <w:sz w:val="20"/>
                <w:szCs w:val="20"/>
                <w:color w:val="auto"/>
              </w:rPr>
            </w:pPr>
            <w:r>
              <w:rPr>
                <w:rFonts w:ascii="Arial" w:cs="Arial" w:eastAsia="Arial" w:hAnsi="Arial"/>
                <w:sz w:val="14"/>
                <w:szCs w:val="14"/>
                <w:b w:val="1"/>
                <w:bCs w:val="1"/>
                <w:color w:val="auto"/>
              </w:rPr>
              <w:t>NOMINEE</w:t>
            </w: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VOTES FOR</w:t>
            </w:r>
          </w:p>
        </w:tc>
        <w:tc>
          <w:tcPr>
            <w:tcW w:w="1100" w:type="dxa"/>
            <w:vAlign w:val="bottom"/>
          </w:tcPr>
          <w:p>
            <w:pPr>
              <w:spacing w:after="0"/>
              <w:rPr>
                <w:sz w:val="20"/>
                <w:szCs w:val="20"/>
                <w:color w:val="auto"/>
              </w:rPr>
            </w:pPr>
            <w:r>
              <w:rPr>
                <w:rFonts w:ascii="Arial" w:cs="Arial" w:eastAsia="Arial" w:hAnsi="Arial"/>
                <w:sz w:val="14"/>
                <w:szCs w:val="14"/>
                <w:b w:val="1"/>
                <w:bCs w:val="1"/>
                <w:color w:val="auto"/>
                <w:w w:val="94"/>
              </w:rPr>
              <w:t>VOTES AGAINST</w:t>
            </w:r>
          </w:p>
        </w:tc>
        <w:tc>
          <w:tcPr>
            <w:tcW w:w="4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ABSTENTIONS</w:t>
            </w:r>
          </w:p>
        </w:tc>
        <w:tc>
          <w:tcPr>
            <w:tcW w:w="4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3"/>
              </w:rPr>
              <w:t>NON-VOTES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 E. Eliassen</w:t>
            </w: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23,430,717</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3,129,810</w:t>
            </w:r>
          </w:p>
        </w:tc>
        <w:tc>
          <w:tcPr>
            <w:tcW w:w="144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6"/>
              </w:rPr>
              <w:t>155,690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4,812,949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Charles H. Gaylord Jr.</w:t>
            </w: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25,887,469</w:t>
            </w:r>
          </w:p>
        </w:tc>
        <w:tc>
          <w:tcPr>
            <w:tcW w:w="1100" w:type="dxa"/>
            <w:vAlign w:val="bottom"/>
          </w:tcPr>
          <w:p>
            <w:pPr>
              <w:jc w:val="center"/>
              <w:spacing w:after="0"/>
              <w:rPr>
                <w:sz w:val="20"/>
                <w:szCs w:val="20"/>
                <w:color w:val="auto"/>
              </w:rPr>
            </w:pPr>
            <w:r>
              <w:rPr>
                <w:rFonts w:ascii="Arial" w:cs="Arial" w:eastAsia="Arial" w:hAnsi="Arial"/>
                <w:sz w:val="18"/>
                <w:szCs w:val="18"/>
                <w:color w:val="auto"/>
                <w:w w:val="86"/>
              </w:rPr>
              <w:t>672,912</w:t>
            </w:r>
          </w:p>
        </w:tc>
        <w:tc>
          <w:tcPr>
            <w:tcW w:w="1440" w:type="dxa"/>
            <w:vAlign w:val="bottom"/>
            <w:gridSpan w:val="2"/>
          </w:tcPr>
          <w:p>
            <w:pPr>
              <w:jc w:val="center"/>
              <w:ind w:left="392"/>
              <w:spacing w:after="0"/>
              <w:rPr>
                <w:sz w:val="20"/>
                <w:szCs w:val="20"/>
                <w:color w:val="auto"/>
              </w:rPr>
            </w:pPr>
            <w:r>
              <w:rPr>
                <w:rFonts w:ascii="Arial" w:cs="Arial" w:eastAsia="Arial" w:hAnsi="Arial"/>
                <w:sz w:val="18"/>
                <w:szCs w:val="18"/>
                <w:color w:val="auto"/>
                <w:w w:val="86"/>
              </w:rPr>
              <w:t>155,836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4,812,949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E. Pruitt</w:t>
            </w: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25,888,177</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672,996</w:t>
            </w:r>
          </w:p>
        </w:tc>
        <w:tc>
          <w:tcPr>
            <w:tcW w:w="144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6"/>
              </w:rPr>
              <w:t>155,044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4,812,949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Proposal Two: Approval of the advisory (non-binding) resolution on executive compensation.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ind w:right="712"/>
              <w:spacing w:after="0"/>
              <w:rPr>
                <w:sz w:val="20"/>
                <w:szCs w:val="20"/>
                <w:color w:val="auto"/>
              </w:rPr>
            </w:pPr>
            <w:r>
              <w:rPr>
                <w:rFonts w:ascii="Arial" w:cs="Arial" w:eastAsia="Arial" w:hAnsi="Arial"/>
                <w:sz w:val="14"/>
                <w:szCs w:val="14"/>
                <w:b w:val="1"/>
                <w:bCs w:val="1"/>
                <w:color w:val="auto"/>
                <w:w w:val="98"/>
              </w:rPr>
              <w:t>BROKER</w:t>
            </w:r>
          </w:p>
        </w:tc>
        <w:tc>
          <w:tcPr>
            <w:tcW w:w="460" w:type="dxa"/>
            <w:vAlign w:val="bottom"/>
          </w:tcPr>
          <w:p>
            <w:pPr>
              <w:spacing w:after="0"/>
              <w:rPr>
                <w:sz w:val="14"/>
                <w:szCs w:val="14"/>
                <w:color w:val="auto"/>
              </w:rPr>
            </w:pPr>
          </w:p>
        </w:tc>
      </w:tr>
      <w:tr>
        <w:trPr>
          <w:trHeight w:val="175"/>
        </w:trPr>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6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VOTES FOR</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Borders>
              <w:bottom w:val="single" w:sz="8" w:color="auto"/>
            </w:tcBorders>
            <w:gridSpan w:val="4"/>
          </w:tcPr>
          <w:p>
            <w:pPr>
              <w:jc w:val="center"/>
              <w:ind w:left="372"/>
              <w:spacing w:after="0"/>
              <w:rPr>
                <w:sz w:val="20"/>
                <w:szCs w:val="20"/>
                <w:color w:val="auto"/>
              </w:rPr>
            </w:pPr>
            <w:r>
              <w:rPr>
                <w:rFonts w:ascii="Arial" w:cs="Arial" w:eastAsia="Arial" w:hAnsi="Arial"/>
                <w:sz w:val="14"/>
                <w:szCs w:val="14"/>
                <w:b w:val="1"/>
                <w:bCs w:val="1"/>
                <w:color w:val="auto"/>
                <w:w w:val="96"/>
              </w:rPr>
              <w:t>VOTES AGAINST</w:t>
            </w:r>
          </w:p>
        </w:tc>
        <w:tc>
          <w:tcPr>
            <w:tcW w:w="4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ABSTENTIONS</w:t>
            </w: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center"/>
              <w:ind w:right="612"/>
              <w:spacing w:after="0"/>
              <w:rPr>
                <w:sz w:val="20"/>
                <w:szCs w:val="20"/>
                <w:color w:val="auto"/>
              </w:rPr>
            </w:pPr>
            <w:r>
              <w:rPr>
                <w:rFonts w:ascii="Arial" w:cs="Arial" w:eastAsia="Arial" w:hAnsi="Arial"/>
                <w:sz w:val="14"/>
                <w:szCs w:val="14"/>
                <w:b w:val="1"/>
                <w:bCs w:val="1"/>
                <w:color w:val="auto"/>
                <w:w w:val="96"/>
              </w:rPr>
              <w:t>NON-VOTES</w:t>
            </w:r>
          </w:p>
        </w:tc>
        <w:tc>
          <w:tcPr>
            <w:tcW w:w="460" w:type="dxa"/>
            <w:vAlign w:val="bottom"/>
          </w:tcPr>
          <w:p>
            <w:pPr>
              <w:spacing w:after="0"/>
              <w:rPr>
                <w:sz w:val="15"/>
                <w:szCs w:val="15"/>
                <w:color w:val="auto"/>
              </w:rPr>
            </w:pPr>
          </w:p>
        </w:tc>
      </w:tr>
      <w:tr>
        <w:trPr>
          <w:trHeight w:val="210"/>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6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7"/>
              </w:rPr>
              <w:t>25,243,662</w:t>
            </w:r>
          </w:p>
        </w:tc>
        <w:tc>
          <w:tcPr>
            <w:tcW w:w="242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1,244,058</w:t>
            </w:r>
          </w:p>
        </w:tc>
        <w:tc>
          <w:tcPr>
            <w:tcW w:w="280" w:type="dxa"/>
            <w:vAlign w:val="bottom"/>
            <w:shd w:val="clear" w:color="auto" w:fill="CCEEFF"/>
          </w:tcPr>
          <w:p>
            <w:pPr>
              <w:spacing w:after="0"/>
              <w:rPr>
                <w:sz w:val="18"/>
                <w:szCs w:val="18"/>
                <w:color w:val="auto"/>
              </w:rPr>
            </w:pPr>
          </w:p>
        </w:tc>
        <w:tc>
          <w:tcPr>
            <w:tcW w:w="214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228,497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612"/>
              <w:spacing w:after="0"/>
              <w:rPr>
                <w:sz w:val="20"/>
                <w:szCs w:val="20"/>
                <w:color w:val="auto"/>
              </w:rPr>
            </w:pPr>
            <w:r>
              <w:rPr>
                <w:rFonts w:ascii="Arial" w:cs="Arial" w:eastAsia="Arial" w:hAnsi="Arial"/>
                <w:sz w:val="18"/>
                <w:szCs w:val="18"/>
                <w:color w:val="auto"/>
                <w:w w:val="89"/>
              </w:rPr>
              <w:t>4,812,949</w:t>
            </w:r>
          </w:p>
        </w:tc>
        <w:tc>
          <w:tcPr>
            <w:tcW w:w="460" w:type="dxa"/>
            <w:vAlign w:val="bottom"/>
          </w:tcPr>
          <w:p>
            <w:pPr>
              <w:spacing w:after="0"/>
              <w:rPr>
                <w:sz w:val="18"/>
                <w:szCs w:val="18"/>
                <w:color w:val="auto"/>
              </w:rPr>
            </w:pPr>
          </w:p>
        </w:tc>
      </w:tr>
      <w:tr>
        <w:trPr>
          <w:trHeight w:val="457"/>
        </w:trPr>
        <w:tc>
          <w:tcPr>
            <w:tcW w:w="7520" w:type="dxa"/>
            <w:vAlign w:val="bottom"/>
            <w:gridSpan w:val="15"/>
          </w:tcPr>
          <w:p>
            <w:pPr>
              <w:spacing w:after="0"/>
              <w:rPr>
                <w:sz w:val="20"/>
                <w:szCs w:val="20"/>
                <w:color w:val="auto"/>
              </w:rPr>
            </w:pPr>
            <w:r>
              <w:rPr>
                <w:rFonts w:ascii="Arial" w:cs="Arial" w:eastAsia="Arial" w:hAnsi="Arial"/>
                <w:sz w:val="18"/>
                <w:szCs w:val="18"/>
                <w:color w:val="auto"/>
                <w:w w:val="88"/>
              </w:rPr>
              <w:t>Proposal Three: Approval on the frequency of the advisory (non-binding) vote on executive compensation.</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40"/>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jc w:val="center"/>
              <w:ind w:left="392"/>
              <w:spacing w:after="0"/>
              <w:rPr>
                <w:sz w:val="20"/>
                <w:szCs w:val="20"/>
                <w:color w:val="auto"/>
              </w:rPr>
            </w:pPr>
            <w:r>
              <w:rPr>
                <w:rFonts w:ascii="Arial" w:cs="Arial" w:eastAsia="Arial" w:hAnsi="Arial"/>
                <w:sz w:val="14"/>
                <w:szCs w:val="14"/>
                <w:b w:val="1"/>
                <w:bCs w:val="1"/>
                <w:color w:val="auto"/>
                <w:w w:val="98"/>
              </w:rPr>
              <w:t>BROKER</w:t>
            </w:r>
          </w:p>
        </w:tc>
        <w:tc>
          <w:tcPr>
            <w:tcW w:w="460" w:type="dxa"/>
            <w:vAlign w:val="bottom"/>
          </w:tcPr>
          <w:p>
            <w:pPr>
              <w:spacing w:after="0"/>
              <w:rPr>
                <w:sz w:val="24"/>
                <w:szCs w:val="24"/>
                <w:color w:val="auto"/>
              </w:rPr>
            </w:pPr>
          </w:p>
        </w:tc>
      </w:tr>
      <w:tr>
        <w:trPr>
          <w:trHeight w:val="175"/>
        </w:trPr>
        <w:tc>
          <w:tcPr>
            <w:tcW w:w="4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center"/>
              <w:ind w:right="366"/>
              <w:spacing w:after="0"/>
              <w:rPr>
                <w:sz w:val="20"/>
                <w:szCs w:val="20"/>
                <w:color w:val="auto"/>
              </w:rPr>
            </w:pPr>
            <w:r>
              <w:rPr>
                <w:rFonts w:ascii="Arial" w:cs="Arial" w:eastAsia="Arial" w:hAnsi="Arial"/>
                <w:sz w:val="14"/>
                <w:szCs w:val="14"/>
                <w:b w:val="1"/>
                <w:bCs w:val="1"/>
                <w:color w:val="auto"/>
                <w:w w:val="97"/>
              </w:rPr>
              <w:t>EVERY YEAR</w:t>
            </w:r>
          </w:p>
        </w:tc>
        <w:tc>
          <w:tcPr>
            <w:tcW w:w="120" w:type="dxa"/>
            <w:vAlign w:val="bottom"/>
          </w:tcPr>
          <w:p>
            <w:pPr>
              <w:spacing w:after="0"/>
              <w:rPr>
                <w:sz w:val="15"/>
                <w:szCs w:val="15"/>
                <w:color w:val="auto"/>
              </w:rPr>
            </w:pPr>
          </w:p>
        </w:tc>
        <w:tc>
          <w:tcPr>
            <w:tcW w:w="19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8"/>
              </w:rPr>
              <w:t>EVERY TWO YEARS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center"/>
              <w:ind w:right="152"/>
              <w:spacing w:after="0"/>
              <w:rPr>
                <w:sz w:val="20"/>
                <w:szCs w:val="20"/>
                <w:color w:val="auto"/>
              </w:rPr>
            </w:pPr>
            <w:r>
              <w:rPr>
                <w:rFonts w:ascii="Arial" w:cs="Arial" w:eastAsia="Arial" w:hAnsi="Arial"/>
                <w:sz w:val="14"/>
                <w:szCs w:val="14"/>
                <w:b w:val="1"/>
                <w:bCs w:val="1"/>
                <w:color w:val="auto"/>
                <w:w w:val="96"/>
              </w:rPr>
              <w:t>EVERY THREE YEARS</w:t>
            </w: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4"/>
                <w:szCs w:val="14"/>
                <w:b w:val="1"/>
                <w:bCs w:val="1"/>
                <w:color w:val="auto"/>
                <w:w w:val="95"/>
              </w:rPr>
              <w:t>ABSTENTIONS</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center"/>
              <w:ind w:left="392"/>
              <w:spacing w:after="0"/>
              <w:rPr>
                <w:sz w:val="20"/>
                <w:szCs w:val="20"/>
                <w:color w:val="auto"/>
              </w:rPr>
            </w:pPr>
            <w:r>
              <w:rPr>
                <w:rFonts w:ascii="Arial" w:cs="Arial" w:eastAsia="Arial" w:hAnsi="Arial"/>
                <w:sz w:val="14"/>
                <w:szCs w:val="14"/>
                <w:b w:val="1"/>
                <w:bCs w:val="1"/>
                <w:color w:val="auto"/>
                <w:w w:val="96"/>
              </w:rPr>
              <w:t>NON-VOTES</w:t>
            </w:r>
          </w:p>
        </w:tc>
        <w:tc>
          <w:tcPr>
            <w:tcW w:w="460" w:type="dxa"/>
            <w:vAlign w:val="bottom"/>
            <w:tcBorders>
              <w:bottom w:val="single" w:sz="8" w:color="auto"/>
            </w:tcBorders>
          </w:tcPr>
          <w:p>
            <w:pPr>
              <w:spacing w:after="0"/>
              <w:rPr>
                <w:sz w:val="15"/>
                <w:szCs w:val="15"/>
                <w:color w:val="auto"/>
              </w:rPr>
            </w:pPr>
          </w:p>
        </w:tc>
      </w:tr>
      <w:tr>
        <w:trPr>
          <w:trHeight w:val="210"/>
        </w:trPr>
        <w:tc>
          <w:tcPr>
            <w:tcW w:w="460" w:type="dxa"/>
            <w:vAlign w:val="bottom"/>
          </w:tcPr>
          <w:p>
            <w:pPr>
              <w:spacing w:after="0"/>
              <w:rPr>
                <w:sz w:val="18"/>
                <w:szCs w:val="18"/>
                <w:color w:val="auto"/>
              </w:rPr>
            </w:pPr>
          </w:p>
        </w:tc>
        <w:tc>
          <w:tcPr>
            <w:tcW w:w="2220" w:type="dxa"/>
            <w:vAlign w:val="bottom"/>
            <w:gridSpan w:val="2"/>
            <w:shd w:val="clear" w:color="auto" w:fill="CCEEFF"/>
          </w:tcPr>
          <w:p>
            <w:pPr>
              <w:jc w:val="right"/>
              <w:ind w:right="646"/>
              <w:spacing w:after="0"/>
              <w:rPr>
                <w:sz w:val="20"/>
                <w:szCs w:val="20"/>
                <w:color w:val="auto"/>
              </w:rPr>
            </w:pPr>
            <w:r>
              <w:rPr>
                <w:rFonts w:ascii="Arial" w:cs="Arial" w:eastAsia="Arial" w:hAnsi="Arial"/>
                <w:sz w:val="18"/>
                <w:szCs w:val="18"/>
                <w:color w:val="auto"/>
              </w:rPr>
              <w:t>22,161,221</w:t>
            </w:r>
          </w:p>
        </w:tc>
        <w:tc>
          <w:tcPr>
            <w:tcW w:w="2100" w:type="dxa"/>
            <w:vAlign w:val="bottom"/>
            <w:gridSpan w:val="4"/>
            <w:shd w:val="clear" w:color="auto" w:fill="CCEEFF"/>
          </w:tcPr>
          <w:p>
            <w:pPr>
              <w:jc w:val="right"/>
              <w:ind w:right="672"/>
              <w:spacing w:after="0"/>
              <w:rPr>
                <w:sz w:val="20"/>
                <w:szCs w:val="20"/>
                <w:color w:val="auto"/>
              </w:rPr>
            </w:pPr>
            <w:r>
              <w:rPr>
                <w:rFonts w:ascii="Arial" w:cs="Arial" w:eastAsia="Arial" w:hAnsi="Arial"/>
                <w:sz w:val="18"/>
                <w:szCs w:val="18"/>
                <w:color w:val="auto"/>
              </w:rPr>
              <w:t>67,031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92"/>
              <w:spacing w:after="0"/>
              <w:rPr>
                <w:sz w:val="20"/>
                <w:szCs w:val="20"/>
                <w:color w:val="auto"/>
              </w:rPr>
            </w:pPr>
            <w:r>
              <w:rPr>
                <w:rFonts w:ascii="Arial" w:cs="Arial" w:eastAsia="Arial" w:hAnsi="Arial"/>
                <w:sz w:val="18"/>
                <w:szCs w:val="18"/>
                <w:color w:val="auto"/>
              </w:rPr>
              <w:t>4,447,892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40,073</w:t>
            </w:r>
          </w:p>
        </w:tc>
        <w:tc>
          <w:tcPr>
            <w:tcW w:w="6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499"/>
              <w:spacing w:after="0"/>
              <w:rPr>
                <w:sz w:val="20"/>
                <w:szCs w:val="20"/>
                <w:color w:val="auto"/>
              </w:rPr>
            </w:pPr>
            <w:r>
              <w:rPr>
                <w:rFonts w:ascii="Arial" w:cs="Arial" w:eastAsia="Arial" w:hAnsi="Arial"/>
                <w:sz w:val="18"/>
                <w:szCs w:val="18"/>
                <w:color w:val="auto"/>
                <w:w w:val="87"/>
              </w:rPr>
              <w:t>4,812,949</w:t>
            </w:r>
          </w:p>
        </w:tc>
        <w:tc>
          <w:tcPr>
            <w:tcW w:w="46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Proposal Four: Ratification of the appointment of Ernst &amp; Young LLP as the Company’s independent registered public accounting firm for the 2011 fiscal year.</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8"/>
              </w:rPr>
              <w:t>BROKER</w:t>
            </w:r>
          </w:p>
        </w:tc>
      </w:tr>
      <w:tr>
        <w:trPr>
          <w:trHeight w:val="175"/>
        </w:trPr>
        <w:tc>
          <w:tcPr>
            <w:tcW w:w="250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VOTES FOR</w:t>
            </w:r>
          </w:p>
        </w:tc>
        <w:tc>
          <w:tcPr>
            <w:tcW w:w="100" w:type="dxa"/>
            <w:vAlign w:val="bottom"/>
          </w:tcPr>
          <w:p>
            <w:pPr>
              <w:spacing w:after="0"/>
              <w:rPr>
                <w:sz w:val="15"/>
                <w:szCs w:val="15"/>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VOTES AGAINST</w:t>
            </w:r>
          </w:p>
        </w:tc>
        <w:tc>
          <w:tcPr>
            <w:tcW w:w="80" w:type="dxa"/>
            <w:vAlign w:val="bottom"/>
          </w:tcPr>
          <w:p>
            <w:pPr>
              <w:spacing w:after="0"/>
              <w:rPr>
                <w:sz w:val="15"/>
                <w:szCs w:val="15"/>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ABSTENTIONS</w:t>
            </w:r>
          </w:p>
        </w:tc>
        <w:tc>
          <w:tcPr>
            <w:tcW w:w="10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NON-VOTES</w:t>
            </w:r>
          </w:p>
        </w:tc>
      </w:tr>
      <w:tr>
        <w:trPr>
          <w:trHeight w:val="210"/>
        </w:trPr>
        <w:tc>
          <w:tcPr>
            <w:tcW w:w="2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31,004,011</w:t>
            </w:r>
          </w:p>
        </w:tc>
        <w:tc>
          <w:tcPr>
            <w:tcW w:w="240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color w:val="auto"/>
              </w:rPr>
              <w:t>445,342</w:t>
            </w:r>
          </w:p>
        </w:tc>
        <w:tc>
          <w:tcPr>
            <w:tcW w:w="2380" w:type="dxa"/>
            <w:vAlign w:val="bottom"/>
            <w:gridSpan w:val="2"/>
            <w:shd w:val="clear" w:color="auto" w:fill="CCEEFF"/>
          </w:tcPr>
          <w:p>
            <w:pPr>
              <w:jc w:val="right"/>
              <w:ind w:right="832"/>
              <w:spacing w:after="0"/>
              <w:rPr>
                <w:sz w:val="20"/>
                <w:szCs w:val="20"/>
                <w:color w:val="auto"/>
              </w:rPr>
            </w:pPr>
            <w:r>
              <w:rPr>
                <w:rFonts w:ascii="Arial" w:cs="Arial" w:eastAsia="Arial" w:hAnsi="Arial"/>
                <w:sz w:val="18"/>
                <w:szCs w:val="18"/>
                <w:color w:val="auto"/>
              </w:rPr>
              <w:t>79,813</w:t>
            </w:r>
          </w:p>
        </w:tc>
        <w:tc>
          <w:tcPr>
            <w:tcW w:w="100" w:type="dxa"/>
            <w:vAlign w:val="bottom"/>
            <w:shd w:val="clear" w:color="auto" w:fill="CCEEFF"/>
          </w:tcPr>
          <w:p>
            <w:pPr>
              <w:spacing w:after="0"/>
              <w:rPr>
                <w:sz w:val="18"/>
                <w:szCs w:val="18"/>
                <w:color w:val="auto"/>
              </w:rPr>
            </w:pPr>
          </w:p>
        </w:tc>
        <w:tc>
          <w:tcPr>
            <w:tcW w:w="22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80" w:type="dxa"/>
            <w:vAlign w:val="bottom"/>
          </w:tcPr>
          <w:p>
            <w:pPr>
              <w:spacing w:after="0"/>
              <w:rPr>
                <w:sz w:val="19"/>
                <w:szCs w:val="19"/>
                <w:color w:val="auto"/>
              </w:rPr>
            </w:pPr>
          </w:p>
        </w:tc>
        <w:tc>
          <w:tcPr>
            <w:tcW w:w="3100" w:type="dxa"/>
            <w:vAlign w:val="bottom"/>
            <w:gridSpan w:val="2"/>
          </w:tcPr>
          <w:p>
            <w:pPr>
              <w:ind w:left="1980"/>
              <w:spacing w:after="0"/>
              <w:rPr>
                <w:sz w:val="20"/>
                <w:szCs w:val="20"/>
                <w:color w:val="auto"/>
              </w:rPr>
            </w:pPr>
            <w:r>
              <w:rPr>
                <w:rFonts w:ascii="Arial" w:cs="Arial" w:eastAsia="Arial" w:hAnsi="Arial"/>
                <w:sz w:val="18"/>
                <w:szCs w:val="18"/>
                <w:color w:val="auto"/>
              </w:rPr>
              <w:t>ITRON, INC.</w:t>
            </w:r>
          </w:p>
        </w:tc>
        <w:tc>
          <w:tcPr>
            <w:tcW w:w="4940" w:type="dxa"/>
            <w:vAlign w:val="bottom"/>
          </w:tcPr>
          <w:p>
            <w:pPr>
              <w:spacing w:after="0"/>
              <w:rPr>
                <w:sz w:val="19"/>
                <w:szCs w:val="19"/>
                <w:color w:val="auto"/>
              </w:rPr>
            </w:pPr>
          </w:p>
        </w:tc>
      </w:tr>
      <w:tr>
        <w:trPr>
          <w:trHeight w:val="434"/>
        </w:trPr>
        <w:tc>
          <w:tcPr>
            <w:tcW w:w="3380" w:type="dxa"/>
            <w:vAlign w:val="bottom"/>
          </w:tcPr>
          <w:p>
            <w:pPr>
              <w:spacing w:after="0"/>
              <w:rPr>
                <w:sz w:val="20"/>
                <w:szCs w:val="20"/>
                <w:color w:val="auto"/>
              </w:rPr>
            </w:pPr>
            <w:r>
              <w:rPr>
                <w:rFonts w:ascii="Arial" w:cs="Arial" w:eastAsia="Arial" w:hAnsi="Arial"/>
                <w:sz w:val="18"/>
                <w:szCs w:val="18"/>
                <w:color w:val="auto"/>
              </w:rPr>
              <w:t>Dated: May 4, 2011</w:t>
            </w:r>
          </w:p>
        </w:tc>
        <w:tc>
          <w:tcPr>
            <w:tcW w:w="2900" w:type="dxa"/>
            <w:vAlign w:val="bottom"/>
          </w:tcPr>
          <w:p>
            <w:pPr>
              <w:ind w:left="2540"/>
              <w:spacing w:after="0"/>
              <w:rPr>
                <w:sz w:val="20"/>
                <w:szCs w:val="20"/>
                <w:color w:val="auto"/>
              </w:rPr>
            </w:pPr>
            <w:r>
              <w:rPr>
                <w:rFonts w:ascii="Arial" w:cs="Arial" w:eastAsia="Arial" w:hAnsi="Arial"/>
                <w:sz w:val="18"/>
                <w:szCs w:val="18"/>
                <w:color w:val="auto"/>
              </w:rPr>
              <w:t>By:</w:t>
            </w:r>
          </w:p>
        </w:tc>
        <w:tc>
          <w:tcPr>
            <w:tcW w:w="2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Steven M. Helmbrecht</w:t>
            </w:r>
          </w:p>
        </w:tc>
      </w:tr>
      <w:tr>
        <w:trPr>
          <w:trHeight w:val="215"/>
        </w:trPr>
        <w:tc>
          <w:tcPr>
            <w:tcW w:w="3380" w:type="dxa"/>
            <w:vAlign w:val="bottom"/>
          </w:tcPr>
          <w:p>
            <w:pPr>
              <w:spacing w:after="0"/>
              <w:rPr>
                <w:sz w:val="18"/>
                <w:szCs w:val="18"/>
                <w:color w:val="auto"/>
              </w:rPr>
            </w:pPr>
          </w:p>
        </w:tc>
        <w:tc>
          <w:tcPr>
            <w:tcW w:w="8040" w:type="dxa"/>
            <w:vAlign w:val="bottom"/>
            <w:gridSpan w:val="3"/>
          </w:tcPr>
          <w:p>
            <w:pPr>
              <w:ind w:left="2540"/>
              <w:spacing w:after="0"/>
              <w:rPr>
                <w:sz w:val="20"/>
                <w:szCs w:val="20"/>
                <w:color w:val="auto"/>
              </w:rPr>
            </w:pPr>
            <w:r>
              <w:rPr>
                <w:rFonts w:ascii="Arial" w:cs="Arial" w:eastAsia="Arial" w:hAnsi="Arial"/>
                <w:sz w:val="18"/>
                <w:szCs w:val="18"/>
                <w:color w:val="auto"/>
              </w:rPr>
              <w:t>Steven M. Helmbrecht</w:t>
            </w:r>
          </w:p>
        </w:tc>
      </w:tr>
      <w:tr>
        <w:trPr>
          <w:trHeight w:val="222"/>
        </w:trPr>
        <w:tc>
          <w:tcPr>
            <w:tcW w:w="3380" w:type="dxa"/>
            <w:vAlign w:val="bottom"/>
          </w:tcPr>
          <w:p>
            <w:pPr>
              <w:spacing w:after="0"/>
              <w:rPr>
                <w:sz w:val="19"/>
                <w:szCs w:val="19"/>
                <w:color w:val="auto"/>
              </w:rPr>
            </w:pPr>
          </w:p>
        </w:tc>
        <w:tc>
          <w:tcPr>
            <w:tcW w:w="8040" w:type="dxa"/>
            <w:vAlign w:val="bottom"/>
            <w:gridSpan w:val="3"/>
          </w:tcPr>
          <w:p>
            <w:pPr>
              <w:ind w:left="2540"/>
              <w:spacing w:after="0"/>
              <w:rPr>
                <w:sz w:val="20"/>
                <w:szCs w:val="20"/>
                <w:color w:val="auto"/>
              </w:rPr>
            </w:pPr>
            <w:r>
              <w:rPr>
                <w:rFonts w:ascii="Arial" w:cs="Arial" w:eastAsia="Arial" w:hAnsi="Arial"/>
                <w:sz w:val="18"/>
                <w:szCs w:val="18"/>
                <w:color w:val="auto"/>
              </w:rPr>
              <w:t>Sr. Vice President and Chief Financial Officer</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2019-12-10T07:12:32Z</dcterms:created>
  <dcterms:modified xsi:type="dcterms:W3CDTF">2019-12-10T07:12:32Z</dcterms:modified>
</cp:coreProperties>
</file>