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5"/>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4" w:lineRule="exact"/>
        <w:rPr>
          <w:sz w:val="24"/>
          <w:szCs w:val="24"/>
          <w:color w:val="auto"/>
        </w:rPr>
      </w:pPr>
    </w:p>
    <w:p>
      <w:pPr>
        <w:jc w:val="center"/>
        <w:ind w:right="95"/>
        <w:spacing w:after="0"/>
        <w:rPr>
          <w:sz w:val="20"/>
          <w:szCs w:val="20"/>
          <w:color w:val="auto"/>
        </w:rPr>
      </w:pPr>
      <w:r>
        <w:rPr>
          <w:rFonts w:ascii="Arial" w:cs="Arial" w:eastAsia="Arial" w:hAnsi="Arial"/>
          <w:sz w:val="22"/>
          <w:szCs w:val="22"/>
          <w:b w:val="1"/>
          <w:bCs w:val="1"/>
          <w:color w:val="auto"/>
        </w:rPr>
        <w:t>January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2306955</wp:posOffset>
            </wp:positionH>
            <wp:positionV relativeFrom="paragraph">
              <wp:posOffset>28575</wp:posOffset>
            </wp:positionV>
            <wp:extent cx="256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7"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42"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28575</wp:posOffset>
            </wp:positionV>
            <wp:extent cx="4759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51"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25" w:type="dxa"/>
        <w:tblCellMar>
          <w:top w:w="0" w:type="dxa"/>
          <w:left w:w="0" w:type="dxa"/>
          <w:bottom w:w="0" w:type="dxa"/>
          <w:right w:w="0" w:type="dxa"/>
        </w:tblCellMar>
      </w:tblPr>
      <w:tr>
        <w:trPr>
          <w:trHeight w:val="291"/>
        </w:trPr>
        <w:tc>
          <w:tcPr>
            <w:tcW w:w="220" w:type="dxa"/>
            <w:vAlign w:val="bottom"/>
          </w:tcPr>
          <w:p>
            <w:pPr>
              <w:spacing w:after="0"/>
              <w:rPr>
                <w:sz w:val="24"/>
                <w:szCs w:val="24"/>
                <w:color w:val="auto"/>
              </w:rPr>
            </w:pPr>
          </w:p>
        </w:tc>
        <w:tc>
          <w:tcPr>
            <w:tcW w:w="2960" w:type="dxa"/>
            <w:vAlign w:val="bottom"/>
            <w:tcBorders>
              <w:bottom w:val="single" w:sz="8" w:color="auto"/>
            </w:tcBorders>
          </w:tcPr>
          <w:p>
            <w:pPr>
              <w:jc w:val="center"/>
              <w:ind w:left="364"/>
              <w:spacing w:after="0"/>
              <w:rPr>
                <w:sz w:val="20"/>
                <w:szCs w:val="20"/>
                <w:color w:val="auto"/>
              </w:rPr>
            </w:pPr>
            <w:r>
              <w:rPr>
                <w:rFonts w:ascii="Arial" w:cs="Arial" w:eastAsia="Arial" w:hAnsi="Arial"/>
                <w:sz w:val="22"/>
                <w:szCs w:val="22"/>
                <w:b w:val="1"/>
                <w:bCs w:val="1"/>
                <w:color w:val="auto"/>
                <w:w w:val="87"/>
              </w:rPr>
              <w:t>Washington</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000-22418</w:t>
            </w:r>
          </w:p>
        </w:tc>
        <w:tc>
          <w:tcPr>
            <w:tcW w:w="3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right="524"/>
              <w:spacing w:after="0"/>
              <w:rPr>
                <w:sz w:val="20"/>
                <w:szCs w:val="20"/>
                <w:color w:val="auto"/>
              </w:rPr>
            </w:pPr>
            <w:r>
              <w:rPr>
                <w:rFonts w:ascii="Arial" w:cs="Arial" w:eastAsia="Arial" w:hAnsi="Arial"/>
                <w:sz w:val="22"/>
                <w:szCs w:val="22"/>
                <w:b w:val="1"/>
                <w:bCs w:val="1"/>
                <w:color w:val="auto"/>
                <w:w w:val="88"/>
              </w:rPr>
              <w:t>91-1011792</w:t>
            </w:r>
          </w:p>
        </w:tc>
        <w:tc>
          <w:tcPr>
            <w:tcW w:w="200" w:type="dxa"/>
            <w:vAlign w:val="bottom"/>
          </w:tcPr>
          <w:p>
            <w:pPr>
              <w:spacing w:after="0"/>
              <w:rPr>
                <w:sz w:val="24"/>
                <w:szCs w:val="24"/>
                <w:color w:val="auto"/>
              </w:rPr>
            </w:pPr>
          </w:p>
        </w:tc>
      </w:tr>
      <w:tr>
        <w:trPr>
          <w:trHeight w:val="229"/>
        </w:trPr>
        <w:tc>
          <w:tcPr>
            <w:tcW w:w="220" w:type="dxa"/>
            <w:vAlign w:val="bottom"/>
          </w:tcPr>
          <w:p>
            <w:pPr>
              <w:spacing w:after="0"/>
              <w:rPr>
                <w:sz w:val="19"/>
                <w:szCs w:val="19"/>
                <w:color w:val="auto"/>
              </w:rPr>
            </w:pPr>
          </w:p>
        </w:tc>
        <w:tc>
          <w:tcPr>
            <w:tcW w:w="2960" w:type="dxa"/>
            <w:vAlign w:val="bottom"/>
          </w:tcPr>
          <w:p>
            <w:pPr>
              <w:jc w:val="center"/>
              <w:ind w:left="384"/>
              <w:spacing w:after="0"/>
              <w:rPr>
                <w:sz w:val="20"/>
                <w:szCs w:val="20"/>
                <w:color w:val="auto"/>
              </w:rPr>
            </w:pPr>
            <w:r>
              <w:rPr>
                <w:rFonts w:ascii="Arial" w:cs="Arial" w:eastAsia="Arial" w:hAnsi="Arial"/>
                <w:sz w:val="18"/>
                <w:szCs w:val="18"/>
                <w:color w:val="auto"/>
                <w:w w:val="91"/>
              </w:rPr>
              <w:t>(State or Other Jurisdiction</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6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(Commission File No.)</w:t>
            </w:r>
          </w:p>
        </w:tc>
        <w:tc>
          <w:tcPr>
            <w:tcW w:w="2820" w:type="dxa"/>
            <w:vAlign w:val="bottom"/>
          </w:tcPr>
          <w:p>
            <w:pPr>
              <w:jc w:val="center"/>
              <w:ind w:right="524"/>
              <w:spacing w:after="0"/>
              <w:rPr>
                <w:sz w:val="20"/>
                <w:szCs w:val="20"/>
                <w:color w:val="auto"/>
              </w:rPr>
            </w:pPr>
            <w:r>
              <w:rPr>
                <w:rFonts w:ascii="Arial" w:cs="Arial" w:eastAsia="Arial" w:hAnsi="Arial"/>
                <w:sz w:val="18"/>
                <w:szCs w:val="18"/>
                <w:color w:val="auto"/>
                <w:w w:val="92"/>
              </w:rPr>
              <w:t>(IRS Employer</w:t>
            </w: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960" w:type="dxa"/>
            <w:vAlign w:val="bottom"/>
          </w:tcPr>
          <w:p>
            <w:pPr>
              <w:jc w:val="center"/>
              <w:ind w:left="384"/>
              <w:spacing w:after="0"/>
              <w:rPr>
                <w:sz w:val="20"/>
                <w:szCs w:val="20"/>
                <w:color w:val="auto"/>
              </w:rPr>
            </w:pPr>
            <w:r>
              <w:rPr>
                <w:rFonts w:ascii="Arial" w:cs="Arial" w:eastAsia="Arial" w:hAnsi="Arial"/>
                <w:sz w:val="18"/>
                <w:szCs w:val="18"/>
                <w:color w:val="auto"/>
                <w:w w:val="94"/>
              </w:rPr>
              <w:t>of Incorporation)</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20" w:type="dxa"/>
            <w:vAlign w:val="bottom"/>
          </w:tcPr>
          <w:p>
            <w:pPr>
              <w:jc w:val="center"/>
              <w:ind w:right="504"/>
              <w:spacing w:after="0"/>
              <w:rPr>
                <w:sz w:val="20"/>
                <w:szCs w:val="20"/>
                <w:color w:val="auto"/>
              </w:rPr>
            </w:pPr>
            <w:r>
              <w:rPr>
                <w:rFonts w:ascii="Arial" w:cs="Arial" w:eastAsia="Arial" w:hAnsi="Arial"/>
                <w:sz w:val="18"/>
                <w:szCs w:val="18"/>
                <w:color w:val="auto"/>
                <w:w w:val="95"/>
              </w:rPr>
              <w:t>Identification No.)</w:t>
            </w:r>
          </w:p>
        </w:tc>
        <w:tc>
          <w:tcPr>
            <w:tcW w:w="200" w:type="dxa"/>
            <w:vAlign w:val="bottom"/>
          </w:tcPr>
          <w:p>
            <w:pPr>
              <w:spacing w:after="0"/>
              <w:rPr>
                <w:sz w:val="20"/>
                <w:szCs w:val="20"/>
                <w:color w:val="auto"/>
              </w:rPr>
            </w:pPr>
          </w:p>
        </w:tc>
      </w:tr>
      <w:tr>
        <w:trPr>
          <w:trHeight w:val="709"/>
        </w:trPr>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22"/>
                <w:szCs w:val="22"/>
                <w:b w:val="1"/>
                <w:bCs w:val="1"/>
                <w:color w:val="auto"/>
                <w:w w:val="91"/>
              </w:rPr>
              <w:t>2111 N. Molter Road, Liberty Lake, WA 99019</w:t>
            </w: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500" w:type="dxa"/>
            <w:vAlign w:val="bottom"/>
            <w:gridSpan w:val="4"/>
          </w:tcPr>
          <w:p>
            <w:pPr>
              <w:jc w:val="center"/>
              <w:ind w:right="640"/>
              <w:spacing w:after="0"/>
              <w:rPr>
                <w:sz w:val="20"/>
                <w:szCs w:val="20"/>
                <w:color w:val="auto"/>
              </w:rPr>
            </w:pPr>
            <w:r>
              <w:rPr>
                <w:rFonts w:ascii="Arial" w:cs="Arial" w:eastAsia="Arial" w:hAnsi="Arial"/>
                <w:sz w:val="18"/>
                <w:szCs w:val="18"/>
                <w:color w:val="auto"/>
                <w:w w:val="92"/>
              </w:rPr>
              <w:t>(Address of Principal Executive Offices, Zip Code)</w:t>
            </w: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709"/>
        </w:trPr>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22"/>
                <w:szCs w:val="22"/>
                <w:b w:val="1"/>
                <w:bCs w:val="1"/>
                <w:color w:val="auto"/>
                <w:w w:val="89"/>
              </w:rPr>
              <w:t>(509) 924-9900</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98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(Registrant’s Telephone Number, Including Area Code)</w:t>
            </w: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85725</wp:posOffset>
            </wp:positionH>
            <wp:positionV relativeFrom="paragraph">
              <wp:posOffset>454660</wp:posOffset>
            </wp:positionV>
            <wp:extent cx="7092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left="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5"/>
          </w:cols>
          <w:pgMar w:left="235" w:top="234" w:right="259" w:bottom="1440" w:gutter="0" w:footer="0" w:header="0"/>
        </w:sectPr>
      </w:pPr>
    </w:p>
    <w:bookmarkStart w:id="1" w:name="page2"/>
    <w:bookmarkEnd w:id="1"/>
    <w:p>
      <w:pPr>
        <w:jc w:val="both"/>
        <w:spacing w:after="0" w:line="268"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Election of New Director</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Effective January 1, 2014, the Board of Directors (the Board) of Itron, Inc. (Itron) elected Michael V. Pulli as a director, serving until the annual shareholders meeting on May 1, 2014, at which time he will stand for election by Itron’s shareholders.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Mr. Pulli, age 49, has been chief executive officer of Pace plc (Pace), a world leader in technologies, products, and services for the broadcast and broadband industries, since December 2011. From 2004 until his promotion to CEO, Mr. Pulli was president of the Americas business unit of Pace, where he was responsible for Pace’s businesses in the U.S., Canada, and Latin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Mr. Pulli has not yet been named to a committee of the Board.</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a director, Mr. Pulli will receive an annual retainer of $165,000, of which $65,000 is paid in cash, and the remainder is paid in shares of Itron’s common stock, which vest immediately. The retainer is paid and issued in equal increments on the first day of each fiscal quarter. In addition, as a new director, Mr. Pulli was granted a restricted stock award equal to 50% of his annual cash retainer. This award will vest equally in one-third increments beginning on the first anniversary of the date of grant.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There are no related party transactions between Itron and Mr. Pulli that require disclosure under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Exhibit</w:t>
      </w:r>
    </w:p>
    <w:p>
      <w:pPr>
        <w:spacing w:after="0" w:line="2"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January 6, 2014</w:t>
      </w:r>
    </w:p>
    <w:p>
      <w:pPr>
        <w:sectPr>
          <w:pgSz w:w="11900" w:h="16838" w:orient="portrait"/>
          <w:cols w:equalWidth="0" w:num="1">
            <w:col w:w="11420"/>
          </w:cols>
          <w:pgMar w:left="240" w:top="11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740" w:type="dxa"/>
            <w:vAlign w:val="bottom"/>
            <w:gridSpan w:val="2"/>
          </w:tcPr>
          <w:p>
            <w:pPr>
              <w:ind w:left="5020"/>
              <w:spacing w:after="0"/>
              <w:rPr>
                <w:sz w:val="20"/>
                <w:szCs w:val="20"/>
                <w:color w:val="auto"/>
              </w:rPr>
            </w:pPr>
            <w:r>
              <w:rPr>
                <w:rFonts w:ascii="Arial" w:cs="Arial" w:eastAsia="Arial" w:hAnsi="Arial"/>
                <w:sz w:val="20"/>
                <w:szCs w:val="20"/>
                <w:color w:val="auto"/>
              </w:rPr>
              <w:t>ITRON, INC.</w:t>
            </w:r>
          </w:p>
        </w:tc>
        <w:tc>
          <w:tcPr>
            <w:tcW w:w="4640" w:type="dxa"/>
            <w:vAlign w:val="bottom"/>
          </w:tcPr>
          <w:p>
            <w:pPr>
              <w:spacing w:after="0"/>
              <w:rPr>
                <w:sz w:val="21"/>
                <w:szCs w:val="21"/>
                <w:color w:val="auto"/>
              </w:rPr>
            </w:pPr>
          </w:p>
        </w:tc>
      </w:tr>
      <w:tr>
        <w:trPr>
          <w:trHeight w:val="608"/>
        </w:trPr>
        <w:tc>
          <w:tcPr>
            <w:tcW w:w="6740" w:type="dxa"/>
            <w:vAlign w:val="bottom"/>
            <w:gridSpan w:val="2"/>
          </w:tcPr>
          <w:p>
            <w:pPr>
              <w:ind w:left="5020"/>
              <w:spacing w:after="0"/>
              <w:rPr>
                <w:sz w:val="20"/>
                <w:szCs w:val="20"/>
                <w:color w:val="auto"/>
              </w:rPr>
            </w:pPr>
            <w:r>
              <w:rPr>
                <w:rFonts w:ascii="Arial" w:cs="Arial" w:eastAsia="Arial" w:hAnsi="Arial"/>
                <w:sz w:val="20"/>
                <w:szCs w:val="20"/>
                <w:color w:val="auto"/>
              </w:rPr>
              <w:t>By:</w:t>
            </w:r>
          </w:p>
        </w:tc>
        <w:tc>
          <w:tcPr>
            <w:tcW w:w="4640" w:type="dxa"/>
            <w:vAlign w:val="bottom"/>
          </w:tcPr>
          <w:p>
            <w:pPr>
              <w:jc w:val="center"/>
              <w:ind w:right="948"/>
              <w:spacing w:after="0"/>
              <w:rPr>
                <w:sz w:val="20"/>
                <w:szCs w:val="20"/>
                <w:color w:val="auto"/>
              </w:rPr>
            </w:pPr>
            <w:r>
              <w:rPr>
                <w:rFonts w:ascii="Arial" w:cs="Arial" w:eastAsia="Arial" w:hAnsi="Arial"/>
                <w:sz w:val="20"/>
                <w:szCs w:val="20"/>
                <w:color w:val="auto"/>
                <w:w w:val="88"/>
              </w:rPr>
              <w:t>/s/ Shannon M. Votava</w:t>
            </w:r>
          </w:p>
        </w:tc>
      </w:tr>
      <w:tr>
        <w:trPr>
          <w:trHeight w:val="23"/>
        </w:trPr>
        <w:tc>
          <w:tcPr>
            <w:tcW w:w="6740" w:type="dxa"/>
            <w:vAlign w:val="bottom"/>
            <w:gridSpan w:val="2"/>
          </w:tcPr>
          <w:p>
            <w:pPr>
              <w:spacing w:after="0"/>
              <w:rPr>
                <w:sz w:val="2"/>
                <w:szCs w:val="2"/>
                <w:color w:val="auto"/>
              </w:rPr>
            </w:pPr>
          </w:p>
        </w:tc>
        <w:tc>
          <w:tcPr>
            <w:tcW w:w="4640" w:type="dxa"/>
            <w:vAlign w:val="bottom"/>
          </w:tcPr>
          <w:p>
            <w:pPr>
              <w:spacing w:after="0"/>
              <w:rPr>
                <w:sz w:val="2"/>
                <w:szCs w:val="2"/>
                <w:color w:val="auto"/>
              </w:rPr>
            </w:pPr>
          </w:p>
        </w:tc>
      </w:tr>
      <w:tr>
        <w:trPr>
          <w:trHeight w:val="241"/>
        </w:trPr>
        <w:tc>
          <w:tcPr>
            <w:tcW w:w="5680" w:type="dxa"/>
            <w:vAlign w:val="bottom"/>
          </w:tcPr>
          <w:p>
            <w:pPr>
              <w:spacing w:after="0"/>
              <w:rPr>
                <w:sz w:val="20"/>
                <w:szCs w:val="20"/>
                <w:color w:val="auto"/>
              </w:rPr>
            </w:pPr>
            <w:r>
              <w:rPr>
                <w:rFonts w:ascii="Arial" w:cs="Arial" w:eastAsia="Arial" w:hAnsi="Arial"/>
                <w:sz w:val="20"/>
                <w:szCs w:val="20"/>
                <w:color w:val="auto"/>
              </w:rPr>
              <w:t>Dated: January 6, 2014</w:t>
            </w:r>
          </w:p>
        </w:tc>
        <w:tc>
          <w:tcPr>
            <w:tcW w:w="1060" w:type="dxa"/>
            <w:vAlign w:val="bottom"/>
            <w:tcBorders>
              <w:top w:val="single" w:sz="8" w:color="auto"/>
            </w:tcBorders>
          </w:tcPr>
          <w:p>
            <w:pPr>
              <w:spacing w:after="0"/>
              <w:rPr>
                <w:sz w:val="20"/>
                <w:szCs w:val="20"/>
                <w:color w:val="auto"/>
              </w:rPr>
            </w:pPr>
          </w:p>
        </w:tc>
        <w:tc>
          <w:tcPr>
            <w:tcW w:w="4640" w:type="dxa"/>
            <w:vAlign w:val="bottom"/>
            <w:tcBorders>
              <w:top w:val="single" w:sz="8" w:color="auto"/>
            </w:tcBorders>
          </w:tcPr>
          <w:p>
            <w:pPr>
              <w:jc w:val="center"/>
              <w:ind w:right="968"/>
              <w:spacing w:after="0"/>
              <w:rPr>
                <w:sz w:val="20"/>
                <w:szCs w:val="20"/>
                <w:color w:val="auto"/>
              </w:rPr>
            </w:pPr>
            <w:r>
              <w:rPr>
                <w:rFonts w:ascii="Arial" w:cs="Arial" w:eastAsia="Arial" w:hAnsi="Arial"/>
                <w:sz w:val="18"/>
                <w:szCs w:val="18"/>
                <w:color w:val="auto"/>
                <w:w w:val="89"/>
              </w:rPr>
              <w:t>Shannon M. Votava</w:t>
            </w:r>
          </w:p>
        </w:tc>
      </w:tr>
      <w:tr>
        <w:trPr>
          <w:trHeight w:val="252"/>
        </w:trPr>
        <w:tc>
          <w:tcPr>
            <w:tcW w:w="5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40" w:type="dxa"/>
            <w:vAlign w:val="bottom"/>
          </w:tcPr>
          <w:p>
            <w:pPr>
              <w:jc w:val="center"/>
              <w:ind w:right="968"/>
              <w:spacing w:after="0"/>
              <w:rPr>
                <w:sz w:val="20"/>
                <w:szCs w:val="20"/>
                <w:color w:val="auto"/>
              </w:rPr>
            </w:pPr>
            <w:r>
              <w:rPr>
                <w:rFonts w:ascii="Arial" w:cs="Arial" w:eastAsia="Arial" w:hAnsi="Arial"/>
                <w:sz w:val="18"/>
                <w:szCs w:val="18"/>
                <w:color w:val="auto"/>
                <w:w w:val="89"/>
              </w:rPr>
              <w:t>Vice President, General Counsel</w:t>
            </w:r>
          </w:p>
        </w:tc>
      </w:tr>
      <w:tr>
        <w:trPr>
          <w:trHeight w:val="230"/>
        </w:trPr>
        <w:tc>
          <w:tcPr>
            <w:tcW w:w="5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40" w:type="dxa"/>
            <w:vAlign w:val="bottom"/>
          </w:tcPr>
          <w:p>
            <w:pPr>
              <w:jc w:val="center"/>
              <w:ind w:right="968"/>
              <w:spacing w:after="0"/>
              <w:rPr>
                <w:sz w:val="20"/>
                <w:szCs w:val="20"/>
                <w:color w:val="auto"/>
              </w:rPr>
            </w:pPr>
            <w:r>
              <w:rPr>
                <w:rFonts w:ascii="Arial" w:cs="Arial" w:eastAsia="Arial" w:hAnsi="Arial"/>
                <w:sz w:val="18"/>
                <w:szCs w:val="18"/>
                <w:color w:val="auto"/>
                <w:w w:val="88"/>
              </w:rPr>
              <w:t>and Corporate Secretary</w:t>
            </w:r>
          </w:p>
        </w:tc>
      </w:tr>
    </w:tbl>
    <w:p>
      <w:pPr>
        <w:sectPr>
          <w:pgSz w:w="11900" w:h="16838" w:orient="portrait"/>
          <w:cols w:equalWidth="0" w:num="1">
            <w:col w:w="11420"/>
          </w:cols>
          <w:pgMar w:left="240" w:top="333" w:right="239" w:bottom="1440" w:gutter="0" w:footer="0" w:header="0"/>
        </w:sectPr>
      </w:pPr>
    </w:p>
    <w:bookmarkStart w:id="3" w:name="page4"/>
    <w:bookmarkEnd w:id="3"/>
    <w:p>
      <w:pPr>
        <w:jc w:val="right"/>
        <w:ind w:right="3779"/>
        <w:spacing w:after="0"/>
        <w:rPr>
          <w:sz w:val="20"/>
          <w:szCs w:val="20"/>
          <w:color w:val="auto"/>
        </w:rPr>
      </w:pPr>
      <w:r>
        <w:rPr>
          <w:rFonts w:ascii="Arial" w:cs="Arial" w:eastAsia="Arial" w:hAnsi="Arial"/>
          <w:sz w:val="20"/>
          <w:szCs w:val="20"/>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2"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January 6, 2014</w:t>
      </w:r>
    </w:p>
    <w:p>
      <w:pPr>
        <w:sectPr>
          <w:pgSz w:w="11900" w:h="16838" w:orient="portrait"/>
          <w:cols w:equalWidth="0" w:num="1">
            <w:col w:w="10179"/>
          </w:cols>
          <w:pgMar w:left="28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611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Appoints Pace CEO Michael Pulli to Board of Directors</w:t>
      </w:r>
    </w:p>
    <w:p>
      <w:pPr>
        <w:spacing w:after="0" w:line="200" w:lineRule="exact"/>
        <w:rPr>
          <w:sz w:val="20"/>
          <w:szCs w:val="20"/>
          <w:color w:val="auto"/>
        </w:rPr>
      </w:pPr>
    </w:p>
    <w:p>
      <w:pPr>
        <w:spacing w:after="0" w:line="36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LIBERTY LAKE, Wash. - Jan. 6, 2014 - Itron, Inc. (NASDAQ: ITRI), a world-leading technology and services company dedicated to the resourceful use of energy and water, announced today the appointment of Michael Pulli, chief executive officer of Pace plc, a world leader in technologies, products and services for the broadcast and broadband industries, to its board of directors, effective Jan. 1, 2014. Mr. Pulli brings nearly 15 years of executive leadership, international business experience and strategy development to the position.</w:t>
      </w:r>
    </w:p>
    <w:p>
      <w:pPr>
        <w:spacing w:after="0" w:line="209" w:lineRule="exact"/>
        <w:rPr>
          <w:sz w:val="20"/>
          <w:szCs w:val="20"/>
          <w:color w:val="auto"/>
        </w:rPr>
      </w:pPr>
    </w:p>
    <w:p>
      <w:pPr>
        <w:jc w:val="both"/>
        <w:ind w:right="400"/>
        <w:spacing w:after="0" w:line="243" w:lineRule="auto"/>
        <w:rPr>
          <w:sz w:val="20"/>
          <w:szCs w:val="20"/>
          <w:color w:val="auto"/>
        </w:rPr>
      </w:pPr>
      <w:r>
        <w:rPr>
          <w:rFonts w:ascii="Arial" w:cs="Arial" w:eastAsia="Arial" w:hAnsi="Arial"/>
          <w:sz w:val="20"/>
          <w:szCs w:val="20"/>
          <w:color w:val="auto"/>
        </w:rPr>
        <w:t>“Mike Pulli will bring tremendous experience and insights to Itron’s board. We look forward to benefiting from his longstanding leadership in the broadband industry and his wealth of knowledge in delivering advanced technologies and services,” said Jon Eliassen, chairman of Itron’s board of directors.</w:t>
      </w:r>
    </w:p>
    <w:p>
      <w:pPr>
        <w:spacing w:after="0" w:line="206" w:lineRule="exact"/>
        <w:rPr>
          <w:sz w:val="20"/>
          <w:szCs w:val="20"/>
          <w:color w:val="auto"/>
        </w:rPr>
      </w:pPr>
    </w:p>
    <w:p>
      <w:pPr>
        <w:ind w:right="460"/>
        <w:spacing w:after="0" w:line="243" w:lineRule="auto"/>
        <w:rPr>
          <w:sz w:val="20"/>
          <w:szCs w:val="20"/>
          <w:color w:val="auto"/>
        </w:rPr>
      </w:pPr>
      <w:r>
        <w:rPr>
          <w:rFonts w:ascii="Arial" w:cs="Arial" w:eastAsia="Arial" w:hAnsi="Arial"/>
          <w:sz w:val="20"/>
          <w:szCs w:val="20"/>
          <w:color w:val="auto"/>
        </w:rPr>
        <w:t>Mr. Pulli was appointed CEO of Pace in December 2011 after nearly eight years as president of Pace Americas. In his role as CEO, Mr. Pulli is responsible for leading Pace’s global strategy. As president of Pace Americas, he was responsible for the company’s businesses in the United States, Canada and Latin America.</w:t>
      </w:r>
    </w:p>
    <w:p>
      <w:pPr>
        <w:spacing w:after="0" w:line="19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Prior to joining Pace in 2004, Mr. Pulli was CEO of broadcasting company Digital Latin America. Previously, he spent eight years at Motorola in various senior management positions, including vice president of international operations, and served in a variety of financial positions at Allied-Signal, Inc. Mr. Pulli holds a Bachelor’s degree in Accounting from Rider University and an MBA from Farleigh Dickinson University.</w:t>
      </w:r>
    </w:p>
    <w:p>
      <w:pPr>
        <w:spacing w:after="0" w:line="205"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“Mike Pulli is an ideal candidate for Itron’s board of directors. His leadership at a global company that delivers advanced technologies, software and services to consumers will bring valuable insights and help advance our mission to empower consumers and utilities to responsibly manage energy and water,” said Philip Mezey, Itron’s president and chief executive officer.</w:t>
      </w:r>
    </w:p>
    <w:p>
      <w:pPr>
        <w:spacing w:after="0" w:line="189"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 am honored to join Itron’s board of directors and to work with a visionary company that is helping make the most of the world’s energy and water resources,” said Mr. Pulli. “As a leader of a high-tech manufacturing company that has successfully transitioned to offer software and services, I will bring a unique perspective to this board position. I look forward to the opportunity to help further Itron’s vision of creating a more resourceful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Itron</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0"/>
          <w:szCs w:val="20"/>
          <w:u w:val="single" w:color="auto"/>
          <w:color w:val="0000FF"/>
        </w:rPr>
        <w:t>www.itron.com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Sharelynn Moore</w:t>
      </w:r>
    </w:p>
    <w:p>
      <w:pPr>
        <w:spacing w:after="0"/>
        <w:rPr>
          <w:sz w:val="20"/>
          <w:szCs w:val="20"/>
          <w:color w:val="auto"/>
        </w:rPr>
      </w:pPr>
      <w:r>
        <w:rPr>
          <w:rFonts w:ascii="Arial" w:cs="Arial" w:eastAsia="Arial" w:hAnsi="Arial"/>
          <w:sz w:val="20"/>
          <w:szCs w:val="20"/>
          <w:color w:val="auto"/>
        </w:rPr>
        <w:t>Vice President, Corporate Marketing &amp; Public Affairs</w:t>
      </w:r>
    </w:p>
    <w:p>
      <w:pPr>
        <w:spacing w:after="0"/>
        <w:rPr>
          <w:sz w:val="20"/>
          <w:szCs w:val="20"/>
          <w:color w:val="auto"/>
        </w:rPr>
      </w:pPr>
      <w:r>
        <w:rPr>
          <w:rFonts w:ascii="Arial" w:cs="Arial" w:eastAsia="Arial" w:hAnsi="Arial"/>
          <w:sz w:val="20"/>
          <w:szCs w:val="20"/>
          <w:color w:val="auto"/>
        </w:rPr>
        <w:t>509.891.3524</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sharelynn.moore@itron.com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sectPr>
      <w:pgSz w:w="11900" w:h="16838" w:orient="portrait"/>
      <w:cols w:equalWidth="0" w:num="1">
        <w:col w:w="11200"/>
      </w:cols>
      <w:pgMar w:left="24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2019-12-05T21:23:18Z</dcterms:created>
  <dcterms:modified xsi:type="dcterms:W3CDTF">2019-12-05T21:23:18Z</dcterms:modified>
</cp:coreProperties>
</file>