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6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4, 2010</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000-22418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5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480" w:space="720"/>
            <w:col w:w="314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2111 N. Molter Road, Liberty Lake, WA 99019</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Itron, Inc. (the Company) held its 2010 Annual Meeting of Shareholders on May 4, 2010. Four proposals were voted upon at the annual meeting. The proposals are described in detail in the Company’s proxy statement filed with the Securities and Exchange Commission on March 17, 2010. All of the proposals passed. The final results for the votes regarding each proposal are set forth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Proposal One: The following nominees were elected for three-year terms ending in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800" w:type="dxa"/>
            <w:vAlign w:val="bottom"/>
          </w:tcPr>
          <w:p>
            <w:pPr>
              <w:spacing w:after="0"/>
              <w:rPr>
                <w:sz w:val="20"/>
                <w:szCs w:val="20"/>
                <w:color w:val="auto"/>
              </w:rPr>
            </w:pPr>
            <w:r>
              <w:rPr>
                <w:rFonts w:ascii="Arial" w:cs="Arial" w:eastAsia="Arial" w:hAnsi="Arial"/>
                <w:sz w:val="14"/>
                <w:szCs w:val="14"/>
                <w:b w:val="1"/>
                <w:bCs w:val="1"/>
                <w:color w:val="auto"/>
                <w:w w:val="96"/>
              </w:rPr>
              <w:t>VOTES FOR</w:t>
            </w:r>
          </w:p>
        </w:tc>
        <w:tc>
          <w:tcPr>
            <w:tcW w:w="42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VOTES AGAINST</w:t>
            </w: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ABSTENTIONS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6"/>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Glanville</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25,305,410</w:t>
            </w:r>
          </w:p>
        </w:tc>
        <w:tc>
          <w:tcPr>
            <w:tcW w:w="1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1,929,174</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84,626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2,892,429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Sharon L. Nelson</w:t>
            </w:r>
          </w:p>
        </w:tc>
        <w:tc>
          <w:tcPr>
            <w:tcW w:w="800" w:type="dxa"/>
            <w:vAlign w:val="bottom"/>
          </w:tcPr>
          <w:p>
            <w:pPr>
              <w:spacing w:after="0"/>
              <w:rPr>
                <w:sz w:val="20"/>
                <w:szCs w:val="20"/>
                <w:color w:val="auto"/>
              </w:rPr>
            </w:pPr>
            <w:r>
              <w:rPr>
                <w:rFonts w:ascii="Arial" w:cs="Arial" w:eastAsia="Arial" w:hAnsi="Arial"/>
                <w:sz w:val="18"/>
                <w:szCs w:val="18"/>
                <w:color w:val="auto"/>
                <w:w w:val="86"/>
              </w:rPr>
              <w:t>25,302,635</w:t>
            </w:r>
          </w:p>
        </w:tc>
        <w:tc>
          <w:tcPr>
            <w:tcW w:w="1940" w:type="dxa"/>
            <w:vAlign w:val="bottom"/>
            <w:gridSpan w:val="3"/>
          </w:tcPr>
          <w:p>
            <w:pPr>
              <w:jc w:val="right"/>
              <w:ind w:right="420"/>
              <w:spacing w:after="0"/>
              <w:rPr>
                <w:sz w:val="20"/>
                <w:szCs w:val="20"/>
                <w:color w:val="auto"/>
              </w:rPr>
            </w:pPr>
            <w:r>
              <w:rPr>
                <w:rFonts w:ascii="Arial" w:cs="Arial" w:eastAsia="Arial" w:hAnsi="Arial"/>
                <w:sz w:val="18"/>
                <w:szCs w:val="18"/>
                <w:color w:val="auto"/>
              </w:rPr>
              <w:t>1,932,648</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83,927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2,892,429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Malcolm Unsworth</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24,736,323</w:t>
            </w:r>
          </w:p>
        </w:tc>
        <w:tc>
          <w:tcPr>
            <w:tcW w:w="19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2,496,921</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85,966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2,892,429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Proposal Two: Approval of the Itron, Inc. 2010 Stock Incentive Plan.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BROKER</w:t>
            </w:r>
          </w:p>
        </w:tc>
      </w:tr>
      <w:tr>
        <w:trPr>
          <w:trHeight w:val="161"/>
        </w:trPr>
        <w:tc>
          <w:tcPr>
            <w:tcW w:w="96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VOTES FOR</w:t>
            </w:r>
          </w:p>
        </w:tc>
        <w:tc>
          <w:tcPr>
            <w:tcW w:w="1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VOTES AGAINST</w:t>
            </w:r>
          </w:p>
        </w:tc>
        <w:tc>
          <w:tcPr>
            <w:tcW w:w="18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1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NON-VOTES</w:t>
            </w:r>
          </w:p>
        </w:tc>
        <w:tc>
          <w:tcPr>
            <w:tcW w:w="940" w:type="dxa"/>
            <w:vAlign w:val="bottom"/>
          </w:tcPr>
          <w:p>
            <w:pPr>
              <w:spacing w:after="0"/>
              <w:rPr>
                <w:sz w:val="14"/>
                <w:szCs w:val="14"/>
                <w:color w:val="auto"/>
              </w:rPr>
            </w:pPr>
          </w:p>
        </w:tc>
      </w:tr>
      <w:tr>
        <w:trPr>
          <w:trHeight w:val="210"/>
        </w:trPr>
        <w:tc>
          <w:tcPr>
            <w:tcW w:w="18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8"/>
              </w:rPr>
              <w:t>23,466,255</w:t>
            </w:r>
          </w:p>
        </w:tc>
        <w:tc>
          <w:tcPr>
            <w:tcW w:w="3020" w:type="dxa"/>
            <w:vAlign w:val="bottom"/>
            <w:gridSpan w:val="2"/>
            <w:shd w:val="clear" w:color="auto" w:fill="CCEEFF"/>
          </w:tcPr>
          <w:p>
            <w:pPr>
              <w:jc w:val="center"/>
              <w:ind w:left="1792"/>
              <w:spacing w:after="0"/>
              <w:rPr>
                <w:sz w:val="20"/>
                <w:szCs w:val="20"/>
                <w:color w:val="auto"/>
              </w:rPr>
            </w:pPr>
            <w:r>
              <w:rPr>
                <w:rFonts w:ascii="Arial" w:cs="Arial" w:eastAsia="Arial" w:hAnsi="Arial"/>
                <w:sz w:val="18"/>
                <w:szCs w:val="18"/>
                <w:color w:val="auto"/>
                <w:w w:val="87"/>
              </w:rPr>
              <w:t>3,745,736</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107,219</w:t>
            </w:r>
          </w:p>
        </w:tc>
        <w:tc>
          <w:tcPr>
            <w:tcW w:w="2800" w:type="dxa"/>
            <w:vAlign w:val="bottom"/>
            <w:gridSpan w:val="2"/>
            <w:shd w:val="clear" w:color="auto" w:fill="CCEEFF"/>
          </w:tcPr>
          <w:p>
            <w:pPr>
              <w:jc w:val="center"/>
              <w:ind w:left="1852"/>
              <w:spacing w:after="0"/>
              <w:rPr>
                <w:sz w:val="20"/>
                <w:szCs w:val="20"/>
                <w:color w:val="auto"/>
              </w:rPr>
            </w:pPr>
            <w:r>
              <w:rPr>
                <w:rFonts w:ascii="Arial" w:cs="Arial" w:eastAsia="Arial" w:hAnsi="Arial"/>
                <w:sz w:val="18"/>
                <w:szCs w:val="18"/>
                <w:color w:val="auto"/>
                <w:w w:val="87"/>
              </w:rPr>
              <w:t>2,892,429</w:t>
            </w:r>
          </w:p>
        </w:tc>
        <w:tc>
          <w:tcPr>
            <w:tcW w:w="940" w:type="dxa"/>
            <w:vAlign w:val="bottom"/>
            <w:shd w:val="clear" w:color="auto" w:fill="CCEEFF"/>
          </w:tcPr>
          <w:p>
            <w:pPr>
              <w:spacing w:after="0"/>
              <w:rPr>
                <w:sz w:val="18"/>
                <w:szCs w:val="18"/>
                <w:color w:val="auto"/>
              </w:rPr>
            </w:pPr>
          </w:p>
        </w:tc>
      </w:tr>
      <w:tr>
        <w:trPr>
          <w:trHeight w:val="376"/>
        </w:trPr>
        <w:tc>
          <w:tcPr>
            <w:tcW w:w="6660" w:type="dxa"/>
            <w:vAlign w:val="bottom"/>
            <w:gridSpan w:val="5"/>
          </w:tcPr>
          <w:p>
            <w:pPr>
              <w:spacing w:after="0"/>
              <w:rPr>
                <w:sz w:val="20"/>
                <w:szCs w:val="20"/>
                <w:color w:val="auto"/>
              </w:rPr>
            </w:pPr>
            <w:r>
              <w:rPr>
                <w:rFonts w:ascii="Arial" w:cs="Arial" w:eastAsia="Arial" w:hAnsi="Arial"/>
                <w:sz w:val="18"/>
                <w:szCs w:val="18"/>
                <w:color w:val="auto"/>
              </w:rPr>
              <w:t>Proposal Three: Approval of the Itron, Inc. Executive Management Incentive Plan.</w:t>
            </w: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0"/>
        </w:trPr>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BROKER</w:t>
            </w:r>
          </w:p>
        </w:tc>
      </w:tr>
      <w:tr>
        <w:trPr>
          <w:trHeight w:val="161"/>
        </w:trPr>
        <w:tc>
          <w:tcPr>
            <w:tcW w:w="96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VOTES FOR</w:t>
            </w:r>
          </w:p>
        </w:tc>
        <w:tc>
          <w:tcPr>
            <w:tcW w:w="1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VOTES AGAINST</w:t>
            </w:r>
          </w:p>
        </w:tc>
        <w:tc>
          <w:tcPr>
            <w:tcW w:w="18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1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NON-VOTES</w:t>
            </w:r>
          </w:p>
        </w:tc>
        <w:tc>
          <w:tcPr>
            <w:tcW w:w="940" w:type="dxa"/>
            <w:vAlign w:val="bottom"/>
          </w:tcPr>
          <w:p>
            <w:pPr>
              <w:spacing w:after="0"/>
              <w:rPr>
                <w:sz w:val="14"/>
                <w:szCs w:val="14"/>
                <w:color w:val="auto"/>
              </w:rPr>
            </w:pPr>
          </w:p>
        </w:tc>
      </w:tr>
      <w:tr>
        <w:trPr>
          <w:trHeight w:val="210"/>
        </w:trPr>
        <w:tc>
          <w:tcPr>
            <w:tcW w:w="18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8"/>
              </w:rPr>
              <w:t>26,060,818</w:t>
            </w:r>
          </w:p>
        </w:tc>
        <w:tc>
          <w:tcPr>
            <w:tcW w:w="3020" w:type="dxa"/>
            <w:vAlign w:val="bottom"/>
            <w:gridSpan w:val="2"/>
            <w:shd w:val="clear" w:color="auto" w:fill="CCEEFF"/>
          </w:tcPr>
          <w:p>
            <w:pPr>
              <w:jc w:val="center"/>
              <w:ind w:left="1792"/>
              <w:spacing w:after="0"/>
              <w:rPr>
                <w:sz w:val="20"/>
                <w:szCs w:val="20"/>
                <w:color w:val="auto"/>
              </w:rPr>
            </w:pPr>
            <w:r>
              <w:rPr>
                <w:rFonts w:ascii="Arial" w:cs="Arial" w:eastAsia="Arial" w:hAnsi="Arial"/>
                <w:sz w:val="18"/>
                <w:szCs w:val="18"/>
                <w:color w:val="auto"/>
                <w:w w:val="87"/>
              </w:rPr>
              <w:t>1,149,335</w:t>
            </w:r>
          </w:p>
        </w:tc>
        <w:tc>
          <w:tcPr>
            <w:tcW w:w="18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109,057</w:t>
            </w:r>
          </w:p>
        </w:tc>
        <w:tc>
          <w:tcPr>
            <w:tcW w:w="2800" w:type="dxa"/>
            <w:vAlign w:val="bottom"/>
            <w:gridSpan w:val="2"/>
            <w:shd w:val="clear" w:color="auto" w:fill="CCEEFF"/>
          </w:tcPr>
          <w:p>
            <w:pPr>
              <w:jc w:val="center"/>
              <w:ind w:left="1852"/>
              <w:spacing w:after="0"/>
              <w:rPr>
                <w:sz w:val="20"/>
                <w:szCs w:val="20"/>
                <w:color w:val="auto"/>
              </w:rPr>
            </w:pPr>
            <w:r>
              <w:rPr>
                <w:rFonts w:ascii="Arial" w:cs="Arial" w:eastAsia="Arial" w:hAnsi="Arial"/>
                <w:sz w:val="18"/>
                <w:szCs w:val="18"/>
                <w:color w:val="auto"/>
                <w:w w:val="87"/>
              </w:rPr>
              <w:t>2,892,429</w:t>
            </w:r>
          </w:p>
        </w:tc>
        <w:tc>
          <w:tcPr>
            <w:tcW w:w="9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Proposal Four: Ratification of the appointment of Ernst &amp; Young LLP as the Company’s independent registered public accounting firm for the 2010 fiscal year.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5"/>
              </w:rPr>
              <w:t>BROKER</w:t>
            </w:r>
          </w:p>
        </w:tc>
      </w:tr>
      <w:tr>
        <w:trPr>
          <w:trHeight w:val="161"/>
        </w:trPr>
        <w:tc>
          <w:tcPr>
            <w:tcW w:w="960" w:type="dxa"/>
            <w:vAlign w:val="bottom"/>
          </w:tcPr>
          <w:p>
            <w:pPr>
              <w:spacing w:after="0"/>
              <w:rPr>
                <w:sz w:val="14"/>
                <w:szCs w:val="14"/>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VOTES FOR</w:t>
            </w:r>
          </w:p>
        </w:tc>
        <w:tc>
          <w:tcPr>
            <w:tcW w:w="18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VOTES AGAINST</w:t>
            </w:r>
          </w:p>
        </w:tc>
        <w:tc>
          <w:tcPr>
            <w:tcW w:w="18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19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NON-VOTES</w:t>
            </w:r>
          </w:p>
        </w:tc>
        <w:tc>
          <w:tcPr>
            <w:tcW w:w="940" w:type="dxa"/>
            <w:vAlign w:val="bottom"/>
          </w:tcPr>
          <w:p>
            <w:pPr>
              <w:spacing w:after="0"/>
              <w:rPr>
                <w:sz w:val="14"/>
                <w:szCs w:val="14"/>
                <w:color w:val="auto"/>
              </w:rPr>
            </w:pPr>
          </w:p>
        </w:tc>
      </w:tr>
      <w:tr>
        <w:trPr>
          <w:trHeight w:val="210"/>
        </w:trPr>
        <w:tc>
          <w:tcPr>
            <w:tcW w:w="180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88"/>
              </w:rPr>
              <w:t>30,041,141</w:t>
            </w:r>
          </w:p>
        </w:tc>
        <w:tc>
          <w:tcPr>
            <w:tcW w:w="3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56,079</w:t>
            </w:r>
          </w:p>
        </w:tc>
        <w:tc>
          <w:tcPr>
            <w:tcW w:w="28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114,419</w:t>
            </w:r>
          </w:p>
        </w:tc>
        <w:tc>
          <w:tcPr>
            <w:tcW w:w="19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May 5, 2010</w:t>
      </w:r>
      <w:r>
        <w:rPr>
          <w:sz w:val="20"/>
          <w:szCs w:val="20"/>
          <w:color w:val="auto"/>
        </w:rPr>
        <w:tab/>
      </w:r>
      <w:r>
        <w:rPr>
          <w:rFonts w:ascii="Arial" w:cs="Arial" w:eastAsia="Arial" w:hAnsi="Arial"/>
          <w:sz w:val="16"/>
          <w:szCs w:val="16"/>
          <w:color w:val="auto"/>
        </w:rPr>
        <w:t>By: /s/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Sr. Vice President and Chief Financial Officer</w:t>
      </w:r>
    </w:p>
    <w:sectPr>
      <w:pgSz w:w="11900" w:h="16838" w:orient="portrait"/>
      <w:cols w:equalWidth="0" w:num="1">
        <w:col w:w="10980"/>
      </w:cols>
      <w:pgMar w:left="240" w:top="27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2019-12-10T05:28:09Z</dcterms:created>
  <dcterms:modified xsi:type="dcterms:W3CDTF">2019-12-10T05:28:09Z</dcterms:modified>
</cp:coreProperties>
</file>