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On February 17, 2016, Itron, Inc. (the Company) issued a press release announcing its financial results for the three and twelve months ended December 31, 2015.</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60"/>
        <w:spacing w:after="0"/>
        <w:tabs>
          <w:tab w:leader="none" w:pos="13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30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17, 2016.</w:t>
      </w:r>
    </w:p>
    <w:p>
      <w:pPr>
        <w:spacing w:after="0" w:line="23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6300" w:type="dxa"/>
            <w:vAlign w:val="bottom"/>
            <w:gridSpan w:val="2"/>
          </w:tcPr>
          <w:p>
            <w:pPr>
              <w:ind w:left="1980"/>
              <w:spacing w:after="0"/>
              <w:rPr>
                <w:sz w:val="20"/>
                <w:szCs w:val="20"/>
                <w:color w:val="auto"/>
              </w:rPr>
            </w:pPr>
            <w:r>
              <w:rPr>
                <w:rFonts w:ascii="Arial" w:cs="Arial" w:eastAsia="Arial" w:hAnsi="Arial"/>
                <w:sz w:val="18"/>
                <w:szCs w:val="18"/>
                <w:color w:val="auto"/>
              </w:rPr>
              <w:t>ITRON, INC.</w:t>
            </w:r>
          </w:p>
        </w:tc>
        <w:tc>
          <w:tcPr>
            <w:tcW w:w="1140" w:type="dxa"/>
            <w:vAlign w:val="bottom"/>
          </w:tcPr>
          <w:p>
            <w:pPr>
              <w:spacing w:after="0"/>
              <w:rPr>
                <w:sz w:val="20"/>
                <w:szCs w:val="20"/>
                <w:color w:val="auto"/>
              </w:rPr>
            </w:pPr>
          </w:p>
        </w:tc>
      </w:tr>
      <w:tr>
        <w:trPr>
          <w:trHeight w:val="493"/>
        </w:trPr>
        <w:tc>
          <w:tcPr>
            <w:tcW w:w="3980" w:type="dxa"/>
            <w:vAlign w:val="bottom"/>
          </w:tcPr>
          <w:p>
            <w:pPr>
              <w:spacing w:after="0"/>
              <w:rPr>
                <w:sz w:val="20"/>
                <w:szCs w:val="20"/>
                <w:color w:val="auto"/>
              </w:rPr>
            </w:pPr>
            <w:r>
              <w:rPr>
                <w:rFonts w:ascii="Arial" w:cs="Arial" w:eastAsia="Arial" w:hAnsi="Arial"/>
                <w:sz w:val="18"/>
                <w:szCs w:val="18"/>
                <w:color w:val="auto"/>
              </w:rPr>
              <w:t>Dated:   February 17, 2016</w:t>
            </w:r>
          </w:p>
        </w:tc>
        <w:tc>
          <w:tcPr>
            <w:tcW w:w="6300" w:type="dxa"/>
            <w:vAlign w:val="bottom"/>
            <w:gridSpan w:val="2"/>
          </w:tcPr>
          <w:p>
            <w:pPr>
              <w:ind w:left="1980"/>
              <w:spacing w:after="0"/>
              <w:rPr>
                <w:sz w:val="20"/>
                <w:szCs w:val="20"/>
                <w:color w:val="auto"/>
              </w:rPr>
            </w:pPr>
            <w:r>
              <w:rPr>
                <w:rFonts w:ascii="Arial" w:cs="Arial" w:eastAsia="Arial" w:hAnsi="Arial"/>
                <w:sz w:val="18"/>
                <w:szCs w:val="18"/>
                <w:color w:val="auto"/>
              </w:rPr>
              <w:t>By: /s/ W. Mark Schmitz</w:t>
            </w:r>
          </w:p>
        </w:tc>
        <w:tc>
          <w:tcPr>
            <w:tcW w:w="1140" w:type="dxa"/>
            <w:vAlign w:val="bottom"/>
          </w:tcPr>
          <w:p>
            <w:pPr>
              <w:spacing w:after="0"/>
              <w:rPr>
                <w:sz w:val="24"/>
                <w:szCs w:val="24"/>
                <w:color w:val="auto"/>
              </w:rPr>
            </w:pPr>
          </w:p>
        </w:tc>
      </w:tr>
      <w:tr>
        <w:trPr>
          <w:trHeight w:val="20"/>
        </w:trPr>
        <w:tc>
          <w:tcPr>
            <w:tcW w:w="3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3980" w:type="dxa"/>
            <w:vAlign w:val="bottom"/>
          </w:tcPr>
          <w:p>
            <w:pPr>
              <w:spacing w:after="0"/>
              <w:rPr>
                <w:sz w:val="20"/>
                <w:szCs w:val="20"/>
                <w:color w:val="auto"/>
              </w:rPr>
            </w:pPr>
          </w:p>
        </w:tc>
        <w:tc>
          <w:tcPr>
            <w:tcW w:w="6300" w:type="dxa"/>
            <w:vAlign w:val="bottom"/>
            <w:gridSpan w:val="2"/>
          </w:tcPr>
          <w:p>
            <w:pPr>
              <w:ind w:left="1980"/>
              <w:spacing w:after="0"/>
              <w:rPr>
                <w:sz w:val="20"/>
                <w:szCs w:val="20"/>
                <w:color w:val="auto"/>
              </w:rPr>
            </w:pPr>
            <w:r>
              <w:rPr>
                <w:rFonts w:ascii="Arial" w:cs="Arial" w:eastAsia="Arial" w:hAnsi="Arial"/>
                <w:sz w:val="18"/>
                <w:szCs w:val="18"/>
                <w:color w:val="auto"/>
              </w:rPr>
              <w:t>W. Mark Schmitz</w:t>
            </w:r>
          </w:p>
        </w:tc>
        <w:tc>
          <w:tcPr>
            <w:tcW w:w="1140" w:type="dxa"/>
            <w:vAlign w:val="bottom"/>
          </w:tcPr>
          <w:p>
            <w:pPr>
              <w:spacing w:after="0"/>
              <w:rPr>
                <w:sz w:val="20"/>
                <w:szCs w:val="20"/>
                <w:color w:val="auto"/>
              </w:rPr>
            </w:pPr>
          </w:p>
        </w:tc>
      </w:tr>
      <w:tr>
        <w:trPr>
          <w:trHeight w:val="242"/>
        </w:trPr>
        <w:tc>
          <w:tcPr>
            <w:tcW w:w="3980" w:type="dxa"/>
            <w:vAlign w:val="bottom"/>
          </w:tcPr>
          <w:p>
            <w:pPr>
              <w:spacing w:after="0"/>
              <w:rPr>
                <w:sz w:val="21"/>
                <w:szCs w:val="21"/>
                <w:color w:val="auto"/>
              </w:rPr>
            </w:pPr>
          </w:p>
        </w:tc>
        <w:tc>
          <w:tcPr>
            <w:tcW w:w="6300" w:type="dxa"/>
            <w:vAlign w:val="bottom"/>
            <w:gridSpan w:val="2"/>
          </w:tcPr>
          <w:p>
            <w:pPr>
              <w:ind w:left="1980"/>
              <w:spacing w:after="0"/>
              <w:rPr>
                <w:sz w:val="20"/>
                <w:szCs w:val="20"/>
                <w:color w:val="auto"/>
              </w:rPr>
            </w:pPr>
            <w:r>
              <w:rPr>
                <w:rFonts w:ascii="Arial" w:cs="Arial" w:eastAsia="Arial" w:hAnsi="Arial"/>
                <w:sz w:val="18"/>
                <w:szCs w:val="18"/>
                <w:color w:val="auto"/>
              </w:rPr>
              <w:t>Executive Vice President and Chief Financial Officer</w:t>
            </w:r>
          </w:p>
        </w:tc>
        <w:tc>
          <w:tcPr>
            <w:tcW w:w="1140" w:type="dxa"/>
            <w:vAlign w:val="bottom"/>
          </w:tcPr>
          <w:p>
            <w:pPr>
              <w:spacing w:after="0"/>
              <w:rPr>
                <w:sz w:val="21"/>
                <w:szCs w:val="21"/>
                <w:color w:val="auto"/>
              </w:rPr>
            </w:pPr>
          </w:p>
        </w:tc>
      </w:tr>
      <w:tr>
        <w:trPr>
          <w:trHeight w:val="149"/>
        </w:trPr>
        <w:tc>
          <w:tcPr>
            <w:tcW w:w="398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r>
      <w:tr>
        <w:trPr>
          <w:trHeight w:val="21"/>
        </w:trPr>
        <w:tc>
          <w:tcPr>
            <w:tcW w:w="398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39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17, 2016.</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ind w:left="260" w:right="1960"/>
        <w:spacing w:after="0" w:line="437" w:lineRule="auto"/>
        <w:rPr>
          <w:sz w:val="20"/>
          <w:szCs w:val="20"/>
          <w:color w:val="auto"/>
        </w:rPr>
      </w:pPr>
      <w:r>
        <w:rPr>
          <w:rFonts w:ascii="Arial" w:cs="Arial" w:eastAsia="Arial" w:hAnsi="Arial"/>
          <w:sz w:val="22"/>
          <w:szCs w:val="22"/>
          <w:b w:val="1"/>
          <w:bCs w:val="1"/>
          <w:color w:val="auto"/>
        </w:rPr>
        <w:t xml:space="preserve">Itron Announces Fourth Quarter and Full Year 2015 Financial Results </w:t>
      </w:r>
      <w:r>
        <w:rPr>
          <w:rFonts w:ascii="Arial" w:cs="Arial" w:eastAsia="Arial" w:hAnsi="Arial"/>
          <w:sz w:val="22"/>
          <w:szCs w:val="22"/>
          <w:b w:val="1"/>
          <w:bCs w:val="1"/>
          <w:i w:val="1"/>
          <w:iCs w:val="1"/>
          <w:color w:val="auto"/>
        </w:rPr>
        <w:t>Fourth Quarter Revenues Grew 4 percent, Excluding Impact of Foreign Currencies Record Quarterly Revenue in Gas-North America Strong Book-to-bill Ratio of 1.7:1 in Quarter</w:t>
      </w:r>
    </w:p>
    <w:p>
      <w:pPr>
        <w:ind w:right="60"/>
        <w:spacing w:after="0" w:line="251" w:lineRule="auto"/>
        <w:rPr>
          <w:sz w:val="20"/>
          <w:szCs w:val="20"/>
          <w:color w:val="auto"/>
        </w:rPr>
      </w:pPr>
      <w:r>
        <w:rPr>
          <w:rFonts w:ascii="Arial" w:cs="Arial" w:eastAsia="Arial" w:hAnsi="Arial"/>
          <w:sz w:val="22"/>
          <w:szCs w:val="22"/>
          <w:color w:val="auto"/>
        </w:rPr>
        <w:t>LIBERTY LAKE, Wash.--(BUSINESS WIRE)--February 17, 2016--Itron, Inc. (NASDAQ:ITRI) announced today financial results for its fourth quarter and full year ended December 31, 2015. Highlights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revenues of $490 million and $1.9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3620"/>
        <w:spacing w:after="0" w:line="415" w:lineRule="auto"/>
        <w:rPr>
          <w:sz w:val="20"/>
          <w:szCs w:val="20"/>
          <w:color w:val="auto"/>
        </w:rPr>
      </w:pPr>
      <w:r>
        <w:rPr>
          <w:rFonts w:ascii="Arial" w:cs="Arial" w:eastAsia="Arial" w:hAnsi="Arial"/>
          <w:sz w:val="19"/>
          <w:szCs w:val="19"/>
          <w:color w:val="auto"/>
        </w:rPr>
        <w:t>Quarterly and full year GAAP diluted earnings per share of 56 cents and 64 cents; Quarterly and full year non-GAAP diluted earnings per share of 76 cents and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-418465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Quarterly and full year adjusted EBITDA of $53 million or 11 percent, and $128 million or 7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480"/>
        <w:spacing w:after="0" w:line="297" w:lineRule="auto"/>
        <w:rPr>
          <w:sz w:val="20"/>
          <w:szCs w:val="20"/>
          <w:color w:val="auto"/>
        </w:rPr>
      </w:pPr>
      <w:r>
        <w:rPr>
          <w:rFonts w:ascii="Arial" w:cs="Arial" w:eastAsia="Arial" w:hAnsi="Arial"/>
          <w:sz w:val="19"/>
          <w:szCs w:val="19"/>
          <w:color w:val="auto"/>
        </w:rPr>
        <w:t>“Itron’s fourth quarter results reflect solid operating performance,” said Philip Mezey, Itron’s president and chief executive officer. “Highlights in the quarter included higher shipments of smart meters and modules, strong revenue growth in the Water segment, improved gross margin in Gas, robust bookings in the Electricity and Gas businesses and increased cash flow.”</w:t>
      </w:r>
    </w:p>
    <w:p>
      <w:pPr>
        <w:spacing w:after="0" w:line="134"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Mezey added, “Smart grid and smart city momentum is accelerating, creating more opportunity for Itron’s innovative solutions for this industry. Our significant backlog growth, benefits from our restructuring and efficiency projects and our Itron OpenWay Riva™ next generation platform position us well for continued revenue growth and improved profitability in 2016.”</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Fourth Quarter Consolidated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Total revenue for the quarter was $490 million compared with $510 million in 2014. Changes in foreign currency exchange rates unfavorably impacted revenue by approximately $38 million for the quarter. Excluding the impact of foreign currency, revenues increased $19 million, or 4 percent, driven primarily by the Water segment which grew 13 percent on a constant currency basis.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206" w:lineRule="exact"/>
        <w:rPr>
          <w:sz w:val="20"/>
          <w:szCs w:val="20"/>
          <w:color w:val="auto"/>
        </w:rPr>
      </w:pPr>
    </w:p>
    <w:p>
      <w:pPr>
        <w:ind w:right="1120"/>
        <w:spacing w:after="0" w:line="328" w:lineRule="auto"/>
        <w:rPr>
          <w:sz w:val="20"/>
          <w:szCs w:val="20"/>
          <w:color w:val="auto"/>
        </w:rPr>
      </w:pPr>
      <w:r>
        <w:rPr>
          <w:rFonts w:ascii="Arial" w:cs="Arial" w:eastAsia="Arial" w:hAnsi="Arial"/>
          <w:sz w:val="19"/>
          <w:szCs w:val="19"/>
          <w:color w:val="auto"/>
        </w:rPr>
        <w:t>Gross margin for the quarter increased to 31.7 percent compared with the prior year period margin of 30.3 percent. The improvement in gross margin was driven by decreased variable compensation and improved Gas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GAAP Operating Income, Net Income, Earnings per Share</w:t>
      </w:r>
    </w:p>
    <w:p>
      <w:pPr>
        <w:spacing w:after="0" w:line="207"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GAAP operating income improved to $35 million for the quarter compared with an operating loss of $49 million in 2014. Net income for the quarter was $21 million, or 56 cents per diluted share, compared with a net loss of $49 million, or $1.25 per share. The increases in operating income and net income for the quarter were driven primarily by a decrease of $52 million in restructuring charges and a decrease of $23 million in variable compensation due to a reduction in planned payout. The results also reflect improved gross margin performance in the Gas business. Tax expense was recognized in the quarter compared with a net tax benefit in the prior year period, largely due to improved income.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Non-GAAP Operating Income, Net Income, Earnings per Share</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Non-GAAP operating income improved to $44 million for the quarter compared with $29 million. Non-GAAP net income for the quarter was $29 million, or 76 cents per diluted share, compared with $14 million, or 36 cents per diluted share. The increases in non-GAAP operating and net income for the quarter were driven primarily by lower operating expenses attributable to the reduced variable compensation and higher gross margin performance in the Gas business.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Free Cash Flow</w:t>
      </w:r>
    </w:p>
    <w:p>
      <w:pPr>
        <w:spacing w:after="0" w:line="206"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Free cash flow was $43 million for the fourth quarter compared with $4 million in the prior year quarter. The increase over the prior year was driven by improved earnings and working capital.</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Bookings in the quarter totaled $822 million. Total backlog was $1.55 billion and twelve month backlog was $833 million at year-end, an increase of 4 percent and 11.5 percent, respectively.</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During the quarter, the company repurchased 88,266 shares of Itron common stock at an average price of $34.04 per share pursuant to Board authorization to repurchase up to $50 million of Itron common stock. As of Dec. 31, 2015, the company had repurchased 743,444 shares of Itron common stock at an average price of $33.63 per share since the inception of the plan in February 2015. This plan will conclude on Feb. 19, 2016.</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 – Full Year 2016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2016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$1.85 and $1.95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$1.95 and $2.25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This guidance assumes a Euro to U.S. dollar average exchange rate of $1.10 in 2016, average shares outstanding of approximately 38 million for the year and a non-GAAP effective tax rate for the year of approximately 37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Earnings Conference Call</w:t>
      </w:r>
    </w:p>
    <w:p>
      <w:pPr>
        <w:spacing w:after="0" w:line="21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 p.m. Eastern Time on Feb. 17, 2016.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for one year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Feb. 22, 2016. To access the telephone replay, dial (888) 203-1112 (Domestic) or (719) 457-0820 (International) and enter passcode 297230.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Itron® is a registered trademark of Itron, Inc.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2014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0" w:type="dxa"/>
            <w:vAlign w:val="bottom"/>
          </w:tcPr>
          <w:p>
            <w:pPr>
              <w:spacing w:after="0"/>
              <w:rPr>
                <w:sz w:val="15"/>
                <w:szCs w:val="15"/>
                <w:color w:val="auto"/>
              </w:rPr>
            </w:pPr>
          </w:p>
        </w:tc>
        <w:tc>
          <w:tcPr>
            <w:tcW w:w="29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490,371</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510,095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1,877,813</w:t>
            </w:r>
          </w:p>
        </w:tc>
        <w:tc>
          <w:tcPr>
            <w:tcW w:w="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1,970,697</w:t>
            </w:r>
          </w:p>
        </w:tc>
        <w:tc>
          <w:tcPr>
            <w:tcW w:w="0" w:type="dxa"/>
            <w:vAlign w:val="bottom"/>
          </w:tcPr>
          <w:p>
            <w:pPr>
              <w:spacing w:after="0"/>
              <w:rPr>
                <w:sz w:val="1"/>
                <w:szCs w:val="1"/>
                <w:color w:val="auto"/>
              </w:rPr>
            </w:pPr>
          </w:p>
        </w:tc>
      </w:tr>
      <w:tr>
        <w:trPr>
          <w:trHeight w:val="181"/>
        </w:trPr>
        <w:tc>
          <w:tcPr>
            <w:tcW w:w="4780" w:type="dxa"/>
            <w:vAlign w:val="bottom"/>
          </w:tcPr>
          <w:p>
            <w:pPr>
              <w:spacing w:after="0"/>
              <w:rPr>
                <w:sz w:val="20"/>
                <w:szCs w:val="20"/>
                <w:color w:val="auto"/>
              </w:rPr>
            </w:pPr>
            <w:r>
              <w:rPr>
                <w:rFonts w:ascii="Arial" w:cs="Arial" w:eastAsia="Arial" w:hAnsi="Arial"/>
                <w:sz w:val="14"/>
                <w:szCs w:val="14"/>
                <w:color w:val="auto"/>
              </w:rPr>
              <w:t>Cost of revenues</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334,989</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355,308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1,318,695</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1,347,572</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Gross profit</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155,382</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154,787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559,118</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623,125</w:t>
            </w:r>
          </w:p>
        </w:tc>
        <w:tc>
          <w:tcPr>
            <w:tcW w:w="0" w:type="dxa"/>
            <w:vAlign w:val="bottom"/>
          </w:tcPr>
          <w:p>
            <w:pPr>
              <w:spacing w:after="0"/>
              <w:rPr>
                <w:sz w:val="1"/>
                <w:szCs w:val="1"/>
                <w:color w:val="auto"/>
              </w:rPr>
            </w:pPr>
          </w:p>
        </w:tc>
      </w:tr>
      <w:tr>
        <w:trPr>
          <w:trHeight w:val="339"/>
        </w:trPr>
        <w:tc>
          <w:tcPr>
            <w:tcW w:w="478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38,078</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47,027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161,380</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185,239</w:t>
            </w: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35,928</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44,789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162,327</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175,500</w:t>
            </w: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37,124</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48,472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140,319</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163,101</w:t>
            </w: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7,943</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10,523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31,673</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43,619</w:t>
            </w: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Restructuring</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960</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53,068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(8,726)</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50,857</w:t>
            </w:r>
          </w:p>
        </w:tc>
        <w:tc>
          <w:tcPr>
            <w:tcW w:w="0" w:type="dxa"/>
            <w:vAlign w:val="bottom"/>
          </w:tcPr>
          <w:p>
            <w:pPr>
              <w:spacing w:after="0"/>
              <w:rPr>
                <w:sz w:val="1"/>
                <w:szCs w:val="1"/>
                <w:color w:val="auto"/>
              </w:rPr>
            </w:pPr>
          </w:p>
        </w:tc>
      </w:tr>
      <w:tr>
        <w:trPr>
          <w:trHeight w:val="181"/>
        </w:trPr>
        <w:tc>
          <w:tcPr>
            <w:tcW w:w="4780" w:type="dxa"/>
            <w:vAlign w:val="bottom"/>
          </w:tcPr>
          <w:p>
            <w:pPr>
              <w:ind w:left="220"/>
              <w:spacing w:after="0"/>
              <w:rPr>
                <w:sz w:val="20"/>
                <w:szCs w:val="20"/>
                <w:color w:val="auto"/>
              </w:rPr>
            </w:pPr>
            <w:r>
              <w:rPr>
                <w:rFonts w:ascii="Arial" w:cs="Arial" w:eastAsia="Arial" w:hAnsi="Arial"/>
                <w:sz w:val="14"/>
                <w:szCs w:val="14"/>
                <w:color w:val="auto"/>
              </w:rPr>
              <w:t>Goodwill impairment</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478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120,033</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203,879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486,973</w:t>
            </w: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619,293</w:t>
            </w:r>
          </w:p>
        </w:tc>
        <w:tc>
          <w:tcPr>
            <w:tcW w:w="0" w:type="dxa"/>
            <w:vAlign w:val="bottom"/>
          </w:tcPr>
          <w:p>
            <w:pPr>
              <w:spacing w:after="0"/>
              <w:rPr>
                <w:sz w:val="1"/>
                <w:szCs w:val="1"/>
                <w:color w:val="auto"/>
              </w:rPr>
            </w:pPr>
          </w:p>
        </w:tc>
      </w:tr>
      <w:tr>
        <w:trPr>
          <w:trHeight w:val="339"/>
        </w:trPr>
        <w:tc>
          <w:tcPr>
            <w:tcW w:w="4780" w:type="dxa"/>
            <w:vAlign w:val="bottom"/>
          </w:tcPr>
          <w:p>
            <w:pPr>
              <w:spacing w:after="0"/>
              <w:rPr>
                <w:sz w:val="20"/>
                <w:szCs w:val="20"/>
                <w:color w:val="auto"/>
              </w:rPr>
            </w:pPr>
            <w:r>
              <w:rPr>
                <w:rFonts w:ascii="Arial" w:cs="Arial" w:eastAsia="Arial" w:hAnsi="Arial"/>
                <w:sz w:val="14"/>
                <w:szCs w:val="14"/>
                <w:color w:val="auto"/>
              </w:rPr>
              <w:t>Operating income (loss)</w:t>
            </w:r>
          </w:p>
        </w:tc>
        <w:tc>
          <w:tcPr>
            <w:tcW w:w="34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35,349</w:t>
            </w:r>
          </w:p>
        </w:tc>
        <w:tc>
          <w:tcPr>
            <w:tcW w:w="4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(49,092)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72,145</w:t>
            </w:r>
          </w:p>
        </w:tc>
        <w:tc>
          <w:tcPr>
            <w:tcW w:w="48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321</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761</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(2,953)</w:t>
            </w:r>
          </w:p>
        </w:tc>
        <w:tc>
          <w:tcPr>
            <w:tcW w:w="4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(12,289)</w:t>
            </w:r>
          </w:p>
        </w:tc>
        <w:tc>
          <w:tcPr>
            <w:tcW w:w="4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(11,602)</w:t>
            </w:r>
          </w:p>
        </w:tc>
        <w:tc>
          <w:tcPr>
            <w:tcW w:w="0" w:type="dxa"/>
            <w:vAlign w:val="bottom"/>
          </w:tcPr>
          <w:p>
            <w:pPr>
              <w:spacing w:after="0"/>
              <w:rPr>
                <w:sz w:val="1"/>
                <w:szCs w:val="1"/>
                <w:color w:val="auto"/>
              </w:rPr>
            </w:pPr>
          </w:p>
        </w:tc>
      </w:tr>
      <w:tr>
        <w:trPr>
          <w:trHeight w:val="181"/>
        </w:trPr>
        <w:tc>
          <w:tcPr>
            <w:tcW w:w="478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(1,213)</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(4,216)</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(7,633)</w:t>
            </w:r>
          </w:p>
        </w:tc>
        <w:tc>
          <w:tcPr>
            <w:tcW w:w="0" w:type="dxa"/>
            <w:vAlign w:val="bottom"/>
          </w:tcPr>
          <w:p>
            <w:pPr>
              <w:spacing w:after="0"/>
              <w:rPr>
                <w:sz w:val="1"/>
                <w:szCs w:val="1"/>
                <w:color w:val="auto"/>
              </w:rPr>
            </w:pPr>
          </w:p>
        </w:tc>
      </w:tr>
      <w:tr>
        <w:trPr>
          <w:trHeight w:val="169"/>
        </w:trPr>
        <w:tc>
          <w:tcPr>
            <w:tcW w:w="478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(3,845)</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(15,744)</w:t>
            </w: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(18,741)</w:t>
            </w:r>
          </w:p>
        </w:tc>
        <w:tc>
          <w:tcPr>
            <w:tcW w:w="0" w:type="dxa"/>
            <w:vAlign w:val="bottom"/>
          </w:tcPr>
          <w:p>
            <w:pPr>
              <w:spacing w:after="0"/>
              <w:rPr>
                <w:sz w:val="1"/>
                <w:szCs w:val="1"/>
                <w:color w:val="auto"/>
              </w:rPr>
            </w:pPr>
          </w:p>
        </w:tc>
      </w:tr>
      <w:tr>
        <w:trPr>
          <w:trHeight w:val="339"/>
        </w:trPr>
        <w:tc>
          <w:tcPr>
            <w:tcW w:w="478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31,504</w:t>
            </w:r>
          </w:p>
        </w:tc>
        <w:tc>
          <w:tcPr>
            <w:tcW w:w="4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(53,867)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56,401</w:t>
            </w:r>
          </w:p>
        </w:tc>
        <w:tc>
          <w:tcPr>
            <w:tcW w:w="48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(14,909)</w:t>
            </w:r>
          </w:p>
        </w:tc>
        <w:tc>
          <w:tcPr>
            <w:tcW w:w="0" w:type="dxa"/>
            <w:vAlign w:val="bottom"/>
          </w:tcPr>
          <w:p>
            <w:pPr>
              <w:spacing w:after="0"/>
              <w:rPr>
                <w:sz w:val="1"/>
                <w:szCs w:val="1"/>
                <w:color w:val="auto"/>
              </w:rPr>
            </w:pPr>
          </w:p>
        </w:tc>
      </w:tr>
      <w:tr>
        <w:trPr>
          <w:trHeight w:val="181"/>
        </w:trPr>
        <w:tc>
          <w:tcPr>
            <w:tcW w:w="478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(9,637)</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(29,310)</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(6,641)</w:t>
            </w: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21,867</w:t>
            </w:r>
          </w:p>
        </w:tc>
        <w:tc>
          <w:tcPr>
            <w:tcW w:w="4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(48,829)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27,091</w:t>
            </w:r>
          </w:p>
        </w:tc>
        <w:tc>
          <w:tcPr>
            <w:tcW w:w="48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(21,550)</w:t>
            </w:r>
          </w:p>
        </w:tc>
        <w:tc>
          <w:tcPr>
            <w:tcW w:w="0" w:type="dxa"/>
            <w:vAlign w:val="bottom"/>
          </w:tcPr>
          <w:p>
            <w:pPr>
              <w:spacing w:after="0"/>
              <w:rPr>
                <w:sz w:val="1"/>
                <w:szCs w:val="1"/>
                <w:color w:val="auto"/>
              </w:rPr>
            </w:pPr>
          </w:p>
        </w:tc>
      </w:tr>
      <w:tr>
        <w:trPr>
          <w:trHeight w:val="181"/>
        </w:trPr>
        <w:tc>
          <w:tcPr>
            <w:tcW w:w="4780" w:type="dxa"/>
            <w:vAlign w:val="bottom"/>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508</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2,325</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21,359</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(49,233)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24,766</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(22,920)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8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0.56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0.65</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0.56</w:t>
            </w:r>
          </w:p>
        </w:tc>
        <w:tc>
          <w:tcPr>
            <w:tcW w:w="48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0.64</w:t>
            </w:r>
          </w:p>
        </w:tc>
        <w:tc>
          <w:tcPr>
            <w:tcW w:w="480" w:type="dxa"/>
            <w:vAlign w:val="bottom"/>
            <w:tcBorders>
              <w:top w:val="single" w:sz="8" w:color="auto"/>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78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4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37,912</w:t>
            </w:r>
          </w:p>
        </w:tc>
        <w:tc>
          <w:tcPr>
            <w:tcW w:w="4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38,937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38,224</w:t>
            </w:r>
          </w:p>
        </w:tc>
        <w:tc>
          <w:tcPr>
            <w:tcW w:w="48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39,184</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4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38,256</w:t>
            </w:r>
          </w:p>
        </w:tc>
        <w:tc>
          <w:tcPr>
            <w:tcW w:w="4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38,937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38,506</w:t>
            </w:r>
          </w:p>
        </w:tc>
        <w:tc>
          <w:tcPr>
            <w:tcW w:w="4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39,184</w:t>
            </w:r>
          </w:p>
        </w:tc>
        <w:tc>
          <w:tcPr>
            <w:tcW w:w="0" w:type="dxa"/>
            <w:vAlign w:val="bottom"/>
          </w:tcPr>
          <w:p>
            <w:pPr>
              <w:spacing w:after="0"/>
              <w:rPr>
                <w:sz w:val="1"/>
                <w:szCs w:val="1"/>
                <w:color w:val="auto"/>
              </w:rPr>
            </w:pPr>
          </w:p>
        </w:tc>
      </w:tr>
      <w:tr>
        <w:trPr>
          <w:trHeight w:val="309"/>
        </w:trPr>
        <w:tc>
          <w:tcPr>
            <w:tcW w:w="4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290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38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0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w w:val="90"/>
              </w:rPr>
              <w:t>214,257</w:t>
            </w:r>
          </w:p>
        </w:tc>
        <w:tc>
          <w:tcPr>
            <w:tcW w:w="11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w w:val="90"/>
              </w:rPr>
              <w:t>226,730</w:t>
            </w:r>
          </w:p>
        </w:tc>
        <w:tc>
          <w:tcPr>
            <w:tcW w:w="6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817,908</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794,144</w:t>
            </w: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Gas</w:t>
            </w:r>
          </w:p>
        </w:tc>
        <w:tc>
          <w:tcPr>
            <w:tcW w:w="102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w w:val="90"/>
              </w:rPr>
              <w:t>140,562</w:t>
            </w:r>
          </w:p>
        </w:tc>
        <w:tc>
          <w:tcPr>
            <w:tcW w:w="11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w w:val="90"/>
              </w:rPr>
              <w:t>149,374</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541,625</w:t>
            </w:r>
          </w:p>
        </w:tc>
        <w:tc>
          <w:tcPr>
            <w:tcW w:w="560" w:type="dxa"/>
            <w:vAlign w:val="bottom"/>
          </w:tcPr>
          <w:p>
            <w:pPr>
              <w:spacing w:after="0"/>
              <w:rPr>
                <w:sz w:val="15"/>
                <w:szCs w:val="15"/>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599,081</w:t>
            </w:r>
          </w:p>
        </w:tc>
        <w:tc>
          <w:tcPr>
            <w:tcW w:w="0" w:type="dxa"/>
            <w:vAlign w:val="bottom"/>
          </w:tcPr>
          <w:p>
            <w:pPr>
              <w:spacing w:after="0"/>
              <w:rPr>
                <w:sz w:val="1"/>
                <w:szCs w:val="1"/>
                <w:color w:val="auto"/>
              </w:rPr>
            </w:pPr>
          </w:p>
        </w:tc>
      </w:tr>
      <w:tr>
        <w:trPr>
          <w:trHeight w:val="181"/>
        </w:trPr>
        <w:tc>
          <w:tcPr>
            <w:tcW w:w="3880" w:type="dxa"/>
            <w:vAlign w:val="bottom"/>
          </w:tcPr>
          <w:p>
            <w:pPr>
              <w:ind w:left="220"/>
              <w:spacing w:after="0"/>
              <w:rPr>
                <w:sz w:val="20"/>
                <w:szCs w:val="20"/>
                <w:color w:val="auto"/>
              </w:rPr>
            </w:pPr>
            <w:r>
              <w:rPr>
                <w:rFonts w:ascii="Arial" w:cs="Arial" w:eastAsia="Arial" w:hAnsi="Arial"/>
                <w:sz w:val="14"/>
                <w:szCs w:val="14"/>
                <w:color w:val="auto"/>
              </w:rPr>
              <w:t>Water</w:t>
            </w: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0"/>
              </w:rPr>
              <w:t>135,552</w:t>
            </w:r>
          </w:p>
        </w:tc>
        <w:tc>
          <w:tcPr>
            <w:tcW w:w="1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0"/>
              </w:rPr>
              <w:t>133,991</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518,280</w:t>
            </w: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577,472</w:t>
            </w:r>
          </w:p>
        </w:tc>
        <w:tc>
          <w:tcPr>
            <w:tcW w:w="0" w:type="dxa"/>
            <w:vAlign w:val="bottom"/>
          </w:tcPr>
          <w:p>
            <w:pPr>
              <w:spacing w:after="0"/>
              <w:rPr>
                <w:sz w:val="1"/>
                <w:szCs w:val="1"/>
                <w:color w:val="auto"/>
              </w:rPr>
            </w:pPr>
          </w:p>
        </w:tc>
      </w:tr>
      <w:tr>
        <w:trPr>
          <w:trHeight w:val="169"/>
        </w:trPr>
        <w:tc>
          <w:tcPr>
            <w:tcW w:w="38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0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0"/>
              </w:rPr>
              <w:t>490,371</w:t>
            </w:r>
          </w:p>
        </w:tc>
        <w:tc>
          <w:tcPr>
            <w:tcW w:w="11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0"/>
              </w:rPr>
              <w:t>510,095</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1,877,813</w:t>
            </w:r>
          </w:p>
        </w:tc>
        <w:tc>
          <w:tcPr>
            <w:tcW w:w="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1,970,697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8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0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64,237</w:t>
            </w:r>
          </w:p>
        </w:tc>
        <w:tc>
          <w:tcPr>
            <w:tcW w:w="11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66,801</w:t>
            </w:r>
          </w:p>
        </w:tc>
        <w:tc>
          <w:tcPr>
            <w:tcW w:w="6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228,838</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208,476</w:t>
            </w: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Gas</w:t>
            </w:r>
          </w:p>
        </w:tc>
        <w:tc>
          <w:tcPr>
            <w:tcW w:w="102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48,773</w:t>
            </w:r>
          </w:p>
        </w:tc>
        <w:tc>
          <w:tcPr>
            <w:tcW w:w="11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43,206</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182,314</w:t>
            </w:r>
          </w:p>
        </w:tc>
        <w:tc>
          <w:tcPr>
            <w:tcW w:w="560" w:type="dxa"/>
            <w:vAlign w:val="bottom"/>
          </w:tcPr>
          <w:p>
            <w:pPr>
              <w:spacing w:after="0"/>
              <w:rPr>
                <w:sz w:val="15"/>
                <w:szCs w:val="15"/>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211,815</w:t>
            </w:r>
          </w:p>
        </w:tc>
        <w:tc>
          <w:tcPr>
            <w:tcW w:w="0" w:type="dxa"/>
            <w:vAlign w:val="bottom"/>
          </w:tcPr>
          <w:p>
            <w:pPr>
              <w:spacing w:after="0"/>
              <w:rPr>
                <w:sz w:val="1"/>
                <w:szCs w:val="1"/>
                <w:color w:val="auto"/>
              </w:rPr>
            </w:pPr>
          </w:p>
        </w:tc>
      </w:tr>
      <w:tr>
        <w:trPr>
          <w:trHeight w:val="181"/>
        </w:trPr>
        <w:tc>
          <w:tcPr>
            <w:tcW w:w="3880" w:type="dxa"/>
            <w:vAlign w:val="bottom"/>
          </w:tcPr>
          <w:p>
            <w:pPr>
              <w:ind w:left="220"/>
              <w:spacing w:after="0"/>
              <w:rPr>
                <w:sz w:val="20"/>
                <w:szCs w:val="20"/>
                <w:color w:val="auto"/>
              </w:rPr>
            </w:pPr>
            <w:r>
              <w:rPr>
                <w:rFonts w:ascii="Arial" w:cs="Arial" w:eastAsia="Arial" w:hAnsi="Arial"/>
                <w:sz w:val="14"/>
                <w:szCs w:val="14"/>
                <w:color w:val="auto"/>
              </w:rPr>
              <w:t>Water</w:t>
            </w: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42,372</w:t>
            </w:r>
          </w:p>
        </w:tc>
        <w:tc>
          <w:tcPr>
            <w:tcW w:w="1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44,780</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147,966</w:t>
            </w: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202,834</w:t>
            </w:r>
          </w:p>
        </w:tc>
        <w:tc>
          <w:tcPr>
            <w:tcW w:w="0" w:type="dxa"/>
            <w:vAlign w:val="bottom"/>
          </w:tcPr>
          <w:p>
            <w:pPr>
              <w:spacing w:after="0"/>
              <w:rPr>
                <w:sz w:val="1"/>
                <w:szCs w:val="1"/>
                <w:color w:val="auto"/>
              </w:rPr>
            </w:pPr>
          </w:p>
        </w:tc>
      </w:tr>
      <w:tr>
        <w:trPr>
          <w:trHeight w:val="169"/>
        </w:trPr>
        <w:tc>
          <w:tcPr>
            <w:tcW w:w="38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0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0"/>
              </w:rPr>
              <w:t>155,382</w:t>
            </w:r>
          </w:p>
        </w:tc>
        <w:tc>
          <w:tcPr>
            <w:tcW w:w="11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0"/>
              </w:rPr>
              <w:t>154,787</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559,118</w:t>
            </w:r>
          </w:p>
        </w:tc>
        <w:tc>
          <w:tcPr>
            <w:tcW w:w="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623,125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8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0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18,882</w:t>
            </w:r>
          </w:p>
        </w:tc>
        <w:tc>
          <w:tcPr>
            <w:tcW w:w="11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5"/>
              </w:rPr>
              <w:t>(37,064)</w:t>
            </w:r>
          </w:p>
        </w:tc>
        <w:tc>
          <w:tcPr>
            <w:tcW w:w="6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35,757</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(72,476)</w:t>
            </w: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Gas</w:t>
            </w:r>
          </w:p>
        </w:tc>
        <w:tc>
          <w:tcPr>
            <w:tcW w:w="102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19,793</w:t>
            </w:r>
          </w:p>
        </w:tc>
        <w:tc>
          <w:tcPr>
            <w:tcW w:w="11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1,709</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63,868</w:t>
            </w:r>
          </w:p>
        </w:tc>
        <w:tc>
          <w:tcPr>
            <w:tcW w:w="560" w:type="dxa"/>
            <w:vAlign w:val="bottom"/>
          </w:tcPr>
          <w:p>
            <w:pPr>
              <w:spacing w:after="0"/>
              <w:rPr>
                <w:sz w:val="15"/>
                <w:szCs w:val="15"/>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75,598</w:t>
            </w: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Water</w:t>
            </w:r>
          </w:p>
        </w:tc>
        <w:tc>
          <w:tcPr>
            <w:tcW w:w="102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11,650</w:t>
            </w:r>
          </w:p>
        </w:tc>
        <w:tc>
          <w:tcPr>
            <w:tcW w:w="11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10,687</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22,526</w:t>
            </w:r>
          </w:p>
        </w:tc>
        <w:tc>
          <w:tcPr>
            <w:tcW w:w="560" w:type="dxa"/>
            <w:vAlign w:val="bottom"/>
          </w:tcPr>
          <w:p>
            <w:pPr>
              <w:spacing w:after="0"/>
              <w:rPr>
                <w:sz w:val="15"/>
                <w:szCs w:val="15"/>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71,006</w:t>
            </w:r>
          </w:p>
        </w:tc>
        <w:tc>
          <w:tcPr>
            <w:tcW w:w="0" w:type="dxa"/>
            <w:vAlign w:val="bottom"/>
          </w:tcPr>
          <w:p>
            <w:pPr>
              <w:spacing w:after="0"/>
              <w:rPr>
                <w:sz w:val="1"/>
                <w:szCs w:val="1"/>
                <w:color w:val="auto"/>
              </w:rPr>
            </w:pPr>
          </w:p>
        </w:tc>
      </w:tr>
      <w:tr>
        <w:trPr>
          <w:trHeight w:val="181"/>
        </w:trPr>
        <w:tc>
          <w:tcPr>
            <w:tcW w:w="388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9"/>
              </w:rPr>
              <w:t>(14,976)</w:t>
            </w:r>
          </w:p>
        </w:tc>
        <w:tc>
          <w:tcPr>
            <w:tcW w:w="1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(24,424)</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(50,006)</w:t>
            </w: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(70,296)</w:t>
            </w:r>
          </w:p>
        </w:tc>
        <w:tc>
          <w:tcPr>
            <w:tcW w:w="0" w:type="dxa"/>
            <w:vAlign w:val="bottom"/>
          </w:tcPr>
          <w:p>
            <w:pPr>
              <w:spacing w:after="0"/>
              <w:rPr>
                <w:sz w:val="1"/>
                <w:szCs w:val="1"/>
                <w:color w:val="auto"/>
              </w:rPr>
            </w:pPr>
          </w:p>
        </w:tc>
      </w:tr>
      <w:tr>
        <w:trPr>
          <w:trHeight w:val="169"/>
        </w:trPr>
        <w:tc>
          <w:tcPr>
            <w:tcW w:w="38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0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35,349</w:t>
            </w:r>
          </w:p>
        </w:tc>
        <w:tc>
          <w:tcPr>
            <w:tcW w:w="11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(49,092)</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72,145</w:t>
            </w:r>
          </w:p>
        </w:tc>
        <w:tc>
          <w:tcPr>
            <w:tcW w:w="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56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880" w:type="dxa"/>
            <w:vAlign w:val="bottom"/>
          </w:tcPr>
          <w:p>
            <w:pPr>
              <w:spacing w:after="0"/>
              <w:rPr>
                <w:sz w:val="24"/>
                <w:szCs w:val="24"/>
                <w:color w:val="auto"/>
              </w:rPr>
            </w:pPr>
          </w:p>
        </w:tc>
        <w:tc>
          <w:tcPr>
            <w:tcW w:w="35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METER AND MODULE SUMMARY</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80" w:type="dxa"/>
            <w:vAlign w:val="bottom"/>
          </w:tcPr>
          <w:p>
            <w:pPr>
              <w:spacing w:after="0"/>
              <w:rPr>
                <w:sz w:val="20"/>
                <w:szCs w:val="20"/>
                <w:color w:val="auto"/>
              </w:rPr>
            </w:pPr>
            <w:r>
              <w:rPr>
                <w:rFonts w:ascii="Arial" w:cs="Arial" w:eastAsia="Arial" w:hAnsi="Arial"/>
                <w:sz w:val="14"/>
                <w:szCs w:val="14"/>
                <w:color w:val="auto"/>
              </w:rPr>
              <w:t>(Units in thousands)</w:t>
            </w:r>
          </w:p>
        </w:tc>
        <w:tc>
          <w:tcPr>
            <w:tcW w:w="2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290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388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20"/>
              <w:spacing w:after="0"/>
              <w:rPr>
                <w:sz w:val="20"/>
                <w:szCs w:val="20"/>
                <w:color w:val="auto"/>
              </w:rPr>
            </w:pPr>
            <w:r>
              <w:rPr>
                <w:rFonts w:ascii="Arial" w:cs="Arial" w:eastAsia="Arial" w:hAnsi="Arial"/>
                <w:sz w:val="14"/>
                <w:szCs w:val="14"/>
                <w:color w:val="auto"/>
              </w:rPr>
              <w:t>Standard</w:t>
            </w:r>
          </w:p>
        </w:tc>
        <w:tc>
          <w:tcPr>
            <w:tcW w:w="102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4,020</w:t>
            </w:r>
          </w:p>
        </w:tc>
        <w:tc>
          <w:tcPr>
            <w:tcW w:w="112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4,610</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17,560</w:t>
            </w:r>
          </w:p>
        </w:tc>
        <w:tc>
          <w:tcPr>
            <w:tcW w:w="560" w:type="dxa"/>
            <w:vAlign w:val="bottom"/>
          </w:tcPr>
          <w:p>
            <w:pPr>
              <w:spacing w:after="0"/>
              <w:rPr>
                <w:sz w:val="15"/>
                <w:szCs w:val="15"/>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18,740</w:t>
            </w:r>
          </w:p>
        </w:tc>
        <w:tc>
          <w:tcPr>
            <w:tcW w:w="0" w:type="dxa"/>
            <w:vAlign w:val="bottom"/>
          </w:tcPr>
          <w:p>
            <w:pPr>
              <w:spacing w:after="0"/>
              <w:rPr>
                <w:sz w:val="1"/>
                <w:szCs w:val="1"/>
                <w:color w:val="auto"/>
              </w:rPr>
            </w:pPr>
          </w:p>
        </w:tc>
      </w:tr>
      <w:tr>
        <w:trPr>
          <w:trHeight w:val="181"/>
        </w:trPr>
        <w:tc>
          <w:tcPr>
            <w:tcW w:w="3880" w:type="dxa"/>
            <w:vAlign w:val="bottom"/>
          </w:tcPr>
          <w:p>
            <w:pPr>
              <w:ind w:left="220"/>
              <w:spacing w:after="0"/>
              <w:rPr>
                <w:sz w:val="20"/>
                <w:szCs w:val="20"/>
                <w:color w:val="auto"/>
              </w:rPr>
            </w:pPr>
            <w:r>
              <w:rPr>
                <w:rFonts w:ascii="Arial" w:cs="Arial" w:eastAsia="Arial" w:hAnsi="Arial"/>
                <w:sz w:val="14"/>
                <w:szCs w:val="14"/>
                <w:color w:val="auto"/>
              </w:rPr>
              <w:t>Advanced and Smart</w:t>
            </w: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1,960</w:t>
            </w:r>
          </w:p>
        </w:tc>
        <w:tc>
          <w:tcPr>
            <w:tcW w:w="1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1,810</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7,290</w:t>
            </w: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6,090</w:t>
            </w:r>
          </w:p>
        </w:tc>
        <w:tc>
          <w:tcPr>
            <w:tcW w:w="0" w:type="dxa"/>
            <w:vAlign w:val="bottom"/>
          </w:tcPr>
          <w:p>
            <w:pPr>
              <w:spacing w:after="0"/>
              <w:rPr>
                <w:sz w:val="1"/>
                <w:szCs w:val="1"/>
                <w:color w:val="auto"/>
              </w:rPr>
            </w:pPr>
          </w:p>
        </w:tc>
      </w:tr>
      <w:tr>
        <w:trPr>
          <w:trHeight w:val="169"/>
        </w:trPr>
        <w:tc>
          <w:tcPr>
            <w:tcW w:w="3880" w:type="dxa"/>
            <w:vAlign w:val="bottom"/>
          </w:tcPr>
          <w:p>
            <w:pPr>
              <w:ind w:left="420"/>
              <w:spacing w:after="0"/>
              <w:rPr>
                <w:sz w:val="20"/>
                <w:szCs w:val="20"/>
                <w:color w:val="auto"/>
              </w:rPr>
            </w:pPr>
            <w:r>
              <w:rPr>
                <w:rFonts w:ascii="Arial" w:cs="Arial" w:eastAsia="Arial" w:hAnsi="Arial"/>
                <w:sz w:val="14"/>
                <w:szCs w:val="14"/>
                <w:color w:val="auto"/>
              </w:rPr>
              <w:t>Total meters</w:t>
            </w:r>
          </w:p>
        </w:tc>
        <w:tc>
          <w:tcPr>
            <w:tcW w:w="10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5,980</w:t>
            </w:r>
          </w:p>
        </w:tc>
        <w:tc>
          <w:tcPr>
            <w:tcW w:w="1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6,420</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24,850</w:t>
            </w: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24,830</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8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80" w:type="dxa"/>
            <w:vAlign w:val="bottom"/>
          </w:tcPr>
          <w:p>
            <w:pPr>
              <w:ind w:left="420"/>
              <w:spacing w:after="0"/>
              <w:rPr>
                <w:sz w:val="20"/>
                <w:szCs w:val="20"/>
                <w:color w:val="auto"/>
              </w:rPr>
            </w:pPr>
            <w:r>
              <w:rPr>
                <w:rFonts w:ascii="Arial" w:cs="Arial" w:eastAsia="Arial" w:hAnsi="Arial"/>
                <w:sz w:val="14"/>
                <w:szCs w:val="14"/>
                <w:color w:val="auto"/>
              </w:rPr>
              <w:t>Advanced and Smart</w:t>
            </w: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1,590</w:t>
            </w:r>
          </w:p>
        </w:tc>
        <w:tc>
          <w:tcPr>
            <w:tcW w:w="1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1,360</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5,840</w:t>
            </w: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8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218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December 31, 2015</w:t>
            </w:r>
          </w:p>
        </w:tc>
        <w:tc>
          <w:tcPr>
            <w:tcW w:w="620" w:type="dxa"/>
            <w:vAlign w:val="bottom"/>
          </w:tcPr>
          <w:p>
            <w:pPr>
              <w:spacing w:after="0"/>
              <w:rPr>
                <w:sz w:val="15"/>
                <w:szCs w:val="15"/>
                <w:color w:val="auto"/>
              </w:rPr>
            </w:pPr>
          </w:p>
        </w:tc>
        <w:tc>
          <w:tcPr>
            <w:tcW w:w="210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74"/>
        </w:trPr>
        <w:tc>
          <w:tcPr>
            <w:tcW w:w="60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40" w:type="dxa"/>
            <w:vAlign w:val="bottom"/>
          </w:tcPr>
          <w:p>
            <w:pPr>
              <w:ind w:left="270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assets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131,018</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112,371</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331,955</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348,389</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190,877</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154,504</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Deferred tax assets current,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39,115</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103,613</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104,307</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757,463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758,686</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80" w:type="dxa"/>
            <w:vAlign w:val="bottom"/>
          </w:tcPr>
          <w:p>
            <w:pPr>
              <w:spacing w:after="0"/>
              <w:rPr>
                <w:sz w:val="24"/>
                <w:szCs w:val="2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190,002</w:t>
            </w:r>
          </w:p>
        </w:tc>
        <w:tc>
          <w:tcPr>
            <w:tcW w:w="62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207,789</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96,327</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74,598</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Other long-term assets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31,309</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28,503</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101,932</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139,909</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468,122</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500,820</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1,645,155</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1,710,305</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LIABILITIES AND EQUITY</w:t>
            </w: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195,721</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184,132</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62,511</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100,945</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76,980</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95,248</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14,740</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21,951</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Current portion of debt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11,250</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Current portion of warranty</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33,622</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21,063</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57,367</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43,436</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452,191</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496,775</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4"/>
                <w:szCs w:val="2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359,962</w:t>
            </w:r>
          </w:p>
        </w:tc>
        <w:tc>
          <w:tcPr>
            <w:tcW w:w="62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293,969</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Long-term warranty</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14,695</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15,403</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85,971</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101,432</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1,723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3,808</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80,973</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84,437</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995,515</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995,824</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Equity</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1,246,671</w:t>
            </w:r>
          </w:p>
        </w:tc>
        <w:tc>
          <w:tcPr>
            <w:tcW w:w="620" w:type="dxa"/>
            <w:vAlign w:val="bottom"/>
          </w:tcPr>
          <w:p>
            <w:pPr>
              <w:spacing w:after="0"/>
              <w:rPr>
                <w:sz w:val="15"/>
                <w:szCs w:val="15"/>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1,270,045</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Accumulated other comprehensive loss, net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(203,151)</w:t>
            </w:r>
          </w:p>
        </w:tc>
        <w:tc>
          <w:tcPr>
            <w:tcW w:w="620" w:type="dxa"/>
            <w:vAlign w:val="bottom"/>
          </w:tcPr>
          <w:p>
            <w:pPr>
              <w:spacing w:after="0"/>
              <w:rPr>
                <w:sz w:val="15"/>
                <w:szCs w:val="15"/>
                <w:color w:val="auto"/>
              </w:rPr>
            </w:pPr>
          </w:p>
        </w:tc>
        <w:tc>
          <w:tcPr>
            <w:tcW w:w="2100" w:type="dxa"/>
            <w:vAlign w:val="bottom"/>
          </w:tcPr>
          <w:p>
            <w:pPr>
              <w:jc w:val="right"/>
              <w:ind w:right="148"/>
              <w:spacing w:after="0"/>
              <w:rPr>
                <w:sz w:val="20"/>
                <w:szCs w:val="20"/>
                <w:color w:val="auto"/>
              </w:rPr>
            </w:pPr>
            <w:r>
              <w:rPr>
                <w:rFonts w:ascii="Arial" w:cs="Arial" w:eastAsia="Arial" w:hAnsi="Arial"/>
                <w:sz w:val="14"/>
                <w:szCs w:val="14"/>
                <w:color w:val="auto"/>
              </w:rPr>
              <w:t>(136,514)</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(411,825)</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(436,591)</w:t>
            </w:r>
          </w:p>
        </w:tc>
        <w:tc>
          <w:tcPr>
            <w:tcW w:w="0" w:type="dxa"/>
            <w:vAlign w:val="bottom"/>
          </w:tcPr>
          <w:p>
            <w:pPr>
              <w:spacing w:after="0"/>
              <w:rPr>
                <w:sz w:val="1"/>
                <w:szCs w:val="1"/>
                <w:color w:val="auto"/>
              </w:rPr>
            </w:pPr>
          </w:p>
        </w:tc>
      </w:tr>
      <w:tr>
        <w:trPr>
          <w:trHeight w:val="164"/>
        </w:trPr>
        <w:tc>
          <w:tcPr>
            <w:tcW w:w="6040" w:type="dxa"/>
            <w:vAlign w:val="bottom"/>
          </w:tcPr>
          <w:p>
            <w:pPr>
              <w:ind w:left="420"/>
              <w:spacing w:after="0"/>
              <w:rPr>
                <w:sz w:val="20"/>
                <w:szCs w:val="20"/>
                <w:color w:val="auto"/>
              </w:rPr>
            </w:pPr>
            <w:r>
              <w:rPr>
                <w:rFonts w:ascii="Arial" w:cs="Arial" w:eastAsia="Arial" w:hAnsi="Arial"/>
                <w:sz w:val="14"/>
                <w:szCs w:val="14"/>
                <w:color w:val="auto"/>
              </w:rPr>
              <w:t>Total Itron, Inc. shareholders' equity</w:t>
            </w:r>
          </w:p>
        </w:tc>
        <w:tc>
          <w:tcPr>
            <w:tcW w:w="480" w:type="dxa"/>
            <w:vAlign w:val="bottom"/>
          </w:tcPr>
          <w:p>
            <w:pPr>
              <w:spacing w:after="0"/>
              <w:rPr>
                <w:sz w:val="14"/>
                <w:szCs w:val="1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631,695</w:t>
            </w:r>
          </w:p>
        </w:tc>
        <w:tc>
          <w:tcPr>
            <w:tcW w:w="620" w:type="dxa"/>
            <w:vAlign w:val="bottom"/>
          </w:tcPr>
          <w:p>
            <w:pPr>
              <w:spacing w:after="0"/>
              <w:rPr>
                <w:sz w:val="14"/>
                <w:szCs w:val="1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696,940</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17,945</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equity</w:t>
            </w: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649,640</w:t>
            </w:r>
          </w:p>
        </w:tc>
        <w:tc>
          <w:tcPr>
            <w:tcW w:w="6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714,481</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1,645,155</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1,710,305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ind w:left="402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income (loss)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Goodwill impairment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Repurchase of common stock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(decrease)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Twelve Months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2014</w:t>
            </w:r>
          </w:p>
        </w:tc>
      </w:tr>
      <w:tr>
        <w:trPr>
          <w:trHeight w:val="346"/>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27,091</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(21,550)</w:t>
            </w:r>
          </w:p>
        </w:tc>
      </w:tr>
      <w:tr>
        <w:trPr>
          <w:trHeight w:val="344"/>
        </w:trPr>
        <w:tc>
          <w:tcPr>
            <w:tcW w:w="44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76,933</w:t>
            </w:r>
          </w:p>
        </w:tc>
        <w:tc>
          <w:tcPr>
            <w:tcW w:w="560" w:type="dxa"/>
            <w:vAlign w:val="bottom"/>
          </w:tcPr>
          <w:p>
            <w:pPr>
              <w:spacing w:after="0"/>
              <w:rPr>
                <w:sz w:val="24"/>
                <w:szCs w:val="2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98,463</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14,089</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17,860</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2,128</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1,612</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8,529</w:t>
            </w:r>
          </w:p>
        </w:tc>
        <w:tc>
          <w:tcPr>
            <w:tcW w:w="56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(31,542)</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977</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1,354</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5,220</w:t>
            </w:r>
          </w:p>
        </w:tc>
      </w:tr>
      <w:tr>
        <w:trPr>
          <w:trHeight w:val="182"/>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2,040</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914</w:t>
            </w:r>
          </w:p>
        </w:tc>
      </w:tr>
      <w:tr>
        <w:trPr>
          <w:trHeight w:val="344"/>
        </w:trPr>
        <w:tc>
          <w:tcPr>
            <w:tcW w:w="44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(7,921)</w:t>
            </w:r>
          </w:p>
        </w:tc>
        <w:tc>
          <w:tcPr>
            <w:tcW w:w="56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(16,789)</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(52,897)</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6,021</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(3,757)</w:t>
            </w:r>
          </w:p>
        </w:tc>
        <w:tc>
          <w:tcPr>
            <w:tcW w:w="56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(9,447)</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2,761</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1,582</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(13,290)</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55,924</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(11,268)</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10,334</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15,537</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9,240</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14,053</w:t>
            </w:r>
          </w:p>
        </w:tc>
        <w:tc>
          <w:tcPr>
            <w:tcW w:w="56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(6,364)</w:t>
            </w:r>
          </w:p>
        </w:tc>
      </w:tr>
      <w:tr>
        <w:trPr>
          <w:trHeight w:val="181"/>
        </w:trPr>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(2,032)</w:t>
            </w: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10,518</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73,350</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132,973</w:t>
            </w:r>
          </w:p>
        </w:tc>
      </w:tr>
      <w:tr>
        <w:trPr>
          <w:trHeight w:val="515"/>
        </w:trPr>
        <w:tc>
          <w:tcPr>
            <w:tcW w:w="44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(43,918)</w:t>
            </w:r>
          </w:p>
        </w:tc>
        <w:tc>
          <w:tcPr>
            <w:tcW w:w="56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(44,495)</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(5,754)</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181"/>
        </w:trPr>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721</w:t>
            </w: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2,999</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(48,951)</w:t>
            </w:r>
          </w:p>
        </w:tc>
        <w:tc>
          <w:tcPr>
            <w:tcW w:w="56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(41,496)</w:t>
            </w:r>
          </w:p>
        </w:tc>
      </w:tr>
      <w:tr>
        <w:trPr>
          <w:trHeight w:val="515"/>
        </w:trPr>
        <w:tc>
          <w:tcPr>
            <w:tcW w:w="44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113,467</w:t>
            </w:r>
          </w:p>
        </w:tc>
        <w:tc>
          <w:tcPr>
            <w:tcW w:w="560" w:type="dxa"/>
            <w:vAlign w:val="bottom"/>
          </w:tcPr>
          <w:p>
            <w:pPr>
              <w:spacing w:after="0"/>
              <w:rPr>
                <w:sz w:val="24"/>
                <w:szCs w:val="2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47,657</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(62,998)</w:t>
            </w:r>
          </w:p>
        </w:tc>
        <w:tc>
          <w:tcPr>
            <w:tcW w:w="56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(102,438)</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2,663</w:t>
            </w:r>
          </w:p>
        </w:tc>
        <w:tc>
          <w:tcPr>
            <w:tcW w:w="56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3,647</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(38,283)</w:t>
            </w:r>
          </w:p>
        </w:tc>
        <w:tc>
          <w:tcPr>
            <w:tcW w:w="56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(39,665)</w:t>
            </w:r>
          </w:p>
        </w:tc>
      </w:tr>
      <w:tr>
        <w:trPr>
          <w:trHeight w:val="181"/>
        </w:trPr>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(7,109)</w:t>
            </w: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(1,078)</w:t>
            </w:r>
          </w:p>
        </w:tc>
      </w:tr>
      <w:tr>
        <w:trPr>
          <w:trHeight w:val="176"/>
        </w:trPr>
        <w:tc>
          <w:tcPr>
            <w:tcW w:w="44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7,740</w:t>
            </w:r>
          </w:p>
        </w:tc>
        <w:tc>
          <w:tcPr>
            <w:tcW w:w="56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(91,877)</w:t>
            </w:r>
          </w:p>
        </w:tc>
      </w:tr>
      <w:tr>
        <w:trPr>
          <w:trHeight w:val="344"/>
        </w:trPr>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(13,492)</w:t>
            </w: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(12,034)</w:t>
            </w:r>
          </w:p>
        </w:tc>
      </w:tr>
      <w:tr>
        <w:trPr>
          <w:trHeight w:val="164"/>
        </w:trPr>
        <w:tc>
          <w:tcPr>
            <w:tcW w:w="44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18,647</w:t>
            </w:r>
          </w:p>
        </w:tc>
        <w:tc>
          <w:tcPr>
            <w:tcW w:w="560" w:type="dxa"/>
            <w:vAlign w:val="bottom"/>
          </w:tcPr>
          <w:p>
            <w:pPr>
              <w:spacing w:after="0"/>
              <w:rPr>
                <w:sz w:val="14"/>
                <w:szCs w:val="1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(12,434)</w:t>
            </w:r>
          </w:p>
        </w:tc>
      </w:tr>
      <w:tr>
        <w:trPr>
          <w:trHeight w:val="181"/>
        </w:trPr>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112,371</w:t>
            </w: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124,805</w:t>
            </w:r>
          </w:p>
        </w:tc>
      </w:tr>
      <w:tr>
        <w:trPr>
          <w:trHeight w:val="169"/>
        </w:trPr>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131,018</w:t>
            </w:r>
          </w:p>
        </w:tc>
        <w:tc>
          <w:tcPr>
            <w:tcW w:w="5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112,371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00" w:space="420"/>
            <w:col w:w="3600"/>
          </w:cols>
          <w:pgMar w:left="240" w:top="306"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acquired through a business acquisition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acquired through a business acquisition, restructuring, acquisitions and goodwill impairment. We define non-GAAP operating income as operating income excluding the expenses related to the amortization of intangible assets acquired through a business acquisition,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acquired through a business acquisition,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business acquisition related intangible asset expenses, restructuring expense,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4"/>
              </w:rPr>
              <w:t>Three Months Ended December 31,</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5"/>
              </w:rPr>
              <w:t>Twelve Months Ended December 31,</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Arial" w:cs="Arial" w:eastAsia="Arial" w:hAnsi="Arial"/>
                <w:sz w:val="14"/>
                <w:szCs w:val="14"/>
                <w:b w:val="1"/>
                <w:bCs w:val="1"/>
                <w:color w:val="auto"/>
              </w:rPr>
              <w:t>NON-GAAP NET INCOME &amp; DILUTED EPS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21,359</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(49,233)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24,766</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(22,920)</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7,943</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10,523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31,673</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43,619</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248</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2,021</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960</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53,068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(8,726)</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50,857</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Acquisition related expenses (release)</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14,743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(5,538)</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15,538</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(1,311)</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(5,234)</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(26,374)</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Non-GAAP 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29,215</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14,150</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38,962</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63,209</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Arial" w:cs="Arial" w:eastAsia="Arial" w:hAnsi="Arial"/>
                <w:sz w:val="14"/>
                <w:szCs w:val="14"/>
                <w:color w:val="auto"/>
              </w:rPr>
              <w:t>Non-GAAP diluted EPS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70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0.76</w:t>
            </w:r>
          </w:p>
        </w:tc>
        <w:tc>
          <w:tcPr>
            <w:tcW w:w="4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0.36</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1.01</w:t>
            </w:r>
          </w:p>
        </w:tc>
        <w:tc>
          <w:tcPr>
            <w:tcW w:w="4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70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38,256</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39,300</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38,506</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39,461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21,359</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(49,233)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24,766</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(22,920)</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(321)</w:t>
            </w: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(761)</w:t>
            </w: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2,953</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2,765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12,289</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11,602</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Income tax provision (benefit)</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9,637</w:t>
            </w: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(5,038)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29,310</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6,641</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18,419</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23,164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76,933</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98,378</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960</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53,068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(8,726)</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50,857</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Acquisition related expenses (release)</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14,743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(5,538)</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15,538</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53,023</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39,288</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128,273</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160,579</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53,196</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16,435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73,350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132,973</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(10,594)</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(12,435)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(43,918)</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(44,495)</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42,602</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4,000</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29,432</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88,478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GAAP operating income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35,349</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(49,092)</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72,145</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7,943</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10,523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31,673</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43,619</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960</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53,068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(8,726)</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50,857</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Acquisition related expenses (release)</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14,743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(5,538)</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15,538</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44,268</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29,242</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89,554</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114,823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GAAP operating expense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120,033</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203,879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486,973</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619,293</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(7,943)</w:t>
            </w: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(10,523)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(31,673)</w:t>
            </w: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(43,619)</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(960)</w:t>
            </w: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(53,068)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8,726</w:t>
            </w: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(50,857)</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Acquisition related expenses (release)</w:t>
            </w:r>
          </w:p>
        </w:tc>
        <w:tc>
          <w:tcPr>
            <w:tcW w:w="22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(14,743)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5,538</w:t>
            </w:r>
          </w:p>
        </w:tc>
        <w:tc>
          <w:tcPr>
            <w:tcW w:w="4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(15,538)</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Non-GAAP operating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111,114</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125,545</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469,564</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508,302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4"/>
              </w:rPr>
              <w:t>Three Months Ended December 31,</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5"/>
              </w:rPr>
              <w:t>Twelve Months Ended December 31,</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Arial" w:cs="Arial" w:eastAsia="Arial" w:hAnsi="Arial"/>
                <w:sz w:val="14"/>
                <w:szCs w:val="14"/>
                <w:b w:val="1"/>
                <w:bCs w:val="1"/>
                <w:color w:val="auto"/>
              </w:rPr>
              <w:t>NON-GAAP OPERATING INCOME - ELECTRICITY</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Electricity - GAAP operating income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18,882</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(37,064)</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35,757</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(72,476)</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4,367</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5,979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17,663</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24,452</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(724)</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29,659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(8,514)</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21,115</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Acquisition related expenses (release)</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14,743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(5,655)</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15,491</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Electricity - Non-GAAP operating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22,543</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13,317</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39,251</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(10,441)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 - GAS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Gas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19,793</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1,709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63,868</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75,598</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1,922</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2,489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7,787</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10,471</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1,372</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9,454</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9,192</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Gas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23,087</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13,652</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71,724</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95,261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 - WATER</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Water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11,650</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10,687</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22,526</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71,006</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1,654</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2,055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6,223</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8,696</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232</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1,106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829</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2,279</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Acquisition related expenses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Water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13,536</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13,848</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29,682</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81,981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Corporate unallocated - GAAP operating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(14,976)</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(24,424)</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(50,006)</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(70,296)</w:t>
            </w:r>
          </w:p>
        </w:tc>
        <w:tc>
          <w:tcPr>
            <w:tcW w:w="0" w:type="dxa"/>
            <w:vAlign w:val="bottom"/>
          </w:tcPr>
          <w:p>
            <w:pPr>
              <w:spacing w:after="0"/>
              <w:rPr>
                <w:sz w:val="1"/>
                <w:szCs w:val="1"/>
                <w:color w:val="auto"/>
              </w:rPr>
            </w:pPr>
          </w:p>
        </w:tc>
      </w:tr>
      <w:tr>
        <w:trPr>
          <w:trHeight w:val="176"/>
        </w:trPr>
        <w:tc>
          <w:tcPr>
            <w:tcW w:w="57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80</w:t>
            </w:r>
          </w:p>
        </w:tc>
        <w:tc>
          <w:tcPr>
            <w:tcW w:w="4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12,849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(1,110)</w:t>
            </w:r>
          </w:p>
        </w:tc>
        <w:tc>
          <w:tcPr>
            <w:tcW w:w="42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18,271</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rPr>
                <w:sz w:val="20"/>
                <w:szCs w:val="20"/>
                <w:color w:val="auto"/>
              </w:rPr>
            </w:pPr>
            <w:r>
              <w:rPr>
                <w:rFonts w:ascii="Arial" w:cs="Arial" w:eastAsia="Arial" w:hAnsi="Arial"/>
                <w:sz w:val="14"/>
                <w:szCs w:val="14"/>
                <w:color w:val="auto"/>
              </w:rPr>
              <w:t>Acquisition related expenses (release)</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5700" w:type="dxa"/>
            <w:vAlign w:val="bottom"/>
          </w:tcPr>
          <w:p>
            <w:pPr>
              <w:ind w:left="220"/>
              <w:spacing w:after="0"/>
              <w:rPr>
                <w:sz w:val="20"/>
                <w:szCs w:val="20"/>
                <w:color w:val="auto"/>
              </w:rPr>
            </w:pPr>
            <w:r>
              <w:rPr>
                <w:rFonts w:ascii="Arial" w:cs="Arial" w:eastAsia="Arial" w:hAnsi="Arial"/>
                <w:sz w:val="14"/>
                <w:szCs w:val="14"/>
                <w:color w:val="auto"/>
              </w:rPr>
              <w:t>Corporate unallocated - Non-GAAP operating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(14,898)</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(11,575)</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(51,103)</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(51,978)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w:t>
      </w:r>
    </w:p>
    <w:p>
      <w:pPr>
        <w:sectPr>
          <w:pgSz w:w="11900" w:h="16838" w:orient="portrait"/>
          <w:cols w:equalWidth="0" w:num="1">
            <w:col w:w="11420"/>
          </w:cols>
          <w:pgMar w:left="240" w:top="306" w:right="239" w:bottom="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Marni Pilcher, 509-891-3847</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Director, Investor Relations</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2019-12-05T18:15:09Z</dcterms:created>
  <dcterms:modified xsi:type="dcterms:W3CDTF">2019-12-05T18:15:09Z</dcterms:modified>
</cp:coreProperties>
</file>