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60" w:right="2040" w:hanging="452"/>
        <w:spacing w:after="0" w:line="438"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94"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2760" w:space="720"/>
            <w:col w:w="79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000-22418</w:t>
      </w:r>
    </w:p>
    <w:p>
      <w:pPr>
        <w:sectPr>
          <w:pgSz w:w="11900" w:h="16838" w:orient="portrait"/>
          <w:cols w:equalWidth="0" w:num="1">
            <w:col w:w="11420"/>
          </w:cols>
          <w:pgMar w:left="240" w:top="230" w:right="239" w:bottom="1440" w:gutter="0" w:footer="0" w:header="0"/>
          <w:type w:val="continuous"/>
        </w:sectPr>
      </w:pPr>
    </w:p>
    <w:p>
      <w:pPr>
        <w:spacing w:after="0" w:line="1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230" w:right="239" w:bottom="1440" w:gutter="0" w:footer="0" w:header="0"/>
          <w:type w:val="continuous"/>
        </w:sectPr>
      </w:pPr>
    </w:p>
    <w:p>
      <w:pPr>
        <w:spacing w:after="0" w:line="198"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Washington</w:t>
      </w:r>
    </w:p>
    <w:p>
      <w:pPr>
        <w:spacing w:after="0" w:line="21" w:lineRule="exact"/>
        <w:rPr>
          <w:sz w:val="24"/>
          <w:szCs w:val="24"/>
          <w:color w:val="auto"/>
        </w:rPr>
      </w:pPr>
    </w:p>
    <w:p>
      <w:pPr>
        <w:jc w:val="center"/>
        <w:ind w:right="6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91-1011792</w:t>
      </w:r>
    </w:p>
    <w:p>
      <w:pPr>
        <w:spacing w:after="0" w:line="21"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(I.R.S. Employer Identification Number)</w:t>
      </w:r>
    </w:p>
    <w:p>
      <w:pPr>
        <w:spacing w:after="0" w:line="182" w:lineRule="exact"/>
        <w:rPr>
          <w:sz w:val="24"/>
          <w:szCs w:val="24"/>
          <w:color w:val="auto"/>
        </w:rPr>
      </w:pPr>
    </w:p>
    <w:p>
      <w:pPr>
        <w:sectPr>
          <w:pgSz w:w="11900" w:h="16838" w:orient="portrait"/>
          <w:cols w:equalWidth="0" w:num="2">
            <w:col w:w="6500" w:space="720"/>
            <w:col w:w="42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40"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6"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80" w:lineRule="exact"/>
        <w:rPr>
          <w:sz w:val="24"/>
          <w:szCs w:val="24"/>
          <w:color w:val="auto"/>
        </w:rPr>
      </w:pPr>
    </w:p>
    <w:p>
      <w:pPr>
        <w:sectPr>
          <w:pgSz w:w="11900" w:h="16838" w:orient="portrait"/>
          <w:cols w:equalWidth="0" w:num="2">
            <w:col w:w="7940" w:space="720"/>
            <w:col w:w="276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50"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1440" w:gutter="0" w:footer="0" w:header="0"/>
          <w:type w:val="continuous"/>
        </w:sectPr>
      </w:pPr>
    </w:p>
    <w:p>
      <w:pPr>
        <w:spacing w:after="0" w:line="16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April 30, 2010 there were outstanding 40,302,142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0" w:type="dxa"/>
            <w:vAlign w:val="bottom"/>
            <w:gridSpan w:val="2"/>
          </w:tcPr>
          <w:p>
            <w:pPr>
              <w:jc w:val="center"/>
              <w:ind w:right="4680"/>
              <w:spacing w:after="0"/>
              <w:rPr>
                <w:sz w:val="20"/>
                <w:szCs w:val="20"/>
                <w:color w:val="auto"/>
              </w:rPr>
            </w:pPr>
            <w:r>
              <w:rPr>
                <w:rFonts w:ascii="Arial" w:cs="Arial" w:eastAsia="Arial" w:hAnsi="Arial"/>
                <w:sz w:val="18"/>
                <w:szCs w:val="18"/>
                <w:b w:val="1"/>
                <w:bCs w:val="1"/>
                <w:color w:val="auto"/>
                <w:w w:val="93"/>
              </w:rPr>
              <w:t>Itron, Inc.</w:t>
            </w:r>
          </w:p>
        </w:tc>
        <w:tc>
          <w:tcPr>
            <w:tcW w:w="560" w:type="dxa"/>
            <w:vAlign w:val="bottom"/>
          </w:tcPr>
          <w:p>
            <w:pPr>
              <w:spacing w:after="0"/>
              <w:rPr>
                <w:sz w:val="19"/>
                <w:szCs w:val="19"/>
                <w:color w:val="auto"/>
              </w:rPr>
            </w:pPr>
          </w:p>
        </w:tc>
      </w:tr>
      <w:tr>
        <w:trPr>
          <w:trHeight w:val="297"/>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60" w:type="dxa"/>
            <w:vAlign w:val="bottom"/>
            <w:gridSpan w:val="3"/>
          </w:tcPr>
          <w:p>
            <w:pPr>
              <w:jc w:val="center"/>
              <w:ind w:right="4420"/>
              <w:spacing w:after="0"/>
              <w:rPr>
                <w:sz w:val="20"/>
                <w:szCs w:val="20"/>
                <w:color w:val="auto"/>
              </w:rPr>
            </w:pPr>
            <w:r>
              <w:rPr>
                <w:rFonts w:ascii="Arial" w:cs="Arial" w:eastAsia="Arial" w:hAnsi="Arial"/>
                <w:sz w:val="18"/>
                <w:szCs w:val="18"/>
                <w:b w:val="1"/>
                <w:bCs w:val="1"/>
                <w:color w:val="auto"/>
                <w:w w:val="86"/>
              </w:rPr>
              <w:t>Table of Contents</w:t>
            </w:r>
          </w:p>
        </w:tc>
        <w:tc>
          <w:tcPr>
            <w:tcW w:w="560" w:type="dxa"/>
            <w:vAlign w:val="bottom"/>
          </w:tcPr>
          <w:p>
            <w:pPr>
              <w:spacing w:after="0"/>
              <w:rPr>
                <w:sz w:val="24"/>
                <w:szCs w:val="24"/>
                <w:color w:val="auto"/>
              </w:rPr>
            </w:pPr>
          </w:p>
        </w:tc>
      </w:tr>
      <w:tr>
        <w:trPr>
          <w:trHeight w:val="353"/>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Page</w:t>
            </w:r>
          </w:p>
        </w:tc>
      </w:tr>
      <w:tr>
        <w:trPr>
          <w:trHeight w:val="277"/>
        </w:trPr>
        <w:tc>
          <w:tcPr>
            <w:tcW w:w="30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84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10860" w:type="dxa"/>
            <w:vAlign w:val="bottom"/>
            <w:gridSpan w:val="15"/>
          </w:tcPr>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Financial Statements (Unaudited)</w:t>
              </w:r>
            </w:hyperlink>
          </w:p>
        </w:tc>
        <w:tc>
          <w:tcPr>
            <w:tcW w:w="5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9820" w:type="dxa"/>
            <w:vAlign w:val="bottom"/>
            <w:gridSpan w:val="14"/>
          </w:tcPr>
          <w:p>
            <w:pPr>
              <w:ind w:left="60"/>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4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7"/>
          </w:tcPr>
          <w:p>
            <w:pPr>
              <w:ind w:left="60"/>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Consolidated Balance Sheets</w:t>
              </w:r>
            </w:hyperlink>
          </w:p>
        </w:tc>
        <w:tc>
          <w:tcPr>
            <w:tcW w:w="700" w:type="dxa"/>
            <w:vAlign w:val="bottom"/>
            <w:tcBorders>
              <w:top w:val="single" w:sz="8" w:color="0000EE"/>
            </w:tcBorders>
            <w:gridSpan w:val="2"/>
          </w:tcPr>
          <w:p>
            <w:pPr>
              <w:spacing w:after="0"/>
              <w:rPr>
                <w:sz w:val="24"/>
                <w:szCs w:val="24"/>
                <w:color w:val="auto"/>
              </w:rPr>
            </w:pPr>
          </w:p>
        </w:tc>
        <w:tc>
          <w:tcPr>
            <w:tcW w:w="702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040" w:type="dxa"/>
            <w:vAlign w:val="bottom"/>
          </w:tcPr>
          <w:p>
            <w:pPr>
              <w:spacing w:after="0"/>
              <w:rPr>
                <w:sz w:val="24"/>
                <w:szCs w:val="24"/>
                <w:color w:val="auto"/>
              </w:rPr>
            </w:pPr>
          </w:p>
        </w:tc>
        <w:tc>
          <w:tcPr>
            <w:tcW w:w="2860" w:type="dxa"/>
            <w:vAlign w:val="bottom"/>
            <w:tcBorders>
              <w:bottom w:val="single" w:sz="8" w:color="0000EE"/>
            </w:tcBorders>
            <w:gridSpan w:val="10"/>
          </w:tcPr>
          <w:p>
            <w:pPr>
              <w:ind w:left="60"/>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Statements of Cash Flows</w:t>
              </w:r>
            </w:hyperlink>
          </w:p>
        </w:tc>
        <w:tc>
          <w:tcPr>
            <w:tcW w:w="69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40" w:type="dxa"/>
            <w:vAlign w:val="bottom"/>
          </w:tcPr>
          <w:p>
            <w:pPr>
              <w:spacing w:after="0"/>
              <w:rPr>
                <w:sz w:val="24"/>
                <w:szCs w:val="24"/>
                <w:color w:val="auto"/>
              </w:rPr>
            </w:pPr>
          </w:p>
        </w:tc>
        <w:tc>
          <w:tcPr>
            <w:tcW w:w="3960" w:type="dxa"/>
            <w:vAlign w:val="bottom"/>
            <w:tcBorders>
              <w:bottom w:val="single" w:sz="8" w:color="0000EE"/>
            </w:tcBorders>
            <w:gridSpan w:val="11"/>
          </w:tcPr>
          <w:p>
            <w:pPr>
              <w:ind w:left="60"/>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86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860" w:type="dxa"/>
            <w:vAlign w:val="bottom"/>
            <w:gridSpan w:val="15"/>
          </w:tcPr>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5">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520" w:type="dxa"/>
            <w:vAlign w:val="bottom"/>
            <w:gridSpan w:val="7"/>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860" w:type="dxa"/>
            <w:vAlign w:val="bottom"/>
            <w:gridSpan w:val="15"/>
          </w:tcPr>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6">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520" w:type="dxa"/>
            <w:vAlign w:val="bottom"/>
            <w:gridSpan w:val="7"/>
            <w:shd w:val="clear" w:color="auto" w:fill="0000EE"/>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860" w:type="dxa"/>
            <w:vAlign w:val="bottom"/>
            <w:gridSpan w:val="15"/>
          </w:tcPr>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47">
              <w:r>
                <w:rPr>
                  <w:rFonts w:ascii="Arial" w:cs="Arial" w:eastAsia="Arial" w:hAnsi="Arial"/>
                  <w:sz w:val="18"/>
                  <w:szCs w:val="18"/>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1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0860" w:type="dxa"/>
            <w:vAlign w:val="bottom"/>
            <w:gridSpan w:val="15"/>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OTHER INFORMATION</w:t>
              </w:r>
            </w:hyperlink>
          </w:p>
        </w:tc>
        <w:tc>
          <w:tcPr>
            <w:tcW w:w="560" w:type="dxa"/>
            <w:vAlign w:val="bottom"/>
          </w:tcPr>
          <w:p>
            <w:pPr>
              <w:spacing w:after="0"/>
              <w:rPr>
                <w:sz w:val="24"/>
                <w:szCs w:val="24"/>
                <w:color w:val="auto"/>
              </w:rPr>
            </w:pPr>
          </w:p>
        </w:tc>
      </w:tr>
      <w:tr>
        <w:trPr>
          <w:trHeight w:val="304"/>
        </w:trPr>
        <w:tc>
          <w:tcPr>
            <w:tcW w:w="2740" w:type="dxa"/>
            <w:vAlign w:val="bottom"/>
            <w:tcBorders>
              <w:top w:val="single" w:sz="8" w:color="0000EE"/>
            </w:tcBorders>
            <w:gridSpan w:val="6"/>
          </w:tcPr>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48">
              <w:r>
                <w:rPr>
                  <w:rFonts w:ascii="Arial" w:cs="Arial" w:eastAsia="Arial" w:hAnsi="Arial"/>
                  <w:sz w:val="18"/>
                  <w:szCs w:val="18"/>
                  <w:color w:val="0000EE"/>
                </w:rPr>
                <w:t>Legal Proceedings</w:t>
              </w:r>
            </w:hyperlink>
          </w:p>
        </w:tc>
        <w:tc>
          <w:tcPr>
            <w:tcW w:w="812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580" w:type="dxa"/>
            <w:vAlign w:val="bottom"/>
            <w:tcBorders>
              <w:left w:val="single" w:sz="8" w:color="0000EE"/>
            </w:tcBorders>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860" w:type="dxa"/>
            <w:vAlign w:val="bottom"/>
            <w:gridSpan w:val="15"/>
          </w:tcPr>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48">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5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860" w:type="dxa"/>
            <w:vAlign w:val="bottom"/>
            <w:gridSpan w:val="15"/>
          </w:tcPr>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48">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5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860" w:type="dxa"/>
            <w:vAlign w:val="bottom"/>
            <w:gridSpan w:val="15"/>
          </w:tcPr>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48">
              <w:r>
                <w:rPr>
                  <w:rFonts w:ascii="Arial" w:cs="Arial" w:eastAsia="Arial" w:hAnsi="Arial"/>
                  <w:sz w:val="18"/>
                  <w:szCs w:val="18"/>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26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104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49">
              <w:r>
                <w:rPr>
                  <w:rFonts w:ascii="Arial" w:cs="Arial" w:eastAsia="Arial" w:hAnsi="Arial"/>
                  <w:sz w:val="18"/>
                  <w:szCs w:val="18"/>
                  <w:b w:val="1"/>
                  <w:bCs w:val="1"/>
                  <w:color w:val="0000EE"/>
                  <w:w w:val="94"/>
                </w:rPr>
                <w:t>SIGNATURE</w:t>
              </w:r>
            </w:hyperlink>
          </w:p>
        </w:tc>
        <w:tc>
          <w:tcPr>
            <w:tcW w:w="982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8"/>
                <w:szCs w:val="18"/>
                <w:b w:val="1"/>
                <w:bCs w:val="1"/>
                <w:color w:val="auto"/>
                <w:w w:val="90"/>
              </w:rPr>
              <w:t>Three Months Ended March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2760" w:type="dxa"/>
            <w:vAlign w:val="bottom"/>
            <w:gridSpan w:val="5"/>
          </w:tcPr>
          <w:p>
            <w:pPr>
              <w:jc w:val="right"/>
              <w:spacing w:after="0"/>
              <w:rPr>
                <w:sz w:val="20"/>
                <w:szCs w:val="20"/>
                <w:color w:val="auto"/>
              </w:rPr>
            </w:pPr>
            <w:r>
              <w:rPr>
                <w:rFonts w:ascii="Arial" w:cs="Arial" w:eastAsia="Arial" w:hAnsi="Arial"/>
                <w:sz w:val="18"/>
                <w:szCs w:val="18"/>
                <w:b w:val="1"/>
                <w:bCs w:val="1"/>
                <w:color w:val="auto"/>
                <w:w w:val="85"/>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499,280</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340,385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129,584</w:t>
            </w:r>
          </w:p>
        </w:tc>
        <w:tc>
          <w:tcPr>
            <w:tcW w:w="0" w:type="dxa"/>
            <w:vAlign w:val="bottom"/>
          </w:tcPr>
          <w:p>
            <w:pPr>
              <w:spacing w:after="0"/>
              <w:rPr>
                <w:sz w:val="1"/>
                <w:szCs w:val="1"/>
                <w:color w:val="auto"/>
              </w:rPr>
            </w:pPr>
          </w:p>
        </w:tc>
      </w:tr>
      <w:tr>
        <w:trPr>
          <w:trHeight w:val="323"/>
        </w:trPr>
        <w:tc>
          <w:tcPr>
            <w:tcW w:w="8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125,445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120,635</w:t>
            </w:r>
          </w:p>
        </w:tc>
        <w:tc>
          <w:tcPr>
            <w:tcW w:w="0" w:type="dxa"/>
            <w:vAlign w:val="bottom"/>
          </w:tcPr>
          <w:p>
            <w:pPr>
              <w:spacing w:after="0"/>
              <w:rPr>
                <w:sz w:val="1"/>
                <w:szCs w:val="1"/>
                <w:color w:val="auto"/>
              </w:rPr>
            </w:pPr>
          </w:p>
        </w:tc>
      </w:tr>
      <w:tr>
        <w:trPr>
          <w:trHeight w:val="329"/>
        </w:trPr>
        <w:tc>
          <w:tcPr>
            <w:tcW w:w="8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33,450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Loss on extinguishment of debt, net</w:t>
            </w:r>
          </w:p>
        </w:tc>
        <w:tc>
          <w:tcPr>
            <w:tcW w:w="16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Total other income (expense)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(19,729)</w:t>
            </w:r>
          </w:p>
        </w:tc>
        <w:tc>
          <w:tcPr>
            <w:tcW w:w="0" w:type="dxa"/>
            <w:vAlign w:val="bottom"/>
          </w:tcPr>
          <w:p>
            <w:pPr>
              <w:spacing w:after="0"/>
              <w:rPr>
                <w:sz w:val="1"/>
                <w:szCs w:val="1"/>
                <w:color w:val="auto"/>
              </w:rPr>
            </w:pPr>
          </w:p>
        </w:tc>
      </w:tr>
      <w:tr>
        <w:trPr>
          <w:trHeight w:val="20"/>
        </w:trPr>
        <w:tc>
          <w:tcPr>
            <w:tcW w:w="86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660" w:type="dxa"/>
            <w:vAlign w:val="bottom"/>
            <w:gridSpan w:val="2"/>
          </w:tcPr>
          <w:p>
            <w:pPr>
              <w:spacing w:after="0"/>
              <w:rPr>
                <w:sz w:val="20"/>
                <w:szCs w:val="20"/>
                <w:color w:val="auto"/>
              </w:rPr>
            </w:pPr>
            <w:r>
              <w:rPr>
                <w:rFonts w:ascii="Arial" w:cs="Arial" w:eastAsia="Arial" w:hAnsi="Arial"/>
                <w:sz w:val="18"/>
                <w:szCs w:val="18"/>
                <w:color w:val="auto"/>
              </w:rPr>
              <w:t>Earnings (loss) per common share-Basic</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0.67</w:t>
            </w: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86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66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outstanding-Basic</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ind w:right="192"/>
              <w:spacing w:after="0"/>
              <w:rPr>
                <w:sz w:val="20"/>
                <w:szCs w:val="20"/>
                <w:color w:val="auto"/>
              </w:rPr>
            </w:pPr>
            <w:r>
              <w:rPr>
                <w:rFonts w:ascii="Arial" w:cs="Arial" w:eastAsia="Arial" w:hAnsi="Arial"/>
                <w:sz w:val="18"/>
                <w:szCs w:val="18"/>
                <w:b w:val="1"/>
                <w:bCs w:val="1"/>
                <w:color w:val="auto"/>
                <w:w w:val="95"/>
              </w:rPr>
              <w:t>March 31, 2010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w w:val="86"/>
              </w:rPr>
              <w:t>December 31, 2009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72"/>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50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123,418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333,141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Deferred tax assets current, net</w:t>
            </w:r>
          </w:p>
        </w:tc>
        <w:tc>
          <w:tcPr>
            <w:tcW w:w="260" w:type="dxa"/>
            <w:vAlign w:val="bottom"/>
          </w:tcPr>
          <w:p>
            <w:pPr>
              <w:spacing w:after="0"/>
              <w:rPr>
                <w:sz w:val="18"/>
                <w:szCs w:val="18"/>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20,628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77,835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749,044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725,916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304,462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Prepaid debt fees</w:t>
            </w:r>
          </w:p>
        </w:tc>
        <w:tc>
          <w:tcPr>
            <w:tcW w:w="260" w:type="dxa"/>
            <w:vAlign w:val="bottom"/>
          </w:tcPr>
          <w:p>
            <w:pPr>
              <w:spacing w:after="0"/>
              <w:rPr>
                <w:sz w:val="18"/>
                <w:szCs w:val="18"/>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7,427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 net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86,728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8"/>
                <w:szCs w:val="18"/>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18,893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349,713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1,234,129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2,750,396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192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230,033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69,782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Wages and benefits payable</w:t>
            </w:r>
          </w:p>
        </w:tc>
        <w:tc>
          <w:tcPr>
            <w:tcW w:w="260" w:type="dxa"/>
            <w:vAlign w:val="bottom"/>
          </w:tcPr>
          <w:p>
            <w:pPr>
              <w:spacing w:after="0"/>
              <w:rPr>
                <w:sz w:val="18"/>
                <w:szCs w:val="18"/>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79,142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10,562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warranty</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20,964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260" w:type="dxa"/>
            <w:vAlign w:val="bottom"/>
          </w:tcPr>
          <w:p>
            <w:pPr>
              <w:spacing w:after="0"/>
              <w:rPr>
                <w:sz w:val="18"/>
                <w:szCs w:val="18"/>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50,790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 current, net</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483,228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443,384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702,266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Warranty</w:t>
            </w:r>
          </w:p>
        </w:tc>
        <w:tc>
          <w:tcPr>
            <w:tcW w:w="260" w:type="dxa"/>
            <w:vAlign w:val="bottom"/>
          </w:tcPr>
          <w:p>
            <w:pPr>
              <w:spacing w:after="0"/>
              <w:rPr>
                <w:sz w:val="18"/>
                <w:szCs w:val="18"/>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12,389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Pension plan benefits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tax liabilities noncurrent, net</w:t>
            </w:r>
          </w:p>
        </w:tc>
        <w:tc>
          <w:tcPr>
            <w:tcW w:w="260" w:type="dxa"/>
            <w:vAlign w:val="bottom"/>
          </w:tcPr>
          <w:p>
            <w:pPr>
              <w:spacing w:after="0"/>
              <w:rPr>
                <w:sz w:val="18"/>
                <w:szCs w:val="18"/>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70,758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obligations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71,904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1,400,611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1,454,107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7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1,308,031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1,299,134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 net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57,037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1,349,785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1,400,514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2,750,396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2,854,621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b w:val="1"/>
                <w:bCs w:val="1"/>
                <w:color w:val="auto"/>
              </w:rPr>
              <w:t>(in</w:t>
            </w:r>
          </w:p>
        </w:tc>
        <w:tc>
          <w:tcPr>
            <w:tcW w:w="1180" w:type="dxa"/>
            <w:vAlign w:val="bottom"/>
            <w:gridSpan w:val="3"/>
          </w:tcPr>
          <w:p>
            <w:pPr>
              <w:jc w:val="right"/>
              <w:ind w:right="472"/>
              <w:spacing w:after="0"/>
              <w:rPr>
                <w:sz w:val="20"/>
                <w:szCs w:val="20"/>
                <w:color w:val="auto"/>
              </w:rPr>
            </w:pPr>
            <w:r>
              <w:rPr>
                <w:rFonts w:ascii="Arial" w:cs="Arial" w:eastAsia="Arial" w:hAnsi="Arial"/>
                <w:sz w:val="15"/>
                <w:szCs w:val="15"/>
                <w:b w:val="1"/>
                <w:bCs w:val="1"/>
                <w:color w:val="auto"/>
                <w:w w:val="74"/>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26,787</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33,277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Arial" w:cs="Arial" w:eastAsia="Arial" w:hAnsi="Arial"/>
                <w:sz w:val="18"/>
                <w:szCs w:val="18"/>
                <w:color w:val="auto"/>
              </w:rPr>
              <w:t>Amortization of prepaid debt fees</w:t>
            </w:r>
          </w:p>
        </w:tc>
        <w:tc>
          <w:tcPr>
            <w:tcW w:w="26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convertible debt discount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Arial" w:cs="Arial" w:eastAsia="Arial" w:hAnsi="Arial"/>
                <w:sz w:val="18"/>
                <w:szCs w:val="18"/>
                <w:color w:val="auto"/>
              </w:rPr>
              <w:t>Loss on extinguishment of debt, net</w:t>
            </w:r>
          </w:p>
        </w:tc>
        <w:tc>
          <w:tcPr>
            <w:tcW w:w="26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taxes, net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Arial" w:cs="Arial" w:eastAsia="Arial" w:hAnsi="Arial"/>
                <w:sz w:val="18"/>
                <w:szCs w:val="18"/>
                <w:color w:val="auto"/>
              </w:rPr>
              <w:t>Other adjustments, net</w:t>
            </w:r>
          </w:p>
        </w:tc>
        <w:tc>
          <w:tcPr>
            <w:tcW w:w="26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Accounts payables, other current liabilities, and taxes payable</w:t>
            </w:r>
          </w:p>
        </w:tc>
        <w:tc>
          <w:tcPr>
            <w:tcW w:w="26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30,775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26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11,057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Warranty</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Other operating, net</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65,779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w:t>
            </w:r>
          </w:p>
        </w:tc>
        <w:tc>
          <w:tcPr>
            <w:tcW w:w="0" w:type="dxa"/>
            <w:vAlign w:val="bottom"/>
          </w:tcPr>
          <w:p>
            <w:pPr>
              <w:spacing w:after="0"/>
              <w:rPr>
                <w:sz w:val="1"/>
                <w:szCs w:val="1"/>
                <w:color w:val="auto"/>
              </w:rPr>
            </w:pPr>
          </w:p>
        </w:tc>
      </w:tr>
      <w:tr>
        <w:trPr>
          <w:trHeight w:val="323"/>
        </w:trPr>
        <w:tc>
          <w:tcPr>
            <w:tcW w:w="92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property, plant, and equipment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Business acquisitions &amp; contingent consideration, net of cash equivalents acquired</w:t>
            </w:r>
          </w:p>
        </w:tc>
        <w:tc>
          <w:tcPr>
            <w:tcW w:w="26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investing, net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00" w:type="dxa"/>
            <w:vAlign w:val="bottom"/>
          </w:tcPr>
          <w:p>
            <w:pPr>
              <w:ind w:left="8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(14,265)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Payments on debt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(52,837)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Other financing, net</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(67,414)</w:t>
            </w:r>
          </w:p>
        </w:tc>
        <w:tc>
          <w:tcPr>
            <w:tcW w:w="0" w:type="dxa"/>
            <w:vAlign w:val="bottom"/>
          </w:tcPr>
          <w:p>
            <w:pPr>
              <w:spacing w:after="0"/>
              <w:rPr>
                <w:sz w:val="1"/>
                <w:szCs w:val="1"/>
                <w:color w:val="auto"/>
              </w:rPr>
            </w:pPr>
          </w:p>
        </w:tc>
      </w:tr>
      <w:tr>
        <w:trPr>
          <w:trHeight w:val="331"/>
        </w:trPr>
        <w:tc>
          <w:tcPr>
            <w:tcW w:w="922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121,893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123,418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102,091</w:t>
            </w: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Non-cash transactions: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 purchased but not yet paid, net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3,471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Exchange of debt (face value) for common stock</w:t>
            </w:r>
          </w:p>
        </w:tc>
        <w:tc>
          <w:tcPr>
            <w:tcW w:w="26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120,984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Cash paid during the period for:</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ind w:left="860"/>
              <w:spacing w:after="0"/>
              <w:rPr>
                <w:sz w:val="20"/>
                <w:szCs w:val="20"/>
                <w:color w:val="auto"/>
              </w:rPr>
            </w:pPr>
            <w:r>
              <w:rPr>
                <w:rFonts w:ascii="Arial" w:cs="Arial" w:eastAsia="Arial" w:hAnsi="Arial"/>
                <w:sz w:val="18"/>
                <w:szCs w:val="18"/>
                <w:color w:val="auto"/>
              </w:rPr>
              <w:t>Interest, net of amounts capitalized</w:t>
            </w:r>
          </w:p>
        </w:tc>
        <w:tc>
          <w:tcPr>
            <w:tcW w:w="26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12,626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Summary of Significant Accounting Policies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energy and water markets throughout the world.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Statement Preparation</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condensed consolidated financial statements presented in this Quarterly Report on Form 10-Q are unaudited and reflect entries necessary for the fair presentation of the Consolidated Statements of Operations for the three months ended March 31, 2010 and 2009, the Consolidated Balance Sheets as of March 31, 2010 and December 31, 2009, and the Consolidated Statements of Cash Flows for the three months ended March 31, 2010 and 2009 of Itron, Inc. and its subsidiaries. All entries required for the fair presentation of the financial statements are of a normal recurring nature, except as disclosed.</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Certain information and note disclosures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2009 audited financial statements and notes included in our Annual Report on Form 10-K for the year ended December 31, 2009, as filed with the SEC on February 25, 2010. The results of operations for the three months ended March 31, 2010 are not necessarily indicative of the results expected for the full fiscal year or for any other fiscal period.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consolidate all entities in which we have a greater than 50% ownership interest. We also consolidate entities in which we have a 50% or less investment and over which we have control. We use the equity method of accounting for entities in which we have a 50% or less investment and exercise significant influence. Entities in which we have less than a 20% investment and where we do not exercise significant influence are accounted for under the cost method. We consider for consolidation any variable interest entity of which we are the primary beneficiary. At March 31, 2010, our investments in variable interest entities and noncontrolling interests were not material. Intercompany transactions and balances have been eliminated upon consolidation.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which are primarily interest rate swaps, are determined using the fair value measurements of significant other observable inputs (Level 2), as defined by GAAP.</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(loss) (OCI) and are recognized in earnings when the hedged item affects earnings. For our hedge of a net investment, the effective portion of any unrealized gain or loss from the foreign currency revaluation of the hedging instrument is reported in accumulated OCI as a net unrealized gain or loss on derivative instruments. Ineffective portions of fair value changes or the changes in fair value of derivative instruments that do not qualify for hedging activities are recognized in other income (expense) in the Consolidated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Statements of Operations. We classify cash flows from our derivative programs as cash flows from operating activities in the Consolidated Statements of Cash Flows.</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 Refer to Note 7 and Note 12 for further disclosures of our derivative instruments and their impact on OCI.</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The allowance for doubtful accounts is based on our historical experience of bad debts and our specific review of outstanding receivables at period end. Accounts receivable are written-off against the allowance when we believe an account, or a portion thereof, is no longer collectible.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thirty years for buildings and improvements and three to five years for machinery and equipment, computers and purchased software, and furniture. Leasehold improvements are capitalized and amortized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or asset group may not be recoverable. We have had no significant impairments of long-lived assets. Assets held for sale are classified within other current assets in the Consolidated Balance Sheets, are reported at the lower of the carrying amount or fair value less costs to sell, and are no longer depreciated. We had no assets held for sale at March 31, 2010 or December 31,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the date of acquisition, the assets acquired, liabilities assumed, and any noncontrolling interests in the acquiree are recorded at their fair values. The acquiree results of operations are also included as of the date of acquisition in the consolidated results. Intangible assets that arise from contractual/legal rights, or are capable of being separated, as well as in-process research and development (IPR&amp;D), are measured and recorded at fair value.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We capitalize any future IPR&amp;D as an intangible asset and amortize the balance over its estimated useful life. The residual balance of the purchase price, after fair value allocations to all identified assets and liabilities, represents goodwill. Acquisition-related costs are expensed as incurred. Restructuring costs are generally expensed in periods subsequent to the acquisition date, and changes in deferred tax asset valuation allowances and acquired income tax uncertainties after the measurement period are recognized as a component of provision for income taxes.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Intangible Assets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and intangible assets have resulted from our acquisitions. We use estimates in determining and assigning the fair value of goodwill and intangible assets, including estimates of useful lives of intangible assets, the amount and timing of related future cash flows, and fair values of the related operations. Our intangible assets have finite lives, are amortized over their estimated useful lives based on estimated discounted cash flows, and are tested for impairment when events or changes in circumstances indicate the carrying value may not be recoverable.</w:t>
      </w:r>
    </w:p>
    <w:p>
      <w:pPr>
        <w:spacing w:after="0" w:line="143"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Goodwill is tested for impairment as of October 1 of each year, or more frequently if a significant impairment indicator occurs. Determining the fair value of a reporting unit is judgmental in nature and involves the use of</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our reporting units.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Changes in these factors and related estimates could materially affect our financial position and results of operations.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Bonus and Profit Sharing</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require awards that are significantly greater or less than the estimates made in earlier quarters.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Defined Benefit Pension Plans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sponsor both funded and unfunded non-U.S. defined benefit pension plans.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January 1, 2010, we adopted Financial Accounting Standards Board (FASB) Accounting Standards Update (ASU) No. 2009-13, </w:t>
      </w:r>
      <w:r>
        <w:rPr>
          <w:rFonts w:ascii="Arial" w:cs="Arial" w:eastAsia="Arial" w:hAnsi="Arial"/>
          <w:sz w:val="16"/>
          <w:szCs w:val="16"/>
          <w:i w:val="1"/>
          <w:iCs w:val="1"/>
          <w:color w:val="auto"/>
        </w:rPr>
        <w:t>Revenue Recognition (Topic</w:t>
      </w:r>
    </w:p>
    <w:p>
      <w:pPr>
        <w:spacing w:after="0" w:line="38" w:lineRule="exact"/>
        <w:rPr>
          <w:sz w:val="20"/>
          <w:szCs w:val="20"/>
          <w:color w:val="auto"/>
        </w:rPr>
      </w:pPr>
    </w:p>
    <w:p>
      <w:pPr>
        <w:jc w:val="both"/>
        <w:ind w:firstLine="8"/>
        <w:spacing w:after="0" w:line="290" w:lineRule="auto"/>
        <w:tabs>
          <w:tab w:leader="none" w:pos="389"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 Multiple-Deliverable Revenue Arrangements (a consensus of the FASB Emerging Issues Tax Force) </w:t>
      </w:r>
      <w:r>
        <w:rPr>
          <w:rFonts w:ascii="Arial" w:cs="Arial" w:eastAsia="Arial" w:hAnsi="Arial"/>
          <w:sz w:val="16"/>
          <w:szCs w:val="16"/>
          <w:color w:val="auto"/>
        </w:rPr>
        <w:t>(ASU 2009-13) and ASU No. 2009-14,</w:t>
      </w:r>
      <w:r>
        <w:rPr>
          <w:rFonts w:ascii="Arial" w:cs="Arial" w:eastAsia="Arial" w:hAnsi="Arial"/>
          <w:sz w:val="16"/>
          <w:szCs w:val="16"/>
          <w:i w:val="1"/>
          <w:iCs w:val="1"/>
          <w:color w:val="auto"/>
        </w:rPr>
        <w:t xml:space="preserve"> Software (Topic 985), Certain Revenue Arrangements That Include Software Elements (a consensus of the FASB Emerging Issues Task Force) </w:t>
      </w:r>
      <w:r>
        <w:rPr>
          <w:rFonts w:ascii="Arial" w:cs="Arial" w:eastAsia="Arial" w:hAnsi="Arial"/>
          <w:sz w:val="16"/>
          <w:szCs w:val="16"/>
          <w:color w:val="auto"/>
        </w:rPr>
        <w:t>(ASU 2009-14) on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prospective basis for new arrangements and arrangements that are materially modified. This new guidance did not have a material impact on our financial statements for the three months ended March 31, 2010, as we already had the ability to divide the deliverables within our revenue arrangements into separate units of accounting. Further, there would have been no change to the amount of revenue recognized in the year ended December 31, 2009 if arrangements prior to the adoption of ASU 2009-13 and ASU 2009-14 had been subject to the measurement requirements of this new guidance.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vendor specific objective evidence (VSOE), if it exists, otherwise third-party evidence (TPE). If neither VSOE nor TPE of selling price exists for a unit of accounting, we use estimated selling price (ESP).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arrangements entered into or materially modified after January 1, 2010, if we are unable to establish selling price using VSOE or TPE, we will use ESP in the allocation of arrangement consideration. The objective of ESP is to determine the price at which we would transact if the product or service were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w:t>
      </w:r>
    </w:p>
    <w:p>
      <w:pPr>
        <w:spacing w:after="0" w:line="12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plan to analyze the selling prices used in our allocation of arrangement consideration on an annual basis. Selling prices will be analyzed on a more frequent basis if a significant change in our business necessitates a more timely analysis or if we experience significant variances in our selling prices.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arrangements with multiple deliverables are divided into separate units of accounting if the delivered item(s) have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collect and that is not contingent upon the delivery/performance of additional items.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are recognized when (1) persuasive evidence of an arrangement exists, (2) delivery has occurred or services have been rendered, (3) the sales price is fixed or determinable, and (4) collectability is reasonably assured. Hardware revenues are generally recognized at the time of shipment, receipt by customer, or, if applicable, upon completion of customer acceptance provisions.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software arrangements with multiple elements excluding hardware, revenue recognition is dependent upon the availability of VSOE for fair value for each of the elements. The lack of VSOE, or the existence of extended payment terms or other inherent risks, may affect the timing of revenue recognition for software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primarily enter into two types of multiple deliverable arrangements, which may include hardware and associated software and services.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Arrangements which do not include the deployment of our OpenWay</w:t>
      </w:r>
      <w:r>
        <w:rPr>
          <w:rFonts w:ascii="Arial" w:cs="Arial" w:eastAsia="Arial" w:hAnsi="Arial"/>
          <w:sz w:val="11"/>
          <w:szCs w:val="11"/>
          <w:color w:val="auto"/>
        </w:rPr>
        <w:t>®</w:t>
      </w:r>
      <w:r>
        <w:rPr>
          <w:rFonts w:ascii="Arial" w:cs="Arial" w:eastAsia="Arial" w:hAnsi="Arial"/>
          <w:sz w:val="18"/>
          <w:szCs w:val="18"/>
          <w:color w:val="auto"/>
        </w:rPr>
        <w:t xml:space="preserve"> technology are recognized as follows:</w:t>
      </w:r>
    </w:p>
    <w:p>
      <w:pPr>
        <w:spacing w:after="0" w:line="90" w:lineRule="exact"/>
        <w:rPr>
          <w:sz w:val="20"/>
          <w:szCs w:val="20"/>
          <w:color w:val="auto"/>
        </w:rPr>
      </w:pPr>
    </w:p>
    <w:p>
      <w:pPr>
        <w:ind w:left="1120" w:hanging="31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from hardware shipments is recognized upon delivery once title and risk of loss pass to the customer.</w:t>
      </w:r>
    </w:p>
    <w:p>
      <w:pPr>
        <w:spacing w:after="0" w:line="90" w:lineRule="exact"/>
        <w:rPr>
          <w:rFonts w:ascii="Arial" w:cs="Arial" w:eastAsia="Arial" w:hAnsi="Arial"/>
          <w:sz w:val="18"/>
          <w:szCs w:val="18"/>
          <w:color w:val="auto"/>
        </w:rPr>
      </w:pPr>
    </w:p>
    <w:p>
      <w:pPr>
        <w:jc w:val="both"/>
        <w:ind w:left="1120" w:hanging="315"/>
        <w:spacing w:after="0" w:line="259"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implementation services are essential to the functionality of the associated software, software and implementation revenues are recognized using either the percentage-of-completion methodology of contract accounting if project costs can be estimated, or the completed contract methodology if project costs cannot be reliably estimated.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Arrangements to deploy our OpenWay technology are recognized as follows:</w:t>
      </w:r>
    </w:p>
    <w:p>
      <w:pPr>
        <w:spacing w:after="0" w:line="90" w:lineRule="exact"/>
        <w:rPr>
          <w:sz w:val="20"/>
          <w:szCs w:val="20"/>
          <w:color w:val="auto"/>
        </w:rPr>
      </w:pPr>
    </w:p>
    <w:p>
      <w:pPr>
        <w:ind w:left="1120" w:hanging="315"/>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hardware shipments is recognized upon delivery once title and risk of loss pass to the customer.</w:t>
      </w:r>
    </w:p>
    <w:p>
      <w:pPr>
        <w:spacing w:after="0" w:line="90" w:lineRule="exact"/>
        <w:rPr>
          <w:rFonts w:ascii="Arial" w:cs="Arial" w:eastAsia="Arial" w:hAnsi="Arial"/>
          <w:sz w:val="18"/>
          <w:szCs w:val="18"/>
          <w:color w:val="auto"/>
        </w:rPr>
      </w:pPr>
    </w:p>
    <w:p>
      <w:pPr>
        <w:jc w:val="both"/>
        <w:ind w:left="1120" w:hanging="315"/>
        <w:spacing w:after="0" w:line="259"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associated software and services is recognized using the units-of-delivery method of contract accounting. This methodology often results in the deferral of costs and revenues as professional services and software implementation typically commence prior to deployment of hardware.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all cases, hardware and software post-sale maintenance support fees are recognized ratably over the life of the related service contract.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Shipping and handling costs and incidental expenses billed to customers are recorded as revenue, with the associated cost charged to cost of revenues. We record sales, use, and value added taxes billed to our customers on a net basis.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Unearned revenue is recorded when a customer pays for products or services where the criteria for revenue recognition have not been met as of the balance sheet date. Unearned revenues of $56.2 million and $45.4 million at March 31, 2010 and December 31, 2009 related primarily to professional services and software associated with our OpenWay contracts, extended warranty, and prepaid post contract support. Deferred cost is recorded for products or services for which ownership (typically defined as title and risk of loss) has transferred to the customer, but for which the criteria for revenue recognition have not been met as of the balance sheet date. Deferred costs were $20.4 million and $19.7 million at March 31, 2010 and December 31, 2009.</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For software we develop to be marketed or sold, we capitalize development costs after technological feasibility 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stock options, stock sold pursuant to our Amended and Restated 2002 Employee Stock Purchase Plan (ESPP), and the issuance of restricted and unrestricted stock awards and units, based on estimated fair values. The fair values of stock options and ESPP awards are estimated at the date of grant using the Black-Scholes option-pricing model, which includes assumptions for the dividend yield, expected volatility, risk-free interest rate, and expected life. For restricted and unrestricted stock awards and units, the fair value is the market close price of our common stock on the date of grant. We expense stock-based compensation, adjusted for estimated forfeitures, using the straight-line method over the vesting requirement.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Loss on Extinguishment of Debt, Net</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Upon partial or full redemption of our borrowings, we recognize a gain or loss for the difference between the cash paid and the net carrying amount of the debt redeemed. Included in the net carrying amount is any unamortized premium or discount from the original issuance of the debt. Due to the particular characteristics of our convertible notes, upon conversion or derecognition of our convertible notes, we recognize a gain or loss for the difference between the fair value of the consideration transferred to the holder that is allocated to the liability component, which is equal to the fair value of the liability component immediately prior to extinguishment, and the net carrying amount of the liability component (including any unamortized discount and debt issuance costs). In the case of an induced conversion, a loss is recognized for the amount of the fair value of the securities or other consideration transferred to the holder in excess of fair value of the consideration issuable in accordance with the original conversion terms of the debt.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account for income taxes using the asset and liability method of accounting. Deferred tax assets and liabilities are recognized based upon anticipated future tax consequences attributable to the differences between the financial statement carrying amounts of existing assets and liabilities and their respective income tax bases, and operating loss and tax credit carryforwards in each of the jurisdictions in which we operate.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rates is recognized in income in the period that includes the enactment date. A valuation allowance is recorded to reduce the carrying amounts of deferred tax assets if it is more likely than not that such assets will not be realized. We do not record tax liabilities on undistributed earnings of international subsidiaries that are permanently reinvested.</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compute our interim income tax provision through the use of an estimated annual effective tax rate (ETR) applied to year-to-date operating results and specific events that are discretely recognized as they occur. In determining the estimated annual ETR, we analyze various factors, including projections of our annual earnings, taxing jurisdictions in which the earnings will be generated, the impact of state and local income taxes, our ability to use tax credits and net operating loss carryforwards, and available tax planning alternatives. Discrete items, including the effect of changes in tax laws, tax rates, and certain circumstances with respect to valuation allowances or other unusual or non-recurring tax adjustments, are reflected in the period in which they occur as an addition to, or reduction from, the income tax provision, rather than included in the estimated annual ETR.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tax position is first evaluated for recognition based on its technical merits. Tax positions that have a greater than fifty percent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 no longer meets the more-likely-than-not recognition threshold. We classify interest expense and penalties related to uncertain tax positions and interest income on tax overpayments as part of income tax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consolidated financial statements are reported in U.S. dollars. Assets and liabilities of international subsidiaries with a non-U.S. dollar functional currency are translated to U.S. dollars at the exchange rates in effect on the balance sheet date, or the last business day of the period, if applicable. Gains and losses that arise from exchange rate fluctuations for monetary asset and liability balances that are not denominated in an entity’s functional currency are included in the Consolidated Statements of Operations. Currency gains and losses of intercompany balances deemed to be long-term in nature or designated as a hedge of the net investment in international subsidiaries are included, net of tax, in accumulated OCI in shareholders’ equity. Revenues and expenses for these subsidiaries are translated to U.S. dollars using a weighted average rate for the relevant reporting period. Translation adjustments resulting from this process are included, net of tax, in accumulated OCI in shareholders’ equity.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We hold no assets or liabilities measured using Level 1 fair value inputs.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8"/>
                <w:szCs w:val="18"/>
                <w:b w:val="1"/>
                <w:bCs w:val="1"/>
                <w:color w:val="auto"/>
                <w:w w:val="91"/>
              </w:rPr>
              <w:t>Three Months Ended March 31,</w:t>
            </w:r>
          </w:p>
        </w:tc>
      </w:tr>
      <w:tr>
        <w:trPr>
          <w:trHeight w:val="211"/>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Arial" w:cs="Arial" w:eastAsia="Arial" w:hAnsi="Arial"/>
                <w:sz w:val="18"/>
                <w:szCs w:val="18"/>
                <w:b w:val="1"/>
                <w:bCs w:val="1"/>
                <w:color w:val="auto"/>
                <w:w w:val="88"/>
              </w:rPr>
              <w:t>(in thousands, except per share data)</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(19,729)</w:t>
            </w:r>
          </w:p>
        </w:tc>
      </w:tr>
      <w:tr>
        <w:trPr>
          <w:trHeight w:val="323"/>
        </w:trPr>
        <w:tc>
          <w:tcPr>
            <w:tcW w:w="57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outstanding-Basic</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40,191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36,151</w:t>
            </w: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convertible notes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Dilutive effect of stock-based awards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40,862</w:t>
            </w:r>
          </w:p>
        </w:tc>
        <w:tc>
          <w:tcPr>
            <w:tcW w:w="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36,151</w:t>
            </w: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Earnings (loss) per common share-Basic</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0.67</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share-Diluted</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Awards</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463,000 stock-based awards were excluded from the calculation of diluted EPS for the three months ended March 31, 2010 because they were anti-dilutive. For the three months ended March 31, 2009, approximately 1.0 million anti-dilutive stock-based awards were excluded from the calculation of diluted EPS, of which approximately 389,000 would have been dilutive if we had net income for that period. These stock-based awards could be dilutive in future periods.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Notes</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required, pursuant to the indenture for the convertible notes, to settle the principal amount of the convertible notes in cash and may elect to settle the remaining conversion obligation (stock price in excess of conversion price) in cash, shares, or a combination. We include in the EPS calculation the amount of shares it would take to satisfy the conversion obligation, assuming that all of the convertible notes are converted. The average closing prices of our common stock for the three months ended March 31, 2010 and 2009 were used as the basis for determining the dilutive effect on EPS. The average price of our common stock for the three months ended March 31, 2010 exceeded the conversion price of $65.16 and therefore, approximately 130,000 shares have been included in the diluted EPS calculation. The average price of our common stock for the three months ended March 31, 2009 did not exceed the conversion price of $65.16 and, therefore, did not have an effect on diluted EPS.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Shares of preferred stock may be converted into common stock based on terms, conditions, rates, and subject to such adjustments as set by the Board of Directors. There was no preferred stock sold or outstanding at March 31, 2010 and December 31, 2009.</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Certain Balance Sheet Components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640" w:type="dxa"/>
            <w:vAlign w:val="bottom"/>
            <w:gridSpan w:val="2"/>
          </w:tcPr>
          <w:p>
            <w:pPr>
              <w:ind w:left="220"/>
              <w:spacing w:after="0"/>
              <w:rPr>
                <w:sz w:val="20"/>
                <w:szCs w:val="20"/>
                <w:color w:val="auto"/>
              </w:rPr>
            </w:pPr>
            <w:r>
              <w:rPr>
                <w:rFonts w:ascii="Arial" w:cs="Arial" w:eastAsia="Arial" w:hAnsi="Arial"/>
                <w:sz w:val="18"/>
                <w:szCs w:val="18"/>
                <w:i w:val="1"/>
                <w:iCs w:val="1"/>
                <w:color w:val="auto"/>
              </w:rPr>
              <w:t>Accounts receivable, net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At March 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At December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4"/>
              </w:rPr>
              <w:t>2010</w:t>
            </w:r>
          </w:p>
        </w:tc>
        <w:tc>
          <w:tcPr>
            <w:tcW w:w="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b w:val="1"/>
                <w:bCs w:val="1"/>
                <w:color w:val="auto"/>
                <w:w w:val="89"/>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 of $5,870 and $6,339)</w:t>
            </w:r>
          </w:p>
        </w:tc>
        <w:tc>
          <w:tcPr>
            <w:tcW w:w="6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310,467</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Unbilled revenue</w:t>
            </w: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22,674</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accounts receivable, net</w:t>
            </w:r>
          </w:p>
        </w:tc>
        <w:tc>
          <w:tcPr>
            <w:tcW w:w="6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333,141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337,948</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A summary of the allowance for doubtful accounts activity is as follows: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6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7"/>
          </w:tcPr>
          <w:p>
            <w:pPr>
              <w:jc w:val="right"/>
              <w:spacing w:after="0"/>
              <w:rPr>
                <w:sz w:val="20"/>
                <w:szCs w:val="20"/>
                <w:color w:val="auto"/>
              </w:rPr>
            </w:pPr>
            <w:r>
              <w:rPr>
                <w:rFonts w:ascii="Arial" w:cs="Arial" w:eastAsia="Arial" w:hAnsi="Arial"/>
                <w:sz w:val="18"/>
                <w:szCs w:val="18"/>
                <w:b w:val="1"/>
                <w:bCs w:val="1"/>
                <w:color w:val="auto"/>
              </w:rPr>
              <w:t>Three Months Ended March</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7"/>
          </w:tcPr>
          <w:p>
            <w:pPr>
              <w:jc w:val="right"/>
              <w:ind w:right="692"/>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860" w:type="dxa"/>
            <w:vAlign w:val="bottom"/>
            <w:gridSpan w:val="3"/>
            <w:shd w:val="clear" w:color="auto" w:fill="CCEEFF"/>
          </w:tcPr>
          <w:p>
            <w:pPr>
              <w:jc w:val="center"/>
              <w:ind w:left="652"/>
              <w:spacing w:after="0"/>
              <w:rPr>
                <w:sz w:val="20"/>
                <w:szCs w:val="20"/>
                <w:color w:val="auto"/>
              </w:rPr>
            </w:pPr>
            <w:r>
              <w:rPr>
                <w:rFonts w:ascii="Arial" w:cs="Arial" w:eastAsia="Arial" w:hAnsi="Arial"/>
                <w:sz w:val="18"/>
                <w:szCs w:val="18"/>
                <w:color w:val="auto"/>
                <w:w w:val="79"/>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Provision for (release of) doubtful accounts, net</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3"/>
              </w:rPr>
              <w:t>(80)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written off</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Effects of change in exchange rates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March 31</w:t>
            </w:r>
          </w:p>
        </w:tc>
        <w:tc>
          <w:tcPr>
            <w:tcW w:w="860" w:type="dxa"/>
            <w:vAlign w:val="bottom"/>
            <w:gridSpan w:val="3"/>
            <w:shd w:val="clear" w:color="auto" w:fill="CCEEFF"/>
          </w:tcPr>
          <w:p>
            <w:pPr>
              <w:jc w:val="center"/>
              <w:ind w:left="652"/>
              <w:spacing w:after="0"/>
              <w:rPr>
                <w:sz w:val="20"/>
                <w:szCs w:val="20"/>
                <w:color w:val="auto"/>
              </w:rPr>
            </w:pPr>
            <w:r>
              <w:rPr>
                <w:rFonts w:ascii="Arial" w:cs="Arial" w:eastAsia="Arial" w:hAnsi="Arial"/>
                <w:sz w:val="18"/>
                <w:szCs w:val="18"/>
                <w:color w:val="auto"/>
                <w:w w:val="79"/>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restart"/>
          </w:tcPr>
          <w:p>
            <w:pPr>
              <w:ind w:left="220"/>
              <w:spacing w:after="0"/>
              <w:rPr>
                <w:sz w:val="20"/>
                <w:szCs w:val="20"/>
                <w:color w:val="auto"/>
              </w:rPr>
            </w:pPr>
            <w:r>
              <w:rPr>
                <w:rFonts w:ascii="Arial" w:cs="Arial" w:eastAsia="Arial" w:hAnsi="Arial"/>
                <w:sz w:val="18"/>
                <w:szCs w:val="18"/>
                <w:i w:val="1"/>
                <w:iCs w:val="1"/>
                <w:color w:val="auto"/>
              </w:rPr>
              <w:t>Inventories</w:t>
            </w: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tcPr>
          <w:p>
            <w:pPr>
              <w:jc w:val="right"/>
              <w:ind w:right="172"/>
              <w:spacing w:after="0"/>
              <w:rPr>
                <w:sz w:val="20"/>
                <w:szCs w:val="20"/>
                <w:color w:val="auto"/>
              </w:rPr>
            </w:pPr>
            <w:r>
              <w:rPr>
                <w:rFonts w:ascii="Arial" w:cs="Arial" w:eastAsia="Arial" w:hAnsi="Arial"/>
                <w:sz w:val="18"/>
                <w:szCs w:val="18"/>
                <w:b w:val="1"/>
                <w:bCs w:val="1"/>
                <w:color w:val="auto"/>
              </w:rPr>
              <w:t>At March 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At December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b w:val="1"/>
                <w:bCs w:val="1"/>
                <w:color w:val="auto"/>
                <w:w w:val="89"/>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w w:val="74"/>
              </w:rPr>
              <w:t>thousands)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6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100,604</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0" w:type="dxa"/>
            <w:vAlign w:val="bottom"/>
          </w:tcPr>
          <w:p>
            <w:pPr>
              <w:ind w:left="440"/>
              <w:spacing w:after="0"/>
              <w:rPr>
                <w:sz w:val="20"/>
                <w:szCs w:val="20"/>
                <w:color w:val="auto"/>
              </w:rPr>
            </w:pPr>
            <w:r>
              <w:rPr>
                <w:rFonts w:ascii="Arial" w:cs="Arial" w:eastAsia="Arial" w:hAnsi="Arial"/>
                <w:sz w:val="18"/>
                <w:szCs w:val="18"/>
                <w:color w:val="auto"/>
              </w:rPr>
              <w:t>Total inventories</w:t>
            </w:r>
          </w:p>
        </w:tc>
        <w:tc>
          <w:tcPr>
            <w:tcW w:w="66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194,022</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inventory levels may vary period to period as a result of our factory scheduling and timing of contract fulfillments.</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Consigned inventory is held at third-party locations; however, we retain title to the inventory until purchased by the third-party. Consigned inventory, consisting of raw materials and finished goods, was $6.1 million and $10.6 million at March 31, 2010 and December 31, 2009, respectively.</w:t>
      </w:r>
    </w:p>
    <w:p>
      <w:pPr>
        <w:spacing w:after="0" w:line="166"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7440" w:type="dxa"/>
            <w:vAlign w:val="bottom"/>
            <w:gridSpan w:val="2"/>
          </w:tcPr>
          <w:p>
            <w:pPr>
              <w:spacing w:after="0"/>
              <w:rPr>
                <w:sz w:val="20"/>
                <w:szCs w:val="20"/>
                <w:color w:val="auto"/>
              </w:rPr>
            </w:pPr>
            <w:r>
              <w:rPr>
                <w:rFonts w:ascii="Arial" w:cs="Arial" w:eastAsia="Arial" w:hAnsi="Arial"/>
                <w:sz w:val="18"/>
                <w:szCs w:val="18"/>
                <w:i w:val="1"/>
                <w:iCs w:val="1"/>
                <w:color w:val="auto"/>
              </w:rPr>
              <w:t>Property, plant, and equipment, net</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19"/>
        </w:trPr>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b w:val="1"/>
                <w:bCs w:val="1"/>
                <w:color w:val="auto"/>
                <w:w w:val="95"/>
              </w:rPr>
              <w:t>At March 31,</w:t>
            </w:r>
          </w:p>
        </w:tc>
        <w:tc>
          <w:tcPr>
            <w:tcW w:w="160" w:type="dxa"/>
            <w:vAlign w:val="bottom"/>
          </w:tcPr>
          <w:p>
            <w:pPr>
              <w:spacing w:after="0"/>
              <w:rPr>
                <w:sz w:val="24"/>
                <w:szCs w:val="24"/>
                <w:color w:val="auto"/>
              </w:rPr>
            </w:pPr>
          </w:p>
        </w:tc>
        <w:tc>
          <w:tcPr>
            <w:tcW w:w="16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9"/>
              </w:rPr>
              <w:t>At December 31,</w:t>
            </w:r>
          </w:p>
        </w:tc>
      </w:tr>
      <w:tr>
        <w:trPr>
          <w:trHeight w:val="252"/>
        </w:trPr>
        <w:tc>
          <w:tcPr>
            <w:tcW w:w="2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w w:val="99"/>
              </w:rPr>
              <w:t>2009</w:t>
            </w:r>
          </w:p>
        </w:tc>
      </w:tr>
      <w:tr>
        <w:trPr>
          <w:trHeight w:val="216"/>
        </w:trPr>
        <w:tc>
          <w:tcPr>
            <w:tcW w:w="2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thousands)</w:t>
            </w:r>
          </w:p>
        </w:tc>
        <w:tc>
          <w:tcPr>
            <w:tcW w:w="10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245,271</w:t>
            </w:r>
          </w:p>
        </w:tc>
        <w:tc>
          <w:tcPr>
            <w:tcW w:w="7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243,652</w:t>
            </w:r>
          </w:p>
        </w:tc>
      </w:tr>
      <w:tr>
        <w:trPr>
          <w:trHeight w:val="216"/>
        </w:trPr>
        <w:tc>
          <w:tcPr>
            <w:tcW w:w="2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66,722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66,787</w:t>
            </w:r>
          </w:p>
        </w:tc>
      </w:tr>
      <w:tr>
        <w:trPr>
          <w:trHeight w:val="216"/>
        </w:trPr>
        <w:tc>
          <w:tcPr>
            <w:tcW w:w="2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Buildings, furniture, and improvements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144,639</w:t>
            </w:r>
          </w:p>
        </w:tc>
      </w:tr>
      <w:tr>
        <w:trPr>
          <w:trHeight w:val="216"/>
        </w:trPr>
        <w:tc>
          <w:tcPr>
            <w:tcW w:w="2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35,866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37,738</w:t>
            </w:r>
          </w:p>
        </w:tc>
      </w:tr>
      <w:tr>
        <w:trPr>
          <w:trHeight w:val="216"/>
        </w:trPr>
        <w:tc>
          <w:tcPr>
            <w:tcW w:w="2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including purchased equipment</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20,647</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22,009</w:t>
            </w:r>
          </w:p>
        </w:tc>
      </w:tr>
      <w:tr>
        <w:trPr>
          <w:trHeight w:val="222"/>
        </w:trPr>
        <w:tc>
          <w:tcPr>
            <w:tcW w:w="220" w:type="dxa"/>
            <w:vAlign w:val="bottom"/>
          </w:tcPr>
          <w:p>
            <w:pPr>
              <w:spacing w:after="0"/>
              <w:rPr>
                <w:sz w:val="19"/>
                <w:szCs w:val="19"/>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Total cost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509,074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514,825</w:t>
            </w:r>
          </w:p>
        </w:tc>
      </w:tr>
      <w:tr>
        <w:trPr>
          <w:trHeight w:val="217"/>
        </w:trPr>
        <w:tc>
          <w:tcPr>
            <w:tcW w:w="220" w:type="dxa"/>
            <w:vAlign w:val="bottom"/>
          </w:tcPr>
          <w:p>
            <w:pPr>
              <w:spacing w:after="0"/>
              <w:rPr>
                <w:sz w:val="18"/>
                <w:szCs w:val="18"/>
                <w:color w:val="auto"/>
              </w:rPr>
            </w:pPr>
          </w:p>
        </w:tc>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(204,612)</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(196,608)</w:t>
            </w:r>
          </w:p>
        </w:tc>
      </w:tr>
      <w:tr>
        <w:trPr>
          <w:trHeight w:val="222"/>
        </w:trPr>
        <w:tc>
          <w:tcPr>
            <w:tcW w:w="220" w:type="dxa"/>
            <w:vAlign w:val="bottom"/>
          </w:tcPr>
          <w:p>
            <w:pPr>
              <w:spacing w:after="0"/>
              <w:rPr>
                <w:sz w:val="19"/>
                <w:szCs w:val="19"/>
                <w:color w:val="auto"/>
              </w:rPr>
            </w:pPr>
          </w:p>
        </w:tc>
        <w:tc>
          <w:tcPr>
            <w:tcW w:w="7220" w:type="dxa"/>
            <w:vAlign w:val="bottom"/>
          </w:tcPr>
          <w:p>
            <w:pPr>
              <w:ind w:left="8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304,462</w:t>
            </w:r>
          </w:p>
        </w:tc>
        <w:tc>
          <w:tcPr>
            <w:tcW w:w="7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318,217</w:t>
            </w:r>
          </w:p>
        </w:tc>
      </w:tr>
      <w:tr>
        <w:trPr>
          <w:trHeight w:val="20"/>
        </w:trPr>
        <w:tc>
          <w:tcPr>
            <w:tcW w:w="2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$15.5 million and $12.7 million for the three months ended March 31, 2010 and 2009, respectively.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ind w:left="700"/>
              <w:spacing w:after="0"/>
              <w:rPr>
                <w:sz w:val="20"/>
                <w:szCs w:val="20"/>
                <w:color w:val="auto"/>
              </w:rPr>
            </w:pPr>
            <w:r>
              <w:rPr>
                <w:rFonts w:ascii="Arial" w:cs="Arial" w:eastAsia="Arial" w:hAnsi="Arial"/>
                <w:sz w:val="18"/>
                <w:szCs w:val="18"/>
                <w:b w:val="1"/>
                <w:bCs w:val="1"/>
                <w:color w:val="auto"/>
                <w:w w:val="89"/>
              </w:rPr>
              <w:t>At March 31, 2010</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8"/>
                <w:szCs w:val="18"/>
                <w:b w:val="1"/>
                <w:bCs w:val="1"/>
                <w:color w:val="auto"/>
              </w:rPr>
              <w:t>At December 31, 2009</w:t>
            </w:r>
          </w:p>
        </w:tc>
        <w:tc>
          <w:tcPr>
            <w:tcW w:w="740" w:type="dxa"/>
            <w:vAlign w:val="bottom"/>
            <w:tcBorders>
              <w:bottom w:val="single" w:sz="8" w:color="auto"/>
            </w:tcBorders>
          </w:tcPr>
          <w:p>
            <w:pPr>
              <w:spacing w:after="0"/>
              <w:rPr>
                <w:sz w:val="19"/>
                <w:szCs w:val="19"/>
                <w:color w:val="auto"/>
              </w:rPr>
            </w:pPr>
          </w:p>
        </w:tc>
      </w:tr>
      <w:tr>
        <w:trPr>
          <w:trHeight w:val="223"/>
        </w:trPr>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Accumulated</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Accumulated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3"/>
        </w:trPr>
        <w:tc>
          <w:tcPr>
            <w:tcW w:w="4500" w:type="dxa"/>
            <w:vAlign w:val="bottom"/>
          </w:tcPr>
          <w:p>
            <w:pPr>
              <w:spacing w:after="0"/>
              <w:rPr>
                <w:sz w:val="21"/>
                <w:szCs w:val="21"/>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87"/>
              </w:rPr>
              <w:t>Gross Assets</w:t>
            </w:r>
          </w:p>
        </w:tc>
        <w:tc>
          <w:tcPr>
            <w:tcW w:w="60" w:type="dxa"/>
            <w:vAlign w:val="bottom"/>
          </w:tcPr>
          <w:p>
            <w:pPr>
              <w:spacing w:after="0"/>
              <w:rPr>
                <w:sz w:val="21"/>
                <w:szCs w:val="21"/>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6"/>
              </w:rPr>
              <w:t>Amortization</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Net</w:t>
            </w:r>
          </w:p>
        </w:tc>
        <w:tc>
          <w:tcPr>
            <w:tcW w:w="60" w:type="dxa"/>
            <w:vAlign w:val="bottom"/>
          </w:tcPr>
          <w:p>
            <w:pPr>
              <w:spacing w:after="0"/>
              <w:rPr>
                <w:sz w:val="21"/>
                <w:szCs w:val="21"/>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87"/>
              </w:rPr>
              <w:t>Gross Assets</w:t>
            </w:r>
          </w:p>
        </w:tc>
        <w:tc>
          <w:tcPr>
            <w:tcW w:w="60" w:type="dxa"/>
            <w:vAlign w:val="bottom"/>
          </w:tcPr>
          <w:p>
            <w:pPr>
              <w:spacing w:after="0"/>
              <w:rPr>
                <w:sz w:val="21"/>
                <w:szCs w:val="21"/>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6"/>
              </w:rPr>
              <w:t>Amortization</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Net</w:t>
            </w:r>
          </w:p>
        </w:tc>
      </w:tr>
      <w:tr>
        <w:trPr>
          <w:trHeight w:val="211"/>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4"/>
          </w:tcPr>
          <w:p>
            <w:pPr>
              <w:jc w:val="right"/>
              <w:ind w:right="552"/>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383,722</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(247,577)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136,145</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398,043</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(244,545)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153,498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Customer contracts and relationships</w:t>
            </w:r>
          </w:p>
        </w:tc>
        <w:tc>
          <w:tcPr>
            <w:tcW w:w="32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288,389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(93,503)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194,886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306,061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(92,187)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213,874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74,369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77,439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24,372</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(23,166)</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24,713</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intangible assets</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770,852</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(421,139)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349,713</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806,256</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(418,044)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388,212</w:t>
            </w:r>
          </w:p>
        </w:tc>
      </w:tr>
      <w:tr>
        <w:trPr>
          <w:trHeight w:val="20"/>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A summary of the intangible asset account activity is as follows: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20"/>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right="92"/>
              <w:spacing w:after="0"/>
              <w:rPr>
                <w:sz w:val="20"/>
                <w:szCs w:val="20"/>
                <w:color w:val="auto"/>
              </w:rPr>
            </w:pPr>
            <w:r>
              <w:rPr>
                <w:rFonts w:ascii="Arial" w:cs="Arial" w:eastAsia="Arial" w:hAnsi="Arial"/>
                <w:sz w:val="18"/>
                <w:szCs w:val="18"/>
                <w:b w:val="1"/>
                <w:bCs w:val="1"/>
                <w:color w:val="auto"/>
                <w:w w:val="90"/>
              </w:rPr>
              <w:t>Three Months Ended March 31,</w:t>
            </w:r>
          </w:p>
        </w:tc>
      </w:tr>
      <w:tr>
        <w:trPr>
          <w:trHeight w:val="211"/>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79"/>
              </w:rPr>
              <w:t>2009</w:t>
            </w: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center"/>
              <w:ind w:left="572"/>
              <w:spacing w:after="0"/>
              <w:rPr>
                <w:sz w:val="20"/>
                <w:szCs w:val="20"/>
                <w:color w:val="auto"/>
              </w:rPr>
            </w:pPr>
            <w:r>
              <w:rPr>
                <w:rFonts w:ascii="Arial" w:cs="Arial" w:eastAsia="Arial" w:hAnsi="Arial"/>
                <w:sz w:val="18"/>
                <w:szCs w:val="18"/>
                <w:b w:val="1"/>
                <w:bCs w:val="1"/>
                <w:color w:val="auto"/>
                <w:w w:val="87"/>
              </w:rPr>
              <w:t>(in thousands)</w:t>
            </w: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intangible assets, gross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806,256</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796,236</w:t>
            </w:r>
          </w:p>
        </w:tc>
      </w:tr>
      <w:tr>
        <w:trPr>
          <w:trHeight w:val="223"/>
        </w:trPr>
        <w:tc>
          <w:tcPr>
            <w:tcW w:w="20" w:type="dxa"/>
            <w:vAlign w:val="bottom"/>
          </w:tcPr>
          <w:p>
            <w:pPr>
              <w:spacing w:after="0"/>
              <w:rPr>
                <w:sz w:val="19"/>
                <w:szCs w:val="19"/>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Effect of change in exchange rates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2"/>
              </w:rPr>
              <w:t>(35,404)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2"/>
              </w:rPr>
              <w:t>(33,968)</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intangible assets, gross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770,852</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762,268</w:t>
            </w: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Intangible assets are recorded in the functional currency of our international subsidiaries; therefore, the carrying amount of intangible assets increase or decrease, with a corresponding change in accumulated OCI, due to changes in foreign currency exchange rates.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Intangible asset amortization expense is as follows:</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19"/>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March 31,</w:t>
            </w:r>
          </w:p>
        </w:tc>
      </w:tr>
      <w:tr>
        <w:trPr>
          <w:trHeight w:val="212"/>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4"/>
              </w:rPr>
              <w:t>2009</w:t>
            </w:r>
          </w:p>
        </w:tc>
      </w:tr>
      <w:tr>
        <w:trPr>
          <w:trHeight w:val="210"/>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(in</w:t>
            </w:r>
          </w:p>
        </w:tc>
        <w:tc>
          <w:tcPr>
            <w:tcW w:w="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72"/>
              </w:rPr>
              <w:t>millions)</w:t>
            </w:r>
          </w:p>
        </w:tc>
        <w:tc>
          <w:tcPr>
            <w:tcW w:w="7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17.8</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376"/>
        </w:trPr>
        <w:tc>
          <w:tcPr>
            <w:tcW w:w="4920" w:type="dxa"/>
            <w:vAlign w:val="bottom"/>
          </w:tcPr>
          <w:p>
            <w:pPr>
              <w:spacing w:after="0"/>
              <w:rPr>
                <w:sz w:val="20"/>
                <w:szCs w:val="20"/>
                <w:color w:val="auto"/>
              </w:rPr>
            </w:pPr>
            <w:r>
              <w:rPr>
                <w:rFonts w:ascii="Arial" w:cs="Arial" w:eastAsia="Arial" w:hAnsi="Arial"/>
                <w:sz w:val="18"/>
                <w:szCs w:val="18"/>
                <w:color w:val="auto"/>
              </w:rPr>
              <w:t>Estimated future annual amortization expense is as follows:</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9"/>
        </w:trPr>
        <w:tc>
          <w:tcPr>
            <w:tcW w:w="492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Estimated Annual</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8"/>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8"/>
                <w:szCs w:val="18"/>
                <w:b w:val="1"/>
                <w:bCs w:val="1"/>
                <w:color w:val="auto"/>
                <w:w w:val="90"/>
              </w:rPr>
              <w:t>Amortization</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11"/>
        </w:trPr>
        <w:tc>
          <w:tcPr>
            <w:tcW w:w="492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2010 (amount remaining at March 31, 2010)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52,300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1200" w:type="dxa"/>
            <w:vAlign w:val="bottom"/>
            <w:gridSpan w:val="2"/>
          </w:tcPr>
          <w:p>
            <w:pPr>
              <w:jc w:val="right"/>
              <w:ind w:right="12"/>
              <w:spacing w:after="0"/>
              <w:rPr>
                <w:sz w:val="20"/>
                <w:szCs w:val="20"/>
                <w:color w:val="auto"/>
              </w:rPr>
            </w:pPr>
            <w:r>
              <w:rPr>
                <w:rFonts w:ascii="Arial" w:cs="Arial" w:eastAsia="Arial" w:hAnsi="Arial"/>
                <w:sz w:val="18"/>
                <w:szCs w:val="18"/>
                <w:color w:val="auto"/>
              </w:rPr>
              <w:t>59,674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45,955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1200" w:type="dxa"/>
            <w:vAlign w:val="bottom"/>
            <w:gridSpan w:val="2"/>
          </w:tcPr>
          <w:p>
            <w:pPr>
              <w:jc w:val="right"/>
              <w:ind w:right="12"/>
              <w:spacing w:after="0"/>
              <w:rPr>
                <w:sz w:val="20"/>
                <w:szCs w:val="20"/>
                <w:color w:val="auto"/>
              </w:rPr>
            </w:pPr>
            <w:r>
              <w:rPr>
                <w:rFonts w:ascii="Arial" w:cs="Arial" w:eastAsia="Arial" w:hAnsi="Arial"/>
                <w:sz w:val="18"/>
                <w:szCs w:val="18"/>
                <w:color w:val="auto"/>
              </w:rPr>
              <w:t>37,179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30,526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Beyond 2014</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124,079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349,713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March 31, 2010 and 2009:</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w w:val="92"/>
              </w:rPr>
              <w:t>Itron North</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b w:val="1"/>
                <w:bCs w:val="1"/>
                <w:color w:val="auto"/>
              </w:rPr>
              <w:t>Itron</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America</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Pr>
          <w:p>
            <w:pPr>
              <w:spacing w:after="0"/>
              <w:rPr>
                <w:sz w:val="22"/>
                <w:szCs w:val="22"/>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3"/>
              </w:rPr>
              <w:t>Total Company</w:t>
            </w:r>
          </w:p>
        </w:tc>
      </w:tr>
      <w:tr>
        <w:trPr>
          <w:trHeight w:val="212"/>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(in thousands)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January 1, 2009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183,628</w:t>
            </w: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1,102,225</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1,285,853</w:t>
            </w:r>
          </w:p>
        </w:tc>
      </w:tr>
      <w:tr>
        <w:trPr>
          <w:trHeight w:val="223"/>
        </w:trPr>
        <w:tc>
          <w:tcPr>
            <w:tcW w:w="20" w:type="dxa"/>
            <w:vAlign w:val="bottom"/>
          </w:tcPr>
          <w:p>
            <w:pPr>
              <w:spacing w:after="0"/>
              <w:rPr>
                <w:sz w:val="19"/>
                <w:szCs w:val="19"/>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Effect of change in exchange rates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(70,060)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(70,291)</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March 31, 2009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183,397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1,032,165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1,215,562</w:t>
            </w:r>
          </w:p>
        </w:tc>
      </w:tr>
      <w:tr>
        <w:trPr>
          <w:trHeight w:val="20"/>
        </w:trPr>
        <w:tc>
          <w:tcPr>
            <w:tcW w:w="64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7"/>
        </w:trPr>
        <w:tc>
          <w:tcPr>
            <w:tcW w:w="6460" w:type="dxa"/>
            <w:vAlign w:val="bottom"/>
            <w:gridSpan w:val="2"/>
          </w:tcPr>
          <w:p>
            <w:pPr>
              <w:spacing w:after="0"/>
              <w:rPr>
                <w:sz w:val="20"/>
                <w:szCs w:val="20"/>
                <w:color w:val="auto"/>
              </w:rPr>
            </w:pPr>
            <w:r>
              <w:rPr>
                <w:rFonts w:ascii="Arial" w:cs="Arial" w:eastAsia="Arial" w:hAnsi="Arial"/>
                <w:sz w:val="18"/>
                <w:szCs w:val="18"/>
                <w:color w:val="auto"/>
              </w:rPr>
              <w:t>Goodwill balance at January 1, 2010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187,545</w:t>
            </w:r>
          </w:p>
        </w:tc>
        <w:tc>
          <w:tcPr>
            <w:tcW w:w="4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1,118,054</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1,305,599</w:t>
            </w: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change in exchange rates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(71,470)</w:t>
            </w: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Goodwill balance at March 31, 2010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187,802</w:t>
            </w:r>
          </w:p>
        </w:tc>
        <w:tc>
          <w:tcPr>
            <w:tcW w:w="4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1,046,327</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1,234,129</w:t>
            </w: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Due to continued refinement of our management and geographic reporting structures, as of January 1, 2010, Itron International includes our Taiwan operations, which were previously part of Itron North America. Historical segment information, including approximately $900,000 in goodwill, has been reallocated to conform to our current segment reporting structure.</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borrowings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At March 31,</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At December 31,</w:t>
            </w:r>
          </w:p>
        </w:tc>
      </w:tr>
      <w:tr>
        <w:trPr>
          <w:trHeight w:val="229"/>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2009</w:t>
            </w:r>
          </w:p>
        </w:tc>
      </w:tr>
      <w:tr>
        <w:trPr>
          <w:trHeight w:val="211"/>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8"/>
                <w:szCs w:val="18"/>
                <w:b w:val="1"/>
                <w:bCs w:val="1"/>
                <w:color w:val="auto"/>
              </w:rPr>
              <w:t>(in</w:t>
            </w:r>
          </w:p>
        </w:tc>
        <w:tc>
          <w:tcPr>
            <w:tcW w:w="1520" w:type="dxa"/>
            <w:vAlign w:val="bottom"/>
            <w:gridSpan w:val="3"/>
          </w:tcPr>
          <w:p>
            <w:pPr>
              <w:jc w:val="right"/>
              <w:ind w:right="772"/>
              <w:spacing w:after="0"/>
              <w:rPr>
                <w:sz w:val="20"/>
                <w:szCs w:val="20"/>
                <w:color w:val="auto"/>
              </w:rPr>
            </w:pPr>
            <w:r>
              <w:rPr>
                <w:rFonts w:ascii="Arial" w:cs="Arial" w:eastAsia="Arial" w:hAnsi="Arial"/>
                <w:sz w:val="16"/>
                <w:szCs w:val="16"/>
                <w:b w:val="1"/>
                <w:bCs w:val="1"/>
                <w:color w:val="auto"/>
                <w:w w:val="74"/>
              </w:rPr>
              <w:t>thousands)</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USD denominated term loan</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ind w:left="280"/>
              <w:spacing w:after="0"/>
              <w:rPr>
                <w:sz w:val="20"/>
                <w:szCs w:val="20"/>
                <w:color w:val="auto"/>
              </w:rPr>
            </w:pPr>
            <w:r>
              <w:rPr>
                <w:rFonts w:ascii="Arial" w:cs="Arial" w:eastAsia="Arial" w:hAnsi="Arial"/>
                <w:sz w:val="18"/>
                <w:szCs w:val="18"/>
                <w:color w:val="auto"/>
                <w:w w:val="98"/>
              </w:rPr>
              <w:t>253,180</w:t>
            </w: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284,693</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 denominated term loan</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249,023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288,902</w:t>
            </w: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Convertible senior subordinated notes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8"/>
              </w:rPr>
              <w:t>210,625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208,169</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712,828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781,764</w:t>
            </w: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2"/>
              </w:rPr>
              <w:t>(10,562)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(10,871)</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702,266</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770,893</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credit facility is dated April 18, 2007 and consists of two amendments dated April 24, 2009 and February 10, 2010. The principal balance of our euro denominated term loan at March 31, 2010 and December 31, 2009 was €185.0 million and €200.8 million, respectively. Interest rates on the credit facility are based on the respective borrowing’s denominated London Interbank Offered Rate (LIBOR) or the Wells Fargo Bank, National Association’s prime rate, plus an additional margin subject to our consolidated leverage ratio. The additional interest rate margin was 3.50% at March 31, 2010 and 3.75% at December 31, 2009. Our interest rates were 3.73% for the U.S. dollar denominated and 4.21% for the euro denominated term loans at March 31, 2010. Scheduled amortization of principal payments is 1% per year (0.25% quarterly) with an excess cash flow provision for additional annual principal repayment requirements. Maturities of the term loans and multicurrency revolving line of credit are seven years and six years from the date of issuance, respectively. The credit facility is secured by substantially all of the assets of Itron, Inc. and our U.S. domestic operating subsidiaries and includes covenants, which contain certain financial ratios and place restrictions on the incurrence of debt, the payment of dividends, certain investments, incurrence of capital expenditures above a set limit, and mergers.</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credit facility includes a $115 million multicurrency revolving line of credit, which may be increased by $75 million without amendment. If we decide the increase the current revolving line of credit, the current lending participants may then choose to increase their level of participation or approve the participation of additional lenders. The revolving line of credit may also be increased beyond the $75 million with the approval of the majority of revolving line of credit banks, the issuing agents, the swingline lender and the administrative agent. At March 31, 2010, there were no borrowings outstanding under the revolving line of credit, and $34.8 million was utilized by outstanding standby letters of credit resulting in $80.2 million being available for additional borrowings.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repaid $52.8 million and $67.6 million of the term loans during the three months ended March 31, 2010 and 2009, respectively. These repayments were made with cash flows from operations and cash on hand. We were in compliance with the debt covenants under the credit facility at March 31, 2010.</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4, 2006, we issued $345 million of 2.50% convertible notes due August 2026. Fixed interest payments are required every six months, in February and August of each year. For each six month period beginning August 2011, contingent interest payments of approximately 0.19% of the average trading price of the convertible notes will be made if certain thresholds are met or events occur, as outlined in the indenture. The convertible notes are registered with the SEC and are generally transferable. Our convertible notes are not considered conventional convertible debt as the number of shares, or cash, to be received by the holders was not fixed at the inception of the obligation. We have concluded that the conversion feature of our convertible notes does not need to be bifurcated from the host contract and accounted for as a freestanding derivative, as the conversion feature is indexed to our own stock and would be classified within stockholders’ equity if it were a freestanding instrument.</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convertible notes may be converted at the option of the holder at a conversion rate of 15.3478 shares of our common stock for each $1,000 principal amount of the convertible notes, under the following circumstances, as defined in the indenture:</w:t>
      </w:r>
    </w:p>
    <w:p>
      <w:pPr>
        <w:spacing w:after="0" w:line="51" w:lineRule="exact"/>
        <w:rPr>
          <w:sz w:val="20"/>
          <w:szCs w:val="20"/>
          <w:color w:val="auto"/>
        </w:rPr>
      </w:pPr>
    </w:p>
    <w:p>
      <w:pPr>
        <w:ind w:left="360" w:right="120" w:hanging="237"/>
        <w:spacing w:after="0" w:line="268" w:lineRule="auto"/>
        <w:tabs>
          <w:tab w:leader="none" w:pos="360" w:val="left"/>
        </w:tabs>
        <w:numPr>
          <w:ilvl w:val="0"/>
          <w:numId w:val="6"/>
        </w:numPr>
        <w:rPr>
          <w:rFonts w:ascii="Arial" w:cs="Arial" w:eastAsia="Arial" w:hAnsi="Arial"/>
          <w:sz w:val="11"/>
          <w:szCs w:val="11"/>
          <w:color w:val="auto"/>
        </w:rPr>
      </w:pPr>
      <w:r>
        <w:rPr>
          <w:rFonts w:ascii="Arial" w:cs="Arial" w:eastAsia="Arial" w:hAnsi="Arial"/>
          <w:sz w:val="18"/>
          <w:szCs w:val="18"/>
          <w:color w:val="auto"/>
        </w:rPr>
        <w:t>if the closing sale price per share of our common stock exceeds $78.19, which is 120% of the conversion price of $65.16, for at least 20 trading days in the 30 consecutive trading day period ending on the last trading day of the preceding fiscal quarter;</w:t>
      </w:r>
    </w:p>
    <w:p>
      <w:pPr>
        <w:spacing w:after="0" w:line="47" w:lineRule="exact"/>
        <w:rPr>
          <w:rFonts w:ascii="Arial" w:cs="Arial" w:eastAsia="Arial" w:hAnsi="Arial"/>
          <w:sz w:val="11"/>
          <w:szCs w:val="11"/>
          <w:color w:val="auto"/>
        </w:rPr>
      </w:pPr>
    </w:p>
    <w:p>
      <w:pPr>
        <w:ind w:left="360" w:hanging="237"/>
        <w:spacing w:after="0"/>
        <w:tabs>
          <w:tab w:leader="none" w:pos="3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between July 1, 2011 and August 1, 2011, and any time after August 1, 2024;</w:t>
      </w:r>
    </w:p>
    <w:p>
      <w:pPr>
        <w:spacing w:after="0" w:line="21" w:lineRule="exact"/>
        <w:rPr>
          <w:rFonts w:ascii="Arial" w:cs="Arial" w:eastAsia="Arial" w:hAnsi="Arial"/>
          <w:sz w:val="22"/>
          <w:szCs w:val="22"/>
          <w:color w:val="auto"/>
          <w:vertAlign w:val="superscript"/>
        </w:rPr>
      </w:pPr>
    </w:p>
    <w:p>
      <w:pPr>
        <w:ind w:left="360" w:right="120" w:hanging="237"/>
        <w:spacing w:after="0" w:line="252" w:lineRule="auto"/>
        <w:tabs>
          <w:tab w:leader="none" w:pos="360" w:val="left"/>
        </w:tabs>
        <w:numPr>
          <w:ilvl w:val="0"/>
          <w:numId w:val="6"/>
        </w:numPr>
        <w:rPr>
          <w:rFonts w:ascii="Arial" w:cs="Arial" w:eastAsia="Arial" w:hAnsi="Arial"/>
          <w:sz w:val="11"/>
          <w:szCs w:val="11"/>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spacing w:after="0" w:line="61" w:lineRule="exact"/>
        <w:rPr>
          <w:rFonts w:ascii="Arial" w:cs="Arial" w:eastAsia="Arial" w:hAnsi="Arial"/>
          <w:sz w:val="11"/>
          <w:szCs w:val="11"/>
          <w:color w:val="auto"/>
        </w:rPr>
      </w:pPr>
    </w:p>
    <w:p>
      <w:pPr>
        <w:ind w:left="360" w:hanging="237"/>
        <w:spacing w:after="0"/>
        <w:tabs>
          <w:tab w:leader="none" w:pos="3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if the convertible notes are called for redemption;</w:t>
      </w:r>
    </w:p>
    <w:p>
      <w:pPr>
        <w:spacing w:after="0" w:line="21" w:lineRule="exact"/>
        <w:rPr>
          <w:rFonts w:ascii="Arial" w:cs="Arial" w:eastAsia="Arial" w:hAnsi="Arial"/>
          <w:sz w:val="22"/>
          <w:szCs w:val="22"/>
          <w:color w:val="auto"/>
          <w:vertAlign w:val="superscript"/>
        </w:rPr>
      </w:pPr>
    </w:p>
    <w:p>
      <w:pPr>
        <w:ind w:left="360" w:hanging="237"/>
        <w:spacing w:after="0" w:line="197" w:lineRule="auto"/>
        <w:tabs>
          <w:tab w:leader="none" w:pos="3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if a fundamental change occurs; or</w:t>
      </w:r>
    </w:p>
    <w:p>
      <w:pPr>
        <w:spacing w:after="0" w:line="21" w:lineRule="exact"/>
        <w:rPr>
          <w:rFonts w:ascii="Arial" w:cs="Arial" w:eastAsia="Arial" w:hAnsi="Arial"/>
          <w:sz w:val="22"/>
          <w:szCs w:val="22"/>
          <w:color w:val="auto"/>
          <w:vertAlign w:val="superscript"/>
        </w:rPr>
      </w:pPr>
    </w:p>
    <w:p>
      <w:pPr>
        <w:ind w:left="360" w:hanging="237"/>
        <w:spacing w:after="0"/>
        <w:tabs>
          <w:tab w:leader="none" w:pos="360" w:val="left"/>
        </w:tabs>
        <w:numPr>
          <w:ilvl w:val="0"/>
          <w:numId w:val="6"/>
        </w:numPr>
        <w:rPr>
          <w:rFonts w:ascii="Arial" w:cs="Arial" w:eastAsia="Arial" w:hAnsi="Arial"/>
          <w:sz w:val="11"/>
          <w:szCs w:val="11"/>
          <w:color w:val="auto"/>
        </w:rPr>
      </w:pPr>
      <w:r>
        <w:rPr>
          <w:rFonts w:ascii="Arial" w:cs="Arial" w:eastAsia="Arial" w:hAnsi="Arial"/>
          <w:sz w:val="18"/>
          <w:szCs w:val="18"/>
          <w:color w:val="auto"/>
        </w:rPr>
        <w:t>upon the occurrence of defined corporate events.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amount payable upon conversion is the result of a formula based on the closing prices of our common stock for 20 consecutive trading days following the date of the conversion notice. Based on the conversion ratio of 15.3478 shares per $1,000 principal amount of the convertible notes, if our stock price is lower than the conversion price of $65.16, the amount payable will be less than the $1,000 principal amount and will be settled in cash. Our closing stock price at March 31, 2010 was $72.57 per share.</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 holders are preserved.</w:t>
      </w:r>
    </w:p>
    <w:p>
      <w:pPr>
        <w:spacing w:after="0" w:line="10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convertible notes also contain purchase options, at the option of the holders, which if exercised would require us to repurchase all or a portion of the convertible notes on August 1, 2011, August 1, 2016, and August 1, 2021 at 100% of the principal amount, plus accrued and unpaid interest.</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or after August 1, 2011, we have the option to redeem all or a portion of the convertible notes at a redemption price equal to 100% of the principal amount plus accrued and unpaid interest.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convertible notes are unsecured, subordinated to our credit facility (senior secured borrowings), and are guaranteed by our U.S. domestic operating subsidiaries. The convertible notes contain covenants, which place restrictions on the incurrence of debt and certain mergers. We were in compliance with these debt covenants at March 31, 2010.</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contingent conversion threshold may be triggered during any quarter prior to July 2011, and the notes become convertible, as our stock price is subject to fluctuation. At March 31, 2010 and December 31, 2009, the contingent conversion threshold was not exceeded and, therefore, the aggregate principal amount of the convertible notes is included in long-term debt.</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convertible notes were separated between the liability and equity components, in a manner that reflected our non-convertible debt borrowing rate. Our non-convertible debt borrowing rate at the time of our convertible notes’ issuance was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determined to be 7.38%, which also reflects the effective interest rate on the liability component. The carrying amounts of the debt and equity components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At March 31,</w:t>
            </w: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At December 31,</w:t>
            </w:r>
          </w:p>
        </w:tc>
      </w:tr>
      <w:tr>
        <w:trPr>
          <w:trHeight w:val="229"/>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2009</w:t>
            </w:r>
          </w:p>
        </w:tc>
      </w:tr>
      <w:tr>
        <w:trPr>
          <w:trHeight w:val="211"/>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Face value of convertible debt</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223,604</w:t>
            </w:r>
          </w:p>
        </w:tc>
        <w:tc>
          <w:tcPr>
            <w:tcW w:w="5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223,604</w:t>
            </w: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Unamortized discount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(12,979)</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(15,435)</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 of debt component</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210,625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208,169</w:t>
            </w:r>
          </w:p>
        </w:tc>
      </w:tr>
      <w:tr>
        <w:trPr>
          <w:trHeight w:val="20"/>
        </w:trPr>
        <w:tc>
          <w:tcPr>
            <w:tcW w:w="470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17"/>
        </w:trPr>
        <w:tc>
          <w:tcPr>
            <w:tcW w:w="4700" w:type="dxa"/>
            <w:vAlign w:val="bottom"/>
            <w:gridSpan w:val="2"/>
          </w:tcPr>
          <w:p>
            <w:pPr>
              <w:spacing w:after="0"/>
              <w:rPr>
                <w:sz w:val="20"/>
                <w:szCs w:val="20"/>
                <w:color w:val="auto"/>
              </w:rPr>
            </w:pPr>
            <w:r>
              <w:rPr>
                <w:rFonts w:ascii="Arial" w:cs="Arial" w:eastAsia="Arial" w:hAnsi="Arial"/>
                <w:sz w:val="18"/>
                <w:szCs w:val="18"/>
                <w:color w:val="auto"/>
              </w:rPr>
              <w:t>Carrying amount of equity component</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31,831</w:t>
            </w:r>
          </w:p>
        </w:tc>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31,831</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relating to both the contractual interest coupon and amortization of the discount on the liability component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8"/>
                <w:szCs w:val="18"/>
                <w:b w:val="1"/>
                <w:bCs w:val="1"/>
                <w:color w:val="auto"/>
                <w:w w:val="89"/>
              </w:rPr>
              <w:t>Three Months Ended March 31,</w:t>
            </w:r>
          </w:p>
        </w:tc>
      </w:tr>
      <w:tr>
        <w:trPr>
          <w:trHeight w:val="211"/>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w w:val="84"/>
              </w:rPr>
              <w:t>2009</w:t>
            </w: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coupon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Amortization of the discount on the liability component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the combination of put, call, and conversion options that are part of the terms of the convertible note agreement, the remaining discount on the liability component will be amortized over 15 months.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quarter of 2009, we entered into exchange agreements with certain holders of our convertible notes to issue, in the aggregate, approximately 2.3 million shares of common stock, valued at $132.9 million, in exchange for, in the aggregate, $121.0 million principal amount of the convertible notes, representing 35% of the aggregate principal outstanding at the date of the exchanges. All of the convertible notes we acquired pursuant to the exchange agreements were retired upon the closing of the exchanges.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exchange agreements were treated as induced conversions as the holders received a greater number of shares of common stock than would have been issued under the original conversion terms of the convertible notes. At the time of the exchange agreements, none of the conversion contingencies were met. Under the original terms of the convertible notes, the amount payable on conversion was to be paid in cash, and the remaining conversion obligation (stock price in excess of conversion price) was payable in cash or shares of common stock, at our option. Under the terms of the exchange agreements, all of the settlement was paid in shares. The difference in the value of the shares of common stock issued under the exchange agreement and the value of the shares of common stock used to derive the amount payable under the original conversion agreement resulted in a loss on extinguishment of debt of $23.3 million (the inducement loss). Upon derecognition of the convertible notes, we remeasured the fair value of the liability and equity components using a borrowing rate for similar non-convertible debt that would be applicable to us at the date of the exchange agreements. Because borrowing rates increased, the remeasurement of the components of the convertible notes resulted in a gain on extinguishment of $13.4 million (the revaluation gain). As a result, we recognized a net loss on extinguishment of debt of $10.3 million, calculated as the inducement loss, plus an allocation of advisory fees, less the revaluation gain. The remaining settlement consideration of $9.5 million, including an allocation of advisory fees, was recorded as a reduction of common stock.</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Prepaid Debt Fees &amp; Accrued Interest Expense</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Prepaid debt fees represent the capitalized direct costs incurred related to the issuance of debt and are recorded as noncurrent assets. These costs are amortized to interest expense over the lives of the respective borrowings using the effective interest method. When debt is repaid early, the related portion of unamortized prepaid debt fees is written-off and included in interest expense. Total unamortized prepaid debt fees were $7.4 million and $8.6 million at March 31, 2010 and December 31, 2009, respectively. Accrued interest expense was $932,000 and $2.3 million at March 31, 2010 and December 31, 2009, respectively.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 and Hedging Activities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12, and Note 13 for additional disclosures on our derivative instruments.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fair values of our derivative instruments are determined using the income approach and significant other observable inputs (also known as “Level 2”), as defined by Accounting Standards Codification (ASC) 820-10-20,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We have used observable market inputs based on the type of derivative and the nature of the underlying instrument. The key inputs used at March 31, 2010 included interest rate yield curves (swap rates and futures) and foreign exchange spot and forward rates, all of which are available in an active market. We have utilized the mid-market pricing convention for these inputs at March 31, 2010. We include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by applying a current market indicative credit spread to all cash flows.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our derivative instruments determined using the fair value measurement of significant other observable inputs (Level 2) at March 31, 2010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gridSpan w:val="3"/>
          </w:tcPr>
          <w:p>
            <w:pPr>
              <w:ind w:left="340"/>
              <w:spacing w:after="0" w:line="196" w:lineRule="exact"/>
              <w:rPr>
                <w:sz w:val="20"/>
                <w:szCs w:val="20"/>
                <w:color w:val="auto"/>
              </w:rPr>
            </w:pPr>
            <w:r>
              <w:rPr>
                <w:rFonts w:ascii="Arial" w:cs="Arial" w:eastAsia="Arial" w:hAnsi="Arial"/>
                <w:sz w:val="18"/>
                <w:szCs w:val="18"/>
                <w:b w:val="1"/>
                <w:bCs w:val="1"/>
                <w:color w:val="auto"/>
              </w:rPr>
              <w:t>At</w:t>
            </w:r>
          </w:p>
        </w:tc>
        <w:tc>
          <w:tcPr>
            <w:tcW w:w="100" w:type="dxa"/>
            <w:vAlign w:val="bottom"/>
          </w:tcPr>
          <w:p>
            <w:pPr>
              <w:spacing w:after="0"/>
              <w:rPr>
                <w:sz w:val="17"/>
                <w:szCs w:val="17"/>
                <w:color w:val="auto"/>
              </w:rPr>
            </w:pPr>
          </w:p>
        </w:tc>
        <w:tc>
          <w:tcPr>
            <w:tcW w:w="1200" w:type="dxa"/>
            <w:vAlign w:val="bottom"/>
          </w:tcPr>
          <w:p>
            <w:pPr>
              <w:jc w:val="center"/>
              <w:ind w:right="92"/>
              <w:spacing w:after="0" w:line="196" w:lineRule="exact"/>
              <w:rPr>
                <w:sz w:val="20"/>
                <w:szCs w:val="20"/>
                <w:color w:val="auto"/>
              </w:rPr>
            </w:pPr>
            <w:r>
              <w:rPr>
                <w:rFonts w:ascii="Arial" w:cs="Arial" w:eastAsia="Arial" w:hAnsi="Arial"/>
                <w:sz w:val="18"/>
                <w:szCs w:val="18"/>
                <w:b w:val="1"/>
                <w:bCs w:val="1"/>
                <w:color w:val="auto"/>
                <w:w w:val="94"/>
              </w:rPr>
              <w:t>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Location</w:t>
            </w:r>
          </w:p>
        </w:tc>
        <w:tc>
          <w:tcPr>
            <w:tcW w:w="68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3"/>
          </w:tcPr>
          <w:p>
            <w:pPr>
              <w:ind w:left="10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20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120" w:type="dxa"/>
            <w:vAlign w:val="bottom"/>
            <w:tcBorders>
              <w:bottom w:val="single" w:sz="8" w:color="auto"/>
            </w:tcBorders>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2010</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4"/>
              </w:rPr>
              <w:t>2009</w:t>
            </w:r>
          </w:p>
        </w:tc>
        <w:tc>
          <w:tcPr>
            <w:tcW w:w="0" w:type="dxa"/>
            <w:vAlign w:val="bottom"/>
          </w:tcPr>
          <w:p>
            <w:pPr>
              <w:spacing w:after="0"/>
              <w:rPr>
                <w:sz w:val="1"/>
                <w:szCs w:val="1"/>
                <w:color w:val="auto"/>
              </w:rPr>
            </w:pPr>
          </w:p>
        </w:tc>
      </w:tr>
      <w:tr>
        <w:trPr>
          <w:trHeight w:val="225"/>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Asset Derivatives</w:t>
            </w:r>
          </w:p>
        </w:tc>
        <w:tc>
          <w:tcPr>
            <w:tcW w:w="3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gridSpan w:val="5"/>
          </w:tcPr>
          <w:p>
            <w:pPr>
              <w:jc w:val="right"/>
              <w:ind w:right="1092"/>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Foreign exchange forward contracts</w:t>
            </w:r>
          </w:p>
        </w:tc>
        <w:tc>
          <w:tcPr>
            <w:tcW w:w="38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0"/>
        </w:trPr>
        <w:tc>
          <w:tcPr>
            <w:tcW w:w="4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Liability Derivatives</w:t>
            </w: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180" w:type="dxa"/>
            <w:vAlign w:val="bottom"/>
            <w:gridSpan w:val="3"/>
            <w:vMerge w:val="continue"/>
          </w:tcPr>
          <w:p>
            <w:pPr>
              <w:spacing w:after="0"/>
              <w:rPr>
                <w:sz w:val="24"/>
                <w:szCs w:val="24"/>
                <w:color w:val="auto"/>
              </w:rPr>
            </w:pPr>
          </w:p>
        </w:tc>
        <w:tc>
          <w:tcPr>
            <w:tcW w:w="3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 under ASC 815-20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Interest rate swap contracts</w:t>
            </w:r>
          </w:p>
        </w:tc>
        <w:tc>
          <w:tcPr>
            <w:tcW w:w="38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(10,509)</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(11,478)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rate swap contracts</w:t>
            </w: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obligations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Euro denominated term loan *</w:t>
            </w:r>
          </w:p>
        </w:tc>
        <w:tc>
          <w:tcPr>
            <w:tcW w:w="38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(4,510)</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Euro denominated term loan *</w:t>
            </w: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(244,513)</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(284,082)</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960" w:type="dxa"/>
            <w:vAlign w:val="bottom"/>
            <w:gridSpan w:val="4"/>
          </w:tcPr>
          <w:p>
            <w:pPr>
              <w:ind w:left="200"/>
              <w:spacing w:after="0"/>
              <w:rPr>
                <w:sz w:val="20"/>
                <w:szCs w:val="20"/>
                <w:color w:val="auto"/>
              </w:rPr>
            </w:pPr>
            <w:r>
              <w:rPr>
                <w:rFonts w:ascii="Arial" w:cs="Arial" w:eastAsia="Arial" w:hAnsi="Arial"/>
                <w:sz w:val="18"/>
                <w:szCs w:val="18"/>
                <w:b w:val="1"/>
                <w:bCs w:val="1"/>
                <w:color w:val="auto"/>
              </w:rPr>
              <w:t>Total derivatives designated as hedging instruments under Subtopic 815-20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(263,106)</w:t>
            </w:r>
          </w:p>
        </w:tc>
        <w:tc>
          <w:tcPr>
            <w:tcW w:w="6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(304,056)</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Foreign exchange forward contracts</w:t>
            </w:r>
          </w:p>
        </w:tc>
        <w:tc>
          <w:tcPr>
            <w:tcW w:w="38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liability derivatives</w:t>
            </w:r>
          </w:p>
        </w:tc>
        <w:tc>
          <w:tcPr>
            <w:tcW w:w="3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(265,512)</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firstLine="8"/>
        <w:spacing w:after="0" w:line="268" w:lineRule="auto"/>
        <w:tabs>
          <w:tab w:leader="none" w:pos="13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euro denominated term loan is a nonderivative financial instrument designated as a hedge of our net investment in international operations. It is recorded at the carrying value in the Consolidated Balance Sheets and not recorded at fair value.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OCI during the reporting period for our derivative and nonderivative instruments designated as hedging instruments (collectively, hedging instruments), net of tax,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2010</w:t>
            </w:r>
          </w:p>
        </w:tc>
        <w:tc>
          <w:tcPr>
            <w:tcW w:w="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r>
      <w:tr>
        <w:trPr>
          <w:trHeight w:val="212"/>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680" w:type="dxa"/>
            <w:vAlign w:val="bottom"/>
          </w:tcPr>
          <w:p>
            <w:pPr>
              <w:ind w:left="60"/>
              <w:spacing w:after="0"/>
              <w:rPr>
                <w:sz w:val="20"/>
                <w:szCs w:val="20"/>
                <w:color w:val="auto"/>
              </w:rPr>
            </w:pPr>
            <w:r>
              <w:rPr>
                <w:rFonts w:ascii="Arial" w:cs="Arial" w:eastAsia="Arial" w:hAnsi="Arial"/>
                <w:sz w:val="15"/>
                <w:szCs w:val="15"/>
                <w:b w:val="1"/>
                <w:bCs w:val="1"/>
                <w:color w:val="auto"/>
                <w:w w:val="74"/>
              </w:rPr>
              <w:t>thousands)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instruments at January 1,</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(29,772)</w:t>
            </w: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Unrealized gain (loss) on derivative instruments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(2,025)</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(2,745)</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a nonderivative net investment hedging instrument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11,444</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r>
      <w:tr>
        <w:trPr>
          <w:trHeight w:val="223"/>
        </w:trPr>
        <w:tc>
          <w:tcPr>
            <w:tcW w:w="2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Realized (gains) losses reclassified into net income (loss)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instruments at March 31,</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(18,679)</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(16,769)</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interest rate risk through our credit facility. We enter into swaps to achieve a fixed rate of interest on the hedged portion of debt in order to increase our ability to forecast interest expense. The objective of these swaps is to protect us from increases in the LIBOR base borrowing rates on our floating rate credit facility. The swaps do not protect us from changes to the applicable margin under our credit facility.</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one-year pay-fixed receive one-month LIBOR interest rate swaps to convert $200 million of our U.S. dollar term loan from a floating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LIBOR interest rate to a fixed interest rate. The swaps outstanding at March 31, 2010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Transaction Date</w:t>
            </w:r>
          </w:p>
        </w:tc>
        <w:tc>
          <w:tcPr>
            <w:tcW w:w="1020" w:type="dxa"/>
            <w:vAlign w:val="bottom"/>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Effective Date of Swap</w:t>
            </w:r>
          </w:p>
        </w:tc>
        <w:tc>
          <w:tcPr>
            <w:tcW w:w="1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4"/>
              </w:rPr>
              <w:t>Notional amount</w:t>
            </w:r>
          </w:p>
        </w:tc>
        <w:tc>
          <w:tcPr>
            <w:tcW w:w="1040" w:type="dxa"/>
            <w:vAlign w:val="bottom"/>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Fixed Interest Rate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ind w:right="392"/>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October 27, 2008</w:t>
            </w:r>
          </w:p>
        </w:tc>
        <w:tc>
          <w:tcPr>
            <w:tcW w:w="10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30, 2009 - June 30, 2010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24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6"/>
              </w:rPr>
              <w:t>2.68%</w:t>
            </w:r>
          </w:p>
        </w:tc>
        <w:tc>
          <w:tcPr>
            <w:tcW w:w="0" w:type="dxa"/>
            <w:vAlign w:val="bottom"/>
          </w:tcPr>
          <w:p>
            <w:pPr>
              <w:spacing w:after="0"/>
              <w:rPr>
                <w:sz w:val="1"/>
                <w:szCs w:val="1"/>
                <w:color w:val="auto"/>
              </w:rPr>
            </w:pPr>
          </w:p>
        </w:tc>
      </w:tr>
      <w:tr>
        <w:trPr>
          <w:trHeight w:val="322"/>
        </w:trPr>
        <w:tc>
          <w:tcPr>
            <w:tcW w:w="2080" w:type="dxa"/>
            <w:vAlign w:val="bottom"/>
            <w:gridSpan w:val="2"/>
          </w:tcPr>
          <w:p>
            <w:pPr>
              <w:spacing w:after="0"/>
              <w:rPr>
                <w:sz w:val="20"/>
                <w:szCs w:val="20"/>
                <w:color w:val="auto"/>
              </w:rPr>
            </w:pPr>
            <w:r>
              <w:rPr>
                <w:rFonts w:ascii="Arial" w:cs="Arial" w:eastAsia="Arial" w:hAnsi="Arial"/>
                <w:sz w:val="18"/>
                <w:szCs w:val="18"/>
                <w:color w:val="auto"/>
              </w:rPr>
              <w:t>July 1, 2009</w:t>
            </w:r>
          </w:p>
        </w:tc>
        <w:tc>
          <w:tcPr>
            <w:tcW w:w="10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5"/>
              </w:rPr>
              <w:t>June 30, 2010 - June 30, 2011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2480" w:type="dxa"/>
            <w:vAlign w:val="bottom"/>
            <w:gridSpan w:val="2"/>
          </w:tcPr>
          <w:p>
            <w:pPr>
              <w:jc w:val="center"/>
              <w:ind w:left="952"/>
              <w:spacing w:after="0"/>
              <w:rPr>
                <w:sz w:val="20"/>
                <w:szCs w:val="20"/>
                <w:color w:val="auto"/>
              </w:rPr>
            </w:pPr>
            <w:r>
              <w:rPr>
                <w:rFonts w:ascii="Arial" w:cs="Arial" w:eastAsia="Arial" w:hAnsi="Arial"/>
                <w:sz w:val="18"/>
                <w:szCs w:val="18"/>
                <w:color w:val="auto"/>
                <w:w w:val="86"/>
              </w:rPr>
              <w:t>2.15%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July 1, 2009</w:t>
            </w:r>
          </w:p>
        </w:tc>
        <w:tc>
          <w:tcPr>
            <w:tcW w:w="10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30, 2010 - June 30, 2011</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24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6"/>
              </w:rPr>
              <w:t>2.11%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At March 31, 2010 and December 31, 2009, our U.S. dollar term loan had a balance of $253.2 million and $284.7 million, respectively. The cash flow hedges have been and are expected to be highly effective in achieving offsetting cash flows attributable to the hedged risk through the term of the hedge. Consequently, effective changes in the fair value of the interest rate swap are recorded as a component of OCI and are recognized in earnings when the hedged item affects earnings. The amounts paid or received on the hedge are recognized as adjustments to interest expense. The amount of net losses expected to be reclassified into earnings in the next 12 months is approximately $3.5 million, which was based on the Bloomberg U.S. dollar swap yield curve as of March 31, 2010.</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2007, we entered into a pay fixed 6.59% receive three-month Euro Interbank Offered Rate (EURIBOR), plus 2%, amortizing interest rate swap to convert a significant portion of our euro denominated variable-rate term loan to fixed-rate debt, plus or minus the variance in the applicable margin from 2%. The cash flow hedge is currently, and is expected to be, highly effective in achieving offsetting cash flows attributable to the hedged risk through the term of the hedge. Consequently, effective changes in the fair value of the interest rate swap are recorded as a component of OCI and are recognized in earnings when the hedged item affects earnings. The amounts paid or received on the hedge are recognized as adjustments to interest expense. The notional amount of the swap is reduced each quarter and was $215.4 million (€160.0 million) and $252.9 million (€175.8 million) as of March 31, 2010 and December 31, 2009, respectively. The amount of net losses expected to be reclassified into earnings in the next 12 months is approximately $7.0 million (€5.2 million), which was based on the Bloomberg euro swap yield curve as of March 31, 2010.</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before tax effect of our cash flow derivative instruments on the Consolidated Balance Sheets and the Consolidated Statements of Operations for the three months ended March 31 is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right"/>
        <w:ind w:right="380"/>
        <w:spacing w:after="0"/>
        <w:rPr>
          <w:sz w:val="20"/>
          <w:szCs w:val="20"/>
          <w:color w:val="auto"/>
        </w:rPr>
      </w:pPr>
      <w:r>
        <w:rPr>
          <w:rFonts w:ascii="Arial" w:cs="Arial" w:eastAsia="Arial" w:hAnsi="Arial"/>
          <w:sz w:val="14"/>
          <w:szCs w:val="14"/>
          <w:b w:val="1"/>
          <w:bCs w:val="1"/>
          <w:color w:val="auto"/>
        </w:rPr>
        <w:t>Derivatives in ASC 815-20 Cash</w:t>
      </w:r>
    </w:p>
    <w:p>
      <w:pPr>
        <w:spacing w:after="0" w:line="13" w:lineRule="exact"/>
        <w:rPr>
          <w:sz w:val="20"/>
          <w:szCs w:val="20"/>
          <w:color w:val="auto"/>
        </w:rPr>
      </w:pPr>
    </w:p>
    <w:p>
      <w:pPr>
        <w:jc w:val="right"/>
        <w:ind w:right="420"/>
        <w:spacing w:after="0"/>
        <w:rPr>
          <w:sz w:val="20"/>
          <w:szCs w:val="20"/>
          <w:color w:val="auto"/>
        </w:rPr>
      </w:pPr>
      <w:r>
        <w:rPr>
          <w:rFonts w:ascii="Arial" w:cs="Arial" w:eastAsia="Arial" w:hAnsi="Arial"/>
          <w:sz w:val="14"/>
          <w:szCs w:val="14"/>
          <w:b w:val="1"/>
          <w:bCs w:val="1"/>
          <w:color w:val="auto"/>
        </w:rPr>
        <w:t>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23323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Amount of Gain (Loss)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Recognized in OCI on</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Derivative (Effective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0</wp:posOffset>
            </wp:positionV>
            <wp:extent cx="900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140"/>
        <w:spacing w:after="0"/>
        <w:tabs>
          <w:tab w:leader="none" w:pos="90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-6985</wp:posOffset>
            </wp:positionV>
            <wp:extent cx="900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Gain (Loss) Reclassified from Accumulated</w:t>
            </w:r>
          </w:p>
        </w:tc>
        <w:tc>
          <w:tcPr>
            <w:tcW w:w="140" w:type="dxa"/>
            <w:vAlign w:val="bottom"/>
          </w:tcPr>
          <w:p>
            <w:pPr>
              <w:spacing w:after="0"/>
              <w:rPr>
                <w:sz w:val="14"/>
                <w:szCs w:val="14"/>
                <w:color w:val="auto"/>
              </w:rPr>
            </w:pPr>
          </w:p>
        </w:tc>
        <w:tc>
          <w:tcPr>
            <w:tcW w:w="30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Gain (Loss) Recognized in Income on Derivative</w:t>
            </w:r>
          </w:p>
        </w:tc>
      </w:tr>
      <w:tr>
        <w:trPr>
          <w:trHeight w:val="175"/>
        </w:trPr>
        <w:tc>
          <w:tcPr>
            <w:tcW w:w="27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9"/>
              </w:rPr>
              <w:t>OCI into Income (Effective Portion)</w:t>
            </w:r>
          </w:p>
        </w:tc>
        <w:tc>
          <w:tcPr>
            <w:tcW w:w="140" w:type="dxa"/>
            <w:vAlign w:val="bottom"/>
          </w:tcPr>
          <w:p>
            <w:pPr>
              <w:spacing w:after="0"/>
              <w:rPr>
                <w:sz w:val="15"/>
                <w:szCs w:val="15"/>
                <w:color w:val="auto"/>
              </w:rPr>
            </w:pPr>
          </w:p>
        </w:tc>
        <w:tc>
          <w:tcPr>
            <w:tcW w:w="3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8"/>
              </w:rPr>
              <w:t>(Ineffective Portion)</w:t>
            </w:r>
          </w:p>
        </w:tc>
      </w:tr>
      <w:tr>
        <w:trPr>
          <w:trHeight w:val="156"/>
        </w:trPr>
        <w:tc>
          <w:tcPr>
            <w:tcW w:w="1680" w:type="dxa"/>
            <w:vAlign w:val="bottom"/>
            <w:gridSpan w:val="3"/>
          </w:tcPr>
          <w:p>
            <w:pPr>
              <w:jc w:val="right"/>
              <w:ind w:right="852"/>
              <w:spacing w:after="0" w:line="155" w:lineRule="exact"/>
              <w:rPr>
                <w:sz w:val="20"/>
                <w:szCs w:val="20"/>
                <w:color w:val="auto"/>
              </w:rPr>
            </w:pPr>
            <w:r>
              <w:rPr>
                <w:rFonts w:ascii="Arial" w:cs="Arial" w:eastAsia="Arial" w:hAnsi="Arial"/>
                <w:sz w:val="14"/>
                <w:szCs w:val="14"/>
                <w:b w:val="1"/>
                <w:bCs w:val="1"/>
                <w:color w:val="auto"/>
              </w:rPr>
              <w:t>Location</w:t>
            </w:r>
          </w:p>
        </w:tc>
        <w:tc>
          <w:tcPr>
            <w:tcW w:w="1060" w:type="dxa"/>
            <w:vAlign w:val="bottom"/>
            <w:gridSpan w:val="3"/>
          </w:tcPr>
          <w:p>
            <w:pPr>
              <w:jc w:val="right"/>
              <w:ind w:right="492"/>
              <w:spacing w:after="0" w:line="155"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3"/>
                <w:szCs w:val="13"/>
                <w:color w:val="auto"/>
              </w:rPr>
            </w:pPr>
          </w:p>
        </w:tc>
        <w:tc>
          <w:tcPr>
            <w:tcW w:w="2000" w:type="dxa"/>
            <w:vAlign w:val="bottom"/>
            <w:gridSpan w:val="3"/>
          </w:tcPr>
          <w:p>
            <w:pPr>
              <w:jc w:val="right"/>
              <w:ind w:right="972"/>
              <w:spacing w:after="0" w:line="155" w:lineRule="exact"/>
              <w:rPr>
                <w:sz w:val="20"/>
                <w:szCs w:val="20"/>
                <w:color w:val="auto"/>
              </w:rPr>
            </w:pPr>
            <w:r>
              <w:rPr>
                <w:rFonts w:ascii="Arial" w:cs="Arial" w:eastAsia="Arial" w:hAnsi="Arial"/>
                <w:sz w:val="14"/>
                <w:szCs w:val="14"/>
                <w:b w:val="1"/>
                <w:bCs w:val="1"/>
                <w:color w:val="auto"/>
              </w:rPr>
              <w:t>Location</w:t>
            </w:r>
          </w:p>
        </w:tc>
        <w:tc>
          <w:tcPr>
            <w:tcW w:w="1020" w:type="dxa"/>
            <w:vAlign w:val="bottom"/>
            <w:gridSpan w:val="3"/>
          </w:tcPr>
          <w:p>
            <w:pPr>
              <w:jc w:val="center"/>
              <w:ind w:right="392"/>
              <w:spacing w:after="0" w:line="155" w:lineRule="exact"/>
              <w:rPr>
                <w:sz w:val="20"/>
                <w:szCs w:val="20"/>
                <w:color w:val="auto"/>
              </w:rPr>
            </w:pPr>
            <w:r>
              <w:rPr>
                <w:rFonts w:ascii="Arial" w:cs="Arial" w:eastAsia="Arial" w:hAnsi="Arial"/>
                <w:sz w:val="14"/>
                <w:szCs w:val="14"/>
                <w:b w:val="1"/>
                <w:bCs w:val="1"/>
                <w:color w:val="auto"/>
                <w:w w:val="90"/>
              </w:rPr>
              <w:t>Amount</w:t>
            </w:r>
          </w:p>
        </w:tc>
      </w:tr>
      <w:tr>
        <w:trPr>
          <w:trHeight w:val="142"/>
        </w:trPr>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r>
      <w:tr>
        <w:trPr>
          <w:trHeight w:val="168"/>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312"/>
              <w:spacing w:after="0"/>
              <w:rPr>
                <w:sz w:val="20"/>
                <w:szCs w:val="20"/>
                <w:color w:val="auto"/>
              </w:rPr>
            </w:pPr>
            <w:r>
              <w:rPr>
                <w:rFonts w:ascii="Arial" w:cs="Arial" w:eastAsia="Arial" w:hAnsi="Arial"/>
                <w:sz w:val="12"/>
                <w:szCs w:val="12"/>
                <w:b w:val="1"/>
                <w:bCs w:val="1"/>
                <w:color w:val="auto"/>
                <w:w w:val="74"/>
              </w:rPr>
              <w:t>thousands)</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-15875</wp:posOffset>
            </wp:positionV>
            <wp:extent cx="724662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3140" w:space="720"/>
            <w:col w:w="1320" w:space="200"/>
            <w:col w:w="6040"/>
          </w:cols>
          <w:pgMar w:left="240" w:top="459" w:right="239" w:bottom="1440" w:gutter="0" w:footer="0" w:header="0"/>
          <w:type w:val="continuous"/>
        </w:sectPr>
      </w:pPr>
    </w:p>
    <w:tbl>
      <w:tblPr>
        <w:tblLayout w:type="fixed"/>
        <w:tblInd w:w="440" w:type="dxa"/>
        <w:tblCellMar>
          <w:top w:w="0" w:type="dxa"/>
          <w:left w:w="0" w:type="dxa"/>
          <w:bottom w:w="0" w:type="dxa"/>
          <w:right w:w="0" w:type="dxa"/>
        </w:tblCellMar>
      </w:tblPr>
      <w:tr>
        <w:trPr>
          <w:trHeight w:val="172"/>
        </w:trPr>
        <w:tc>
          <w:tcPr>
            <w:tcW w:w="2460" w:type="dxa"/>
            <w:vAlign w:val="bottom"/>
          </w:tcPr>
          <w:p>
            <w:pPr>
              <w:spacing w:after="0"/>
              <w:rPr>
                <w:sz w:val="20"/>
                <w:szCs w:val="20"/>
                <w:color w:val="auto"/>
              </w:rPr>
            </w:pPr>
            <w:r>
              <w:rPr>
                <w:rFonts w:ascii="Arial" w:cs="Arial" w:eastAsia="Arial" w:hAnsi="Arial"/>
                <w:sz w:val="14"/>
                <w:szCs w:val="14"/>
                <w:color w:val="auto"/>
              </w:rPr>
              <w:t>Interest rate swap contracts</w:t>
            </w:r>
          </w:p>
        </w:tc>
        <w:tc>
          <w:tcPr>
            <w:tcW w:w="1620" w:type="dxa"/>
            <w:vAlign w:val="bottom"/>
          </w:tcPr>
          <w:p>
            <w:pPr>
              <w:jc w:val="right"/>
              <w:ind w:right="72"/>
              <w:spacing w:after="0"/>
              <w:rPr>
                <w:sz w:val="20"/>
                <w:szCs w:val="20"/>
                <w:color w:val="auto"/>
              </w:rPr>
            </w:pPr>
            <w:r>
              <w:rPr>
                <w:rFonts w:ascii="Arial" w:cs="Arial" w:eastAsia="Arial" w:hAnsi="Arial"/>
                <w:sz w:val="14"/>
                <w:szCs w:val="14"/>
                <w:color w:val="auto"/>
              </w:rPr>
              <w:t>$ (3,283)</w:t>
            </w:r>
          </w:p>
        </w:tc>
        <w:tc>
          <w:tcPr>
            <w:tcW w:w="640" w:type="dxa"/>
            <w:vAlign w:val="bottom"/>
          </w:tcPr>
          <w:p>
            <w:pPr>
              <w:jc w:val="right"/>
              <w:spacing w:after="0"/>
              <w:rPr>
                <w:sz w:val="20"/>
                <w:szCs w:val="20"/>
                <w:color w:val="auto"/>
              </w:rPr>
            </w:pPr>
            <w:r>
              <w:rPr>
                <w:rFonts w:ascii="Arial" w:cs="Arial" w:eastAsia="Arial" w:hAnsi="Arial"/>
                <w:sz w:val="14"/>
                <w:szCs w:val="14"/>
                <w:color w:val="auto"/>
              </w:rPr>
              <w:t>$ (4,508)</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00" w:type="dxa"/>
            <w:vAlign w:val="bottom"/>
          </w:tcPr>
          <w:p>
            <w:pPr>
              <w:spacing w:after="0"/>
              <w:rPr>
                <w:sz w:val="20"/>
                <w:szCs w:val="20"/>
                <w:color w:val="auto"/>
              </w:rPr>
            </w:pPr>
            <w:r>
              <w:rPr>
                <w:rFonts w:ascii="Arial" w:cs="Arial" w:eastAsia="Arial" w:hAnsi="Arial"/>
                <w:sz w:val="14"/>
                <w:szCs w:val="14"/>
                <w:color w:val="auto"/>
                <w:w w:val="94"/>
              </w:rPr>
              <w:t>Interest expense</w:t>
            </w: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  (3,572)</w:t>
            </w: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  (2,557)</w:t>
            </w:r>
          </w:p>
        </w:tc>
        <w:tc>
          <w:tcPr>
            <w:tcW w:w="136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4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32"/>
              <w:spacing w:after="0"/>
              <w:rPr>
                <w:sz w:val="20"/>
                <w:szCs w:val="20"/>
                <w:color w:val="auto"/>
              </w:rPr>
            </w:pPr>
            <w:r>
              <w:rPr>
                <w:rFonts w:ascii="Arial" w:cs="Arial" w:eastAsia="Arial" w:hAnsi="Arial"/>
                <w:sz w:val="14"/>
                <w:szCs w:val="14"/>
                <w:color w:val="auto"/>
              </w:rPr>
              <w:t>(60)</w:t>
            </w:r>
          </w:p>
        </w:tc>
        <w:tc>
          <w:tcPr>
            <w:tcW w:w="4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(48)</w:t>
            </w:r>
          </w:p>
        </w:tc>
      </w:tr>
    </w:tbl>
    <w:p>
      <w:pPr>
        <w:spacing w:after="0" w:line="200" w:lineRule="exact"/>
        <w:rPr>
          <w:sz w:val="20"/>
          <w:szCs w:val="20"/>
          <w:color w:val="auto"/>
        </w:rPr>
      </w:pPr>
    </w:p>
    <w:p>
      <w:pPr>
        <w:sectPr>
          <w:pgSz w:w="11900" w:h="16838" w:orient="portrait"/>
          <w:cols w:equalWidth="0" w:num="2">
            <w:col w:w="5160" w:space="300"/>
            <w:col w:w="5960"/>
          </w:cols>
          <w:pgMar w:left="240" w:top="459" w:right="239" w:bottom="1440" w:gutter="0" w:footer="0" w:header="0"/>
          <w:type w:val="continuous"/>
        </w:sectPr>
      </w:pP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Investment Hedge</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exposed to foreign exchange risk through our international subsidiaries. As a result of our acquisition of an international company in 2007, we entered into a euro denominated term loan, which exposes us to fluctuations in the euro foreign exchange rate. Therefore, we have designated this foreign currency denominated term loan as a hedge of our net investment in international operations. The non-functional currency term loan is revalued into U.S. dollars at each balance sheet date, and the changes in value associated with currency fluctuations are recorded as adjustments to long-term debt with offsetting gains and losses recorded in OCI. The notional amount of the term loan declines each quarter due to repayments and was $249.0 million (€185.0 million) and $288.9 million (€200.8 million) as of March 31, 2010 and December 31, 2009, respectively. We had no hedge ineffectiveness.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before tax and net of tax effect of our net investment hedge nonderivative financial instrument on OCI for the three months ended March 31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jc w:val="center"/>
              <w:spacing w:after="0"/>
              <w:rPr>
                <w:sz w:val="20"/>
                <w:szCs w:val="20"/>
                <w:color w:val="auto"/>
              </w:rPr>
            </w:pPr>
            <w:r>
              <w:rPr>
                <w:rFonts w:ascii="Arial" w:cs="Arial" w:eastAsia="Arial" w:hAnsi="Arial"/>
                <w:sz w:val="18"/>
                <w:szCs w:val="18"/>
                <w:b w:val="1"/>
                <w:bCs w:val="1"/>
                <w:color w:val="auto"/>
                <w:w w:val="89"/>
              </w:rPr>
              <w:t>Nonderivative Financial Instruments in ASC 815-20 Net Investment</w:t>
            </w:r>
          </w:p>
        </w:tc>
        <w:tc>
          <w:tcPr>
            <w:tcW w:w="660" w:type="dxa"/>
            <w:vAlign w:val="bottom"/>
          </w:tcPr>
          <w:p>
            <w:pPr>
              <w:spacing w:after="0"/>
              <w:rPr>
                <w:sz w:val="18"/>
                <w:szCs w:val="18"/>
                <w:color w:val="auto"/>
              </w:rPr>
            </w:pPr>
          </w:p>
        </w:tc>
        <w:tc>
          <w:tcPr>
            <w:tcW w:w="4760" w:type="dxa"/>
            <w:vAlign w:val="bottom"/>
            <w:gridSpan w:val="5"/>
          </w:tcPr>
          <w:p>
            <w:pPr>
              <w:jc w:val="right"/>
              <w:ind w:right="312"/>
              <w:spacing w:after="0"/>
              <w:rPr>
                <w:sz w:val="20"/>
                <w:szCs w:val="20"/>
                <w:color w:val="auto"/>
              </w:rPr>
            </w:pPr>
            <w:r>
              <w:rPr>
                <w:rFonts w:ascii="Arial" w:cs="Arial" w:eastAsia="Arial" w:hAnsi="Arial"/>
                <w:sz w:val="18"/>
                <w:szCs w:val="18"/>
                <w:b w:val="1"/>
                <w:bCs w:val="1"/>
                <w:color w:val="auto"/>
                <w:w w:val="94"/>
              </w:rPr>
              <w:t>Euro Denominated Term Loan Designated as a Hedge</w:t>
            </w:r>
          </w:p>
        </w:tc>
      </w:tr>
      <w:tr>
        <w:trPr>
          <w:trHeight w:val="243"/>
        </w:trPr>
        <w:tc>
          <w:tcPr>
            <w:tcW w:w="6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Hedging Relationships</w:t>
            </w:r>
          </w:p>
        </w:tc>
        <w:tc>
          <w:tcPr>
            <w:tcW w:w="660" w:type="dxa"/>
            <w:vAlign w:val="bottom"/>
          </w:tcPr>
          <w:p>
            <w:pPr>
              <w:spacing w:after="0"/>
              <w:rPr>
                <w:sz w:val="21"/>
                <w:szCs w:val="21"/>
                <w:color w:val="auto"/>
              </w:rPr>
            </w:pPr>
          </w:p>
        </w:tc>
        <w:tc>
          <w:tcPr>
            <w:tcW w:w="476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8"/>
                <w:szCs w:val="18"/>
                <w:b w:val="1"/>
                <w:bCs w:val="1"/>
                <w:color w:val="auto"/>
              </w:rPr>
              <w:t>of Our Net Investment in International Operations</w:t>
            </w:r>
          </w:p>
        </w:tc>
      </w:tr>
      <w:tr>
        <w:trPr>
          <w:trHeight w:val="211"/>
        </w:trPr>
        <w:tc>
          <w:tcPr>
            <w:tcW w:w="6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w w:val="89"/>
              </w:rPr>
              <w:t>Three Months Ended March 31,</w:t>
            </w:r>
          </w:p>
        </w:tc>
        <w:tc>
          <w:tcPr>
            <w:tcW w:w="720" w:type="dxa"/>
            <w:vAlign w:val="bottom"/>
            <w:tcBorders>
              <w:bottom w:val="single" w:sz="8" w:color="auto"/>
            </w:tcBorders>
          </w:tcPr>
          <w:p>
            <w:pPr>
              <w:spacing w:after="0"/>
              <w:rPr>
                <w:sz w:val="18"/>
                <w:szCs w:val="18"/>
                <w:color w:val="auto"/>
              </w:rPr>
            </w:pPr>
          </w:p>
        </w:tc>
      </w:tr>
      <w:tr>
        <w:trPr>
          <w:trHeight w:val="210"/>
        </w:trPr>
        <w:tc>
          <w:tcPr>
            <w:tcW w:w="6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82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2009</w:t>
            </w:r>
          </w:p>
        </w:tc>
        <w:tc>
          <w:tcPr>
            <w:tcW w:w="720" w:type="dxa"/>
            <w:vAlign w:val="bottom"/>
            <w:tcBorders>
              <w:bottom w:val="single" w:sz="8" w:color="auto"/>
            </w:tcBorders>
          </w:tcPr>
          <w:p>
            <w:pPr>
              <w:spacing w:after="0"/>
              <w:rPr>
                <w:sz w:val="18"/>
                <w:szCs w:val="18"/>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Gain (loss) recognized in OCI on derivative (Effective Portion)</w:t>
            </w: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b w:val="1"/>
                <w:bCs w:val="1"/>
                <w:color w:val="auto"/>
                <w:w w:val="90"/>
              </w:rPr>
              <w:t>(in thousands)</w:t>
            </w:r>
          </w:p>
        </w:tc>
        <w:tc>
          <w:tcPr>
            <w:tcW w:w="720" w:type="dxa"/>
            <w:vAlign w:val="bottom"/>
            <w:shd w:val="clear" w:color="auto" w:fill="CCEEFF"/>
          </w:tcPr>
          <w:p>
            <w:pPr>
              <w:spacing w:after="0"/>
              <w:rPr>
                <w:sz w:val="18"/>
                <w:szCs w:val="18"/>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Before tax</w:t>
            </w:r>
          </w:p>
        </w:tc>
        <w:tc>
          <w:tcPr>
            <w:tcW w:w="1840" w:type="dxa"/>
            <w:vAlign w:val="bottom"/>
            <w:gridSpan w:val="2"/>
          </w:tcPr>
          <w:p>
            <w:pPr>
              <w:jc w:val="right"/>
              <w:ind w:right="9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18,555</w:t>
            </w:r>
          </w:p>
        </w:tc>
        <w:tc>
          <w:tcPr>
            <w:tcW w:w="204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22,941</w:t>
            </w: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of tax</w:t>
            </w:r>
          </w:p>
        </w:tc>
        <w:tc>
          <w:tcPr>
            <w:tcW w:w="184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11,444</w:t>
            </w:r>
          </w:p>
        </w:tc>
        <w:tc>
          <w:tcPr>
            <w:tcW w:w="204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 end, foreign currency monetary assets and liabilities are revalued with the change recorded to other income and expense. We enter into monthly foreign exchange forward contracts, not designated for hedge accounting, with the intent to reduce earnings volatility associated with certain of these balances. During the three months ended March 31, 2010, we entered into approximately 26 foreign currency option and forward transactions. The notional amounts of the contracts ranged from less than $1 million to $48 million, offsetting our exposures from the euro, British pound, Canadian dollar, Czech koruna, Hungarian forint, and various other currencies.</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effect of our foreign exchange forward derivative instruments on the Consolidated Statements of Operations for the three months ended March 31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Derivatives Not Designated as Hedging</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4"/>
          </w:tcPr>
          <w:p>
            <w:pPr>
              <w:jc w:val="center"/>
              <w:ind w:right="212"/>
              <w:spacing w:after="0"/>
              <w:rPr>
                <w:sz w:val="20"/>
                <w:szCs w:val="20"/>
                <w:color w:val="auto"/>
              </w:rPr>
            </w:pPr>
            <w:r>
              <w:rPr>
                <w:rFonts w:ascii="Arial" w:cs="Arial" w:eastAsia="Arial" w:hAnsi="Arial"/>
                <w:sz w:val="18"/>
                <w:szCs w:val="18"/>
                <w:b w:val="1"/>
                <w:bCs w:val="1"/>
                <w:color w:val="auto"/>
                <w:w w:val="86"/>
              </w:rPr>
              <w:t>Gain (Loss) Recognized on Derivatives in</w:t>
            </w:r>
          </w:p>
        </w:tc>
      </w:tr>
      <w:tr>
        <w:trPr>
          <w:trHeight w:val="243"/>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Instrument under ASC 815-20</w:t>
            </w:r>
          </w:p>
        </w:tc>
        <w:tc>
          <w:tcPr>
            <w:tcW w:w="5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gridSpan w:val="4"/>
          </w:tcPr>
          <w:p>
            <w:pPr>
              <w:jc w:val="center"/>
              <w:ind w:right="172"/>
              <w:spacing w:after="0"/>
              <w:rPr>
                <w:sz w:val="20"/>
                <w:szCs w:val="20"/>
                <w:color w:val="auto"/>
              </w:rPr>
            </w:pPr>
            <w:r>
              <w:rPr>
                <w:rFonts w:ascii="Arial" w:cs="Arial" w:eastAsia="Arial" w:hAnsi="Arial"/>
                <w:sz w:val="18"/>
                <w:szCs w:val="18"/>
                <w:b w:val="1"/>
                <w:bCs w:val="1"/>
                <w:color w:val="auto"/>
                <w:w w:val="88"/>
              </w:rPr>
              <w:t>Other Income (Expense)</w:t>
            </w:r>
          </w:p>
        </w:tc>
      </w:tr>
      <w:tr>
        <w:trPr>
          <w:trHeight w:val="211"/>
        </w:trPr>
        <w:tc>
          <w:tcPr>
            <w:tcW w:w="4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center"/>
              <w:ind w:right="172"/>
              <w:spacing w:after="0"/>
              <w:rPr>
                <w:sz w:val="20"/>
                <w:szCs w:val="20"/>
                <w:color w:val="auto"/>
              </w:rPr>
            </w:pPr>
            <w:r>
              <w:rPr>
                <w:rFonts w:ascii="Arial" w:cs="Arial" w:eastAsia="Arial" w:hAnsi="Arial"/>
                <w:sz w:val="18"/>
                <w:szCs w:val="18"/>
                <w:b w:val="1"/>
                <w:bCs w:val="1"/>
                <w:color w:val="auto"/>
                <w:w w:val="90"/>
              </w:rPr>
              <w:t>Three Months Ended March 31,</w:t>
            </w:r>
          </w:p>
        </w:tc>
      </w:tr>
      <w:tr>
        <w:trPr>
          <w:trHeight w:val="210"/>
        </w:trPr>
        <w:tc>
          <w:tcPr>
            <w:tcW w:w="4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2010</w:t>
            </w:r>
          </w:p>
        </w:tc>
        <w:tc>
          <w:tcPr>
            <w:tcW w:w="5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2009</w:t>
            </w:r>
          </w:p>
        </w:tc>
      </w:tr>
      <w:tr>
        <w:trPr>
          <w:trHeight w:val="210"/>
        </w:trPr>
        <w:tc>
          <w:tcPr>
            <w:tcW w:w="4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2"/>
              </w:rPr>
              <w:t>thousands)</w:t>
            </w:r>
          </w:p>
        </w:tc>
        <w:tc>
          <w:tcPr>
            <w:tcW w:w="11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r>
    </w:tbl>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both funded and unfunded non-U.S. defined benefit pension plans offering death and disability, retirement, and special termination benefits to employees in Germany, France, Spain, Italy, Belgium, Chile, Portugal, Hungary, and Indonesia. The defined benefit obligation is calculated annually by using the projected unit credit method. The measurement date for the pension plans was December 31, 2009.</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general funding policy for these qualified pension plans is to contribute amounts sufficient to satisfy regulatory funding standards of the respective countries for each plan. We contributed $5,000 and $26,000 to the defined benefit pension plans for the three months ended March 31, 2010 and 2009, respectively. For 2010, assuming that actual plan asset returns are consistent with our expected rate of return, and that interest rates remain constant, we expect to contribute approximately $500,000 in 2010 to our defined benefit pension plans, with the majority payable in the fourth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1"/>
        </w:trPr>
        <w:tc>
          <w:tcPr>
            <w:tcW w:w="5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r>
      <w:tr>
        <w:trPr>
          <w:trHeight w:val="210"/>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(in</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76"/>
              </w:rPr>
              <w:t>thousands)</w:t>
            </w:r>
          </w:p>
        </w:tc>
        <w:tc>
          <w:tcPr>
            <w:tcW w:w="9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906</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880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Amortization of actuarial net gain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prior service costs</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1,347</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1,193</w:t>
            </w:r>
          </w:p>
        </w:tc>
      </w:tr>
      <w:tr>
        <w:trPr>
          <w:trHeight w:val="20"/>
        </w:trPr>
        <w:tc>
          <w:tcPr>
            <w:tcW w:w="5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stock-based compensation expense for awards of stock options, stock sold pursuant to our ESPP, and the issuance of restricted and unrestricted stock awards and units. We expense stock-based compensation using the straight-line method over the vesting requirement period. For the three months ended March 31, stock-based compensation expense and the related tax benefit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1"/>
        </w:trPr>
        <w:tc>
          <w:tcPr>
            <w:tcW w:w="4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5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2009</w:t>
            </w:r>
          </w:p>
        </w:tc>
      </w:tr>
      <w:tr>
        <w:trPr>
          <w:trHeight w:val="210"/>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9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w w:val="82"/>
              </w:rPr>
              <w:t>thousands)</w:t>
            </w:r>
          </w:p>
        </w:tc>
        <w:tc>
          <w:tcPr>
            <w:tcW w:w="94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Restricted stock awards and units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2,941</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1,916</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Unrestricted stock awards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ESPP</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5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7"/>
        </w:trPr>
        <w:tc>
          <w:tcPr>
            <w:tcW w:w="4240" w:type="dxa"/>
            <w:vAlign w:val="bottom"/>
          </w:tcPr>
          <w:p>
            <w:pPr>
              <w:spacing w:after="0"/>
              <w:rPr>
                <w:sz w:val="20"/>
                <w:szCs w:val="20"/>
                <w:color w:val="auto"/>
              </w:rPr>
            </w:pPr>
            <w:r>
              <w:rPr>
                <w:rFonts w:ascii="Arial" w:cs="Arial" w:eastAsia="Arial" w:hAnsi="Arial"/>
                <w:sz w:val="18"/>
                <w:szCs w:val="18"/>
                <w:color w:val="auto"/>
              </w:rPr>
              <w:t>Related tax benefit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1,408</w:t>
            </w: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20"/>
        </w:trPr>
        <w:tc>
          <w:tcPr>
            <w:tcW w:w="4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issue new shares of common stock upon the exercise of stock options or when vesting conditions on restricted awards are fully satisfied.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stock options and ESPP awards issued were estimated at the date of grant using the Black-Scholes option-pricing model with the following weighted average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Pr>
          <w:p>
            <w:pPr>
              <w:spacing w:after="0"/>
              <w:rPr>
                <w:sz w:val="19"/>
                <w:szCs w:val="19"/>
                <w:color w:val="auto"/>
              </w:rPr>
            </w:pPr>
          </w:p>
        </w:tc>
        <w:tc>
          <w:tcPr>
            <w:tcW w:w="292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auto"/>
              </w:rPr>
              <w:t>Employee Stock Options</w:t>
            </w:r>
          </w:p>
        </w:tc>
        <w:tc>
          <w:tcPr>
            <w:tcW w:w="5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1172"/>
              <w:spacing w:after="0"/>
              <w:rPr>
                <w:sz w:val="20"/>
                <w:szCs w:val="20"/>
                <w:color w:val="auto"/>
              </w:rPr>
            </w:pPr>
            <w:r>
              <w:rPr>
                <w:rFonts w:ascii="Arial" w:cs="Arial" w:eastAsia="Arial" w:hAnsi="Arial"/>
                <w:sz w:val="18"/>
                <w:szCs w:val="18"/>
                <w:b w:val="1"/>
                <w:bCs w:val="1"/>
                <w:color w:val="auto"/>
                <w:w w:val="99"/>
              </w:rPr>
              <w:t>ESPP</w:t>
            </w:r>
          </w:p>
        </w:tc>
      </w:tr>
      <w:tr>
        <w:trPr>
          <w:trHeight w:val="212"/>
        </w:trPr>
        <w:tc>
          <w:tcPr>
            <w:tcW w:w="4980" w:type="dxa"/>
            <w:vAlign w:val="bottom"/>
          </w:tcPr>
          <w:p>
            <w:pPr>
              <w:spacing w:after="0"/>
              <w:rPr>
                <w:sz w:val="18"/>
                <w:szCs w:val="18"/>
                <w:color w:val="auto"/>
              </w:rPr>
            </w:pPr>
          </w:p>
        </w:tc>
        <w:tc>
          <w:tcPr>
            <w:tcW w:w="292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b w:val="1"/>
                <w:bCs w:val="1"/>
                <w:color w:val="auto"/>
                <w:w w:val="99"/>
              </w:rPr>
              <w:t>Three Months Ended March 31,</w:t>
            </w:r>
          </w:p>
        </w:tc>
        <w:tc>
          <w:tcPr>
            <w:tcW w:w="580" w:type="dxa"/>
            <w:vAlign w:val="bottom"/>
          </w:tcPr>
          <w:p>
            <w:pPr>
              <w:spacing w:after="0"/>
              <w:rPr>
                <w:sz w:val="18"/>
                <w:szCs w:val="18"/>
                <w:color w:val="auto"/>
              </w:rPr>
            </w:pPr>
          </w:p>
        </w:tc>
        <w:tc>
          <w:tcPr>
            <w:tcW w:w="294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10"/>
        </w:trPr>
        <w:tc>
          <w:tcPr>
            <w:tcW w:w="4980" w:type="dxa"/>
            <w:vAlign w:val="bottom"/>
          </w:tcPr>
          <w:p>
            <w:pPr>
              <w:spacing w:after="0"/>
              <w:rPr>
                <w:sz w:val="18"/>
                <w:szCs w:val="18"/>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580" w:type="dxa"/>
            <w:vAlign w:val="bottom"/>
          </w:tcPr>
          <w:p>
            <w:pPr>
              <w:spacing w:after="0"/>
              <w:rPr>
                <w:sz w:val="18"/>
                <w:szCs w:val="18"/>
                <w:color w:val="auto"/>
              </w:rPr>
            </w:pP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580" w:type="dxa"/>
            <w:vAlign w:val="bottom"/>
          </w:tcPr>
          <w:p>
            <w:pPr>
              <w:spacing w:after="0"/>
              <w:rPr>
                <w:sz w:val="18"/>
                <w:szCs w:val="18"/>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580" w:type="dxa"/>
            <w:vAlign w:val="bottom"/>
          </w:tcPr>
          <w:p>
            <w:pPr>
              <w:spacing w:after="0"/>
              <w:rPr>
                <w:sz w:val="18"/>
                <w:szCs w:val="18"/>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right"/>
              <w:spacing w:after="0"/>
              <w:rPr>
                <w:sz w:val="20"/>
                <w:szCs w:val="20"/>
                <w:color w:val="auto"/>
              </w:rPr>
            </w:pPr>
            <w:r>
              <w:rPr>
                <w:rFonts w:ascii="Arial" w:cs="Arial" w:eastAsia="Arial" w:hAnsi="Arial"/>
                <w:sz w:val="18"/>
                <w:szCs w:val="18"/>
                <w:color w:val="auto"/>
              </w:rPr>
              <w:t>48.7%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99.8%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Expected life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4.61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1760" w:type="dxa"/>
            <w:vAlign w:val="bottom"/>
            <w:gridSpan w:val="2"/>
          </w:tcPr>
          <w:p>
            <w:pPr>
              <w:jc w:val="right"/>
              <w:ind w:right="12"/>
              <w:spacing w:after="0"/>
              <w:rPr>
                <w:sz w:val="20"/>
                <w:szCs w:val="20"/>
                <w:color w:val="auto"/>
              </w:rPr>
            </w:pPr>
            <w:r>
              <w:rPr>
                <w:rFonts w:ascii="Arial" w:cs="Arial" w:eastAsia="Arial" w:hAnsi="Arial"/>
                <w:sz w:val="18"/>
                <w:szCs w:val="18"/>
                <w:color w:val="auto"/>
              </w:rPr>
              <w:t>0.25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0.25</w:t>
            </w:r>
          </w:p>
        </w:tc>
      </w:tr>
    </w:tbl>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Expected volatility is based on a combination of historical volatility of our common stock and the implied volatility of our traded options for the related expected life period. We believe this combined approach is reflective of current and historical market conditions and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date an estimate of the award is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Subject to stock splits, dividends, and other similar events, 5,875,000 shares of common stock are reserved and authorized for issuance under our Amended and Restated 2000 Stock Incentive Plan (Stock Incentive Plan). Of the authorized shares under the Stock Incentive Plan, no more than 1.0 million shares of our common stock can be issued as non-stock options (awards). Awards consist of restricted stock units, restricted stock awards, and unrestricted stock awards. At March 31, 2010, shares available for issuance under the Stock Incentive Plan as either options or awards were 277,990.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Options to purchase our common stock are granted to employees and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40" w:type="dxa"/>
            <w:vAlign w:val="bottom"/>
            <w:gridSpan w:val="7"/>
          </w:tcPr>
          <w:p>
            <w:pPr>
              <w:spacing w:after="0"/>
              <w:rPr>
                <w:sz w:val="20"/>
                <w:szCs w:val="20"/>
                <w:color w:val="auto"/>
              </w:rPr>
            </w:pPr>
            <w:r>
              <w:rPr>
                <w:rFonts w:ascii="Arial" w:cs="Arial" w:eastAsia="Arial" w:hAnsi="Arial"/>
                <w:sz w:val="18"/>
                <w:szCs w:val="18"/>
                <w:color w:val="auto"/>
                <w:w w:val="91"/>
              </w:rPr>
              <w:t>A summary of our stock option activity for the three months ended March 31 is as follows:</w:t>
            </w: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 Average</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w w:val="85"/>
              </w:rPr>
              <w:t>Aggregate</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5"/>
              </w:rPr>
              <w:t>Average Exercise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w w:val="99"/>
              </w:rPr>
              <w:t>Intrinsic</w:t>
            </w:r>
          </w:p>
        </w:tc>
        <w:tc>
          <w:tcPr>
            <w:tcW w:w="5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Average Grant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b w:val="1"/>
                <w:bCs w:val="1"/>
                <w:color w:val="auto"/>
              </w:rPr>
              <w:t>Shares</w:t>
            </w:r>
          </w:p>
        </w:tc>
        <w:tc>
          <w:tcPr>
            <w:tcW w:w="580" w:type="dxa"/>
            <w:vAlign w:val="bottom"/>
          </w:tcPr>
          <w:p>
            <w:pPr>
              <w:spacing w:after="0"/>
              <w:rPr>
                <w:sz w:val="19"/>
                <w:szCs w:val="19"/>
                <w:color w:val="auto"/>
              </w:rPr>
            </w:pPr>
          </w:p>
        </w:tc>
        <w:tc>
          <w:tcPr>
            <w:tcW w:w="18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7"/>
              </w:rPr>
              <w:t>Price per Share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 Life</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11"/>
                <w:szCs w:val="11"/>
                <w:b w:val="1"/>
                <w:bCs w:val="1"/>
                <w:color w:val="auto"/>
              </w:rPr>
              <w:t>(1)</w:t>
            </w:r>
          </w:p>
        </w:tc>
        <w:tc>
          <w:tcPr>
            <w:tcW w:w="5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Date Fair 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580" w:type="dxa"/>
            <w:vAlign w:val="bottom"/>
          </w:tcPr>
          <w:p>
            <w:pPr>
              <w:spacing w:after="0"/>
              <w:rPr>
                <w:sz w:val="18"/>
                <w:szCs w:val="18"/>
                <w:color w:val="auto"/>
              </w:rPr>
            </w:pPr>
          </w:p>
        </w:tc>
        <w:tc>
          <w:tcPr>
            <w:tcW w:w="11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85"/>
              </w:rPr>
              <w:t>(in thousands)</w:t>
            </w:r>
          </w:p>
        </w:tc>
        <w:tc>
          <w:tcPr>
            <w:tcW w:w="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2009</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25,809</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57.96</w:t>
            </w: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59.64</w:t>
            </w:r>
          </w:p>
        </w:tc>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2009</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11,672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Exercisable and expected to vest,</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29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March 31, 2009</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1,308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49.44</w:t>
            </w: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11,672</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Exercisable, March 31, 2009</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805</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5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11,672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920" w:type="dxa"/>
            <w:vAlign w:val="bottom"/>
            <w:gridSpan w:val="2"/>
          </w:tcPr>
          <w:p>
            <w:pPr>
              <w:spacing w:after="0"/>
              <w:rPr>
                <w:sz w:val="20"/>
                <w:szCs w:val="20"/>
                <w:color w:val="auto"/>
              </w:rPr>
            </w:pPr>
            <w:r>
              <w:rPr>
                <w:rFonts w:ascii="Arial" w:cs="Arial" w:eastAsia="Arial" w:hAnsi="Arial"/>
                <w:sz w:val="18"/>
                <w:szCs w:val="18"/>
                <w:color w:val="auto"/>
              </w:rPr>
              <w:t>Outstanding, January 1, 2010</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1,179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52.93</w:t>
            </w:r>
          </w:p>
        </w:tc>
        <w:tc>
          <w:tcPr>
            <w:tcW w:w="5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5.90</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22,863</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52.05</w:t>
            </w: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1,357</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ind w:left="420"/>
              <w:spacing w:after="0"/>
              <w:rPr>
                <w:sz w:val="20"/>
                <w:szCs w:val="20"/>
                <w:color w:val="auto"/>
              </w:rPr>
            </w:pPr>
            <w:r>
              <w:rPr>
                <w:rFonts w:ascii="Arial" w:cs="Arial" w:eastAsia="Arial" w:hAnsi="Arial"/>
                <w:sz w:val="18"/>
                <w:szCs w:val="18"/>
                <w:color w:val="auto"/>
              </w:rPr>
              <w:t>Expired</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2010</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29,112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Exercisable and expected to vest,</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29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March 31, 2010</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1,159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53.32</w:t>
            </w: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6.12</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28,952</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Exercisable, March 31, 2010</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27,404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220" w:hanging="212"/>
        <w:spacing w:after="0" w:line="235" w:lineRule="auto"/>
        <w:tabs>
          <w:tab w:leader="none" w:pos="22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The aggregate intrinsic value is the amount by which the market value of the underlying stock exceeded the exercise price of the outstanding options before applicable income taxes, based on the closing stock price on the last business day of the period, which represents amounts that would have been received by the optionees had all options been exercised on that date.</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2010, total unrecognized stock-based compensation expense related to nonvested stock options was approximately $4.0 million, which is expected to be recognized over a weighted average period of approximately 19 months.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employees and senior management receive restricted stock units or restricted stock awards (collectively, restricted awards) as a component of their total compensation. The fair value of a restricted award is the market close price of our common stock on the date of grant. Restricted awards generally vest over a three year period. Compensation expense, net of forfeitures, is recognized over the vesting period.</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Subsequent to vesting, the restricted awards are converted into shares of our common stock on a one-for-one basis and issued to employees. We are entitled to an income tax deduction in an amount equal to the taxable income reported by the employees upon vesting of the restricted awards.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restricted awards issued under the Long Term Performance Restricted Stock Unit Award Agreement (Performance Award Agreement) are determined based on the attainment of annual performance goals after the end of the calendar year performance period. During the year, if management determines it is probable that the targets will be achieved, compensation expense, net of forfeitures, is recognized on a straight-line basis over the annual performance and vesting period. Performance Awards typically vest and are released in three equal installments at the beginning of each year following attainment of the performance goals. For U.S. participants who retire during the performance period, a pro-rated number of restricted awards (based on the number of days of employment during the performance period) immediately vest based on the attainment of the performance goals as assessed after the end of the performance period. During the vesting period, unvested restricted awards immediately vest at the date of retirement for U.S. participants who retire during that period. For U.S. participants who are or will become retirement eligible during either the annual performance or vesting period, compensation expense is accelerated and recognized over the greater of the performance period (one year) or the participant’s retirement eligible date. For the 2010 Performance Awards, the maximum restricted awards that may become eligible for vesting is 133,000 with a grant date fair value of $61.49.</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20" w:type="dxa"/>
            <w:vAlign w:val="bottom"/>
            <w:gridSpan w:val="5"/>
          </w:tcPr>
          <w:p>
            <w:pPr>
              <w:spacing w:after="0"/>
              <w:rPr>
                <w:sz w:val="20"/>
                <w:szCs w:val="20"/>
                <w:color w:val="auto"/>
              </w:rPr>
            </w:pPr>
            <w:r>
              <w:rPr>
                <w:rFonts w:ascii="Arial" w:cs="Arial" w:eastAsia="Arial" w:hAnsi="Arial"/>
                <w:sz w:val="18"/>
                <w:szCs w:val="18"/>
                <w:color w:val="auto"/>
                <w:w w:val="94"/>
              </w:rPr>
              <w:t>The following table summarizes restricted award activity for the three months ended March 31:</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3"/>
          </w:tcPr>
          <w:p>
            <w:pPr>
              <w:jc w:val="right"/>
              <w:ind w:right="1572"/>
              <w:spacing w:after="0"/>
              <w:rPr>
                <w:sz w:val="20"/>
                <w:szCs w:val="20"/>
                <w:color w:val="auto"/>
              </w:rPr>
            </w:pPr>
            <w:r>
              <w:rPr>
                <w:rFonts w:ascii="Arial" w:cs="Arial" w:eastAsia="Arial" w:hAnsi="Arial"/>
                <w:sz w:val="18"/>
                <w:szCs w:val="18"/>
                <w:b w:val="1"/>
                <w:bCs w:val="1"/>
                <w:color w:val="auto"/>
              </w:rPr>
              <w:t>Weighted</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3"/>
          </w:tcPr>
          <w:p>
            <w:pPr>
              <w:jc w:val="right"/>
              <w:ind w:right="1372"/>
              <w:spacing w:after="0"/>
              <w:rPr>
                <w:sz w:val="20"/>
                <w:szCs w:val="20"/>
                <w:color w:val="auto"/>
              </w:rPr>
            </w:pPr>
            <w:r>
              <w:rPr>
                <w:rFonts w:ascii="Arial" w:cs="Arial" w:eastAsia="Arial" w:hAnsi="Arial"/>
                <w:sz w:val="18"/>
                <w:szCs w:val="18"/>
                <w:b w:val="1"/>
                <w:bCs w:val="1"/>
                <w:color w:val="auto"/>
                <w:w w:val="90"/>
              </w:rPr>
              <w:t>Average Grant</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00" w:type="dxa"/>
            <w:vAlign w:val="bottom"/>
          </w:tcPr>
          <w:p>
            <w:pPr>
              <w:jc w:val="center"/>
              <w:ind w:left="352"/>
              <w:spacing w:after="0"/>
              <w:rPr>
                <w:sz w:val="20"/>
                <w:szCs w:val="20"/>
                <w:color w:val="auto"/>
              </w:rPr>
            </w:pPr>
            <w:r>
              <w:rPr>
                <w:rFonts w:ascii="Arial" w:cs="Arial" w:eastAsia="Arial" w:hAnsi="Arial"/>
                <w:sz w:val="18"/>
                <w:szCs w:val="18"/>
                <w:b w:val="1"/>
                <w:bCs w:val="1"/>
                <w:color w:val="auto"/>
                <w:w w:val="91"/>
              </w:rPr>
              <w:t>Number of</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3"/>
          </w:tcPr>
          <w:p>
            <w:pPr>
              <w:jc w:val="right"/>
              <w:ind w:right="1252"/>
              <w:spacing w:after="0"/>
              <w:rPr>
                <w:sz w:val="20"/>
                <w:szCs w:val="20"/>
                <w:color w:val="auto"/>
              </w:rPr>
            </w:pPr>
            <w:r>
              <w:rPr>
                <w:rFonts w:ascii="Arial" w:cs="Arial" w:eastAsia="Arial" w:hAnsi="Arial"/>
                <w:sz w:val="18"/>
                <w:szCs w:val="18"/>
                <w:b w:val="1"/>
                <w:bCs w:val="1"/>
                <w:color w:val="auto"/>
                <w:w w:val="95"/>
              </w:rPr>
              <w:t>Date Fair Value</w:t>
            </w:r>
          </w:p>
        </w:tc>
        <w:tc>
          <w:tcPr>
            <w:tcW w:w="1520" w:type="dxa"/>
            <w:vAlign w:val="bottom"/>
          </w:tcPr>
          <w:p>
            <w:pPr>
              <w:jc w:val="center"/>
              <w:ind w:right="112"/>
              <w:spacing w:after="0"/>
              <w:rPr>
                <w:sz w:val="20"/>
                <w:szCs w:val="20"/>
                <w:color w:val="auto"/>
              </w:rPr>
            </w:pPr>
            <w:r>
              <w:rPr>
                <w:rFonts w:ascii="Arial" w:cs="Arial" w:eastAsia="Arial" w:hAnsi="Arial"/>
                <w:sz w:val="18"/>
                <w:szCs w:val="18"/>
                <w:b w:val="1"/>
                <w:bCs w:val="1"/>
                <w:color w:val="auto"/>
                <w:w w:val="85"/>
              </w:rPr>
              <w:t>Aggregate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78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7"/>
              </w:rPr>
              <w:t>Restricted Awards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112"/>
              <w:spacing w:after="0"/>
              <w:rPr>
                <w:sz w:val="20"/>
                <w:szCs w:val="20"/>
                <w:color w:val="auto"/>
              </w:rPr>
            </w:pPr>
            <w:r>
              <w:rPr>
                <w:rFonts w:ascii="Arial" w:cs="Arial" w:eastAsia="Arial" w:hAnsi="Arial"/>
                <w:sz w:val="18"/>
                <w:szCs w:val="18"/>
                <w:b w:val="1"/>
                <w:bCs w:val="1"/>
                <w:color w:val="auto"/>
                <w:w w:val="93"/>
              </w:rPr>
              <w:t>Intrinsic Value</w:t>
            </w:r>
            <w:r>
              <w:rPr>
                <w:rFonts w:ascii="Arial" w:cs="Arial" w:eastAsia="Arial" w:hAnsi="Arial"/>
                <w:sz w:val="11"/>
                <w:szCs w:val="11"/>
                <w:b w:val="1"/>
                <w:bCs w:val="1"/>
                <w:color w:val="auto"/>
                <w:w w:val="93"/>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1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5"/>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1, 2009</w:t>
            </w: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3"/>
              </w:rPr>
              <w:t>313</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10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70.76</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Released</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(20)</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2009</w:t>
            </w: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3"/>
              </w:rPr>
              <w:t>343</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640" w:type="dxa"/>
            <w:vAlign w:val="bottom"/>
            <w:gridSpan w:val="3"/>
          </w:tcPr>
          <w:p>
            <w:pPr>
              <w:spacing w:after="0"/>
              <w:rPr>
                <w:sz w:val="20"/>
                <w:szCs w:val="20"/>
                <w:color w:val="auto"/>
              </w:rPr>
            </w:pPr>
            <w:r>
              <w:rPr>
                <w:rFonts w:ascii="Arial" w:cs="Arial" w:eastAsia="Arial" w:hAnsi="Arial"/>
                <w:sz w:val="18"/>
                <w:szCs w:val="18"/>
                <w:color w:val="auto"/>
              </w:rPr>
              <w:t>Outstanding, January 1, 2010</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w w:val="93"/>
              </w:rPr>
              <w:t>326</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Granted</w:t>
            </w:r>
            <w:r>
              <w:rPr>
                <w:rFonts w:ascii="Arial" w:cs="Arial" w:eastAsia="Arial" w:hAnsi="Arial"/>
                <w:sz w:val="11"/>
                <w:szCs w:val="11"/>
                <w:color w:val="auto"/>
              </w:rPr>
              <w:t>(2)</w:t>
            </w: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3"/>
              </w:rPr>
              <w:t>188</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61.55</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ind w:left="420"/>
              <w:spacing w:after="0"/>
              <w:rPr>
                <w:sz w:val="20"/>
                <w:szCs w:val="20"/>
                <w:color w:val="auto"/>
              </w:rPr>
            </w:pPr>
            <w:r>
              <w:rPr>
                <w:rFonts w:ascii="Arial" w:cs="Arial" w:eastAsia="Arial" w:hAnsi="Arial"/>
                <w:sz w:val="18"/>
                <w:szCs w:val="18"/>
                <w:color w:val="auto"/>
              </w:rPr>
              <w:t>Released</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99"/>
              </w:rPr>
              <w:t>(18)</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gridSpan w:val="3"/>
          </w:tcPr>
          <w:p>
            <w:pPr>
              <w:spacing w:after="0"/>
              <w:rPr>
                <w:sz w:val="20"/>
                <w:szCs w:val="20"/>
                <w:color w:val="auto"/>
              </w:rPr>
            </w:pPr>
            <w:r>
              <w:rPr>
                <w:rFonts w:ascii="Arial" w:cs="Arial" w:eastAsia="Arial" w:hAnsi="Arial"/>
                <w:sz w:val="18"/>
                <w:szCs w:val="18"/>
                <w:color w:val="auto"/>
              </w:rPr>
              <w:t>Outstanding, March 31, 2010</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w w:val="93"/>
              </w:rPr>
              <w:t>489</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Vested, March 31, 2010</w:t>
            </w: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4340" w:type="dxa"/>
            <w:vAlign w:val="bottom"/>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640" w:type="dxa"/>
            <w:vAlign w:val="bottom"/>
            <w:gridSpan w:val="3"/>
          </w:tcPr>
          <w:p>
            <w:pPr>
              <w:spacing w:after="0"/>
              <w:rPr>
                <w:sz w:val="20"/>
                <w:szCs w:val="20"/>
                <w:color w:val="auto"/>
              </w:rPr>
            </w:pPr>
            <w:r>
              <w:rPr>
                <w:rFonts w:ascii="Arial" w:cs="Arial" w:eastAsia="Arial" w:hAnsi="Arial"/>
                <w:sz w:val="18"/>
                <w:szCs w:val="18"/>
                <w:color w:val="auto"/>
              </w:rPr>
              <w:t>Expected to vest, March 31, 2010</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w w:val="93"/>
              </w:rPr>
              <w:t>398</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aggregate intrinsic value is the market value of the stock released or vested, before applicable income taxes, based on the closing price on the stock release dates or at the end of the period for stock vested but not released.</w:t>
      </w:r>
    </w:p>
    <w:p>
      <w:pPr>
        <w:spacing w:after="0" w:line="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Restricted awards granted do not include those granted in 2010 under the Performance Awards Agreement, which are not yet eligible for vesting as of March 31, 2010.</w:t>
      </w:r>
    </w:p>
    <w:p>
      <w:pPr>
        <w:spacing w:after="0" w:line="132" w:lineRule="exact"/>
        <w:rPr>
          <w:sz w:val="20"/>
          <w:szCs w:val="20"/>
          <w:color w:val="auto"/>
        </w:rPr>
      </w:pPr>
    </w:p>
    <w:p>
      <w:pPr>
        <w:sectPr>
          <w:pgSz w:w="11900" w:h="16838" w:orient="portrait"/>
          <w:cols w:equalWidth="0" w:num="2">
            <w:col w:w="140" w:space="80"/>
            <w:col w:w="11200"/>
          </w:cols>
          <w:pgMar w:left="240" w:top="459" w:right="239" w:bottom="1440" w:gutter="0" w:footer="0" w:header="0"/>
          <w:type w:val="continuous"/>
        </w:sectPr>
      </w:pPr>
    </w:p>
    <w:p>
      <w:pPr>
        <w:jc w:val="both"/>
        <w:spacing w:after="0" w:line="268" w:lineRule="auto"/>
        <w:rPr>
          <w:sz w:val="20"/>
          <w:szCs w:val="20"/>
          <w:color w:val="auto"/>
        </w:rPr>
      </w:pPr>
      <w:r>
        <w:rPr>
          <w:rFonts w:ascii="Arial" w:cs="Arial" w:eastAsia="Arial" w:hAnsi="Arial"/>
          <w:sz w:val="18"/>
          <w:szCs w:val="18"/>
          <w:color w:val="auto"/>
        </w:rPr>
        <w:t>At March 31, 2010, unrecognized compensation expense was $24.1 million, which is expected to be recognized over a weighted average period of approximately 28 months.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Unrestricted Stock Awards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issue unrestricted stock awards to our Board of Directors as part of their compensation. Awards are fully vested at issuance and are expensed when issued.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unrestricted stock awards is the market close price of our common stock on the date of grant.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three months ended March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1"/>
        </w:trPr>
        <w:tc>
          <w:tcPr>
            <w:tcW w:w="4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Shares of unrestricted stock issued</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r>
      <w:tr>
        <w:trPr>
          <w:trHeight w:val="322"/>
        </w:trPr>
        <w:tc>
          <w:tcPr>
            <w:tcW w:w="442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67.80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65.95</w:t>
            </w: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ESPP, eligible employees can elect to deduct up to 10% of their regular cash compensation to purchase our common stock at a discounted price. The purchase price of the common stock is 85% of the fair market value of the stock at the end of each fiscal quarter. The sale of the stock occurs at the beginning of the subsequent quarter.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80" w:type="dxa"/>
            <w:vAlign w:val="bottom"/>
            <w:gridSpan w:val="4"/>
          </w:tcPr>
          <w:p>
            <w:pPr>
              <w:spacing w:after="0"/>
              <w:rPr>
                <w:sz w:val="20"/>
                <w:szCs w:val="20"/>
                <w:color w:val="auto"/>
              </w:rPr>
            </w:pPr>
            <w:r>
              <w:rPr>
                <w:rFonts w:ascii="Arial" w:cs="Arial" w:eastAsia="Arial" w:hAnsi="Arial"/>
                <w:sz w:val="18"/>
                <w:szCs w:val="18"/>
                <w:color w:val="auto"/>
                <w:w w:val="90"/>
              </w:rPr>
              <w:t>The following table summarizes ESPP activity for the three months ended March 31:</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0"/>
        </w:trPr>
        <w:tc>
          <w:tcPr>
            <w:tcW w:w="4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1"/>
        </w:trPr>
        <w:tc>
          <w:tcPr>
            <w:tcW w:w="4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2009</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Shares of stock sold to employees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w:t>
            </w:r>
          </w:p>
        </w:tc>
      </w:tr>
      <w:tr>
        <w:trPr>
          <w:trHeight w:val="322"/>
        </w:trPr>
        <w:tc>
          <w:tcPr>
            <w:tcW w:w="4400" w:type="dxa"/>
            <w:vAlign w:val="bottom"/>
          </w:tcPr>
          <w:p>
            <w:pPr>
              <w:spacing w:after="0"/>
              <w:rPr>
                <w:sz w:val="20"/>
                <w:szCs w:val="20"/>
                <w:color w:val="auto"/>
              </w:rPr>
            </w:pPr>
            <w:r>
              <w:rPr>
                <w:rFonts w:ascii="Arial" w:cs="Arial" w:eastAsia="Arial" w:hAnsi="Arial"/>
                <w:sz w:val="18"/>
                <w:szCs w:val="18"/>
                <w:color w:val="auto"/>
              </w:rPr>
              <w:t>Weighted average fair value per ESPP award</w:t>
            </w:r>
            <w:r>
              <w:rPr>
                <w:rFonts w:ascii="Arial" w:cs="Arial" w:eastAsia="Arial" w:hAnsi="Arial"/>
                <w:sz w:val="11"/>
                <w:szCs w:val="11"/>
                <w:color w:val="auto"/>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10.89</w:t>
            </w:r>
          </w:p>
        </w:tc>
        <w:tc>
          <w:tcPr>
            <w:tcW w:w="38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7.10</w:t>
            </w:r>
          </w:p>
        </w:tc>
      </w:tr>
    </w:tbl>
    <w:p>
      <w:pPr>
        <w:spacing w:after="0" w:line="44"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Relating to awards associated with the offering periods during the three months ended March 31.</w:t>
      </w:r>
    </w:p>
    <w:p>
      <w:pPr>
        <w:spacing w:after="0" w:line="15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fair value of ESPP awards is estimated using the Black-Scholes option-pricing model. At March 31, 2010, all compensation cost associated with the ESPP had been recognized. There were approximately 235,000 shares of common stock available for future issuance under the ESPP at March 31, 2010.</w:t>
      </w:r>
    </w:p>
    <w:p>
      <w:pPr>
        <w:spacing w:after="0" w:line="16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tax provision (benefit) as a percentage of income (loss) before tax typically differs from the federal statutory rate of 35%, and may vary from period to period, due to the forecasted mix of earnings in domestic and international jurisdictions, new or revised tax legislation and accounting pronouncements, tax credits, state income taxes, adjustments to valuation allowances, and interest expense and penalties to uncertain tax positions, among other items.</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2010, we had a tax benefit of 48%, based on a percentage of income before tax, as compared with a minimal tax benefit for the same period in 2009.</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tax benefits in 2010 and 2009 are the result of certain interest expense deductions and the election under U.S. Internal Revenue Code Section 338 with respect to the acquisition of Actaris Metering Systems SA in 2007, as well as the forecasted mix of earnings in different tax jurisdictions. The 2010 tax benefit also reflects the receipt of a clean energy manufacturing tax credit awarded as part of the American Recovery and Reinvestment Act and a benefit related to the reduction of tax reserves for certain foreign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We classify interest expense and penalties related to unrecognized tax liabilities and interest income on tax overpayments as components of income tax expense.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Interest and penalties recognized, and accrued interest and penalties recorded,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3"/>
          </w:tcPr>
          <w:p>
            <w:pPr>
              <w:jc w:val="center"/>
              <w:ind w:left="232"/>
              <w:spacing w:after="0"/>
              <w:rPr>
                <w:sz w:val="20"/>
                <w:szCs w:val="20"/>
                <w:color w:val="auto"/>
              </w:rPr>
            </w:pPr>
            <w:r>
              <w:rPr>
                <w:rFonts w:ascii="Arial" w:cs="Arial" w:eastAsia="Arial" w:hAnsi="Arial"/>
                <w:sz w:val="18"/>
                <w:szCs w:val="18"/>
                <w:b w:val="1"/>
                <w:bCs w:val="1"/>
                <w:color w:val="auto"/>
                <w:w w:val="90"/>
              </w:rPr>
              <w:t>Three Months Ended March 31,</w:t>
            </w:r>
          </w:p>
        </w:tc>
        <w:tc>
          <w:tcPr>
            <w:tcW w:w="500" w:type="dxa"/>
            <w:vAlign w:val="bottom"/>
            <w:tcBorders>
              <w:bottom w:val="single" w:sz="8" w:color="auto"/>
            </w:tcBorders>
          </w:tcPr>
          <w:p>
            <w:pPr>
              <w:spacing w:after="0"/>
              <w:rPr>
                <w:sz w:val="19"/>
                <w:szCs w:val="19"/>
                <w:color w:val="auto"/>
              </w:rPr>
            </w:pPr>
          </w:p>
        </w:tc>
      </w:tr>
      <w:tr>
        <w:trPr>
          <w:trHeight w:val="211"/>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2010</w:t>
            </w:r>
          </w:p>
        </w:tc>
        <w:tc>
          <w:tcPr>
            <w:tcW w:w="2340" w:type="dxa"/>
            <w:vAlign w:val="bottom"/>
            <w:gridSpan w:val="2"/>
          </w:tcPr>
          <w:p>
            <w:pPr>
              <w:jc w:val="center"/>
              <w:ind w:left="1652"/>
              <w:spacing w:after="0"/>
              <w:rPr>
                <w:sz w:val="20"/>
                <w:szCs w:val="20"/>
                <w:color w:val="auto"/>
              </w:rPr>
            </w:pPr>
            <w:r>
              <w:rPr>
                <w:rFonts w:ascii="Arial" w:cs="Arial" w:eastAsia="Arial" w:hAnsi="Arial"/>
                <w:sz w:val="18"/>
                <w:szCs w:val="18"/>
                <w:b w:val="1"/>
                <w:bCs w:val="1"/>
                <w:color w:val="auto"/>
                <w:w w:val="89"/>
              </w:rPr>
              <w:t>2009</w:t>
            </w:r>
          </w:p>
        </w:tc>
        <w:tc>
          <w:tcPr>
            <w:tcW w:w="500" w:type="dxa"/>
            <w:vAlign w:val="bottom"/>
          </w:tcPr>
          <w:p>
            <w:pPr>
              <w:spacing w:after="0"/>
              <w:rPr>
                <w:sz w:val="18"/>
                <w:szCs w:val="18"/>
                <w:color w:val="auto"/>
              </w:rPr>
            </w:pPr>
          </w:p>
        </w:tc>
      </w:tr>
      <w:tr>
        <w:trPr>
          <w:trHeight w:val="208"/>
        </w:trPr>
        <w:tc>
          <w:tcPr>
            <w:tcW w:w="6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40" w:type="dxa"/>
            <w:vAlign w:val="bottom"/>
          </w:tcPr>
          <w:p>
            <w:pPr>
              <w:jc w:val="center"/>
              <w:ind w:left="132"/>
              <w:spacing w:after="0"/>
              <w:rPr>
                <w:sz w:val="20"/>
                <w:szCs w:val="20"/>
                <w:color w:val="auto"/>
              </w:rPr>
            </w:pPr>
            <w:r>
              <w:rPr>
                <w:rFonts w:ascii="Arial" w:cs="Arial" w:eastAsia="Arial" w:hAnsi="Arial"/>
                <w:sz w:val="18"/>
                <w:szCs w:val="18"/>
                <w:b w:val="1"/>
                <w:bCs w:val="1"/>
                <w:color w:val="auto"/>
                <w:w w:val="82"/>
              </w:rPr>
              <w:t>(in thousands)</w:t>
            </w: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r>
      <w:tr>
        <w:trPr>
          <w:trHeight w:val="217"/>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penalties recognized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34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418"/>
        </w:trPr>
        <w:tc>
          <w:tcPr>
            <w:tcW w:w="632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At March 31,</w:t>
            </w:r>
          </w:p>
        </w:tc>
        <w:tc>
          <w:tcPr>
            <w:tcW w:w="124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At December 31,</w:t>
            </w:r>
          </w:p>
        </w:tc>
      </w:tr>
      <w:tr>
        <w:trPr>
          <w:trHeight w:val="228"/>
        </w:trPr>
        <w:tc>
          <w:tcPr>
            <w:tcW w:w="6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2010</w:t>
            </w:r>
          </w:p>
        </w:tc>
        <w:tc>
          <w:tcPr>
            <w:tcW w:w="2340" w:type="dxa"/>
            <w:vAlign w:val="bottom"/>
            <w:gridSpan w:val="2"/>
          </w:tcPr>
          <w:p>
            <w:pPr>
              <w:jc w:val="center"/>
              <w:ind w:left="1652"/>
              <w:spacing w:after="0"/>
              <w:rPr>
                <w:sz w:val="20"/>
                <w:szCs w:val="20"/>
                <w:color w:val="auto"/>
              </w:rPr>
            </w:pPr>
            <w:r>
              <w:rPr>
                <w:rFonts w:ascii="Arial" w:cs="Arial" w:eastAsia="Arial" w:hAnsi="Arial"/>
                <w:sz w:val="18"/>
                <w:szCs w:val="18"/>
                <w:b w:val="1"/>
                <w:bCs w:val="1"/>
                <w:color w:val="auto"/>
                <w:w w:val="89"/>
              </w:rPr>
              <w:t>2009</w:t>
            </w:r>
          </w:p>
        </w:tc>
        <w:tc>
          <w:tcPr>
            <w:tcW w:w="500" w:type="dxa"/>
            <w:vAlign w:val="bottom"/>
          </w:tcPr>
          <w:p>
            <w:pPr>
              <w:spacing w:after="0"/>
              <w:rPr>
                <w:sz w:val="19"/>
                <w:szCs w:val="19"/>
                <w:color w:val="auto"/>
              </w:rPr>
            </w:pPr>
          </w:p>
        </w:tc>
      </w:tr>
      <w:tr>
        <w:trPr>
          <w:trHeight w:val="210"/>
        </w:trPr>
        <w:tc>
          <w:tcPr>
            <w:tcW w:w="6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40" w:type="dxa"/>
            <w:vAlign w:val="bottom"/>
          </w:tcPr>
          <w:p>
            <w:pPr>
              <w:jc w:val="center"/>
              <w:ind w:left="172"/>
              <w:spacing w:after="0"/>
              <w:rPr>
                <w:sz w:val="20"/>
                <w:szCs w:val="20"/>
                <w:color w:val="auto"/>
              </w:rPr>
            </w:pPr>
            <w:r>
              <w:rPr>
                <w:rFonts w:ascii="Arial" w:cs="Arial" w:eastAsia="Arial" w:hAnsi="Arial"/>
                <w:sz w:val="18"/>
                <w:szCs w:val="18"/>
                <w:b w:val="1"/>
                <w:bCs w:val="1"/>
                <w:color w:val="auto"/>
                <w:w w:val="89"/>
              </w:rPr>
              <w:t>(in millions)</w:t>
            </w: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r>
      <w:tr>
        <w:trPr>
          <w:trHeight w:val="21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34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Accrued penalties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1"/>
        </w:trPr>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At March 31,</w:t>
            </w:r>
          </w:p>
        </w:tc>
        <w:tc>
          <w:tcPr>
            <w:tcW w:w="124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At December 31,</w:t>
            </w:r>
          </w:p>
        </w:tc>
      </w:tr>
      <w:tr>
        <w:trPr>
          <w:trHeight w:val="228"/>
        </w:trPr>
        <w:tc>
          <w:tcPr>
            <w:tcW w:w="6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2010</w:t>
            </w:r>
          </w:p>
        </w:tc>
        <w:tc>
          <w:tcPr>
            <w:tcW w:w="2340" w:type="dxa"/>
            <w:vAlign w:val="bottom"/>
            <w:gridSpan w:val="2"/>
          </w:tcPr>
          <w:p>
            <w:pPr>
              <w:jc w:val="center"/>
              <w:ind w:left="1652"/>
              <w:spacing w:after="0"/>
              <w:rPr>
                <w:sz w:val="20"/>
                <w:szCs w:val="20"/>
                <w:color w:val="auto"/>
              </w:rPr>
            </w:pPr>
            <w:r>
              <w:rPr>
                <w:rFonts w:ascii="Arial" w:cs="Arial" w:eastAsia="Arial" w:hAnsi="Arial"/>
                <w:sz w:val="18"/>
                <w:szCs w:val="18"/>
                <w:b w:val="1"/>
                <w:bCs w:val="1"/>
                <w:color w:val="auto"/>
                <w:w w:val="89"/>
              </w:rPr>
              <w:t>2009</w:t>
            </w:r>
          </w:p>
        </w:tc>
        <w:tc>
          <w:tcPr>
            <w:tcW w:w="500" w:type="dxa"/>
            <w:vAlign w:val="bottom"/>
          </w:tcPr>
          <w:p>
            <w:pPr>
              <w:spacing w:after="0"/>
              <w:rPr>
                <w:sz w:val="19"/>
                <w:szCs w:val="19"/>
                <w:color w:val="auto"/>
              </w:rPr>
            </w:pPr>
          </w:p>
        </w:tc>
      </w:tr>
      <w:tr>
        <w:trPr>
          <w:trHeight w:val="210"/>
        </w:trPr>
        <w:tc>
          <w:tcPr>
            <w:tcW w:w="6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40" w:type="dxa"/>
            <w:vAlign w:val="bottom"/>
          </w:tcPr>
          <w:p>
            <w:pPr>
              <w:jc w:val="center"/>
              <w:ind w:left="172"/>
              <w:spacing w:after="0"/>
              <w:rPr>
                <w:sz w:val="20"/>
                <w:szCs w:val="20"/>
                <w:color w:val="auto"/>
              </w:rPr>
            </w:pPr>
            <w:r>
              <w:rPr>
                <w:rFonts w:ascii="Arial" w:cs="Arial" w:eastAsia="Arial" w:hAnsi="Arial"/>
                <w:sz w:val="18"/>
                <w:szCs w:val="18"/>
                <w:b w:val="1"/>
                <w:bCs w:val="1"/>
                <w:color w:val="auto"/>
                <w:w w:val="89"/>
              </w:rPr>
              <w:t>(in millions)</w:t>
            </w: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r>
      <w:tr>
        <w:trPr>
          <w:trHeight w:val="21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related to uncertain tax positions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34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08"/>
        </w:trPr>
        <w:tc>
          <w:tcPr>
            <w:tcW w:w="6320" w:type="dxa"/>
            <w:vAlign w:val="bottom"/>
          </w:tcPr>
          <w:p>
            <w:pPr>
              <w:spacing w:after="0"/>
              <w:rPr>
                <w:sz w:val="20"/>
                <w:szCs w:val="20"/>
                <w:color w:val="auto"/>
              </w:rPr>
            </w:pPr>
            <w:r>
              <w:rPr>
                <w:rFonts w:ascii="Arial" w:cs="Arial" w:eastAsia="Arial" w:hAnsi="Arial"/>
                <w:sz w:val="18"/>
                <w:szCs w:val="18"/>
                <w:color w:val="auto"/>
              </w:rPr>
              <w:t>The amount of unrecognized tax benefits that, if recognized, would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6320" w:type="dxa"/>
            <w:vAlign w:val="bottom"/>
          </w:tcPr>
          <w:p>
            <w:pPr>
              <w:ind w:left="220"/>
              <w:spacing w:after="0"/>
              <w:rPr>
                <w:sz w:val="20"/>
                <w:szCs w:val="20"/>
                <w:color w:val="auto"/>
              </w:rPr>
            </w:pPr>
            <w:r>
              <w:rPr>
                <w:rFonts w:ascii="Arial" w:cs="Arial" w:eastAsia="Arial" w:hAnsi="Arial"/>
                <w:sz w:val="18"/>
                <w:szCs w:val="18"/>
                <w:color w:val="auto"/>
              </w:rPr>
              <w:t>affect our effective tax rate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r>
    </w:tbl>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March 31, 2010, we expect to pay $760,000 in income taxes, interest, or penalties related to uncertain tax positions over the next twelve months. We are not able to reasonably estimate the timing of future cash flows relating to the remaining balance.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it is reasonably possible that our unrecognized tax benefits may decrease by approximately $4.4 million within the next twelve months due to the potential lapse of certain applicable statutes of limitations and the final resolution of certain tax audits.</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b w:val="1"/>
                <w:bCs w:val="1"/>
                <w:color w:val="auto"/>
                <w:w w:val="95"/>
              </w:rPr>
              <w:t>At March 31,</w:t>
            </w:r>
          </w:p>
        </w:tc>
        <w:tc>
          <w:tcPr>
            <w:tcW w:w="1120" w:type="dxa"/>
            <w:vAlign w:val="bottom"/>
          </w:tcPr>
          <w:p>
            <w:pPr>
              <w:spacing w:after="0"/>
              <w:rPr>
                <w:sz w:val="24"/>
                <w:szCs w:val="24"/>
                <w:color w:val="auto"/>
              </w:rPr>
            </w:pPr>
          </w:p>
        </w:tc>
        <w:tc>
          <w:tcPr>
            <w:tcW w:w="16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9"/>
              </w:rPr>
              <w:t>At 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2010</w:t>
            </w:r>
          </w:p>
        </w:tc>
        <w:tc>
          <w:tcPr>
            <w:tcW w:w="1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Arial" w:cs="Arial" w:eastAsia="Arial" w:hAnsi="Arial"/>
                <w:sz w:val="18"/>
                <w:szCs w:val="18"/>
                <w:b w:val="1"/>
                <w:bCs w:val="1"/>
                <w:color w:val="auto"/>
                <w:w w:val="94"/>
              </w:rPr>
              <w:t>(in millions)</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r>
              <w:rPr>
                <w:rFonts w:ascii="Arial" w:cs="Arial" w:eastAsia="Arial" w:hAnsi="Arial"/>
                <w:sz w:val="11"/>
                <w:szCs w:val="11"/>
                <w:color w:val="auto"/>
              </w:rPr>
              <w:t>(1)</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Multicurrency revolving line of credit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115.0</w:t>
            </w:r>
          </w:p>
        </w:tc>
        <w:tc>
          <w:tcPr>
            <w:tcW w:w="15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Standby LOC’s issued and outstanding</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Net available for additional borrowings and LOC’s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80.2</w:t>
            </w:r>
          </w:p>
        </w:tc>
        <w:tc>
          <w:tcPr>
            <w:tcW w:w="15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Unsecured multicurrency revolving lines of credit with various financial institutions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Total lines of credit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38.6</w:t>
            </w:r>
          </w:p>
        </w:tc>
        <w:tc>
          <w:tcPr>
            <w:tcW w:w="15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Standby LOC’s issued and outstanding</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Short-term borrowings</w:t>
            </w:r>
            <w:r>
              <w:rPr>
                <w:rFonts w:ascii="Arial" w:cs="Arial" w:eastAsia="Arial" w:hAnsi="Arial"/>
                <w:sz w:val="11"/>
                <w:szCs w:val="11"/>
                <w:color w:val="auto"/>
              </w:rPr>
              <w:t>(2)</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available for additional borrowings and LOC’s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71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180" w:type="dxa"/>
            <w:vAlign w:val="bottom"/>
            <w:gridSpan w:val="2"/>
          </w:tcPr>
          <w:p>
            <w:pPr>
              <w:spacing w:after="0"/>
              <w:rPr>
                <w:sz w:val="20"/>
                <w:szCs w:val="20"/>
                <w:color w:val="auto"/>
              </w:rPr>
            </w:pPr>
            <w:r>
              <w:rPr>
                <w:rFonts w:ascii="Arial" w:cs="Arial" w:eastAsia="Arial" w:hAnsi="Arial"/>
                <w:sz w:val="18"/>
                <w:szCs w:val="18"/>
                <w:color w:val="auto"/>
              </w:rPr>
              <w:t>Unsecured surety bonds in force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87.9</w:t>
            </w:r>
          </w:p>
        </w:tc>
        <w:tc>
          <w:tcPr>
            <w:tcW w:w="15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See Note 6 for details regarding our credit facility, which is secured.</w:t>
      </w:r>
    </w:p>
    <w:p>
      <w:pPr>
        <w:spacing w:after="0" w:line="7" w:lineRule="exact"/>
        <w:rPr>
          <w:rFonts w:ascii="Arial" w:cs="Arial" w:eastAsia="Arial" w:hAnsi="Arial"/>
          <w:sz w:val="22"/>
          <w:szCs w:val="22"/>
          <w:color w:val="auto"/>
          <w:vertAlign w:val="superscript"/>
        </w:rPr>
      </w:pPr>
    </w:p>
    <w:p>
      <w:pPr>
        <w:ind w:left="220" w:hanging="212"/>
        <w:spacing w:after="0" w:line="197" w:lineRule="auto"/>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Short-term borrowings are included in “Other current liabilities” on the Consolidated Balance Sheets.</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any such bond or standby LOC is called, we would be obligated to reimburse the issuer of the standby LOC or bond; however, we do not believe that any currently outstanding bond or LOC will be called.</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 Liabilities recorded for legal contingencies at March 31, 2010 were not material to our financial condition or results of operations.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December 18, 2009, we received a statement of claim in the matter of an arbitration between Cinclus Technology (Cinclus) and Itron Metering Solutions UK Ltd (Itron UK). The claim relates to an alleged defect in meters sold to Cinclus during 2007 for installation on a project Cinclus was managing for E.ON, a utility with customers in Sweden. On December 23, 2009, we received a statement of claim in the matter of an arbitration between Cinclus and Itron UK relating to an alleged defect in meters sold to Cinclus during 2007 - 2009 for installation on a project Cinclus was managing for Fortum,</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utility with customers in Sweden. Both arbitrations have been filed with the Arbitration Institute of the Stockholm Chamber of Commerce. In both arbitrations, Cinclus claims the meters provided by Itron UK fail to meet specifications because in certain environments the meters are affected by external events, which impairs the meter’s capability to measure energy accurately. Cinclus asserts that all meters must be replaced at Itron UK’s cost and expense, including the cost of field work to replace the meters, plus other losses and damages to be specified at a later date. Itron UK has denied all of the allegations and will defend these claims. We do not believe this matter will have a material adverse effect on our business or financial condition, although an unfavorable outcome could have a material adverse effect on Itron’s results of operations for the period in which such a loss is recognized.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Health Benefits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self 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 Plan costs and the IBNR accrual, which is included in wages and benefits payable,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Borders>
              <w:bottom w:val="single" w:sz="8" w:color="auto"/>
            </w:tcBorders>
          </w:tcPr>
          <w:p>
            <w:pPr>
              <w:spacing w:after="0"/>
              <w:rPr>
                <w:sz w:val="19"/>
                <w:szCs w:val="19"/>
                <w:color w:val="auto"/>
              </w:rPr>
            </w:pPr>
          </w:p>
        </w:tc>
      </w:tr>
      <w:tr>
        <w:trPr>
          <w:trHeight w:val="211"/>
        </w:trPr>
        <w:tc>
          <w:tcPr>
            <w:tcW w:w="2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4"/>
              </w:rPr>
              <w:t>2010</w:t>
            </w:r>
          </w:p>
        </w:tc>
        <w:tc>
          <w:tcPr>
            <w:tcW w:w="380" w:type="dxa"/>
            <w:vAlign w:val="bottom"/>
          </w:tcPr>
          <w:p>
            <w:pPr>
              <w:spacing w:after="0"/>
              <w:rPr>
                <w:sz w:val="18"/>
                <w:szCs w:val="18"/>
                <w:color w:val="auto"/>
              </w:rPr>
            </w:pPr>
          </w:p>
        </w:tc>
        <w:tc>
          <w:tcPr>
            <w:tcW w:w="116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b w:val="1"/>
                <w:bCs w:val="1"/>
                <w:color w:val="auto"/>
                <w:w w:val="84"/>
              </w:rPr>
              <w:t>2009</w:t>
            </w:r>
          </w:p>
        </w:tc>
        <w:tc>
          <w:tcPr>
            <w:tcW w:w="420" w:type="dxa"/>
            <w:vAlign w:val="bottom"/>
            <w:tcBorders>
              <w:bottom w:val="single" w:sz="8" w:color="auto"/>
            </w:tcBorders>
          </w:tcPr>
          <w:p>
            <w:pPr>
              <w:spacing w:after="0"/>
              <w:rPr>
                <w:sz w:val="18"/>
                <w:szCs w:val="18"/>
                <w:color w:val="auto"/>
              </w:rPr>
            </w:pPr>
          </w:p>
        </w:tc>
      </w:tr>
      <w:tr>
        <w:trPr>
          <w:trHeight w:val="210"/>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540" w:type="dxa"/>
            <w:vAlign w:val="bottom"/>
            <w:gridSpan w:val="2"/>
          </w:tcPr>
          <w:p>
            <w:pPr>
              <w:jc w:val="right"/>
              <w:ind w:right="772"/>
              <w:spacing w:after="0"/>
              <w:rPr>
                <w:sz w:val="20"/>
                <w:szCs w:val="20"/>
                <w:color w:val="auto"/>
              </w:rPr>
            </w:pPr>
            <w:r>
              <w:rPr>
                <w:rFonts w:ascii="Arial" w:cs="Arial" w:eastAsia="Arial" w:hAnsi="Arial"/>
                <w:sz w:val="18"/>
                <w:szCs w:val="18"/>
                <w:b w:val="1"/>
                <w:bCs w:val="1"/>
                <w:color w:val="auto"/>
                <w:w w:val="89"/>
              </w:rPr>
              <w:t>millions)</w:t>
            </w:r>
          </w:p>
        </w:tc>
        <w:tc>
          <w:tcPr>
            <w:tcW w:w="42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Plan costs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54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418"/>
        </w:trPr>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ind w:right="132"/>
              <w:spacing w:after="0"/>
              <w:rPr>
                <w:sz w:val="20"/>
                <w:szCs w:val="20"/>
                <w:color w:val="auto"/>
              </w:rPr>
            </w:pPr>
            <w:r>
              <w:rPr>
                <w:rFonts w:ascii="Arial" w:cs="Arial" w:eastAsia="Arial" w:hAnsi="Arial"/>
                <w:sz w:val="18"/>
                <w:szCs w:val="18"/>
                <w:b w:val="1"/>
                <w:bCs w:val="1"/>
                <w:color w:val="auto"/>
                <w:w w:val="93"/>
              </w:rPr>
              <w:t>At March 31,</w:t>
            </w:r>
          </w:p>
        </w:tc>
        <w:tc>
          <w:tcPr>
            <w:tcW w:w="38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At December 31,</w:t>
            </w:r>
          </w:p>
        </w:tc>
      </w:tr>
      <w:tr>
        <w:trPr>
          <w:trHeight w:val="229"/>
        </w:trPr>
        <w:tc>
          <w:tcPr>
            <w:tcW w:w="2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4"/>
              </w:rPr>
              <w:t>2010</w:t>
            </w:r>
          </w:p>
        </w:tc>
        <w:tc>
          <w:tcPr>
            <w:tcW w:w="380" w:type="dxa"/>
            <w:vAlign w:val="bottom"/>
          </w:tcPr>
          <w:p>
            <w:pPr>
              <w:spacing w:after="0"/>
              <w:rPr>
                <w:sz w:val="19"/>
                <w:szCs w:val="19"/>
                <w:color w:val="auto"/>
              </w:rPr>
            </w:pPr>
          </w:p>
        </w:tc>
        <w:tc>
          <w:tcPr>
            <w:tcW w:w="116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b w:val="1"/>
                <w:bCs w:val="1"/>
                <w:color w:val="auto"/>
                <w:w w:val="84"/>
              </w:rPr>
              <w:t>2009</w:t>
            </w:r>
          </w:p>
        </w:tc>
        <w:tc>
          <w:tcPr>
            <w:tcW w:w="420" w:type="dxa"/>
            <w:vAlign w:val="bottom"/>
            <w:tcBorders>
              <w:bottom w:val="single" w:sz="8" w:color="auto"/>
            </w:tcBorders>
          </w:tcPr>
          <w:p>
            <w:pPr>
              <w:spacing w:after="0"/>
              <w:rPr>
                <w:sz w:val="19"/>
                <w:szCs w:val="19"/>
                <w:color w:val="auto"/>
              </w:rPr>
            </w:pPr>
          </w:p>
        </w:tc>
      </w:tr>
      <w:tr>
        <w:trPr>
          <w:trHeight w:val="211"/>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540" w:type="dxa"/>
            <w:vAlign w:val="bottom"/>
            <w:gridSpan w:val="2"/>
          </w:tcPr>
          <w:p>
            <w:pPr>
              <w:jc w:val="right"/>
              <w:ind w:right="772"/>
              <w:spacing w:after="0"/>
              <w:rPr>
                <w:sz w:val="20"/>
                <w:szCs w:val="20"/>
                <w:color w:val="auto"/>
              </w:rPr>
            </w:pPr>
            <w:r>
              <w:rPr>
                <w:rFonts w:ascii="Arial" w:cs="Arial" w:eastAsia="Arial" w:hAnsi="Arial"/>
                <w:sz w:val="18"/>
                <w:szCs w:val="18"/>
                <w:b w:val="1"/>
                <w:bCs w:val="1"/>
                <w:color w:val="auto"/>
                <w:w w:val="89"/>
              </w:rPr>
              <w:t>millions)</w:t>
            </w:r>
          </w:p>
        </w:tc>
        <w:tc>
          <w:tcPr>
            <w:tcW w:w="42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IBNR accrual</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54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15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A summary of the warranty accrual account activity is as follows: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20"/>
        </w:trPr>
        <w:tc>
          <w:tcPr>
            <w:tcW w:w="5800" w:type="dxa"/>
            <w:vAlign w:val="bottom"/>
          </w:tcPr>
          <w:p>
            <w:pPr>
              <w:spacing w:after="0"/>
              <w:rPr>
                <w:sz w:val="24"/>
                <w:szCs w:val="24"/>
                <w:color w:val="auto"/>
              </w:rPr>
            </w:pPr>
          </w:p>
        </w:tc>
        <w:tc>
          <w:tcPr>
            <w:tcW w:w="276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11"/>
        </w:trPr>
        <w:tc>
          <w:tcPr>
            <w:tcW w:w="5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84"/>
              </w:rPr>
              <w:t>2009</w:t>
            </w:r>
          </w:p>
        </w:tc>
      </w:tr>
      <w:tr>
        <w:trPr>
          <w:trHeight w:val="210"/>
        </w:trPr>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76"/>
              </w:rPr>
              <w:t>thousands)</w:t>
            </w:r>
          </w:p>
        </w:tc>
        <w:tc>
          <w:tcPr>
            <w:tcW w:w="8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33,873</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38,255</w:t>
            </w: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New product warranties</w:t>
            </w:r>
          </w:p>
        </w:tc>
        <w:tc>
          <w:tcPr>
            <w:tcW w:w="3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2,930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1,534</w:t>
            </w: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changes/adjustments to warranties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1,590</w:t>
            </w: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Claims activity</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(5,636)</w:t>
            </w: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change in exchange rates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21"/>
        </w:trPr>
        <w:tc>
          <w:tcPr>
            <w:tcW w:w="5800" w:type="dxa"/>
            <w:vAlign w:val="bottom"/>
          </w:tcPr>
          <w:p>
            <w:pPr>
              <w:spacing w:after="0"/>
              <w:rPr>
                <w:sz w:val="20"/>
                <w:szCs w:val="20"/>
                <w:color w:val="auto"/>
              </w:rPr>
            </w:pPr>
            <w:r>
              <w:rPr>
                <w:rFonts w:ascii="Arial" w:cs="Arial" w:eastAsia="Arial" w:hAnsi="Arial"/>
                <w:sz w:val="18"/>
                <w:szCs w:val="18"/>
                <w:color w:val="auto"/>
              </w:rPr>
              <w:t>Ending balance, March 31</w:t>
            </w: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33,353</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34,838</w:t>
            </w:r>
          </w:p>
        </w:tc>
      </w:tr>
      <w:tr>
        <w:trPr>
          <w:trHeight w:val="218"/>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warranty</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20,964</w:t>
            </w:r>
          </w:p>
        </w:tc>
        <w:tc>
          <w:tcPr>
            <w:tcW w:w="2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20,370</w:t>
            </w:r>
          </w:p>
        </w:tc>
      </w:tr>
      <w:tr>
        <w:trPr>
          <w:trHeight w:val="222"/>
        </w:trPr>
        <w:tc>
          <w:tcPr>
            <w:tcW w:w="5800" w:type="dxa"/>
            <w:vAlign w:val="bottom"/>
          </w:tcPr>
          <w:p>
            <w:pPr>
              <w:ind w:left="440"/>
              <w:spacing w:after="0"/>
              <w:rPr>
                <w:sz w:val="20"/>
                <w:szCs w:val="20"/>
                <w:color w:val="auto"/>
              </w:rPr>
            </w:pPr>
            <w:r>
              <w:rPr>
                <w:rFonts w:ascii="Arial" w:cs="Arial" w:eastAsia="Arial" w:hAnsi="Arial"/>
                <w:sz w:val="18"/>
                <w:szCs w:val="18"/>
                <w:color w:val="auto"/>
              </w:rPr>
              <w:t>Long-term warranty</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12,389</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14,468</w:t>
            </w:r>
          </w:p>
        </w:tc>
      </w:tr>
      <w:tr>
        <w:trPr>
          <w:trHeight w:val="20"/>
        </w:trPr>
        <w:tc>
          <w:tcPr>
            <w:tcW w:w="5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Total warranty expense, which is classified within cost of revenues and consists of new product warranties issued and other changes and adjustments to warranties,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8"/>
                <w:szCs w:val="18"/>
                <w:b w:val="1"/>
                <w:bCs w:val="1"/>
                <w:color w:val="auto"/>
                <w:w w:val="90"/>
              </w:rPr>
              <w:t>Three Months Ended March 31,</w:t>
            </w:r>
          </w:p>
        </w:tc>
      </w:tr>
      <w:tr>
        <w:trPr>
          <w:trHeight w:val="211"/>
        </w:trPr>
        <w:tc>
          <w:tcPr>
            <w:tcW w:w="2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r>
      <w:tr>
        <w:trPr>
          <w:trHeight w:val="210"/>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3"/>
              </w:rPr>
              <w:t>millions)</w:t>
            </w:r>
          </w:p>
        </w:tc>
        <w:tc>
          <w:tcPr>
            <w:tcW w:w="92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Other Comprehensive Income (Loss)</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OCI is reflected as a net increase (decrease) to shareholders’ equity and is not reflected in our results of operations. Total comprehensive income (loss) during the reporting periods, net of tax,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ind w:right="252"/>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11"/>
        </w:trPr>
        <w:tc>
          <w:tcPr>
            <w:tcW w:w="83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w w:val="94"/>
              </w:rPr>
              <w:t>2009</w:t>
            </w:r>
          </w:p>
        </w:tc>
        <w:tc>
          <w:tcPr>
            <w:tcW w:w="0" w:type="dxa"/>
            <w:vAlign w:val="bottom"/>
          </w:tcPr>
          <w:p>
            <w:pPr>
              <w:spacing w:after="0"/>
              <w:rPr>
                <w:sz w:val="1"/>
                <w:szCs w:val="1"/>
                <w:color w:val="auto"/>
              </w:rPr>
            </w:pPr>
          </w:p>
        </w:tc>
      </w:tr>
      <w:tr>
        <w:trPr>
          <w:trHeight w:val="210"/>
        </w:trPr>
        <w:tc>
          <w:tcPr>
            <w:tcW w:w="8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80"/>
              </w:rPr>
              <w:t>thousands)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(19,729)</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Foreign currency translation adjustment, net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(97,466)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(100,480)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derivative instruments, designated as cash flow hedges, net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unrealized gain (loss) on a nonderivative net investment hedging instrument, net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11,444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hedging (gain) loss reclassified into net income (loss), net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Pension plan benefits liability adjustment, net</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income (loss)</w:t>
            </w: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(107,259)</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Income tax (provision) benefit related to OCI during the reporting periods was as follows:</w:t>
            </w: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252"/>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11"/>
        </w:trPr>
        <w:tc>
          <w:tcPr>
            <w:tcW w:w="8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0"/>
        </w:trPr>
        <w:tc>
          <w:tcPr>
            <w:tcW w:w="8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74"/>
              </w:rPr>
              <w:t>thousands)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on foreign currency translation adjustment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Income tax (provision) benefit on net unrealized gain (loss) on derivative instruments</w:t>
            </w:r>
            <w:r>
              <w:rPr>
                <w:rFonts w:ascii="Arial" w:cs="Arial" w:eastAsia="Arial" w:hAnsi="Arial"/>
                <w:sz w:val="11"/>
                <w:szCs w:val="11"/>
                <w:color w:val="auto"/>
              </w:rPr>
              <w:t>(1)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on net unrealized gain (loss) on a nonderivative net investment hedging</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instrument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Income tax (provision) benefit on net hedging (gain) loss reclassified into net income (loss)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(1,370)</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on pension plan benefits liability adjustment</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1"/>
        </w:trPr>
        <w:tc>
          <w:tcPr>
            <w:tcW w:w="8320" w:type="dxa"/>
            <w:vAlign w:val="bottom"/>
          </w:tcPr>
          <w:p>
            <w:pPr>
              <w:ind w:left="440"/>
              <w:spacing w:after="0"/>
              <w:rPr>
                <w:sz w:val="20"/>
                <w:szCs w:val="20"/>
                <w:color w:val="auto"/>
              </w:rPr>
            </w:pPr>
            <w:r>
              <w:rPr>
                <w:rFonts w:ascii="Arial" w:cs="Arial" w:eastAsia="Arial" w:hAnsi="Arial"/>
                <w:sz w:val="18"/>
                <w:szCs w:val="18"/>
                <w:color w:val="auto"/>
              </w:rPr>
              <w:t>Total income tax (provision) benefit on other comprehensive income (loss)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(7,553)</w:t>
            </w:r>
          </w:p>
        </w:tc>
        <w:tc>
          <w:tcPr>
            <w:tcW w:w="32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Designated as cash flow hedges</w:t>
            </w: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8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Accumulated OCI, net of tax, was ($15.3) million at March 31, 2010 and $71.1 million at December 31, 2009. These amounts consisted of the adjustments for foreign currency translation, the unrealized gain (loss) on our hedging instruments, the hedging gain (loss), and the pension liability adjustment as indicated above.</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Fair Values of Financial Instruments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values provided are representative of fair values only at March 31, 2010 and December 31, 2009 and do not reflect subsequent changes in the economy, interest rates, tax rates, and other variables that may affect the determination of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auto"/>
              </w:rPr>
              <w:t>At March 31, 2010</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8"/>
                <w:szCs w:val="18"/>
                <w:b w:val="1"/>
                <w:bCs w:val="1"/>
                <w:color w:val="auto"/>
                <w:w w:val="99"/>
              </w:rPr>
              <w:t>At December 31, 2009</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w w:val="89"/>
              </w:rPr>
              <w:t>Carrying</w:t>
            </w:r>
          </w:p>
        </w:tc>
        <w:tc>
          <w:tcPr>
            <w:tcW w:w="6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Fair</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w w:val="91"/>
              </w:rPr>
              <w:t>Carrying</w:t>
            </w:r>
          </w:p>
        </w:tc>
        <w:tc>
          <w:tcPr>
            <w:tcW w:w="580" w:type="dxa"/>
            <w:vAlign w:val="bottom"/>
          </w:tcPr>
          <w:p>
            <w:pPr>
              <w:spacing w:after="0"/>
              <w:rPr>
                <w:sz w:val="19"/>
                <w:szCs w:val="19"/>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Amount</w:t>
            </w:r>
          </w:p>
        </w:tc>
        <w:tc>
          <w:tcPr>
            <w:tcW w:w="600" w:type="dxa"/>
            <w:vAlign w:val="bottom"/>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5"/>
              </w:rPr>
              <w:t>Value</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Amount</w:t>
            </w:r>
          </w:p>
        </w:tc>
        <w:tc>
          <w:tcPr>
            <w:tcW w:w="580" w:type="dxa"/>
            <w:vAlign w:val="bottom"/>
          </w:tcPr>
          <w:p>
            <w:pPr>
              <w:spacing w:after="0"/>
              <w:rPr>
                <w:sz w:val="19"/>
                <w:szCs w:val="19"/>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12"/>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640" w:type="dxa"/>
            <w:vAlign w:val="bottom"/>
            <w:gridSpan w:val="3"/>
          </w:tcPr>
          <w:p>
            <w:pPr>
              <w:jc w:val="right"/>
              <w:ind w:right="712"/>
              <w:spacing w:after="0"/>
              <w:rPr>
                <w:sz w:val="20"/>
                <w:szCs w:val="20"/>
                <w:color w:val="auto"/>
              </w:rPr>
            </w:pPr>
            <w:r>
              <w:rPr>
                <w:rFonts w:ascii="Arial" w:cs="Arial" w:eastAsia="Arial" w:hAnsi="Arial"/>
                <w:sz w:val="18"/>
                <w:szCs w:val="18"/>
                <w:b w:val="1"/>
                <w:bCs w:val="1"/>
                <w:color w:val="auto"/>
                <w:w w:val="84"/>
              </w:rPr>
              <w:t>thousands)</w:t>
            </w: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123,418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$123,418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121,893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$121,893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forwards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323"/>
        </w:trPr>
        <w:tc>
          <w:tcPr>
            <w:tcW w:w="590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Term loans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880"/>
              <w:spacing w:after="0"/>
              <w:rPr>
                <w:sz w:val="20"/>
                <w:szCs w:val="20"/>
                <w:color w:val="auto"/>
              </w:rPr>
            </w:pPr>
            <w:r>
              <w:rPr>
                <w:rFonts w:ascii="Arial" w:cs="Arial" w:eastAsia="Arial" w:hAnsi="Arial"/>
                <w:sz w:val="18"/>
                <w:szCs w:val="18"/>
                <w:color w:val="auto"/>
              </w:rPr>
              <w:t>USD denominated term loan</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253,180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$255,079</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284,693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$284,693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EUR denominated term loan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250,892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288,902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288,902</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Convertible senior subordinated notes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210,625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279,232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208,169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282,859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0" w:type="dxa"/>
            <w:vAlign w:val="bottom"/>
          </w:tcPr>
          <w:p>
            <w:pPr>
              <w:spacing w:after="0"/>
              <w:rPr>
                <w:sz w:val="1"/>
                <w:szCs w:val="1"/>
                <w:color w:val="auto"/>
              </w:rPr>
            </w:pPr>
          </w:p>
        </w:tc>
      </w:tr>
      <w:tr>
        <w:trPr>
          <w:trHeight w:val="222"/>
        </w:trPr>
        <w:tc>
          <w:tcPr>
            <w:tcW w:w="5900" w:type="dxa"/>
            <w:vAlign w:val="bottom"/>
          </w:tcPr>
          <w:p>
            <w:pPr>
              <w:ind w:left="440"/>
              <w:spacing w:after="0"/>
              <w:rPr>
                <w:sz w:val="20"/>
                <w:szCs w:val="20"/>
                <w:color w:val="auto"/>
              </w:rPr>
            </w:pPr>
            <w:r>
              <w:rPr>
                <w:rFonts w:ascii="Arial" w:cs="Arial" w:eastAsia="Arial" w:hAnsi="Arial"/>
                <w:sz w:val="18"/>
                <w:szCs w:val="18"/>
                <w:color w:val="auto"/>
              </w:rPr>
              <w:t>Foreign exchange forwards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2,406</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The term loans are not registered with the SEC but are generally transferable through banks that hold the debt and make a market. The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from recent trades of the term loans.</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Convertible senior subordinated notes: </w:t>
      </w:r>
      <w:r>
        <w:rPr>
          <w:rFonts w:ascii="Arial" w:cs="Arial" w:eastAsia="Arial" w:hAnsi="Arial"/>
          <w:sz w:val="16"/>
          <w:szCs w:val="16"/>
          <w:color w:val="auto"/>
        </w:rPr>
        <w:t>The convertible notes are registered with the SEC and are generally transferable. The fair value is based on quoted prices</w:t>
      </w:r>
      <w:r>
        <w:rPr>
          <w:rFonts w:ascii="Arial" w:cs="Arial" w:eastAsia="Arial" w:hAnsi="Arial"/>
          <w:sz w:val="16"/>
          <w:szCs w:val="16"/>
          <w:i w:val="1"/>
          <w:iCs w:val="1"/>
          <w:color w:val="auto"/>
        </w:rPr>
        <w:t xml:space="preserve"> </w:t>
      </w:r>
      <w:r>
        <w:rPr>
          <w:rFonts w:ascii="Arial" w:cs="Arial" w:eastAsia="Arial" w:hAnsi="Arial"/>
          <w:sz w:val="16"/>
          <w:szCs w:val="16"/>
          <w:color w:val="auto"/>
        </w:rPr>
        <w:t>from recent broker trades of the convertible notes. The carrying value is lower than the face value of the convertible notes as a result of separating the liability and equity components. The face value of the convertible notes was $223.6 million at March 31, 2010 and December 31, 2009. See Note 6 for further discussion.</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of significant other observable inputs (Level 2).</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Segment Information</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two operating segments: Itron North America and Itron International. Itron North America generates a majority of its revenues in the United States and Canada, while Itron International generates a majority of its revenues in Europe, and the balance primarily in Africa, South America, and Asia/Pacific. Due to the continued refinement of our management and geographic reporting structures, as of January 1, 2010, Itron International includes our Taiwan operations, which were previously part of Itron North America. Historical segment information has been revised to conform to our current segment reporting structure.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were minimal. Corporate operating expenses, interest income, interest expense, gain (loss) on extinguishment of debt, other income (expense), and income tax provision (benefit) are not allocated to the segments, nor included in the measure of segment profit or loss.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00" w:type="dxa"/>
            <w:vAlign w:val="bottom"/>
            <w:gridSpan w:val="4"/>
          </w:tcPr>
          <w:p>
            <w:pPr>
              <w:spacing w:after="0"/>
              <w:rPr>
                <w:sz w:val="20"/>
                <w:szCs w:val="20"/>
                <w:color w:val="auto"/>
              </w:rPr>
            </w:pPr>
            <w:r>
              <w:rPr>
                <w:rFonts w:ascii="Arial" w:cs="Arial" w:eastAsia="Arial" w:hAnsi="Arial"/>
                <w:sz w:val="18"/>
                <w:szCs w:val="18"/>
                <w:color w:val="auto"/>
                <w:w w:val="90"/>
              </w:rPr>
              <w:t>Depreciation and amortization expense allocated to our segments was as follows: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1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2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1"/>
        </w:trPr>
        <w:tc>
          <w:tcPr>
            <w:tcW w:w="1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8"/>
                <w:szCs w:val="18"/>
                <w:b w:val="1"/>
                <w:bCs w:val="1"/>
                <w:color w:val="auto"/>
              </w:rPr>
              <w:t>2010</w:t>
            </w: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(in millions)</w:t>
            </w:r>
          </w:p>
        </w:tc>
        <w:tc>
          <w:tcPr>
            <w:tcW w:w="8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Itron North America</w:t>
            </w:r>
          </w:p>
        </w:tc>
        <w:tc>
          <w:tcPr>
            <w:tcW w:w="326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Itron International</w:t>
            </w:r>
          </w:p>
        </w:tc>
        <w:tc>
          <w:tcPr>
            <w:tcW w:w="3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Company</w:t>
            </w:r>
          </w:p>
        </w:tc>
        <w:tc>
          <w:tcPr>
            <w:tcW w:w="326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rPr>
              <w:t>Segment Products</w:t>
            </w:r>
          </w:p>
        </w:tc>
        <w:tc>
          <w:tcPr>
            <w:tcW w:w="3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74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740" w:type="dxa"/>
            <w:vAlign w:val="bottom"/>
          </w:tcPr>
          <w:p>
            <w:pPr>
              <w:spacing w:after="0"/>
              <w:rPr>
                <w:sz w:val="20"/>
                <w:szCs w:val="20"/>
                <w:color w:val="auto"/>
              </w:rPr>
            </w:pPr>
            <w:r>
              <w:rPr>
                <w:rFonts w:ascii="Arial" w:cs="Arial" w:eastAsia="Arial" w:hAnsi="Arial"/>
                <w:sz w:val="18"/>
                <w:szCs w:val="18"/>
                <w:i w:val="1"/>
                <w:iCs w:val="1"/>
                <w:color w:val="auto"/>
              </w:rPr>
              <w:t>Itron North America</w:t>
            </w:r>
          </w:p>
        </w:tc>
        <w:tc>
          <w:tcPr>
            <w:tcW w:w="9680" w:type="dxa"/>
            <w:vAlign w:val="bottom"/>
            <w:gridSpan w:val="7"/>
          </w:tcPr>
          <w:p>
            <w:pPr>
              <w:ind w:left="220"/>
              <w:spacing w:after="0"/>
              <w:rPr>
                <w:sz w:val="20"/>
                <w:szCs w:val="20"/>
                <w:color w:val="auto"/>
              </w:rPr>
            </w:pPr>
            <w:r>
              <w:rPr>
                <w:rFonts w:ascii="Arial" w:cs="Arial" w:eastAsia="Arial" w:hAnsi="Arial"/>
                <w:sz w:val="18"/>
                <w:szCs w:val="18"/>
                <w:color w:val="auto"/>
                <w:w w:val="94"/>
              </w:rPr>
              <w:t>Electronic and smart electricity meters; gas and water meters; electricity, gas, and water automated meter reading (AMR) and</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9680" w:type="dxa"/>
            <w:vAlign w:val="bottom"/>
            <w:gridSpan w:val="7"/>
          </w:tcPr>
          <w:p>
            <w:pPr>
              <w:ind w:left="220"/>
              <w:spacing w:after="0"/>
              <w:rPr>
                <w:sz w:val="20"/>
                <w:szCs w:val="20"/>
                <w:color w:val="auto"/>
              </w:rPr>
            </w:pPr>
            <w:r>
              <w:rPr>
                <w:rFonts w:ascii="Arial" w:cs="Arial" w:eastAsia="Arial" w:hAnsi="Arial"/>
                <w:sz w:val="18"/>
                <w:szCs w:val="18"/>
                <w:color w:val="auto"/>
                <w:w w:val="92"/>
              </w:rPr>
              <w:t>advanced metering infrastructure (AMI)/smart meter modules; handheld, mobile, and network AMR data collection technologies;</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9680" w:type="dxa"/>
            <w:vAlign w:val="bottom"/>
            <w:gridSpan w:val="7"/>
          </w:tcPr>
          <w:p>
            <w:pPr>
              <w:ind w:left="220"/>
              <w:spacing w:after="0"/>
              <w:rPr>
                <w:sz w:val="20"/>
                <w:szCs w:val="20"/>
                <w:color w:val="auto"/>
              </w:rPr>
            </w:pPr>
            <w:r>
              <w:rPr>
                <w:rFonts w:ascii="Arial" w:cs="Arial" w:eastAsia="Arial" w:hAnsi="Arial"/>
                <w:sz w:val="18"/>
                <w:szCs w:val="18"/>
                <w:color w:val="auto"/>
              </w:rPr>
              <w:t>AMI network technologies; software, installation, implementation, consulting, maintenance support, and other services.</w:t>
            </w:r>
          </w:p>
        </w:tc>
        <w:tc>
          <w:tcPr>
            <w:tcW w:w="0" w:type="dxa"/>
            <w:vAlign w:val="bottom"/>
          </w:tcPr>
          <w:p>
            <w:pPr>
              <w:spacing w:after="0"/>
              <w:rPr>
                <w:sz w:val="1"/>
                <w:szCs w:val="1"/>
                <w:color w:val="auto"/>
              </w:rPr>
            </w:pPr>
          </w:p>
        </w:tc>
      </w:tr>
      <w:tr>
        <w:trPr>
          <w:trHeight w:val="318"/>
        </w:trPr>
        <w:tc>
          <w:tcPr>
            <w:tcW w:w="1740" w:type="dxa"/>
            <w:vAlign w:val="bottom"/>
          </w:tcPr>
          <w:p>
            <w:pPr>
              <w:spacing w:after="0"/>
              <w:rPr>
                <w:sz w:val="20"/>
                <w:szCs w:val="20"/>
                <w:color w:val="auto"/>
              </w:rPr>
            </w:pPr>
            <w:r>
              <w:rPr>
                <w:rFonts w:ascii="Arial" w:cs="Arial" w:eastAsia="Arial" w:hAnsi="Arial"/>
                <w:sz w:val="18"/>
                <w:szCs w:val="18"/>
                <w:i w:val="1"/>
                <w:iCs w:val="1"/>
                <w:color w:val="auto"/>
              </w:rPr>
              <w:t>Itron International</w:t>
            </w:r>
          </w:p>
        </w:tc>
        <w:tc>
          <w:tcPr>
            <w:tcW w:w="9680" w:type="dxa"/>
            <w:vAlign w:val="bottom"/>
            <w:gridSpan w:val="7"/>
          </w:tcPr>
          <w:p>
            <w:pPr>
              <w:ind w:left="220"/>
              <w:spacing w:after="0"/>
              <w:rPr>
                <w:sz w:val="20"/>
                <w:szCs w:val="20"/>
                <w:color w:val="auto"/>
              </w:rPr>
            </w:pPr>
            <w:r>
              <w:rPr>
                <w:rFonts w:ascii="Arial" w:cs="Arial" w:eastAsia="Arial" w:hAnsi="Arial"/>
                <w:sz w:val="18"/>
                <w:szCs w:val="18"/>
                <w:color w:val="auto"/>
                <w:w w:val="88"/>
              </w:rPr>
              <w:t>Electromechanical, electronic, and smart electricity meters; mechanical and ultrasonic water and heat meters; diaphragm, turbine, and</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9680" w:type="dxa"/>
            <w:vAlign w:val="bottom"/>
            <w:gridSpan w:val="7"/>
          </w:tcPr>
          <w:p>
            <w:pPr>
              <w:ind w:left="220"/>
              <w:spacing w:after="0"/>
              <w:rPr>
                <w:sz w:val="20"/>
                <w:szCs w:val="20"/>
                <w:color w:val="auto"/>
              </w:rPr>
            </w:pPr>
            <w:r>
              <w:rPr>
                <w:rFonts w:ascii="Arial" w:cs="Arial" w:eastAsia="Arial" w:hAnsi="Arial"/>
                <w:sz w:val="18"/>
                <w:szCs w:val="18"/>
                <w:color w:val="auto"/>
                <w:w w:val="90"/>
              </w:rPr>
              <w:t>rotary gas meters; one-way and two-way electricity prepayment systems, including smart key, keypad, and smart card; two-way gas</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9680" w:type="dxa"/>
            <w:vAlign w:val="bottom"/>
            <w:gridSpan w:val="7"/>
          </w:tcPr>
          <w:p>
            <w:pPr>
              <w:ind w:left="220"/>
              <w:spacing w:after="0"/>
              <w:rPr>
                <w:sz w:val="20"/>
                <w:szCs w:val="20"/>
                <w:color w:val="auto"/>
              </w:rPr>
            </w:pPr>
            <w:r>
              <w:rPr>
                <w:rFonts w:ascii="Arial" w:cs="Arial" w:eastAsia="Arial" w:hAnsi="Arial"/>
                <w:sz w:val="18"/>
                <w:szCs w:val="18"/>
                <w:color w:val="auto"/>
                <w:w w:val="88"/>
              </w:rPr>
              <w:t>prepayment systems using smart card; AMR and AMI data collection technologies; installation, implementation, maintenance support,</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3260" w:type="dxa"/>
            <w:vAlign w:val="bottom"/>
            <w:gridSpan w:val="2"/>
          </w:tcPr>
          <w:p>
            <w:pPr>
              <w:ind w:left="220"/>
              <w:spacing w:after="0"/>
              <w:rPr>
                <w:sz w:val="20"/>
                <w:szCs w:val="20"/>
                <w:color w:val="auto"/>
              </w:rPr>
            </w:pPr>
            <w:r>
              <w:rPr>
                <w:rFonts w:ascii="Arial" w:cs="Arial" w:eastAsia="Arial" w:hAnsi="Arial"/>
                <w:sz w:val="18"/>
                <w:szCs w:val="18"/>
                <w:color w:val="auto"/>
              </w:rPr>
              <w:t>and other managed services.</w:t>
            </w: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26</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68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4"/>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0"/>
              </w:rPr>
              <w:t>thousands)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Itron North America</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243,117</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w w:val="95"/>
              </w:rPr>
              <w:t>139,369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Itron 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256,163</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5"/>
              </w:rPr>
              <w:t>249,149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Total Company</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499,280</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w w:val="95"/>
              </w:rPr>
              <w:t>388,518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Itron North America</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79,891</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52,276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Itron 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79,004</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77,308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Total Company</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158,895</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w w:val="95"/>
              </w:rPr>
              <w:t>129,584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Itron North America</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33,768</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Itron International</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10,536</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Corporate unallocated</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(10,854)</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33,450</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(15,348)</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18,102</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single customer represented more than 10% of total Company or Itron International revenues for the three months ended March 31, 2010 and 2009. Two customers each accounted for more than 10% of Itron North America revenues for the three months ended March 31, 2010, and no customer accounted for more than 10% of Itron North America revenues for the three months ended March 31, 2009.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Revenues by region were as follows: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0"/>
        </w:trPr>
        <w:tc>
          <w:tcPr>
            <w:tcW w:w="5080" w:type="dxa"/>
            <w:vAlign w:val="bottom"/>
          </w:tcPr>
          <w:p>
            <w:pPr>
              <w:spacing w:after="0"/>
              <w:rPr>
                <w:sz w:val="24"/>
                <w:szCs w:val="24"/>
                <w:color w:val="auto"/>
              </w:rPr>
            </w:pPr>
          </w:p>
        </w:tc>
        <w:tc>
          <w:tcPr>
            <w:tcW w:w="268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11"/>
        </w:trPr>
        <w:tc>
          <w:tcPr>
            <w:tcW w:w="5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4"/>
              </w:rPr>
              <w:t>2009</w:t>
            </w: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0"/>
              </w:rPr>
              <w:t>thousands)</w:t>
            </w:r>
          </w:p>
        </w:tc>
        <w:tc>
          <w:tcPr>
            <w:tcW w:w="7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195,485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197,477</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United States and Canada</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240,558</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134,851</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63,237</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56,190</w:t>
            </w: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499,280</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388,518</w:t>
            </w:r>
          </w:p>
        </w:tc>
      </w:tr>
      <w:tr>
        <w:trPr>
          <w:trHeight w:val="20"/>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Consolidating Financial Information</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convertible notes, issued by Itron, Inc., are guaranteed by one U.S. subsidiary, which is 100% owned. Our senior subordinated notes issued in May 2004, which were redeemed in 2009, were guaranteed by multiple U.S. operating subsidiaries. We have not restated the comparative prior period results to reflect the change in certain U.S. subsidiaries from guarantors to non-guarantors due to their immaterial nature.</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guaranty by our U.S. subsidiary is joint and several, full, complete, and unconditional. There are currently no restrictions on the ability of the subsidiary guarantor to transfer funds to the parent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Three Months Ended March 31, 2010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Arial" w:cs="Arial" w:eastAsia="Arial" w:hAnsi="Arial"/>
                <w:sz w:val="18"/>
                <w:szCs w:val="18"/>
                <w:b w:val="1"/>
                <w:bCs w:val="1"/>
                <w:color w:val="auto"/>
              </w:rPr>
              <w:t>Combined</w:t>
            </w:r>
          </w:p>
        </w:tc>
        <w:tc>
          <w:tcPr>
            <w:tcW w:w="200" w:type="dxa"/>
            <w:vAlign w:val="bottom"/>
          </w:tcPr>
          <w:p>
            <w:pPr>
              <w:spacing w:after="0"/>
              <w:rPr>
                <w:sz w:val="18"/>
                <w:szCs w:val="18"/>
                <w:color w:val="auto"/>
              </w:rPr>
            </w:pPr>
          </w:p>
        </w:tc>
        <w:tc>
          <w:tcPr>
            <w:tcW w:w="1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Combined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Guarantor</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Non-guarantor</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b w:val="1"/>
                <w:bCs w:val="1"/>
                <w:color w:val="auto"/>
              </w:rPr>
              <w:t>Parent</w:t>
            </w:r>
          </w:p>
        </w:tc>
        <w:tc>
          <w:tcPr>
            <w:tcW w:w="320" w:type="dxa"/>
            <w:vAlign w:val="bottom"/>
          </w:tcPr>
          <w:p>
            <w:pPr>
              <w:spacing w:after="0"/>
              <w:rPr>
                <w:sz w:val="19"/>
                <w:szCs w:val="19"/>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Subsidiary</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Subsidiaries</w:t>
            </w:r>
          </w:p>
        </w:tc>
        <w:tc>
          <w:tcPr>
            <w:tcW w:w="32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Eliminations</w:t>
            </w:r>
          </w:p>
        </w:tc>
        <w:tc>
          <w:tcPr>
            <w:tcW w:w="32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242,432</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268,928</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499,280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Cost of revenues</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164,717</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187,748</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(12,080)</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77,715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81,180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158,895</w:t>
            </w:r>
          </w:p>
        </w:tc>
        <w:tc>
          <w:tcPr>
            <w:tcW w:w="0" w:type="dxa"/>
            <w:vAlign w:val="bottom"/>
          </w:tcPr>
          <w:p>
            <w:pPr>
              <w:spacing w:after="0"/>
              <w:rPr>
                <w:sz w:val="1"/>
                <w:szCs w:val="1"/>
                <w:color w:val="auto"/>
              </w:rPr>
            </w:pPr>
          </w:p>
        </w:tc>
      </w:tr>
      <w:tr>
        <w:trPr>
          <w:trHeight w:val="323"/>
        </w:trPr>
        <w:tc>
          <w:tcPr>
            <w:tcW w:w="3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15,567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25,970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21,178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11,862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13,783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19,274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4,086</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13,725</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54,614</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70,831</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125,445</w:t>
            </w:r>
          </w:p>
        </w:tc>
        <w:tc>
          <w:tcPr>
            <w:tcW w:w="0" w:type="dxa"/>
            <w:vAlign w:val="bottom"/>
          </w:tcPr>
          <w:p>
            <w:pPr>
              <w:spacing w:after="0"/>
              <w:rPr>
                <w:sz w:val="1"/>
                <w:szCs w:val="1"/>
                <w:color w:val="auto"/>
              </w:rPr>
            </w:pPr>
          </w:p>
        </w:tc>
      </w:tr>
      <w:tr>
        <w:trPr>
          <w:trHeight w:val="329"/>
        </w:trPr>
        <w:tc>
          <w:tcPr>
            <w:tcW w:w="3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23,101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10,349</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33,450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Loss on extinguishment of debt, net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437</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1280"/>
              <w:spacing w:after="0"/>
              <w:rPr>
                <w:sz w:val="20"/>
                <w:szCs w:val="20"/>
                <w:color w:val="auto"/>
              </w:rPr>
            </w:pPr>
            <w:r>
              <w:rPr>
                <w:rFonts w:ascii="Arial" w:cs="Arial" w:eastAsia="Arial" w:hAnsi="Arial"/>
                <w:sz w:val="18"/>
                <w:szCs w:val="18"/>
                <w:color w:val="auto"/>
              </w:rPr>
              <w:t>Total other income (expense)</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6,851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10,493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9,453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8,685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6"/>
              </w:rPr>
              <w:t>Equity in earnings of guarantor and non-guarantor</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 net</w:t>
            </w:r>
          </w:p>
        </w:tc>
        <w:tc>
          <w:tcPr>
            <w:tcW w:w="5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10,483</w:t>
            </w:r>
          </w:p>
        </w:tc>
        <w:tc>
          <w:tcPr>
            <w:tcW w:w="3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26,787</w:t>
            </w:r>
          </w:p>
        </w:tc>
        <w:tc>
          <w:tcPr>
            <w:tcW w:w="320" w:type="dxa"/>
            <w:vAlign w:val="bottom"/>
          </w:tcPr>
          <w:p>
            <w:pPr>
              <w:spacing w:after="0"/>
              <w:rPr>
                <w:sz w:val="19"/>
                <w:szCs w:val="19"/>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9,725</w:t>
            </w:r>
          </w:p>
        </w:tc>
        <w:tc>
          <w:tcPr>
            <w:tcW w:w="320" w:type="dxa"/>
            <w:vAlign w:val="bottom"/>
          </w:tcPr>
          <w:p>
            <w:pPr>
              <w:spacing w:after="0"/>
              <w:rPr>
                <w:sz w:val="19"/>
                <w:szCs w:val="19"/>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(10,483)</w:t>
            </w:r>
          </w:p>
        </w:tc>
        <w:tc>
          <w:tcPr>
            <w:tcW w:w="320" w:type="dxa"/>
            <w:vAlign w:val="bottom"/>
          </w:tcPr>
          <w:p>
            <w:pPr>
              <w:spacing w:after="0"/>
              <w:rPr>
                <w:sz w:val="19"/>
                <w:szCs w:val="19"/>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380" w:type="dxa"/>
            <w:vAlign w:val="bottom"/>
            <w:gridSpan w:val="7"/>
          </w:tcPr>
          <w:p>
            <w:pPr>
              <w:jc w:val="center"/>
              <w:ind w:left="172"/>
              <w:spacing w:after="0"/>
              <w:rPr>
                <w:sz w:val="20"/>
                <w:szCs w:val="20"/>
                <w:color w:val="auto"/>
              </w:rPr>
            </w:pPr>
            <w:r>
              <w:rPr>
                <w:rFonts w:ascii="Arial" w:cs="Arial" w:eastAsia="Arial" w:hAnsi="Arial"/>
                <w:sz w:val="18"/>
                <w:szCs w:val="18"/>
                <w:b w:val="1"/>
                <w:bCs w:val="1"/>
                <w:color w:val="auto"/>
                <w:w w:val="87"/>
              </w:rPr>
              <w:t>Consolidating Statement of Operations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380" w:type="dxa"/>
            <w:vAlign w:val="bottom"/>
            <w:gridSpan w:val="7"/>
          </w:tcPr>
          <w:p>
            <w:pPr>
              <w:jc w:val="center"/>
              <w:ind w:left="172"/>
              <w:spacing w:after="0"/>
              <w:rPr>
                <w:sz w:val="20"/>
                <w:szCs w:val="20"/>
                <w:color w:val="auto"/>
              </w:rPr>
            </w:pPr>
            <w:r>
              <w:rPr>
                <w:rFonts w:ascii="Arial" w:cs="Arial" w:eastAsia="Arial" w:hAnsi="Arial"/>
                <w:sz w:val="18"/>
                <w:szCs w:val="18"/>
                <w:b w:val="1"/>
                <w:bCs w:val="1"/>
                <w:color w:val="auto"/>
                <w:w w:val="89"/>
              </w:rPr>
              <w:t>Three Months Ended March 31, 2009</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3"/>
          </w:tcPr>
          <w:p>
            <w:pPr>
              <w:ind w:left="100"/>
              <w:spacing w:after="0"/>
              <w:rPr>
                <w:sz w:val="20"/>
                <w:szCs w:val="20"/>
                <w:color w:val="auto"/>
              </w:rPr>
            </w:pPr>
            <w:r>
              <w:rPr>
                <w:rFonts w:ascii="Arial" w:cs="Arial" w:eastAsia="Arial" w:hAnsi="Arial"/>
                <w:sz w:val="18"/>
                <w:szCs w:val="18"/>
                <w:b w:val="1"/>
                <w:bCs w:val="1"/>
                <w:color w:val="auto"/>
              </w:rPr>
              <w:t>Combined</w:t>
            </w:r>
          </w:p>
        </w:tc>
        <w:tc>
          <w:tcPr>
            <w:tcW w:w="200" w:type="dxa"/>
            <w:vAlign w:val="bottom"/>
          </w:tcPr>
          <w:p>
            <w:pPr>
              <w:spacing w:after="0"/>
              <w:rPr>
                <w:sz w:val="24"/>
                <w:szCs w:val="24"/>
                <w:color w:val="auto"/>
              </w:rPr>
            </w:pPr>
          </w:p>
        </w:tc>
        <w:tc>
          <w:tcPr>
            <w:tcW w:w="1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Combined</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Guarantor</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Non-guarantor</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b w:val="1"/>
                <w:bCs w:val="1"/>
                <w:color w:val="auto"/>
              </w:rPr>
              <w:t>Parent</w:t>
            </w:r>
          </w:p>
        </w:tc>
        <w:tc>
          <w:tcPr>
            <w:tcW w:w="32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Subsidiaries</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Subsidiaries</w:t>
            </w:r>
          </w:p>
        </w:tc>
        <w:tc>
          <w:tcPr>
            <w:tcW w:w="32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Eliminations</w:t>
            </w:r>
          </w:p>
        </w:tc>
        <w:tc>
          <w:tcPr>
            <w:tcW w:w="32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135,609</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264,676</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388,518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Cost of revenues</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85,182</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1,124</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185,621</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(12,993)</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50,427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79,055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129,584</w:t>
            </w:r>
          </w:p>
        </w:tc>
        <w:tc>
          <w:tcPr>
            <w:tcW w:w="0" w:type="dxa"/>
            <w:vAlign w:val="bottom"/>
          </w:tcPr>
          <w:p>
            <w:pPr>
              <w:spacing w:after="0"/>
              <w:rPr>
                <w:sz w:val="1"/>
                <w:szCs w:val="1"/>
                <w:color w:val="auto"/>
              </w:rPr>
            </w:pPr>
          </w:p>
        </w:tc>
      </w:tr>
      <w:tr>
        <w:trPr>
          <w:trHeight w:val="323"/>
        </w:trPr>
        <w:tc>
          <w:tcPr>
            <w:tcW w:w="3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13,886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23,089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20,255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10,903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17,048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5,885</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17,593</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52,002</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68,633</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120,635</w:t>
            </w:r>
          </w:p>
        </w:tc>
        <w:tc>
          <w:tcPr>
            <w:tcW w:w="0" w:type="dxa"/>
            <w:vAlign w:val="bottom"/>
          </w:tcPr>
          <w:p>
            <w:pPr>
              <w:spacing w:after="0"/>
              <w:rPr>
                <w:sz w:val="1"/>
                <w:szCs w:val="1"/>
                <w:color w:val="auto"/>
              </w:rPr>
            </w:pPr>
          </w:p>
        </w:tc>
      </w:tr>
      <w:tr>
        <w:trPr>
          <w:trHeight w:val="329"/>
        </w:trPr>
        <w:tc>
          <w:tcPr>
            <w:tcW w:w="3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10,422</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26,546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(27,325)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27,325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Loss on extinguishment of debt, net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(10,340)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1280"/>
              <w:spacing w:after="0"/>
              <w:rPr>
                <w:sz w:val="20"/>
                <w:szCs w:val="20"/>
                <w:color w:val="auto"/>
              </w:rPr>
            </w:pPr>
            <w:r>
              <w:rPr>
                <w:rFonts w:ascii="Arial" w:cs="Arial" w:eastAsia="Arial" w:hAnsi="Arial"/>
                <w:sz w:val="18"/>
                <w:szCs w:val="18"/>
                <w:color w:val="auto"/>
              </w:rPr>
              <w:t>Total other income (expense)</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1,037</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(27,197)</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2,922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guarantor and non-guarantor</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 net</w:t>
            </w:r>
          </w:p>
        </w:tc>
        <w:tc>
          <w:tcPr>
            <w:tcW w:w="5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(18,552)</w:t>
            </w:r>
          </w:p>
        </w:tc>
        <w:tc>
          <w:tcPr>
            <w:tcW w:w="3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20,641</w:t>
            </w: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39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(19,729)</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(950)</w:t>
            </w:r>
          </w:p>
        </w:tc>
        <w:tc>
          <w:tcPr>
            <w:tcW w:w="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(19,691)</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20,641</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w w:val="88"/>
              </w:rPr>
              <w:t>Combined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Combined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Guarantor</w:t>
            </w:r>
          </w:p>
        </w:tc>
        <w:tc>
          <w:tcPr>
            <w:tcW w:w="4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Non-guarantor</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Parent</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w w:val="84"/>
              </w:rPr>
              <w:t>Subsidiary</w:t>
            </w:r>
          </w:p>
        </w:tc>
        <w:tc>
          <w:tcPr>
            <w:tcW w:w="46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Subsidiaries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Eliminations</w:t>
            </w: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(in thousands)</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20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25,062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98,356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118,199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214,942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accounts receivable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8,211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1,817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(10,028)</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93,984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101,473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current,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13,611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7,017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29,910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47,925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other</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4,400</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4,416</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293,377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4,416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471,531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(20,280)</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749,044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117,101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187,361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Prepaid debt fees</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7,427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64,187</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22,541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6,813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12,080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54,082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295,631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174,780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1,059,349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1,234,129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291,273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(291,273)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4"/>
              </w:rPr>
              <w:t>1,330,500</w:t>
            </w: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94,511</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(1,425,016)</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4"/>
              </w:rPr>
              <w:t>2,339,540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98,927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2,048,498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(1,736,569)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2,750,396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LIABILITIES AND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tcPr>
          <w:p>
            <w:pPr>
              <w:ind w:left="6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83,171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146,862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230,033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19,569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50,213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Intercompany accounts payable</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1,863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8,165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(10,028)</w:t>
            </w:r>
          </w:p>
        </w:tc>
        <w:tc>
          <w:tcPr>
            <w:tcW w:w="26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28,964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50,178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2,365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17,965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10,562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Current portion of warranty</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9,013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11,951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43,626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7,164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Deferred tax liabilities current,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3,042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intercompany advances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4,416</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4,401</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202,132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299,941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(18,845)</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483,228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702,266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Warranty</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9,448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2,941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Pension plan benefits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60,066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94,512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1,330,504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(1,425,016)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106,681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70,758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 noncurrent obligations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17,320</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54,584</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989,755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1,854,717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(1,443,861)</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2"/>
              </w:rPr>
              <w:t>1,400,611</w:t>
            </w:r>
          </w:p>
        </w:tc>
        <w:tc>
          <w:tcPr>
            <w:tcW w:w="0" w:type="dxa"/>
            <w:vAlign w:val="bottom"/>
          </w:tcPr>
          <w:p>
            <w:pPr>
              <w:spacing w:after="0"/>
              <w:rPr>
                <w:sz w:val="1"/>
                <w:szCs w:val="1"/>
                <w:color w:val="auto"/>
              </w:rPr>
            </w:pPr>
          </w:p>
        </w:tc>
      </w:tr>
      <w:tr>
        <w:trPr>
          <w:trHeight w:val="323"/>
        </w:trPr>
        <w:tc>
          <w:tcPr>
            <w:tcW w:w="35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1,308,031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97,377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46,716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(144,093)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w w:val="92"/>
              </w:rPr>
              <w:t>1,308,031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(loss),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91"/>
              </w:rPr>
              <w:t>(9,200)</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31,471</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(22,271)</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57,037</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10,750</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115,594</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(126,344)</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57,037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1,349,785</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98,927</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193,781</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(292,708)</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2"/>
              </w:rPr>
              <w:t>1,349,785</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520" w:type="dxa"/>
            <w:vAlign w:val="bottom"/>
          </w:tcPr>
          <w:p>
            <w:pPr>
              <w:ind w:left="860"/>
              <w:spacing w:after="0"/>
              <w:rPr>
                <w:sz w:val="20"/>
                <w:szCs w:val="20"/>
                <w:color w:val="auto"/>
              </w:rPr>
            </w:pPr>
            <w:r>
              <w:rPr>
                <w:rFonts w:ascii="Arial" w:cs="Arial" w:eastAsia="Arial" w:hAnsi="Arial"/>
                <w:sz w:val="18"/>
                <w:szCs w:val="18"/>
                <w:color w:val="auto"/>
              </w:rPr>
              <w:t>Total liabilities and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106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2,339,540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98,927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2,048,498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(1,736,569)</w:t>
            </w:r>
          </w:p>
        </w:tc>
        <w:tc>
          <w:tcPr>
            <w:tcW w:w="46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w w:val="92"/>
              </w:rPr>
              <w:t>2,750,396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Combined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Combined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Guarantor</w:t>
            </w:r>
          </w:p>
        </w:tc>
        <w:tc>
          <w:tcPr>
            <w:tcW w:w="3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Non-guarantor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Parent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5"/>
              </w:rPr>
              <w:t>Subsidiaries</w:t>
            </w:r>
          </w:p>
        </w:tc>
        <w:tc>
          <w:tcPr>
            <w:tcW w:w="300" w:type="dxa"/>
            <w:vAlign w:val="bottom"/>
          </w:tcPr>
          <w:p>
            <w:pPr>
              <w:spacing w:after="0"/>
              <w:rPr>
                <w:sz w:val="19"/>
                <w:szCs w:val="19"/>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Subsidiaries</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7"/>
              </w:rPr>
              <w:t>Eliminations</w:t>
            </w:r>
          </w:p>
        </w:tc>
        <w:tc>
          <w:tcPr>
            <w:tcW w:w="320" w:type="dxa"/>
            <w:vAlign w:val="bottom"/>
          </w:tcPr>
          <w:p>
            <w:pPr>
              <w:spacing w:after="0"/>
              <w:rPr>
                <w:sz w:val="19"/>
                <w:szCs w:val="19"/>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5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16,385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379</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105,129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117,104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2,316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218,528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337,948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accounts receivable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1,572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71,581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98,881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170,084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current,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13,085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7,721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32,349</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42,772</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other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32,456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3,658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4,999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292,484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6,469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479,602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(52,639)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725,916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116,081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202,136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Prepaid debt fees</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8,628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67,195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22,737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5,625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12,492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18,117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58,168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330,044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388,212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174,781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1,130,818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w w:val="92"/>
              </w:rPr>
              <w:t>1,305,599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(12,444)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21,525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1,723,587</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94,511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(1,818,098)</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2,437,468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88,536</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2,177,829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(1,849,212)</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2"/>
              </w:rPr>
              <w:t>2,854,621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LIABILITIES AND SHAREHOLDERS’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ind w:left="64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67,480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66</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151,709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219,255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21,147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43,436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Intercompany accounts payable</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1,674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9,290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(11,148)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20,621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50,869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1,776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12,644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10,871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Current portion of warranty</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8,418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12,523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36,421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Deferred tax liabilities current,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3,175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intercompany advances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8,661</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2,450</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30,002</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(41,113)</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175,519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2,759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317,367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(52,261)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443,384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770,893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770,893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Warranty</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9,919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3,013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Pension plan benefits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63,040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94,512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1,723,586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(1,818,098)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117,871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80,695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noncurrent obligations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23,287</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59,876</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1,036,954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2,759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2,284,753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(1,870,359)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2"/>
              </w:rPr>
              <w:t>1,454,107</w:t>
            </w:r>
          </w:p>
        </w:tc>
        <w:tc>
          <w:tcPr>
            <w:tcW w:w="0" w:type="dxa"/>
            <w:vAlign w:val="bottom"/>
          </w:tcPr>
          <w:p>
            <w:pPr>
              <w:spacing w:after="0"/>
              <w:rPr>
                <w:sz w:val="1"/>
                <w:szCs w:val="1"/>
                <w:color w:val="auto"/>
              </w:rPr>
            </w:pPr>
          </w:p>
        </w:tc>
      </w:tr>
      <w:tr>
        <w:trPr>
          <w:trHeight w:val="323"/>
        </w:trPr>
        <w:tc>
          <w:tcPr>
            <w:tcW w:w="40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1,299,134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107,165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80,723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(187,888)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w w:val="92"/>
              </w:rPr>
              <w:t>1,299,134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71,130</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(9,200)</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19,689</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Retained earnings (accumulated deficit)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30,250</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(12,188)</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(207,336)</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219,524</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1,400,514</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85,777</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(106,924)</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21,147</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2"/>
              </w:rPr>
              <w:t>1,400,514</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2,437,468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88,536</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2,177,829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(1,849,212)</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w w:val="92"/>
              </w:rPr>
              <w:t>2,854,621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Combined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Combined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Guarantor</w:t>
            </w:r>
          </w:p>
        </w:tc>
        <w:tc>
          <w:tcPr>
            <w:tcW w:w="2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Non-guarantor</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b w:val="1"/>
                <w:bCs w:val="1"/>
                <w:color w:val="auto"/>
                <w:w w:val="96"/>
              </w:rPr>
              <w:t>Parent</w:t>
            </w:r>
          </w:p>
        </w:tc>
        <w:tc>
          <w:tcPr>
            <w:tcW w:w="2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Subsidiary</w:t>
            </w:r>
          </w:p>
        </w:tc>
        <w:tc>
          <w:tcPr>
            <w:tcW w:w="260" w:type="dxa"/>
            <w:vAlign w:val="bottom"/>
          </w:tcPr>
          <w:p>
            <w:pPr>
              <w:spacing w:after="0"/>
              <w:rPr>
                <w:sz w:val="19"/>
                <w:szCs w:val="19"/>
                <w:color w:val="auto"/>
              </w:rPr>
            </w:pPr>
          </w:p>
        </w:tc>
        <w:tc>
          <w:tcPr>
            <w:tcW w:w="1380" w:type="dxa"/>
            <w:vAlign w:val="bottom"/>
            <w:gridSpan w:val="3"/>
          </w:tcPr>
          <w:p>
            <w:pPr>
              <w:ind w:left="100"/>
              <w:spacing w:after="0"/>
              <w:rPr>
                <w:sz w:val="20"/>
                <w:szCs w:val="20"/>
                <w:color w:val="auto"/>
              </w:rPr>
            </w:pPr>
            <w:r>
              <w:rPr>
                <w:rFonts w:ascii="Arial" w:cs="Arial" w:eastAsia="Arial" w:hAnsi="Arial"/>
                <w:sz w:val="18"/>
                <w:szCs w:val="18"/>
                <w:b w:val="1"/>
                <w:bCs w:val="1"/>
                <w:color w:val="auto"/>
              </w:rPr>
              <w:t>Subsidiaries</w:t>
            </w: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Eliminations</w:t>
            </w:r>
          </w:p>
        </w:tc>
        <w:tc>
          <w:tcPr>
            <w:tcW w:w="26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26,787</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758</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9,725</w:t>
            </w:r>
          </w:p>
        </w:tc>
        <w:tc>
          <w:tcPr>
            <w:tcW w:w="2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32"/>
              <w:spacing w:after="0"/>
              <w:rPr>
                <w:sz w:val="20"/>
                <w:szCs w:val="20"/>
                <w:color w:val="auto"/>
              </w:rPr>
            </w:pPr>
            <w:r>
              <w:rPr>
                <w:rFonts w:ascii="Arial" w:cs="Arial" w:eastAsia="Arial" w:hAnsi="Arial"/>
                <w:sz w:val="18"/>
                <w:szCs w:val="18"/>
                <w:color w:val="auto"/>
                <w:w w:val="89"/>
              </w:rPr>
              <w:t>(10,483)</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26,787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provided by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11,251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22,026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4,576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Amortization of prepaid debt fees</w:t>
            </w: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1,252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convertible debt discount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guarantor and non-guarantor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subsidiaries, net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10,483</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 adjustments, net</w:t>
            </w: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2,710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8"/>
              </w:rPr>
              <w:t>Changes in operating assets and liabilities, net of acquisitions: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w w:val="95"/>
              </w:rPr>
              <w:t>Accounts payables, other current liabilities, and taxes payable</w:t>
            </w: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16,110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14,665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Wages and benefits payable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8,343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Unearned revenue</w:t>
            </w: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7,299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3,758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Intercompany transactions, net</w:t>
            </w: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1,502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net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(8,905)</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38,259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26,762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Acquisitions of property, plant, and equipment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(8,714)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intercompany notes,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27,096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9"/>
              </w:rPr>
              <w:t>(31,338)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Other investing, net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4,573</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22,955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9"/>
              </w:rPr>
              <w:t>(31,338)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w:t>
            </w:r>
          </w:p>
        </w:tc>
        <w:tc>
          <w:tcPr>
            <w:tcW w:w="0" w:type="dxa"/>
            <w:vAlign w:val="bottom"/>
          </w:tcPr>
          <w:p>
            <w:pPr>
              <w:spacing w:after="0"/>
              <w:rPr>
                <w:sz w:val="1"/>
                <w:szCs w:val="1"/>
                <w:color w:val="auto"/>
              </w:rPr>
            </w:pPr>
          </w:p>
        </w:tc>
      </w:tr>
      <w:tr>
        <w:trPr>
          <w:trHeight w:val="323"/>
        </w:trPr>
        <w:tc>
          <w:tcPr>
            <w:tcW w:w="49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debt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4,542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intercompany notes,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31,338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Other financing, net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31,338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(48,391)</w:t>
            </w:r>
          </w:p>
        </w:tc>
        <w:tc>
          <w:tcPr>
            <w:tcW w:w="0" w:type="dxa"/>
            <w:vAlign w:val="bottom"/>
          </w:tcPr>
          <w:p>
            <w:pPr>
              <w:spacing w:after="0"/>
              <w:rPr>
                <w:sz w:val="1"/>
                <w:szCs w:val="1"/>
                <w:color w:val="auto"/>
              </w:rPr>
            </w:pPr>
          </w:p>
        </w:tc>
      </w:tr>
      <w:tr>
        <w:trPr>
          <w:trHeight w:val="316"/>
        </w:trPr>
        <w:tc>
          <w:tcPr>
            <w:tcW w:w="492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 on cash and cash</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8,677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16,385</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105,508</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121,893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25,062</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98,356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123,418</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Non-cash transactions: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9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assets purchased but not yet paid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3,208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323"/>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2,990</w:t>
            </w:r>
          </w:p>
        </w:tc>
        <w:tc>
          <w:tcPr>
            <w:tcW w:w="2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net of amounts capitalized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12,527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Combined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w w:val="88"/>
              </w:rPr>
              <w:t>Combined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2"/>
              <w:spacing w:after="0"/>
              <w:rPr>
                <w:sz w:val="20"/>
                <w:szCs w:val="20"/>
                <w:color w:val="auto"/>
              </w:rPr>
            </w:pPr>
            <w:r>
              <w:rPr>
                <w:rFonts w:ascii="Arial" w:cs="Arial" w:eastAsia="Arial" w:hAnsi="Arial"/>
                <w:sz w:val="18"/>
                <w:szCs w:val="18"/>
                <w:b w:val="1"/>
                <w:bCs w:val="1"/>
                <w:color w:val="auto"/>
                <w:w w:val="94"/>
              </w:rPr>
              <w:t>Guarantor</w:t>
            </w:r>
          </w:p>
        </w:tc>
        <w:tc>
          <w:tcPr>
            <w:tcW w:w="3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Non-guarantor</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Parent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4"/>
              </w:rPr>
              <w:t>Subsidiaries</w:t>
            </w:r>
          </w:p>
        </w:tc>
        <w:tc>
          <w:tcPr>
            <w:tcW w:w="38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w w:val="97"/>
              </w:rPr>
              <w:t>Subsidiaries</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7"/>
              </w:rPr>
              <w:t>Eliminations</w:t>
            </w:r>
          </w:p>
        </w:tc>
        <w:tc>
          <w:tcPr>
            <w:tcW w:w="360" w:type="dxa"/>
            <w:vAlign w:val="bottom"/>
          </w:tcPr>
          <w:p>
            <w:pPr>
              <w:spacing w:after="0"/>
              <w:rPr>
                <w:sz w:val="19"/>
                <w:szCs w:val="19"/>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(19,729)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(19,691)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20,641</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(19,729)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11,422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24,814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4,487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Amortization of prepaid debt fees</w:t>
            </w:r>
          </w:p>
        </w:tc>
        <w:tc>
          <w:tcPr>
            <w:tcW w:w="2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1,840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convertible debt discount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2,570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Loss on extinguishment of debt, net</w:t>
            </w:r>
          </w:p>
        </w:tc>
        <w:tc>
          <w:tcPr>
            <w:tcW w:w="2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9,960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Equity in losses of guarantor and non-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640"/>
              <w:spacing w:after="0"/>
              <w:rPr>
                <w:sz w:val="20"/>
                <w:szCs w:val="20"/>
                <w:color w:val="auto"/>
              </w:rPr>
            </w:pPr>
            <w:r>
              <w:rPr>
                <w:rFonts w:ascii="Arial" w:cs="Arial" w:eastAsia="Arial" w:hAnsi="Arial"/>
                <w:sz w:val="18"/>
                <w:szCs w:val="18"/>
                <w:color w:val="auto"/>
              </w:rPr>
              <w:t>guarantor subsidiaries, net</w:t>
            </w:r>
          </w:p>
        </w:tc>
        <w:tc>
          <w:tcPr>
            <w:tcW w:w="26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18,552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(20,641)</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adjustments,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3,045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6"/>
              </w:rPr>
              <w:t>Changes in operating assets and liabilities, net of</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11,165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1,641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payables, other current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taxes payable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Wages and benefits payable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revenue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14,418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Warranty</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transactions,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Other operating,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(5,528)</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48,087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w:t>
            </w:r>
          </w:p>
        </w:tc>
        <w:tc>
          <w:tcPr>
            <w:tcW w:w="0" w:type="dxa"/>
            <w:vAlign w:val="bottom"/>
          </w:tcPr>
          <w:p>
            <w:pPr>
              <w:spacing w:after="0"/>
              <w:rPr>
                <w:sz w:val="1"/>
                <w:szCs w:val="1"/>
                <w:color w:val="auto"/>
              </w:rPr>
            </w:pPr>
          </w:p>
        </w:tc>
      </w:tr>
      <w:tr>
        <w:trPr>
          <w:trHeight w:val="323"/>
        </w:trPr>
        <w:tc>
          <w:tcPr>
            <w:tcW w:w="38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property, plant, and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Business acquisitions &amp; contingent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consideration, net of cash equivalents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acquired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intercompany notes,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Long-term intercompany notes receivable,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3,731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(5,329)</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(5,660)</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(14,265)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Payments on debt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(67,551)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Current intercompany notes,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1,815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intercompany notes payable,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3,845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Other financing,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by 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5,660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(67,414)</w:t>
            </w:r>
          </w:p>
        </w:tc>
        <w:tc>
          <w:tcPr>
            <w:tcW w:w="0" w:type="dxa"/>
            <w:vAlign w:val="bottom"/>
          </w:tcPr>
          <w:p>
            <w:pPr>
              <w:spacing w:after="0"/>
              <w:rPr>
                <w:sz w:val="1"/>
                <w:szCs w:val="1"/>
                <w:color w:val="auto"/>
              </w:rPr>
            </w:pPr>
          </w:p>
        </w:tc>
      </w:tr>
      <w:tr>
        <w:trPr>
          <w:trHeight w:val="316"/>
        </w:trPr>
        <w:tc>
          <w:tcPr>
            <w:tcW w:w="3820" w:type="dxa"/>
            <w:vAlign w:val="bottom"/>
            <w:gridSpan w:val="2"/>
          </w:tcPr>
          <w:p>
            <w:pPr>
              <w:spacing w:after="0"/>
              <w:rPr>
                <w:sz w:val="20"/>
                <w:szCs w:val="20"/>
                <w:color w:val="auto"/>
              </w:rPr>
            </w:pPr>
            <w:r>
              <w:rPr>
                <w:rFonts w:ascii="Arial" w:cs="Arial" w:eastAsia="Arial" w:hAnsi="Arial"/>
                <w:sz w:val="18"/>
                <w:szCs w:val="18"/>
                <w:color w:val="auto"/>
                <w:w w:val="98"/>
              </w:rPr>
              <w:t>Effect of foreign exchange rate changes on cash</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and cash equivalents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Cash and cash equivalents at beginning of</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period</w:t>
            </w:r>
          </w:p>
        </w:tc>
        <w:tc>
          <w:tcPr>
            <w:tcW w:w="26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67,404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73,806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transferred from guarantor to parent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2,940</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0"/>
        </w:trPr>
        <w:tc>
          <w:tcPr>
            <w:tcW w:w="3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40,856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61,018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Fixed assets purchased but not yet paid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2,266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3,294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of debt for common stock (see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 6)</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120,984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120,984</w:t>
            </w:r>
          </w:p>
        </w:tc>
        <w:tc>
          <w:tcPr>
            <w:tcW w:w="0" w:type="dxa"/>
            <w:vAlign w:val="bottom"/>
          </w:tcPr>
          <w:p>
            <w:pPr>
              <w:spacing w:after="0"/>
              <w:rPr>
                <w:sz w:val="1"/>
                <w:szCs w:val="1"/>
                <w:color w:val="auto"/>
              </w:rPr>
            </w:pPr>
          </w:p>
        </w:tc>
      </w:tr>
      <w:tr>
        <w:trPr>
          <w:trHeight w:val="316"/>
        </w:trPr>
        <w:tc>
          <w:tcPr>
            <w:tcW w:w="382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i w:val="1"/>
                <w:iCs w:val="1"/>
                <w:color w:val="auto"/>
              </w:rPr>
              <w:t>information: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net of amounts capitalized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15,294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51" w:orient="portrait"/>
          <w:cols w:equalWidth="0" w:num="1">
            <w:col w:w="11420"/>
          </w:cols>
          <w:pgMar w:left="240" w:top="459" w:right="239" w:bottom="0" w:gutter="0" w:footer="0" w:header="0"/>
        </w:sectPr>
      </w:pPr>
    </w:p>
    <w:p>
      <w:pPr>
        <w:jc w:val="center"/>
        <w:spacing w:after="0"/>
        <w:rPr>
          <w:sz w:val="20"/>
          <w:szCs w:val="20"/>
          <w:color w:val="auto"/>
        </w:rPr>
      </w:pPr>
      <w:r>
        <w:rPr>
          <w:rFonts w:ascii="Arial" w:cs="Arial" w:eastAsia="Arial" w:hAnsi="Arial"/>
          <w:sz w:val="19"/>
          <w:szCs w:val="19"/>
          <w:color w:val="auto"/>
        </w:rPr>
        <w:t>32</w:t>
      </w:r>
    </w:p>
    <w:p>
      <w:pPr>
        <w:sectPr>
          <w:pgSz w:w="11900" w:h="16851" w:orient="portrait"/>
          <w:cols w:equalWidth="0" w:num="1">
            <w:col w:w="11420"/>
          </w:cols>
          <w:pgMar w:left="240" w:top="459" w:right="239" w:bottom="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2009, filed with the Securities and Exchange Commission (SEC) on February 25, 2010.</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competition, 4) changes in estimated liabilities for product warranties and/or litigation, 5) our dependence on customers’ acceptance of new products and their performance, 6) changes in domestic and international laws and regulations, 7) future business combinations, 8) changes in estimates for stock-based compensation and pension costs, 9) changes in foreign currency exchange rates and interest rates, 10) international business risks, 11) our own and our customers’ or suppliers’ access to and cost of capital, and 12) other factors. You should not solely rely on these forward-looking statements as they are only valid as of the date of this Quarterly Report on Form 10-Q. We do not have any obligation to publicly update or revise any forward-looking statement in this document. For a more complete description of these and other risks, refer to Item 1A: “Risk Factors” included in our Annual Report on Form 10-K for the fiscal year ended December 31, 2009, which was filed with the SEC on February 25, 2010.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derive the majority of our revenues from sales of products and services to utilities. Our products and services include hardware, software, managed services, and consulting. Cost of revenues includes materials, labor, overhead, warranty expense, and distribution and documentation costs for software.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first quarter of 2010 increased 29%, compared with the first quarter of 2009, primarily due to the deployment of three large advanced metering infrastructure (AMI) contracts. AMI revenues were 22% of total Company revenues, compared with less than 1% in the first quarter of 2009. Total twelve-month backlog was $981 million at March 31, 2010, compared with $471 million at March 31, 2009.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North America meter volumes (with and without AMR/AMI) increased 68%, while International meter volumes decreased 12%.</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Term debt repayments during the first quarter of 2010 were $52.8 million, bringing the total debt outstanding to $712.8 million at March 31, 2010.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gridSpan w:val="9"/>
          </w:tcPr>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tc>
        <w:tc>
          <w:tcPr>
            <w:tcW w:w="1000" w:type="dxa"/>
            <w:vAlign w:val="bottom"/>
          </w:tcPr>
          <w:p>
            <w:pPr>
              <w:spacing w:after="0"/>
              <w:rPr>
                <w:sz w:val="19"/>
                <w:szCs w:val="19"/>
                <w:color w:val="auto"/>
              </w:rPr>
            </w:pPr>
          </w:p>
        </w:tc>
      </w:tr>
      <w:tr>
        <w:trPr>
          <w:trHeight w:val="42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ind w:left="820"/>
              <w:spacing w:after="0"/>
              <w:rPr>
                <w:sz w:val="20"/>
                <w:szCs w:val="20"/>
                <w:color w:val="auto"/>
              </w:rPr>
            </w:pPr>
            <w:r>
              <w:rPr>
                <w:rFonts w:ascii="Arial" w:cs="Arial" w:eastAsia="Arial" w:hAnsi="Arial"/>
                <w:sz w:val="18"/>
                <w:szCs w:val="18"/>
                <w:b w:val="1"/>
                <w:bCs w:val="1"/>
                <w:color w:val="auto"/>
                <w:w w:val="90"/>
              </w:rPr>
              <w:t>Three Months Ended March 31,</w:t>
            </w:r>
          </w:p>
        </w:tc>
        <w:tc>
          <w:tcPr>
            <w:tcW w:w="1000" w:type="dxa"/>
            <w:vAlign w:val="bottom"/>
            <w:tcBorders>
              <w:bottom w:val="single" w:sz="8" w:color="auto"/>
            </w:tcBorders>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1"/>
              </w:rPr>
              <w:t>% Change</w:t>
            </w: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1"/>
              </w:rPr>
              <w:t>millions)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88"/>
              </w:rPr>
              <w:t>29%</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158.9</w:t>
            </w:r>
          </w:p>
        </w:tc>
        <w:tc>
          <w:tcPr>
            <w:tcW w:w="48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2"/>
              <w:spacing w:after="0"/>
              <w:rPr>
                <w:sz w:val="20"/>
                <w:szCs w:val="20"/>
                <w:color w:val="auto"/>
              </w:rPr>
            </w:pPr>
            <w:r>
              <w:rPr>
                <w:rFonts w:ascii="Arial" w:cs="Arial" w:eastAsia="Arial" w:hAnsi="Arial"/>
                <w:sz w:val="18"/>
                <w:szCs w:val="18"/>
                <w:color w:val="auto"/>
                <w:w w:val="88"/>
              </w:rPr>
              <w:t>23%</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43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00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1"/>
              </w:rPr>
              <w:t>millions)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 by region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Europe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195.5</w:t>
            </w:r>
          </w:p>
        </w:tc>
        <w:tc>
          <w:tcPr>
            <w:tcW w:w="48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197.5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and Canada</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240.6</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c>
          <w:tcPr>
            <w:tcW w:w="4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63.2</w:t>
            </w: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56.2</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499.3</w:t>
            </w:r>
          </w:p>
        </w:tc>
        <w:tc>
          <w:tcPr>
            <w:tcW w:w="4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388.5</w:t>
            </w:r>
          </w:p>
        </w:tc>
        <w:tc>
          <w:tcPr>
            <w:tcW w:w="4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Revenues increased $110.8 million, or 29%, for the three months ended March 31, 2010, compared with the same period in 2009. The translation effect of a weaker U.S. dollar against most foreign currencies in the first quarter of 2010, as compared with the first quarter of 2009, accounted for $24.0 million of the increase. A more detailed analysis of these fluctuations is provided in </w:t>
      </w:r>
      <w:r>
        <w:rPr>
          <w:rFonts w:ascii="Arial" w:cs="Arial" w:eastAsia="Arial" w:hAnsi="Arial"/>
          <w:sz w:val="18"/>
          <w:szCs w:val="18"/>
          <w:i w:val="1"/>
          <w:iCs w:val="1"/>
          <w:color w:val="auto"/>
        </w:rPr>
        <w:t>Operating Segment Results.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single customer represented more than 10% of total revenues for the first quarters of 2010 and 2009. Our 10 largest customers accounted for approximately 32% and 15% of total revenues for the first quarters of 2010 and 2009,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Gross margin was 32% for the first quarter of 2010, compared with 33% during the same period in 2009. The decrease in gross margin for the three months ended March 31, 2010 was due to a decline in Itron North America’s gross margins. A more detailed analysis of these fluctuations is provided in </w:t>
      </w:r>
      <w:r>
        <w:rPr>
          <w:rFonts w:ascii="Arial" w:cs="Arial" w:eastAsia="Arial" w:hAnsi="Arial"/>
          <w:sz w:val="18"/>
          <w:szCs w:val="18"/>
          <w:i w:val="1"/>
          <w:iCs w:val="1"/>
          <w:color w:val="auto"/>
        </w:rPr>
        <w:t>Operating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Results.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Meter and Module Summary</w:t>
      </w:r>
    </w:p>
    <w:p>
      <w:pPr>
        <w:spacing w:after="0" w:line="9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Meters are sold with and without advanced functionality. In addition, smart meter modules (AMR/AMI) can be sold separately from the meter. Depending on customers’ preferences, we also incorporate other vendors’ technology in our meters. A summary of our meter and AMR/AMI module volumes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90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560" w:type="dxa"/>
            <w:vAlign w:val="bottom"/>
          </w:tcPr>
          <w:p>
            <w:pPr>
              <w:spacing w:after="0"/>
              <w:rPr>
                <w:sz w:val="18"/>
                <w:szCs w:val="18"/>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meters (with and without AMR/AMI)</w:t>
            </w:r>
          </w:p>
        </w:tc>
        <w:tc>
          <w:tcPr>
            <w:tcW w:w="290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b w:val="1"/>
                <w:bCs w:val="1"/>
                <w:color w:val="auto"/>
              </w:rPr>
              <w:t>(units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Itron North America</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Electricity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Gas</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Itron International</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Electricity</w:t>
            </w:r>
          </w:p>
        </w:tc>
        <w:tc>
          <w:tcPr>
            <w:tcW w:w="1140" w:type="dxa"/>
            <w:vAlign w:val="bottom"/>
          </w:tcPr>
          <w:p>
            <w:pPr>
              <w:jc w:val="right"/>
              <w:spacing w:after="0"/>
              <w:rPr>
                <w:sz w:val="20"/>
                <w:szCs w:val="20"/>
                <w:color w:val="auto"/>
              </w:rPr>
            </w:pPr>
            <w:r>
              <w:rPr>
                <w:rFonts w:ascii="Arial" w:cs="Arial" w:eastAsia="Arial" w:hAnsi="Arial"/>
                <w:sz w:val="18"/>
                <w:szCs w:val="18"/>
                <w:color w:val="auto"/>
              </w:rPr>
              <w:t>1,640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Water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5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meters with and without AMR/AMI</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Additional meter information (Total Company)</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Meters with AMR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Meters with AMI</w:t>
            </w:r>
          </w:p>
        </w:tc>
        <w:tc>
          <w:tcPr>
            <w:tcW w:w="1140" w:type="dxa"/>
            <w:vAlign w:val="bottom"/>
          </w:tcPr>
          <w:p>
            <w:pPr>
              <w:jc w:val="right"/>
              <w:spacing w:after="0"/>
              <w:rPr>
                <w:sz w:val="20"/>
                <w:szCs w:val="20"/>
                <w:color w:val="auto"/>
              </w:rPr>
            </w:pPr>
            <w:r>
              <w:rPr>
                <w:rFonts w:ascii="Arial" w:cs="Arial" w:eastAsia="Arial" w:hAnsi="Arial"/>
                <w:sz w:val="18"/>
                <w:szCs w:val="18"/>
                <w:color w:val="auto"/>
              </w:rPr>
              <w:t>810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Standalone AMR/AMI modules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5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Meters with AMR/AMI and modules</w:t>
            </w:r>
          </w:p>
        </w:tc>
        <w:tc>
          <w:tcPr>
            <w:tcW w:w="1140" w:type="dxa"/>
            <w:vAlign w:val="bottom"/>
          </w:tcPr>
          <w:p>
            <w:pPr>
              <w:jc w:val="right"/>
              <w:spacing w:after="0"/>
              <w:rPr>
                <w:sz w:val="20"/>
                <w:szCs w:val="20"/>
                <w:color w:val="auto"/>
              </w:rPr>
            </w:pPr>
            <w:r>
              <w:rPr>
                <w:rFonts w:ascii="Arial" w:cs="Arial" w:eastAsia="Arial" w:hAnsi="Arial"/>
                <w:sz w:val="18"/>
                <w:szCs w:val="18"/>
                <w:color w:val="auto"/>
              </w:rPr>
              <w:t>2,670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Meters with other vendors’ AMR/AMI</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description of our operating segments, see Note 14 of the condensed consolidated financial statements. The following tables and discussion highlight significant changes in trends or components of each operating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7"/>
          </w:tcPr>
          <w:p>
            <w:pPr>
              <w:jc w:val="right"/>
              <w:ind w:right="992"/>
              <w:spacing w:after="0"/>
              <w:rPr>
                <w:sz w:val="20"/>
                <w:szCs w:val="20"/>
                <w:color w:val="auto"/>
              </w:rPr>
            </w:pPr>
            <w:r>
              <w:rPr>
                <w:rFonts w:ascii="Arial" w:cs="Arial" w:eastAsia="Arial" w:hAnsi="Arial"/>
                <w:sz w:val="18"/>
                <w:szCs w:val="18"/>
                <w:b w:val="1"/>
                <w:bCs w:val="1"/>
                <w:color w:val="auto"/>
                <w:w w:val="90"/>
              </w:rPr>
              <w:t>Three Months Ended March 31,</w:t>
            </w:r>
          </w:p>
        </w:tc>
        <w:tc>
          <w:tcPr>
            <w:tcW w:w="1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1"/>
        </w:trPr>
        <w:tc>
          <w:tcPr>
            <w:tcW w:w="4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4"/>
              </w:rPr>
              <w:t>2009</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1"/>
              </w:rPr>
              <w:t>% Change</w:t>
            </w:r>
          </w:p>
        </w:tc>
        <w:tc>
          <w:tcPr>
            <w:tcW w:w="1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b w:val="1"/>
                <w:bCs w:val="1"/>
                <w:i w:val="1"/>
                <w:iCs w:val="1"/>
                <w:color w:val="auto"/>
              </w:rPr>
              <w:t>Segment Revenues</w:t>
            </w:r>
          </w:p>
        </w:tc>
        <w:tc>
          <w:tcPr>
            <w:tcW w:w="180" w:type="dxa"/>
            <w:vAlign w:val="bottom"/>
          </w:tcPr>
          <w:p>
            <w:pPr>
              <w:spacing w:after="0"/>
              <w:rPr>
                <w:sz w:val="18"/>
                <w:szCs w:val="18"/>
                <w:color w:val="auto"/>
              </w:rPr>
            </w:pPr>
          </w:p>
        </w:tc>
        <w:tc>
          <w:tcPr>
            <w:tcW w:w="1060" w:type="dxa"/>
            <w:vAlign w:val="bottom"/>
            <w:gridSpan w:val="2"/>
          </w:tcPr>
          <w:p>
            <w:pPr>
              <w:ind w:left="840"/>
              <w:spacing w:after="0"/>
              <w:rPr>
                <w:sz w:val="20"/>
                <w:szCs w:val="20"/>
                <w:color w:val="auto"/>
              </w:rPr>
            </w:pPr>
            <w:r>
              <w:rPr>
                <w:rFonts w:ascii="Arial" w:cs="Arial" w:eastAsia="Arial" w:hAnsi="Arial"/>
                <w:sz w:val="18"/>
                <w:szCs w:val="18"/>
                <w:b w:val="1"/>
                <w:bCs w:val="1"/>
                <w:color w:val="auto"/>
                <w:w w:val="90"/>
              </w:rPr>
              <w:t>(in</w:t>
            </w:r>
          </w:p>
        </w:tc>
        <w:tc>
          <w:tcPr>
            <w:tcW w:w="1700" w:type="dxa"/>
            <w:vAlign w:val="bottom"/>
            <w:gridSpan w:val="3"/>
          </w:tcPr>
          <w:p>
            <w:pPr>
              <w:jc w:val="right"/>
              <w:ind w:right="932"/>
              <w:spacing w:after="0"/>
              <w:rPr>
                <w:sz w:val="20"/>
                <w:szCs w:val="20"/>
                <w:color w:val="auto"/>
              </w:rPr>
            </w:pPr>
            <w:r>
              <w:rPr>
                <w:rFonts w:ascii="Arial" w:cs="Arial" w:eastAsia="Arial" w:hAnsi="Arial"/>
                <w:sz w:val="18"/>
                <w:szCs w:val="18"/>
                <w:b w:val="1"/>
                <w:bCs w:val="1"/>
                <w:color w:val="auto"/>
                <w:w w:val="89"/>
              </w:rPr>
              <w:t>millions)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Itron North America</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4060" w:type="dxa"/>
            <w:vAlign w:val="bottom"/>
          </w:tcPr>
          <w:p>
            <w:pPr>
              <w:ind w:left="220"/>
              <w:spacing w:after="0"/>
              <w:rPr>
                <w:sz w:val="20"/>
                <w:szCs w:val="20"/>
                <w:color w:val="auto"/>
              </w:rPr>
            </w:pPr>
            <w:r>
              <w:rPr>
                <w:rFonts w:ascii="Arial" w:cs="Arial" w:eastAsia="Arial" w:hAnsi="Arial"/>
                <w:sz w:val="18"/>
                <w:szCs w:val="18"/>
                <w:color w:val="auto"/>
              </w:rPr>
              <w:t>Itron International</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249.1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388.5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5"/>
        </w:trPr>
        <w:tc>
          <w:tcPr>
            <w:tcW w:w="4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8"/>
                <w:szCs w:val="18"/>
                <w:b w:val="1"/>
                <w:bCs w:val="1"/>
                <w:color w:val="auto"/>
                <w:w w:val="99"/>
              </w:rPr>
              <w:t>Three Months Ended March 31,</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11"/>
        </w:trPr>
        <w:tc>
          <w:tcPr>
            <w:tcW w:w="4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2010</w:t>
            </w:r>
          </w:p>
        </w:tc>
        <w:tc>
          <w:tcPr>
            <w:tcW w:w="12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2009</w:t>
            </w:r>
          </w:p>
        </w:tc>
        <w:tc>
          <w:tcPr>
            <w:tcW w:w="1360" w:type="dxa"/>
            <w:vAlign w:val="bottom"/>
            <w:tcBorders>
              <w:bottom w:val="single" w:sz="8" w:color="auto"/>
            </w:tcBorders>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i w:val="1"/>
                <w:iCs w:val="1"/>
                <w:color w:val="auto"/>
                <w:w w:val="84"/>
              </w:rPr>
              <w:t>Gross Profit</w:t>
            </w:r>
          </w:p>
        </w:tc>
        <w:tc>
          <w:tcPr>
            <w:tcW w:w="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i w:val="1"/>
                <w:iCs w:val="1"/>
                <w:color w:val="auto"/>
                <w:w w:val="87"/>
              </w:rPr>
              <w:t>Gross Margin</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i w:val="1"/>
                <w:iCs w:val="1"/>
                <w:color w:val="auto"/>
                <w:w w:val="84"/>
              </w:rPr>
              <w:t>Gross Profit</w:t>
            </w:r>
          </w:p>
        </w:tc>
        <w:tc>
          <w:tcPr>
            <w:tcW w:w="1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6"/>
              </w:rPr>
              <w:t>Gross Margin</w:t>
            </w:r>
          </w:p>
        </w:tc>
      </w:tr>
      <w:tr>
        <w:trPr>
          <w:trHeight w:val="210"/>
        </w:trPr>
        <w:tc>
          <w:tcPr>
            <w:tcW w:w="4060" w:type="dxa"/>
            <w:vAlign w:val="bottom"/>
          </w:tcPr>
          <w:p>
            <w:pPr>
              <w:spacing w:after="0"/>
              <w:rPr>
                <w:sz w:val="20"/>
                <w:szCs w:val="20"/>
                <w:color w:val="auto"/>
              </w:rPr>
            </w:pPr>
            <w:r>
              <w:rPr>
                <w:rFonts w:ascii="Arial" w:cs="Arial" w:eastAsia="Arial" w:hAnsi="Arial"/>
                <w:sz w:val="18"/>
                <w:szCs w:val="18"/>
                <w:b w:val="1"/>
                <w:bCs w:val="1"/>
                <w:i w:val="1"/>
                <w:iCs w:val="1"/>
                <w:color w:val="auto"/>
              </w:rPr>
              <w:t>Segment Gross Profit and Margin</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(in millions)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Itron North America</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8"/>
              </w:rPr>
              <w:t>33%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78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88"/>
              </w:rPr>
              <w:t>38%</w:t>
            </w:r>
          </w:p>
        </w:tc>
      </w:tr>
      <w:tr>
        <w:trPr>
          <w:trHeight w:val="223"/>
        </w:trPr>
        <w:tc>
          <w:tcPr>
            <w:tcW w:w="4060" w:type="dxa"/>
            <w:vAlign w:val="bottom"/>
          </w:tcPr>
          <w:p>
            <w:pPr>
              <w:ind w:left="220"/>
              <w:spacing w:after="0"/>
              <w:rPr>
                <w:sz w:val="20"/>
                <w:szCs w:val="20"/>
                <w:color w:val="auto"/>
              </w:rPr>
            </w:pPr>
            <w:r>
              <w:rPr>
                <w:rFonts w:ascii="Arial" w:cs="Arial" w:eastAsia="Arial" w:hAnsi="Arial"/>
                <w:sz w:val="18"/>
                <w:szCs w:val="18"/>
                <w:color w:val="auto"/>
              </w:rPr>
              <w:t>Itron International</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32"/>
              <w:spacing w:after="0"/>
              <w:rPr>
                <w:sz w:val="20"/>
                <w:szCs w:val="20"/>
                <w:color w:val="auto"/>
              </w:rPr>
            </w:pPr>
            <w:r>
              <w:rPr>
                <w:rFonts w:ascii="Arial" w:cs="Arial" w:eastAsia="Arial" w:hAnsi="Arial"/>
                <w:sz w:val="18"/>
                <w:szCs w:val="18"/>
                <w:color w:val="auto"/>
                <w:w w:val="88"/>
              </w:rPr>
              <w:t>31%</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auto"/>
            </w:tcBorders>
          </w:tcPr>
          <w:p>
            <w:pPr>
              <w:spacing w:after="0"/>
              <w:rPr>
                <w:sz w:val="19"/>
                <w:szCs w:val="19"/>
                <w:color w:val="auto"/>
              </w:rPr>
            </w:pPr>
          </w:p>
        </w:tc>
        <w:tc>
          <w:tcPr>
            <w:tcW w:w="16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31%</w:t>
            </w: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profit and margin</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8"/>
              </w:rPr>
              <w:t>32%</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auto"/>
            </w:tcBorders>
            <w:shd w:val="clear" w:color="auto" w:fill="CCEEFF"/>
          </w:tcPr>
          <w:p>
            <w:pPr>
              <w:spacing w:after="0"/>
              <w:rPr>
                <w:sz w:val="18"/>
                <w:szCs w:val="18"/>
                <w:color w:val="auto"/>
              </w:rPr>
            </w:pPr>
          </w:p>
        </w:tc>
        <w:tc>
          <w:tcPr>
            <w:tcW w:w="16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33%</w:t>
            </w: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5"/>
        </w:trPr>
        <w:tc>
          <w:tcPr>
            <w:tcW w:w="4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8"/>
                <w:szCs w:val="18"/>
                <w:b w:val="1"/>
                <w:bCs w:val="1"/>
                <w:color w:val="auto"/>
                <w:w w:val="99"/>
              </w:rPr>
              <w:t>Three Months Ended March 31,</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11"/>
        </w:trPr>
        <w:tc>
          <w:tcPr>
            <w:tcW w:w="4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2010</w:t>
            </w:r>
          </w:p>
        </w:tc>
        <w:tc>
          <w:tcPr>
            <w:tcW w:w="12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2009</w:t>
            </w:r>
          </w:p>
        </w:tc>
        <w:tc>
          <w:tcPr>
            <w:tcW w:w="1360" w:type="dxa"/>
            <w:vAlign w:val="bottom"/>
            <w:tcBorders>
              <w:bottom w:val="single" w:sz="8" w:color="auto"/>
            </w:tcBorders>
          </w:tcPr>
          <w:p>
            <w:pPr>
              <w:spacing w:after="0"/>
              <w:rPr>
                <w:sz w:val="18"/>
                <w:szCs w:val="18"/>
                <w:color w:val="auto"/>
              </w:rPr>
            </w:pPr>
          </w:p>
        </w:tc>
      </w:tr>
      <w:tr>
        <w:trPr>
          <w:trHeight w:val="201"/>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2"/>
              <w:spacing w:after="0" w:line="201" w:lineRule="exact"/>
              <w:rPr>
                <w:sz w:val="20"/>
                <w:szCs w:val="20"/>
                <w:color w:val="auto"/>
              </w:rPr>
            </w:pPr>
            <w:r>
              <w:rPr>
                <w:rFonts w:ascii="Arial" w:cs="Arial" w:eastAsia="Arial" w:hAnsi="Arial"/>
                <w:sz w:val="18"/>
                <w:szCs w:val="18"/>
                <w:b w:val="1"/>
                <w:bCs w:val="1"/>
                <w:i w:val="1"/>
                <w:iCs w:val="1"/>
                <w:color w:val="auto"/>
                <w:w w:val="84"/>
              </w:rPr>
              <w:t>Operating</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92"/>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32"/>
              <w:spacing w:after="0" w:line="201" w:lineRule="exact"/>
              <w:rPr>
                <w:sz w:val="20"/>
                <w:szCs w:val="20"/>
                <w:color w:val="auto"/>
              </w:rPr>
            </w:pPr>
            <w:r>
              <w:rPr>
                <w:rFonts w:ascii="Arial" w:cs="Arial" w:eastAsia="Arial" w:hAnsi="Arial"/>
                <w:sz w:val="18"/>
                <w:szCs w:val="18"/>
                <w:b w:val="1"/>
                <w:bCs w:val="1"/>
                <w:i w:val="1"/>
                <w:iCs w:val="1"/>
                <w:color w:val="auto"/>
                <w:w w:val="84"/>
              </w:rPr>
              <w:t>Operating</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4"/>
              </w:rPr>
              <w:t>Operating</w:t>
            </w:r>
          </w:p>
        </w:tc>
      </w:tr>
      <w:tr>
        <w:trPr>
          <w:trHeight w:val="224"/>
        </w:trPr>
        <w:tc>
          <w:tcPr>
            <w:tcW w:w="4060" w:type="dxa"/>
            <w:vAlign w:val="bottom"/>
          </w:tcPr>
          <w:p>
            <w:pPr>
              <w:spacing w:after="0"/>
              <w:rPr>
                <w:sz w:val="20"/>
                <w:szCs w:val="20"/>
                <w:color w:val="auto"/>
              </w:rPr>
            </w:pPr>
            <w:r>
              <w:rPr>
                <w:rFonts w:ascii="Arial" w:cs="Arial" w:eastAsia="Arial" w:hAnsi="Arial"/>
                <w:sz w:val="18"/>
                <w:szCs w:val="18"/>
                <w:b w:val="1"/>
                <w:bCs w:val="1"/>
                <w:i w:val="1"/>
                <w:iCs w:val="1"/>
                <w:color w:val="auto"/>
              </w:rPr>
              <w:t>Segment Operating Income (Loss)</w:t>
            </w: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i w:val="1"/>
                <w:iCs w:val="1"/>
                <w:color w:val="auto"/>
                <w:w w:val="85"/>
              </w:rPr>
              <w:t>Income (Loss)</w:t>
            </w:r>
          </w:p>
        </w:tc>
        <w:tc>
          <w:tcPr>
            <w:tcW w:w="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i w:val="1"/>
                <w:iCs w:val="1"/>
                <w:color w:val="auto"/>
                <w:w w:val="91"/>
              </w:rPr>
              <w:t>Margin</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i w:val="1"/>
                <w:iCs w:val="1"/>
                <w:color w:val="auto"/>
                <w:w w:val="85"/>
              </w:rPr>
              <w:t>Income (Loss)</w:t>
            </w:r>
          </w:p>
        </w:tc>
        <w:tc>
          <w:tcPr>
            <w:tcW w:w="1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4"/>
              </w:rPr>
              <w:t>Margin</w:t>
            </w:r>
          </w:p>
        </w:tc>
      </w:tr>
      <w:tr>
        <w:trPr>
          <w:trHeight w:val="210"/>
        </w:trPr>
        <w:tc>
          <w:tcPr>
            <w:tcW w:w="406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and Operating Margin</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(in millions)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Itron North America</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8"/>
              </w:rPr>
              <w:t>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78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4"/>
              </w:rPr>
              <w:t>6%</w:t>
            </w: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Itron International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52"/>
              <w:spacing w:after="0"/>
              <w:rPr>
                <w:sz w:val="20"/>
                <w:szCs w:val="20"/>
                <w:color w:val="auto"/>
              </w:rPr>
            </w:pPr>
            <w:r>
              <w:rPr>
                <w:rFonts w:ascii="Arial" w:cs="Arial" w:eastAsia="Arial" w:hAnsi="Arial"/>
                <w:sz w:val="18"/>
                <w:szCs w:val="18"/>
                <w:color w:val="auto"/>
                <w:w w:val="84"/>
              </w:rPr>
              <w:t>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780" w:type="dxa"/>
            <w:vAlign w:val="bottom"/>
            <w:gridSpan w:val="3"/>
          </w:tcPr>
          <w:p>
            <w:pPr>
              <w:jc w:val="center"/>
              <w:ind w:left="152"/>
              <w:spacing w:after="0"/>
              <w:rPr>
                <w:sz w:val="20"/>
                <w:szCs w:val="20"/>
                <w:color w:val="auto"/>
              </w:rPr>
            </w:pPr>
            <w:r>
              <w:rPr>
                <w:rFonts w:ascii="Arial" w:cs="Arial" w:eastAsia="Arial" w:hAnsi="Arial"/>
                <w:sz w:val="18"/>
                <w:szCs w:val="18"/>
                <w:color w:val="auto"/>
                <w:w w:val="84"/>
              </w:rPr>
              <w:t>4%</w:t>
            </w: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unallocated</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2"/>
        </w:trPr>
        <w:tc>
          <w:tcPr>
            <w:tcW w:w="4060" w:type="dxa"/>
            <w:vAlign w:val="bottom"/>
          </w:tcPr>
          <w:p>
            <w:pPr>
              <w:ind w:left="440"/>
              <w:spacing w:after="0"/>
              <w:rPr>
                <w:sz w:val="20"/>
                <w:szCs w:val="20"/>
                <w:color w:val="auto"/>
              </w:rPr>
            </w:pPr>
            <w:r>
              <w:rPr>
                <w:rFonts w:ascii="Arial" w:cs="Arial" w:eastAsia="Arial" w:hAnsi="Arial"/>
                <w:sz w:val="18"/>
                <w:szCs w:val="18"/>
                <w:color w:val="auto"/>
              </w:rPr>
              <w:t>Total Company</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52"/>
              <w:spacing w:after="0"/>
              <w:rPr>
                <w:sz w:val="20"/>
                <w:szCs w:val="20"/>
                <w:color w:val="auto"/>
              </w:rPr>
            </w:pPr>
            <w:r>
              <w:rPr>
                <w:rFonts w:ascii="Arial" w:cs="Arial" w:eastAsia="Arial" w:hAnsi="Arial"/>
                <w:sz w:val="18"/>
                <w:szCs w:val="18"/>
                <w:color w:val="auto"/>
                <w:w w:val="84"/>
              </w:rPr>
              <w:t>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780" w:type="dxa"/>
            <w:vAlign w:val="bottom"/>
            <w:gridSpan w:val="3"/>
          </w:tcPr>
          <w:p>
            <w:pPr>
              <w:jc w:val="center"/>
              <w:ind w:left="152"/>
              <w:spacing w:after="0"/>
              <w:rPr>
                <w:sz w:val="20"/>
                <w:szCs w:val="20"/>
                <w:color w:val="auto"/>
              </w:rPr>
            </w:pPr>
            <w:r>
              <w:rPr>
                <w:rFonts w:ascii="Arial" w:cs="Arial" w:eastAsia="Arial" w:hAnsi="Arial"/>
                <w:sz w:val="18"/>
                <w:szCs w:val="18"/>
                <w:color w:val="auto"/>
                <w:w w:val="84"/>
              </w:rPr>
              <w:t>2%</w:t>
            </w:r>
          </w:p>
        </w:tc>
      </w:tr>
      <w:tr>
        <w:trPr>
          <w:trHeight w:val="20"/>
        </w:trPr>
        <w:tc>
          <w:tcPr>
            <w:tcW w:w="4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i w:val="1"/>
          <w:iCs w:val="1"/>
          <w:color w:val="auto"/>
        </w:rPr>
        <w:t xml:space="preserve">Itron North America: </w:t>
      </w:r>
      <w:r>
        <w:rPr>
          <w:rFonts w:ascii="Arial" w:cs="Arial" w:eastAsia="Arial" w:hAnsi="Arial"/>
          <w:sz w:val="18"/>
          <w:szCs w:val="18"/>
          <w:color w:val="auto"/>
        </w:rPr>
        <w:t>Revenues increased $103.7 million, or 74%, which was driven by meter shipments increasing 68% during the first quarter of 2010,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same period in 2009. Our three largest AMI contracts accounted for 44% of first quarter 2010 revenues, compared with less than 2% in the first quarter of 2009. The number of non-AMI meters and standalone modules decreased 10% in the first quarter of 2010, compared with the same period last year.</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decreased 4.6 percentage points in the first quarter of 2010, compared with the same period in 2009, primarily due to the significant increase in shipments of our first generation AMI meters, which currently have lower margins. In addition, gross margin was also lower due to increased compensation costs resulting from the reinstatement of our annual incentive plans.</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Two customers each represented more than 10% of Itron North America revenues in the first quarter of 2010. No customer represented more than 10% of Itron North America operating segment revenues in the first quarter of 2009.</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Itron North America operating expenses increased $1.6 million, or 4%, for the first quarter of 2010, compared with the same period in 2009, primarily due to increased compensation expense. These higher costs were partially offset by lower amortization of intangible assets. As a result of higher revenues, operating expenses as a percentage of revenues were 19% for the first quarter of 2010, compared with 32% for the same period in 2009.</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Itron International</w:t>
      </w:r>
      <w:r>
        <w:rPr>
          <w:rFonts w:ascii="Arial" w:cs="Arial" w:eastAsia="Arial" w:hAnsi="Arial"/>
          <w:sz w:val="18"/>
          <w:szCs w:val="18"/>
          <w:color w:val="auto"/>
        </w:rPr>
        <w:t>: Revenues increased $7.1 million, or 3%, for the first quarter of 2010, compared with the same period in 2009. Excluding the translation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of a weaker U.S. dollar against most foreign currencies in the first quarter of 2010, as compared with the first quarter of 2009, revenues declined 6% as a result of continued softened demand and economic conditions in certain markets.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Gross margin was constant for the first quarter of 2010, compared with the same period last year.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40" w:type="dxa"/>
            <w:vAlign w:val="bottom"/>
          </w:tcPr>
          <w:p>
            <w:pPr>
              <w:spacing w:after="0"/>
              <w:rPr>
                <w:sz w:val="20"/>
                <w:szCs w:val="20"/>
                <w:color w:val="auto"/>
              </w:rPr>
            </w:pPr>
            <w:r>
              <w:rPr>
                <w:rFonts w:ascii="Arial" w:cs="Arial" w:eastAsia="Arial" w:hAnsi="Arial"/>
                <w:sz w:val="18"/>
                <w:szCs w:val="18"/>
                <w:color w:val="auto"/>
                <w:w w:val="92"/>
              </w:rPr>
              <w:t>Business line revenues for Itron International were as follows:</w:t>
            </w: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20"/>
        </w:trPr>
        <w:tc>
          <w:tcPr>
            <w:tcW w:w="4540" w:type="dxa"/>
            <w:vAlign w:val="bottom"/>
          </w:tcPr>
          <w:p>
            <w:pPr>
              <w:spacing w:after="0"/>
              <w:rPr>
                <w:sz w:val="24"/>
                <w:szCs w:val="24"/>
                <w:color w:val="auto"/>
              </w:rPr>
            </w:pPr>
          </w:p>
        </w:tc>
        <w:tc>
          <w:tcPr>
            <w:tcW w:w="32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Three Months Ended March 31,</w:t>
            </w:r>
          </w:p>
        </w:tc>
      </w:tr>
      <w:tr>
        <w:trPr>
          <w:trHeight w:val="211"/>
        </w:trPr>
        <w:tc>
          <w:tcPr>
            <w:tcW w:w="454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2010</w:t>
            </w:r>
          </w:p>
        </w:tc>
        <w:tc>
          <w:tcPr>
            <w:tcW w:w="88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2009</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Electricity</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w:t>
            </w:r>
          </w:p>
        </w:tc>
        <w:tc>
          <w:tcPr>
            <w:tcW w:w="2060" w:type="dxa"/>
            <w:vAlign w:val="bottom"/>
            <w:gridSpan w:val="2"/>
            <w:shd w:val="clear" w:color="auto" w:fill="CCEEFF"/>
          </w:tcPr>
          <w:p>
            <w:pPr>
              <w:jc w:val="center"/>
              <w:ind w:left="772"/>
              <w:spacing w:after="0"/>
              <w:rPr>
                <w:sz w:val="20"/>
                <w:szCs w:val="20"/>
                <w:color w:val="auto"/>
              </w:rPr>
            </w:pPr>
            <w:r>
              <w:rPr>
                <w:rFonts w:ascii="Arial" w:cs="Arial" w:eastAsia="Arial" w:hAnsi="Arial"/>
                <w:sz w:val="18"/>
                <w:szCs w:val="18"/>
                <w:color w:val="auto"/>
                <w:w w:val="88"/>
              </w:rPr>
              <w:t>37%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Gas</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2060" w:type="dxa"/>
            <w:vAlign w:val="bottom"/>
            <w:gridSpan w:val="2"/>
          </w:tcPr>
          <w:p>
            <w:pPr>
              <w:jc w:val="center"/>
              <w:ind w:left="772"/>
              <w:spacing w:after="0"/>
              <w:rPr>
                <w:sz w:val="20"/>
                <w:szCs w:val="20"/>
                <w:color w:val="auto"/>
              </w:rPr>
            </w:pPr>
            <w:r>
              <w:rPr>
                <w:rFonts w:ascii="Arial" w:cs="Arial" w:eastAsia="Arial" w:hAnsi="Arial"/>
                <w:sz w:val="18"/>
                <w:szCs w:val="18"/>
                <w:color w:val="auto"/>
                <w:w w:val="88"/>
              </w:rPr>
              <w:t>28%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2060" w:type="dxa"/>
            <w:vAlign w:val="bottom"/>
            <w:gridSpan w:val="2"/>
            <w:shd w:val="clear" w:color="auto" w:fill="CCEEFF"/>
          </w:tcPr>
          <w:p>
            <w:pPr>
              <w:jc w:val="center"/>
              <w:ind w:left="772"/>
              <w:spacing w:after="0"/>
              <w:rPr>
                <w:sz w:val="20"/>
                <w:szCs w:val="20"/>
                <w:color w:val="auto"/>
              </w:rPr>
            </w:pPr>
            <w:r>
              <w:rPr>
                <w:rFonts w:ascii="Arial" w:cs="Arial" w:eastAsia="Arial" w:hAnsi="Arial"/>
                <w:sz w:val="18"/>
                <w:szCs w:val="18"/>
                <w:color w:val="auto"/>
                <w:w w:val="88"/>
              </w:rPr>
              <w:t>35%</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Itron International operating segment revenues in the first quarter of 2010 and 2009.</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for Itron International were $68.5 million and $67.5 million for the first quarters of 2010 and 2009, or 27% of revenues for the respective periods. For the first quarter of 2010, including the impact of a change in foreign currency rates, amortization of intangible assets decreased by $3.9 million. Operating expenses, excluding amortization expense and before the impact of foreign currency exchange rate changes, remained constant for the quarters ended March 31, 2010 and 2009.</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an operating segment are classified as “Corporate unallocated.” These expenses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$2.1 million in the first quarter of 2010, compared with the same period last year, primarily due to compensation expense, including the reinstatement of bonus and profit sharing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that have met certain conditions, such as regulatory approval. Total backlog represents committed but undelivered contracts and purchase orders at period end. Twelve-month backlog represents the portion of total backlog that we estimate will be recognized as revenue over the next 12 months. Backlog is not a complete measure of our future business as we have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40" w:type="dxa"/>
            <w:vAlign w:val="bottom"/>
          </w:tcPr>
          <w:p>
            <w:pPr>
              <w:spacing w:after="0"/>
              <w:rPr>
                <w:sz w:val="20"/>
                <w:szCs w:val="20"/>
                <w:color w:val="auto"/>
              </w:rPr>
            </w:pPr>
            <w:r>
              <w:rPr>
                <w:rFonts w:ascii="Arial" w:cs="Arial" w:eastAsia="Arial" w:hAnsi="Arial"/>
                <w:sz w:val="18"/>
                <w:szCs w:val="18"/>
                <w:color w:val="auto"/>
                <w:w w:val="95"/>
              </w:rPr>
              <w:t>Information on bookings and backlog is summarized as follows: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4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Ending</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Ending</w:t>
            </w:r>
          </w:p>
        </w:tc>
        <w:tc>
          <w:tcPr>
            <w:tcW w:w="0" w:type="dxa"/>
            <w:vAlign w:val="bottom"/>
          </w:tcPr>
          <w:p>
            <w:pPr>
              <w:spacing w:after="0"/>
              <w:rPr>
                <w:sz w:val="1"/>
                <w:szCs w:val="1"/>
                <w:color w:val="auto"/>
              </w:rPr>
            </w:pPr>
          </w:p>
        </w:tc>
      </w:tr>
      <w:tr>
        <w:trPr>
          <w:trHeight w:val="216"/>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Quarter Ended</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w w:val="92"/>
              </w:rPr>
              <w:t>Quarterly</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Total</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2"/>
              <w:spacing w:after="0"/>
              <w:rPr>
                <w:sz w:val="20"/>
                <w:szCs w:val="20"/>
                <w:color w:val="auto"/>
              </w:rPr>
            </w:pPr>
            <w:r>
              <w:rPr>
                <w:rFonts w:ascii="Arial" w:cs="Arial" w:eastAsia="Arial" w:hAnsi="Arial"/>
                <w:sz w:val="18"/>
                <w:szCs w:val="18"/>
                <w:b w:val="1"/>
                <w:bCs w:val="1"/>
                <w:color w:val="auto"/>
                <w:w w:val="92"/>
              </w:rPr>
              <w:t>12-Month</w:t>
            </w:r>
          </w:p>
        </w:tc>
        <w:tc>
          <w:tcPr>
            <w:tcW w:w="0" w:type="dxa"/>
            <w:vAlign w:val="bottom"/>
          </w:tcPr>
          <w:p>
            <w:pPr>
              <w:spacing w:after="0"/>
              <w:rPr>
                <w:sz w:val="1"/>
                <w:szCs w:val="1"/>
                <w:color w:val="auto"/>
              </w:rPr>
            </w:pPr>
          </w:p>
        </w:tc>
      </w:tr>
      <w:tr>
        <w:trPr>
          <w:trHeight w:val="228"/>
        </w:trPr>
        <w:tc>
          <w:tcPr>
            <w:tcW w:w="4840" w:type="dxa"/>
            <w:vAlign w:val="bottom"/>
            <w:tcBorders>
              <w:bottom w:val="single" w:sz="8" w:color="auto"/>
            </w:tcBorders>
            <w:vMerge w:val="continue"/>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5"/>
              </w:rPr>
              <w:t>Bookings</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5"/>
              </w:rPr>
              <w:t>Backlog</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5"/>
              </w:rPr>
              <w:t>Backlog</w:t>
            </w:r>
          </w:p>
        </w:tc>
        <w:tc>
          <w:tcPr>
            <w:tcW w:w="0" w:type="dxa"/>
            <w:vAlign w:val="bottom"/>
          </w:tcPr>
          <w:p>
            <w:pPr>
              <w:spacing w:after="0"/>
              <w:rPr>
                <w:sz w:val="1"/>
                <w:szCs w:val="1"/>
                <w:color w:val="auto"/>
              </w:rPr>
            </w:pPr>
          </w:p>
        </w:tc>
      </w:tr>
      <w:tr>
        <w:trPr>
          <w:trHeight w:val="212"/>
        </w:trPr>
        <w:tc>
          <w:tcPr>
            <w:tcW w:w="4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(in millions)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December 31, 2009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June 30, 2009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March 31, 2009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sign agreements to deploy our OpenWay meter and communication systems, we include these contracts in bookings and backlog when regulatory approvals are received or certain other conditions are met. Bookings and backlog for the first quarter of 2009 included $257 million related to the San Diego Gas &amp; Electric AMI contract, while the first quarter of 2010 did not include significant AMI contract bookings.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8"/>
                <w:szCs w:val="18"/>
                <w:b w:val="1"/>
                <w:bCs w:val="1"/>
                <w:color w:val="auto"/>
              </w:rPr>
              <w:t>Three Months Ended March 31,</w:t>
            </w:r>
          </w:p>
        </w:tc>
        <w:tc>
          <w:tcPr>
            <w:tcW w:w="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11"/>
        </w:trPr>
        <w:tc>
          <w:tcPr>
            <w:tcW w:w="3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760" w:type="dxa"/>
            <w:vAlign w:val="bottom"/>
          </w:tcPr>
          <w:p>
            <w:pPr>
              <w:spacing w:after="0"/>
              <w:rPr>
                <w:sz w:val="18"/>
                <w:szCs w:val="18"/>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3"/>
              </w:rPr>
              <w:t>% of Revenues</w:t>
            </w:r>
          </w:p>
        </w:tc>
        <w:tc>
          <w:tcPr>
            <w:tcW w:w="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780" w:type="dxa"/>
            <w:vAlign w:val="bottom"/>
          </w:tcPr>
          <w:p>
            <w:pPr>
              <w:spacing w:after="0"/>
              <w:rPr>
                <w:sz w:val="18"/>
                <w:szCs w:val="18"/>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3"/>
              </w:rPr>
              <w:t>% of Revenues</w:t>
            </w:r>
          </w:p>
        </w:tc>
      </w:tr>
      <w:tr>
        <w:trPr>
          <w:trHeight w:val="210"/>
        </w:trPr>
        <w:tc>
          <w:tcPr>
            <w:tcW w:w="350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(in millions)</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(in millions)</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8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92"/>
              </w:rPr>
              <w:t>8%</w:t>
            </w:r>
          </w:p>
        </w:tc>
        <w:tc>
          <w:tcPr>
            <w:tcW w:w="10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8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8"/>
              </w:rPr>
              <w:t>10%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w:t>
            </w:r>
          </w:p>
        </w:tc>
        <w:tc>
          <w:tcPr>
            <w:tcW w:w="2080" w:type="dxa"/>
            <w:vAlign w:val="bottom"/>
            <w:gridSpan w:val="2"/>
          </w:tcPr>
          <w:p>
            <w:pPr>
              <w:jc w:val="center"/>
              <w:ind w:left="672"/>
              <w:spacing w:after="0"/>
              <w:rPr>
                <w:sz w:val="20"/>
                <w:szCs w:val="20"/>
                <w:color w:val="auto"/>
              </w:rPr>
            </w:pPr>
            <w:r>
              <w:rPr>
                <w:rFonts w:ascii="Arial" w:cs="Arial" w:eastAsia="Arial" w:hAnsi="Arial"/>
                <w:sz w:val="18"/>
                <w:szCs w:val="18"/>
                <w:color w:val="auto"/>
                <w:w w:val="92"/>
              </w:rPr>
              <w:t>7%</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w:t>
            </w:r>
          </w:p>
        </w:tc>
        <w:tc>
          <w:tcPr>
            <w:tcW w:w="2080" w:type="dxa"/>
            <w:vAlign w:val="bottom"/>
            <w:gridSpan w:val="2"/>
          </w:tcPr>
          <w:p>
            <w:pPr>
              <w:jc w:val="center"/>
              <w:ind w:left="672"/>
              <w:spacing w:after="0"/>
              <w:rPr>
                <w:sz w:val="20"/>
                <w:szCs w:val="20"/>
                <w:color w:val="auto"/>
              </w:rPr>
            </w:pPr>
            <w:r>
              <w:rPr>
                <w:rFonts w:ascii="Arial" w:cs="Arial" w:eastAsia="Arial" w:hAnsi="Arial"/>
                <w:sz w:val="18"/>
                <w:szCs w:val="18"/>
                <w:color w:val="auto"/>
                <w:w w:val="92"/>
              </w:rPr>
              <w:t>8%</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8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92"/>
              </w:rPr>
              <w:t>7%</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8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92"/>
              </w:rPr>
              <w:t>7%</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76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78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8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8"/>
              </w:rPr>
              <w:t>25%</w:t>
            </w:r>
          </w:p>
        </w:tc>
        <w:tc>
          <w:tcPr>
            <w:tcW w:w="10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08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8"/>
              </w:rPr>
              <w:t>31%</w:t>
            </w:r>
          </w:p>
        </w:tc>
      </w:tr>
      <w:tr>
        <w:trPr>
          <w:trHeight w:val="20"/>
        </w:trPr>
        <w:tc>
          <w:tcPr>
            <w:tcW w:w="3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increased 4% for the first quarter of 2010, compared with the same period in 2009. The $4.8 million increase in operating expenses for the first quarter of 2010 was due to translation impact of a weakening U.S. dollar of approximately $5.0 million and increased compensation expense, offset by lower amortization of intangible assets of $5.7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1"/>
        </w:trPr>
        <w:tc>
          <w:tcPr>
            <w:tcW w:w="4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2009</w:t>
            </w:r>
          </w:p>
        </w:tc>
      </w:tr>
      <w:tr>
        <w:trPr>
          <w:trHeight w:val="210"/>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78"/>
              </w:rPr>
              <w:t>thousands)</w:t>
            </w:r>
          </w:p>
        </w:tc>
        <w:tc>
          <w:tcPr>
            <w:tcW w:w="9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(13,671)</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prepaid debt fees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26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(10,340)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c>
          <w:tcPr>
            <w:tcW w:w="4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22"/>
        </w:trPr>
        <w:tc>
          <w:tcPr>
            <w:tcW w:w="4620" w:type="dxa"/>
            <w:vAlign w:val="bottom"/>
          </w:tcPr>
          <w:p>
            <w:pPr>
              <w:ind w:left="440"/>
              <w:spacing w:after="0"/>
              <w:rPr>
                <w:sz w:val="20"/>
                <w:szCs w:val="20"/>
                <w:color w:val="auto"/>
              </w:rPr>
            </w:pPr>
            <w:r>
              <w:rPr>
                <w:rFonts w:ascii="Arial" w:cs="Arial" w:eastAsia="Arial" w:hAnsi="Arial"/>
                <w:sz w:val="18"/>
                <w:szCs w:val="18"/>
                <w:color w:val="auto"/>
              </w:rPr>
              <w:t>Total other income (expense)</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(15,348)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(28,684)</w:t>
            </w:r>
          </w:p>
        </w:tc>
      </w:tr>
      <w:tr>
        <w:trPr>
          <w:trHeight w:val="20"/>
        </w:trPr>
        <w:tc>
          <w:tcPr>
            <w:tcW w:w="4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decreased in the first quarter of 2010, compared with the same period in 2009, due to lower interest rates in 2010. Average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equivalent balances have increased 13% in 2010, compared with the same period in 2009.</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decreased 9% in the first quarter of 2010, compared with the same period in 2009, primarily due to the decline in the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of our debt outstanding and a decline in the London Interbank Offered Rate (LIBOR). The weighted average debt balance outstanding for the first quarter of 2010 and 2009 was $768.4 million and $1.0 billion, respectively. The decrease in interest expense was partially offset by an increase in the applicable margin on our term loans, from 1.75% at March 31, 2009 to 3.50% at March 31, 2010, related to our term loan agreement amendment in the second quarter of 2009. At March 31, 2010, inclusive of our interest rate swaps, 88% of our borrowings were at fixed rates. See Note 6 of the condensed consolidated financial statements for additional details related to our long-term borrowings.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Amortization of prepaid debt fees</w:t>
      </w:r>
      <w:r>
        <w:rPr>
          <w:rFonts w:ascii="Arial" w:cs="Arial" w:eastAsia="Arial" w:hAnsi="Arial"/>
          <w:sz w:val="16"/>
          <w:szCs w:val="16"/>
          <w:color w:val="auto"/>
        </w:rPr>
        <w:t>: Amortization of prepaid debt fees decreased 32% in the first quarter of 2010, compared with the same period in 2009,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lower debt repayments. Cash repayments on our borrowings were $52.8 million for the three months ended March 31, 2010, compared with $67.6 million in the same period in 2009. When debt is repaid early, the related portion of unamortized prepaid debt fees is written off and included in interest expense.</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Loss on extinguishment of debt</w:t>
      </w:r>
      <w:r>
        <w:rPr>
          <w:rFonts w:ascii="Arial" w:cs="Arial" w:eastAsia="Arial" w:hAnsi="Arial"/>
          <w:sz w:val="16"/>
          <w:szCs w:val="16"/>
          <w:color w:val="auto"/>
        </w:rPr>
        <w:t>: During the first quarter of 2009, we entered into exchange agreements with certain holders of our convertible notes to issue,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approximately 2.3 million shares of common stock, valued at $132.9 million, in exchange for, in the aggregate, $121.0 million principal amount of the convertible notes, representing 35% of the aggregate principal amount outstanding at the date of the exchanges. As a result, we recognized a net loss on extinguishment of debt of $10.3 million, calculated as the inducement loss, plus an allocation of advisory fees less the revaluation gain. For 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induced conversion of a portion of our convertible notes, see Note 6 of the condensed consolidated financial statements.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Other expenses, net, typically result from foreign currency fluctuations due to the revaluation of monetary asset and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denominated in a currency other than the reporting entity’s functional currency. In the first quarter of 2009, other expense also included consulting and legal fees associated with the amendment to our credit facility, which was finalized in the second quarter of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center"/>
              <w:ind w:left="92"/>
              <w:spacing w:after="0"/>
              <w:rPr>
                <w:sz w:val="20"/>
                <w:szCs w:val="20"/>
                <w:color w:val="auto"/>
              </w:rPr>
            </w:pPr>
            <w:r>
              <w:rPr>
                <w:rFonts w:ascii="Arial" w:cs="Arial" w:eastAsia="Arial" w:hAnsi="Arial"/>
                <w:sz w:val="18"/>
                <w:szCs w:val="18"/>
                <w:b w:val="1"/>
                <w:bCs w:val="1"/>
                <w:color w:val="auto"/>
                <w:w w:val="90"/>
              </w:rPr>
              <w:t>Three Months Ended March 31,</w:t>
            </w:r>
          </w:p>
        </w:tc>
        <w:tc>
          <w:tcPr>
            <w:tcW w:w="520" w:type="dxa"/>
            <w:vAlign w:val="bottom"/>
            <w:tcBorders>
              <w:bottom w:val="single" w:sz="8" w:color="auto"/>
            </w:tcBorders>
          </w:tcPr>
          <w:p>
            <w:pPr>
              <w:spacing w:after="0"/>
              <w:rPr>
                <w:sz w:val="19"/>
                <w:szCs w:val="19"/>
                <w:color w:val="auto"/>
              </w:rPr>
            </w:pPr>
          </w:p>
        </w:tc>
      </w:tr>
      <w:tr>
        <w:trPr>
          <w:trHeight w:val="211"/>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520" w:type="dxa"/>
            <w:vAlign w:val="bottom"/>
          </w:tcPr>
          <w:p>
            <w:pPr>
              <w:spacing w:after="0"/>
              <w:rPr>
                <w:sz w:val="18"/>
                <w:szCs w:val="18"/>
                <w:color w:val="auto"/>
              </w:rPr>
            </w:pPr>
          </w:p>
        </w:tc>
      </w:tr>
      <w:tr>
        <w:trPr>
          <w:trHeight w:val="208"/>
        </w:trPr>
        <w:tc>
          <w:tcPr>
            <w:tcW w:w="5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79"/>
              </w:rPr>
              <w:t>(in millions)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r>
      <w:tr>
        <w:trPr>
          <w:trHeight w:val="21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9"/>
              </w:rPr>
              <w:t>(14.3)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(67.4)</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(42.3)</w:t>
            </w:r>
          </w:p>
        </w:tc>
      </w:tr>
      <w:tr>
        <w:trPr>
          <w:trHeight w:val="20"/>
        </w:trPr>
        <w:tc>
          <w:tcPr>
            <w:tcW w:w="5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and cash equivalents was $123.4 million at March 31, 2010, compared with $121.9 million at December 31, 2009. The increase was primarily due to increased revenues and slightly lower repayments of borrowings.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provided by operating activities for the first quarter of 2010 was $23.1 million higher, compared with the same period in 2009, primarily due to increased revenues.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 consist primarily of capital expenditures associated with the expansion of our manufacturing capacity.</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5"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During the first quarter of 2010, we repaid $52.8 million in borrowings, compared with $67.6 million during the same period in 2009. Cash generated from the exercise of stock-based awards was $4.5 million for the first quarter of 2010, compared with $724,000 during the same period in 2009.</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first quarter of 2010 was a decrease of $2.8 million, compared with a decrease of $3.3 million for the same period in 2009.</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Non-cash transactions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2009, we completed exchanges with certain holders of our convertible notes in which we issued, in the aggregate, approximately 2.3 million shares of common stock valued at $132.9 million, in exchange for, in the aggregate, $121.0 million principal amount of the convertible notes. See Note 6 of the condensed consolidated financial statements for further discussion.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March 31, 2010 and December 31, 2009 that we believe are reasonably likely to have a current or future effect on our financial condition, results of operations, or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Sources and Uses of Capital:</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description of the term loans under our credit facility and convertible senior subordinated notes, see Note 6 of the condensed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For a description of our letters of credit and performance bonds, and the amounts available for additional borrowings or letters of credit under our lines of credit, including the multicurrency revolving line of credit that is part of our credit facility, see Note 11 of the condensed consolidated financial statements.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description of our funded and unfunded non-U.S. defined benefit pension plans and our expected 2010 contributions, see Note 8 of the condensed consolidated financial statements.</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net deferred income tax assets consist primarily of accumulated net operating loss carryforwards, hedging activities, and tax credits that can be carried forward, some of which are limited by Internal Revenue Code Sections 382 and 383. The limited deferred income tax assets resulted primarily from acquisitions. Based on current projections, we expect to pay $206,000 in U.S. federal and state taxes and approximately $18.6 million in local and foreign taxes in 2010. See Note 10 of the condensed consolidated financial statements for a discussion of our tax provision (benefit) and unrecognized tax benefits.</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Working capital, which represents current assets less current liabilities, was $265.8 million at March 31, 2010, compared with $282.5 million at December 31, 2009.</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expect to continue to expand our operations and grow our business through a combination of internal new product development, licensing technology from and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energy and water industries, competitive pressures, international risks, intellectual property claims, capital market fluctuations, and other factors described under “Risk Factors” within Item 1A of Part I of our Annual Report on Form 10-K for the fiscal year ended December 31, 2009, which was filed with the SEC on February 25, 2010, as well as in our “Quantitative and Qualitative Disclosures About Market Risk” within Item 3 of Part 1, included in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11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January 1, 2010, we adopted Financial Accounting Standards Board (FASB) Accounting Standards Update (ASU) No. 2009-13, </w:t>
      </w:r>
      <w:r>
        <w:rPr>
          <w:rFonts w:ascii="Arial" w:cs="Arial" w:eastAsia="Arial" w:hAnsi="Arial"/>
          <w:sz w:val="16"/>
          <w:szCs w:val="16"/>
          <w:i w:val="1"/>
          <w:iCs w:val="1"/>
          <w:color w:val="auto"/>
        </w:rPr>
        <w:t>Revenue Recognition (Topic</w:t>
      </w:r>
    </w:p>
    <w:p>
      <w:pPr>
        <w:spacing w:after="0" w:line="32" w:lineRule="exact"/>
        <w:rPr>
          <w:sz w:val="20"/>
          <w:szCs w:val="20"/>
          <w:color w:val="auto"/>
        </w:rPr>
      </w:pPr>
    </w:p>
    <w:p>
      <w:pPr>
        <w:jc w:val="both"/>
        <w:ind w:firstLine="8"/>
        <w:spacing w:after="0" w:line="290" w:lineRule="auto"/>
        <w:tabs>
          <w:tab w:leader="none" w:pos="388"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Multiple-Deliverable Revenue Arrangements (a consensus of the FASB Emerging Issues Tax Force</w:t>
      </w:r>
      <w:r>
        <w:rPr>
          <w:rFonts w:ascii="Arial" w:cs="Arial" w:eastAsia="Arial" w:hAnsi="Arial"/>
          <w:sz w:val="16"/>
          <w:szCs w:val="16"/>
          <w:color w:val="auto"/>
        </w:rPr>
        <w:t>) (ASU 2009-13) and ASU No. 2009-14,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(Topic 985), </w:t>
      </w:r>
      <w:r>
        <w:rPr>
          <w:rFonts w:ascii="Arial" w:cs="Arial" w:eastAsia="Arial" w:hAnsi="Arial"/>
          <w:sz w:val="16"/>
          <w:szCs w:val="16"/>
          <w:i w:val="1"/>
          <w:iCs w:val="1"/>
          <w:color w:val="auto"/>
        </w:rPr>
        <w:t>Certain Revenue Arrangements That Include Software Elements (a consensus of the FASB Emerging Issues Task Force)</w:t>
      </w:r>
      <w:r>
        <w:rPr>
          <w:rFonts w:ascii="Arial" w:cs="Arial" w:eastAsia="Arial" w:hAnsi="Arial"/>
          <w:sz w:val="16"/>
          <w:szCs w:val="16"/>
          <w:color w:val="auto"/>
        </w:rPr>
        <w:t xml:space="preserve"> (ASU 2009-14) on a prospective basis for new arrangements and arrangements that are materially modified. This new guidance did not have a material impact on our financial statements for the three months ended March 31, 2010, as we already had the ability to divide the deliverables within our revenue arrangements into separate units of accounting. Further, there would have been no change to the amount of revenue recognized in the year ended December 31, 2009 if arrangements prior to the adoption of ASU 2009-13 and ASU 2009-14 had been subject to the measurement requirements of this new guidance.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vendor specific objective evidence (VSOE), if it exists, otherwise third-party evidence (TPE). If neither VSOE nor TPE of selling price exists for a unit of accounting, we use estimated selling price (ESP).</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arrangements entered into or materially modified after January 1, 2010, if we are unable to establish selling price using VSOE or TPE, we will use ESP in the allocation of arrangement consideration. The objective of ESP is to determine the price at which we would transact if the product or service were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w:t>
      </w:r>
    </w:p>
    <w:p>
      <w:pPr>
        <w:spacing w:after="0" w:line="12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plan to analyze the selling prices used in our allocation of arrangement consideration on an annual basis. Selling prices will be analyzed on a more frequent basis if a significant change in our business necessitates a more timely analysis or if we experience significant variances in our selling prices.</w:t>
      </w:r>
    </w:p>
    <w:p>
      <w:pPr>
        <w:spacing w:after="0" w:line="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majority of our revenue arrangements involve multiple elements, which require us to determine the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percentage-of-completion when implementation services are essential to other elements in the arrangements, 4) upon receipt of customer acceptance, or 5) transfer of title. A majority of our revenue is recognized when products are shipped to or received by a customer or when services are provided.</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Fair value represents the estimated price charged when an item is sold separately. If the fair value of any undelivered element included in a multiple element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implementation services are essential to a software arrangement, revenue is recognized using either the percentage-of-completion methodology if project costs can be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 Hardware and software post-sale maintenance support fees are recognized ratably over the performance period. Shipping and handling costs and incidental expenses billed to customers are recorded as revenue, with the associated cost charged to cost of revenues. We record sales, use, and value added taxes billed to our customers on a net basis.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Unearned revenue is recorded when a customer pays for products or services where the criteria for revenue recognition have not been met as of the balance sheet date. Unearned revenues relate primarily to professional services and software associated with our OpenWay</w:t>
      </w:r>
      <w:r>
        <w:rPr>
          <w:rFonts w:ascii="Arial" w:cs="Arial" w:eastAsia="Arial" w:hAnsi="Arial"/>
          <w:sz w:val="11"/>
          <w:szCs w:val="11"/>
          <w:color w:val="auto"/>
        </w:rPr>
        <w:t>®</w:t>
      </w:r>
      <w:r>
        <w:rPr>
          <w:rFonts w:ascii="Arial" w:cs="Arial" w:eastAsia="Arial" w:hAnsi="Arial"/>
          <w:sz w:val="18"/>
          <w:szCs w:val="18"/>
          <w:color w:val="auto"/>
        </w:rPr>
        <w:t xml:space="preserve"> contracts, extended warranty, and prepaid post contract support. Unearned revenue is recognized when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applicable revenue recognition criteria are met. Deferred cost is recorded for products or services for which ownership (typically defined as title and risk of loss) has transferred to the customer, but for which the criteria for revenue recognition have not been met as of the balance sheet date. Deferred costs are recognized when the applicable revenue recognition criteria are met. Refer to Item 1: “Financial Statements, Note 1: Summary of Significant Accounting Policies” included in this Quarterly Report on Form 10-Q for unearned revenue and deferred costs outstanding at March 31, 2010 and December 31, 2009.</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15"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until sufficient data are available. As actual experience becomes available, it is used to modify the historical averages to ensure the expected warranty costs are within a range of likely outcomes.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gross margin. The long-term warranty balance includes estimated warranty claims beyond one year.</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estimate income taxes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tax credits, state income taxes, and changes in our valuation allowance. Significant judgment is required in determining our actual tax rate and in evaluating our tax positions. Changes in tax laws and unanticipated tax liabilities could significantly impact our actual tax rate and profitability. We assess the likelihood of recovering our deferred tax assets, which include net operating loss and credit carryforwards and temporary differences expected to be deductible in future years.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 is the projection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Items are removed from inventory using the first-in, first-out method. Inventories include raw materials, sub-assemblies,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Intangible Assets</w:t>
      </w:r>
    </w:p>
    <w:p>
      <w:pPr>
        <w:spacing w:after="0" w:line="1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Goodwill and intangible assets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a finite life and are amortized over their estimated useful lives based on estimated discounted cash flows. Intangible assets are tested for impairment when events or changes in circumstances indicate the carrying value may not be recoverable.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Our Itron North America operating segment represents one reporting unit, while our Itron International operating segment has three reporting units.</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Our 2009 annual goodwill impairment analysis did not result in an impairment charge as the fair value of each reporting unit exceeded its carrying value. The percentage by which the fair value of each reporting unit exceeded its carrying value and the amount of goodwill allocated to each reporting unit at October 1, 2009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October 1, 2009</w:t>
            </w:r>
          </w:p>
        </w:tc>
      </w:tr>
      <w:tr>
        <w:trPr>
          <w:trHeight w:val="196"/>
        </w:trPr>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Goodwill</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7"/>
              </w:rPr>
              <w:t>Fair Value Exceeded</w:t>
            </w:r>
          </w:p>
        </w:tc>
      </w:tr>
      <w:tr>
        <w:trPr>
          <w:trHeight w:val="229"/>
        </w:trPr>
        <w:tc>
          <w:tcPr>
            <w:tcW w:w="4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Carrying Value</w:t>
            </w:r>
          </w:p>
        </w:tc>
      </w:tr>
      <w:tr>
        <w:trPr>
          <w:trHeight w:val="211"/>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w w:val="91"/>
              </w:rPr>
              <w:t>(in millions)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Itron North America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480" w:type="dxa"/>
            <w:vAlign w:val="bottom"/>
            <w:gridSpan w:val="3"/>
            <w:shd w:val="clear" w:color="auto" w:fill="CCEEFF"/>
          </w:tcPr>
          <w:p>
            <w:pPr>
              <w:jc w:val="center"/>
              <w:ind w:left="712"/>
              <w:spacing w:after="0"/>
              <w:rPr>
                <w:sz w:val="20"/>
                <w:szCs w:val="20"/>
                <w:color w:val="auto"/>
              </w:rPr>
            </w:pPr>
            <w:r>
              <w:rPr>
                <w:rFonts w:ascii="Arial" w:cs="Arial" w:eastAsia="Arial" w:hAnsi="Arial"/>
                <w:sz w:val="18"/>
                <w:szCs w:val="18"/>
                <w:color w:val="auto"/>
                <w:w w:val="88"/>
              </w:rPr>
              <w:t>85%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Itron International - Electricity</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379.7</w:t>
            </w:r>
          </w:p>
        </w:tc>
        <w:tc>
          <w:tcPr>
            <w:tcW w:w="2480" w:type="dxa"/>
            <w:vAlign w:val="bottom"/>
            <w:gridSpan w:val="3"/>
          </w:tcPr>
          <w:p>
            <w:pPr>
              <w:jc w:val="center"/>
              <w:ind w:left="712"/>
              <w:spacing w:after="0"/>
              <w:rPr>
                <w:sz w:val="20"/>
                <w:szCs w:val="20"/>
                <w:color w:val="auto"/>
              </w:rPr>
            </w:pPr>
            <w:r>
              <w:rPr>
                <w:rFonts w:ascii="Arial" w:cs="Arial" w:eastAsia="Arial" w:hAnsi="Arial"/>
                <w:sz w:val="18"/>
                <w:szCs w:val="18"/>
                <w:color w:val="auto"/>
                <w:w w:val="92"/>
              </w:rPr>
              <w:t>3%</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Itron International - Gas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480" w:type="dxa"/>
            <w:vAlign w:val="bottom"/>
            <w:gridSpan w:val="3"/>
            <w:shd w:val="clear" w:color="auto" w:fill="CCEEFF"/>
          </w:tcPr>
          <w:p>
            <w:pPr>
              <w:jc w:val="center"/>
              <w:ind w:left="712"/>
              <w:spacing w:after="0"/>
              <w:rPr>
                <w:sz w:val="20"/>
                <w:szCs w:val="20"/>
                <w:color w:val="auto"/>
              </w:rPr>
            </w:pPr>
            <w:r>
              <w:rPr>
                <w:rFonts w:ascii="Arial" w:cs="Arial" w:eastAsia="Arial" w:hAnsi="Arial"/>
                <w:sz w:val="18"/>
                <w:szCs w:val="18"/>
                <w:color w:val="auto"/>
                <w:w w:val="88"/>
              </w:rPr>
              <w:t>24%</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Itron International - Water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419.0</w:t>
            </w:r>
          </w:p>
        </w:tc>
        <w:tc>
          <w:tcPr>
            <w:tcW w:w="2480" w:type="dxa"/>
            <w:vAlign w:val="bottom"/>
            <w:gridSpan w:val="3"/>
          </w:tcPr>
          <w:p>
            <w:pPr>
              <w:jc w:val="center"/>
              <w:ind w:left="712"/>
              <w:spacing w:after="0"/>
              <w:rPr>
                <w:sz w:val="20"/>
                <w:szCs w:val="20"/>
                <w:color w:val="auto"/>
              </w:rPr>
            </w:pPr>
            <w:r>
              <w:rPr>
                <w:rFonts w:ascii="Arial" w:cs="Arial" w:eastAsia="Arial" w:hAnsi="Arial"/>
                <w:sz w:val="18"/>
                <w:szCs w:val="18"/>
                <w:color w:val="auto"/>
                <w:w w:val="92"/>
              </w:rPr>
              <w:t>4%</w:t>
            </w:r>
          </w:p>
        </w:tc>
      </w:tr>
      <w:tr>
        <w:trPr>
          <w:trHeight w:val="216"/>
        </w:trPr>
        <w:tc>
          <w:tcPr>
            <w:tcW w:w="42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Changes in market demand, the volatility and decline in the worldwide equity markets, and the decline in our market capitalization could negatively impact our annual goodwill impairment test, which could have a significant effect on our current and future results of operations and financial condition.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Instruments</w:t>
      </w:r>
    </w:p>
    <w:p>
      <w:pPr>
        <w:spacing w:after="0" w:line="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All derivative instruments, whether designated in hedging relationships or not, are recorded on the Consolidated Balance Sheets at fair value as either assets or liabilities. The components and fair values of our derivative instruments, which are primarily interest rate swaps, are determined using the fair value measurements of significant other observable inputs (also known as “Level 2”), as defined by FASB Accounting Standards Codification (ASC) 820-10-20,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Measurements</w:t>
      </w:r>
      <w:r>
        <w:rPr>
          <w:rFonts w:ascii="Arial" w:cs="Arial" w:eastAsia="Arial" w:hAnsi="Arial"/>
          <w:sz w:val="16"/>
          <w:szCs w:val="16"/>
          <w:color w:val="auto"/>
        </w:rPr>
        <w:t>. We include the effect of our counterparty credit risk based on current published credit default swap rates when the net fair value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is in a net asset position and the effect of our own nonperformance risk when the net fair value of our derivative instruments is in a net liability position.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Debt</w:t>
      </w:r>
    </w:p>
    <w:p>
      <w:pPr>
        <w:spacing w:after="0" w:line="1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convertible notes are separated into their liability and equity components in a manner that reflects our non-convertible debt borrowing rate, which we determined to be 7.38% at the time of the convertible notes issuance in August 2006. Upon derecognition of the convertible notes, we are required to remeasure the fair value of the liability and equity components using a borrowing rate for similar non-convertible debt that would be applicable to Itron at the date of the derecognition. Any increase or decrease in borrowing rates from the inception of the debt to the date of derecognition could result in a gain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loss, respectively, on extinguishment. Based on market conditions and our credit rating at the date of derecognition, the borrowing rate could be materially different from the rate determined at the inception of the convertible debt.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Defined Benefit Pension Plans</w:t>
      </w:r>
    </w:p>
    <w:p>
      <w:pPr>
        <w:spacing w:after="0" w:line="1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sponsor both funded and unfunded non-U.S. defined benefit pension plans.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consist of 95% of our benefit obligation, we match the plans’ expected future benefit payments against select bonds (bonds with market values that exceed €500 million, have a maturity greater than one year with no special features, and have a spread between the bid and ask prices of less than 5% of the average bid and ask prices).The yield curve derived for the euro denominated plans was 5.5%. The weighted average discount rate used to measure the projected benefit obligation for all of the plans as of December 31, 2009 was 5.6%. A change of 25 basis points in the discount rate would change our pension benefit obligation by approximately $2 million. The financial and actuarial assumptions used at December 31, 2009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general funding policy for these qualified pension plans is to contribute amounts at least sufficient to satisfy funding standards of the respective countries for each plan. Refer to Item 1: “Financial Statements Note 8: Defined Benefit Pension Plans” of the condensed consolidated financial statements for our expected contributions for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Bonus and Profit Sharing</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 toward the achievement of the annual targets, the actual results at the end of the year may require awards that are significantly greater or less than the estimates made in earlier quarters.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Amended and Restated 2002 Employee Stock Purchase Plan (ESPP), and the issuance of restricted and unrestricted stock awards and units, based on estimated fair values. The fair values of stock options and ESPP awards are estimated at the date of grant using the Black-Scholes option-pricing model, which includes assumptions for the dividend yield, expected volatility, risk-free interest rate, and expected life. In valuing our stock-based awards, significant judgment is required in determining the expected volatility of our common stock and the expected life that individuals will hold their stock-based awards prior to exercising. Expected volatility is based on the historical and implied volatility of our own common stock.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stock-based awards,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restricted and unrestricted stock awards and units,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adjusted for estimated forfeitures, using the straight-line method over the vesting requirement. Our excess tax benefit cannot be credited to common stock until the deduction reduces cash taxes payable. When we have tax deductions in excess of the compensation cost, they are classified as financing cash inflows in the Consolidated Statements of Cash Flows.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normal course of business, we are exposed to interest rate and foreign currency exchange rate risks that could impact our financial position and results of operations. As part of our risk management strategy, we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estimated cash interest payments over the remaining lives of our debt at March 31, 2010. Including the effect of our interest rate swaps at March 31, 2010, 88% of our borrowings are at fixed rates. Weighted average variable rates in the table are based on implied forward rates in the Bloomberg U.S. dollar yield curve as of March 31, 2010, our estimated leverage ratio, which determines our additional interest rate margin, and a static foreign exchange rate at March 31, 2010.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Beyond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2011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2012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2013</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1"/>
              </w:rPr>
              <w:t>(in millions)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Fixed Rate Debt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 xml:space="preserve">Principal: Convertible notes </w:t>
            </w:r>
            <w:r>
              <w:rPr>
                <w:rFonts w:ascii="Arial" w:cs="Arial" w:eastAsia="Arial" w:hAnsi="Arial"/>
                <w:sz w:val="11"/>
                <w:szCs w:val="11"/>
                <w:color w:val="auto"/>
              </w:rPr>
              <w:t>(1)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223.6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ind w:left="4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Variable Rate Debt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U.S. dollar term loan</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Euro term loan</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4"/>
              </w:rPr>
              <w:t xml:space="preserve">Interest rate swaps on U.S. dollar term loan </w:t>
            </w:r>
            <w:r>
              <w:rPr>
                <w:rFonts w:ascii="Arial" w:cs="Arial" w:eastAsia="Arial" w:hAnsi="Arial"/>
                <w:sz w:val="11"/>
                <w:szCs w:val="11"/>
                <w:color w:val="auto"/>
                <w:w w:val="94"/>
              </w:rPr>
              <w:t>(2)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Average interest rate (Pay)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Average interest rate (Receive)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Net/Spread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Interest rate swap on euro term loan </w:t>
            </w:r>
            <w:r>
              <w:rPr>
                <w:rFonts w:ascii="Arial" w:cs="Arial" w:eastAsia="Arial" w:hAnsi="Arial"/>
                <w:sz w:val="11"/>
                <w:szCs w:val="11"/>
                <w:color w:val="auto"/>
              </w:rPr>
              <w:t>(3)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Average interest rate (Pay)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Average interest rate (Receive)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Net/Spread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(3.38%)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9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face value of our convertible notes is $223.6 million, while the carrying value is $210.6 million. (see Note 6 of the condensed consolidated financial statements for a summary of our convertible note terms and a reconciliation between the face and carrying values). Our convertible notes mature in August 2026. We are amortizing the remaining $13.0 million discount on the liability component of the convertible notes to interest expense over the next 15 months and have reflected the principal repayment in 2011 due to the combination of put, call, and conversion options that are part of the terms of the convertible note agreement.</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one-year interest rate swaps are used to convert $200 million of our $253.2 million U.S. dollar denominated variable rate term loan from a floating LIBOR interest rate, plus the applicable margin, to a fixed interest rate, plus the applicable margin (see Note 7 of the condensed consolidated financial statements).</w:t>
      </w:r>
    </w:p>
    <w:p>
      <w:pPr>
        <w:spacing w:after="0" w:line="18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amortizing euro denominated interest rate swap is used to convert $215.4 million (€160.0 million) of our $249.0 million (€185.0 million) euro denominated variable rate term loan from a floating Euro Interbank Offered Rate (EURIBOR), plus the applicable margin, to a fixed interest rate of 6.59%, through December 31, 2012, plus or minus the variance in the applicable margin from 2%. As a result of the amortization schedule, the interest rate swap will terminate before the stated maturity of the term loan (see Note 7 of the condensed consolidated financial statements).</w:t>
      </w:r>
    </w:p>
    <w:p>
      <w:pPr>
        <w:spacing w:after="0" w:line="113"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ind w:right="20"/>
        <w:spacing w:after="0" w:line="332" w:lineRule="auto"/>
        <w:rPr>
          <w:sz w:val="20"/>
          <w:szCs w:val="20"/>
          <w:color w:val="auto"/>
        </w:rPr>
      </w:pPr>
      <w:r>
        <w:rPr>
          <w:rFonts w:ascii="Arial" w:cs="Arial" w:eastAsia="Arial" w:hAnsi="Arial"/>
          <w:sz w:val="16"/>
          <w:szCs w:val="16"/>
          <w:color w:val="auto"/>
        </w:rPr>
        <w:t>Based on a sensitivity analysis as of March 31, 2010, we estimate that if market interest rates average one percentage point higher in 2010 than in the table above, our earnings before income taxes in 2010 would not be materially impacted due to our interest rate swaps in place at March 31, 2010.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a number of countries. As a result, the majority of our revenues and operating expenses are denominated in foreign currencies; therefore, we face exposure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foreign currencies were 54% of total revenues for the first quarter of 2010, compared with 65% for the same period in 2009.</w:t>
      </w:r>
    </w:p>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result of our acquisition of Actaris Metering Systems SA, which was an international company, we entered into a euro denominated term loan in 2007 that exposes us to fluctuations in the euro foreign exchange rate. We have designated this foreign currency denominated term loan as a hedge of our net investment in international operations. The non-functional currency term loan is revalued into U.S. dollar at each balance sheet date, and the changes in value associated with currency fluctuations are recorded as adjustments to long-term debt with offsetting gains and losses recorded in other comprehensive income. We had no hedge ineffectiveness (see Note 7 of the condensed consolidated financial statements).</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 end, foreign currency monetary assets and liabilities are revalued with the change recorded to other income and expense. We enter into monthly foreign exchange forward contracts, not designated for hedge accounting, with the intent to reduce earnings volatility associated with certain of these balances. During the first quarter of 2010, the notional amount of our outstanding forward contracts ranged from less than $1 million to $48 million offsetting our exposures from the euro, British pound, Canadian dollar, Czech koruna, Hungarian forint, and various other currencies.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jc w:val="both"/>
        <w:ind w:left="460" w:hanging="452"/>
        <w:spacing w:after="0" w:line="287"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An evaluation was performed under the supervision and with the participation of our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2010,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41" w:lineRule="exact"/>
        <w:rPr>
          <w:rFonts w:ascii="Arial" w:cs="Arial" w:eastAsia="Arial" w:hAnsi="Arial"/>
          <w:sz w:val="16"/>
          <w:szCs w:val="16"/>
          <w:color w:val="auto"/>
        </w:rPr>
      </w:pPr>
    </w:p>
    <w:p>
      <w:pPr>
        <w:ind w:left="460" w:right="2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controls over financial reporting. </w:t>
      </w:r>
      <w:r>
        <w:rPr>
          <w:rFonts w:ascii="Arial" w:cs="Arial" w:eastAsia="Arial" w:hAnsi="Arial"/>
          <w:sz w:val="16"/>
          <w:szCs w:val="16"/>
          <w:color w:val="auto"/>
        </w:rPr>
        <w:t>There have been no changes in internal control over financial reporting during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2010 that have materially affected, or are reasonably likely to materially affect, our internal controls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as defined by Item 103 of Regulation S-K, during the first quarter of 2010.</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material changes to risk factors during the first quarter of 2010 from those previously disclosed in Item 1A of Part I of our Annual Report on Form 10-K for the fiscal year ended December 31, 2009, which was filed with the SEC on February 25, 2010.</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first quarter of 2010 that was not reported.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780" w:type="dxa"/>
            <w:vAlign w:val="bottom"/>
            <w:gridSpan w:val="2"/>
          </w:tcPr>
          <w:p>
            <w:pPr>
              <w:ind w:left="4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06"/>
        </w:trPr>
        <w:tc>
          <w:tcPr>
            <w:tcW w:w="6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780" w:type="dxa"/>
            <w:vAlign w:val="bottom"/>
          </w:tcPr>
          <w:p>
            <w:pPr>
              <w:spacing w:after="0"/>
              <w:rPr>
                <w:sz w:val="24"/>
                <w:szCs w:val="24"/>
                <w:color w:val="auto"/>
              </w:rPr>
            </w:pPr>
          </w:p>
        </w:tc>
        <w:tc>
          <w:tcPr>
            <w:tcW w:w="1000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780" w:type="dxa"/>
            <w:vAlign w:val="bottom"/>
          </w:tcPr>
          <w:p>
            <w:pPr>
              <w:spacing w:after="0"/>
              <w:rPr>
                <w:sz w:val="19"/>
                <w:szCs w:val="19"/>
                <w:color w:val="auto"/>
              </w:rPr>
            </w:pPr>
          </w:p>
        </w:tc>
        <w:tc>
          <w:tcPr>
            <w:tcW w:w="10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0"/>
              </w:rPr>
              <w:t>Form of Long-Term Performance Restricted Stock Unit (RSU) Award Notice and Agreement for U.S. Participants for use in connection with</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the Company’s 2010 Stock Incentive Plan.*</w:t>
            </w:r>
          </w:p>
        </w:tc>
        <w:tc>
          <w:tcPr>
            <w:tcW w:w="0" w:type="dxa"/>
            <w:vAlign w:val="bottom"/>
          </w:tcPr>
          <w:p>
            <w:pPr>
              <w:spacing w:after="0"/>
              <w:rPr>
                <w:sz w:val="1"/>
                <w:szCs w:val="1"/>
                <w:color w:val="auto"/>
              </w:rPr>
            </w:pPr>
          </w:p>
        </w:tc>
      </w:tr>
      <w:tr>
        <w:trPr>
          <w:trHeight w:val="426"/>
        </w:trPr>
        <w:tc>
          <w:tcPr>
            <w:tcW w:w="6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0"/>
              </w:rPr>
              <w:t>Form of Long-Term Performance RSU Award Notice and Agreement for International Participants (excluding France) for use in connection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with the Company’s 2010 Stock Incentive Plan.*</w:t>
            </w:r>
          </w:p>
        </w:tc>
        <w:tc>
          <w:tcPr>
            <w:tcW w:w="0" w:type="dxa"/>
            <w:vAlign w:val="bottom"/>
          </w:tcPr>
          <w:p>
            <w:pPr>
              <w:spacing w:after="0"/>
              <w:rPr>
                <w:sz w:val="1"/>
                <w:szCs w:val="1"/>
                <w:color w:val="auto"/>
              </w:rPr>
            </w:pPr>
          </w:p>
        </w:tc>
      </w:tr>
      <w:tr>
        <w:trPr>
          <w:trHeight w:val="426"/>
        </w:trPr>
        <w:tc>
          <w:tcPr>
            <w:tcW w:w="6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2"/>
              </w:rPr>
              <w:t>Form of Long-Term Performance RSU Award Notice and Agreement for Participants in France for use in connection with the Company’s</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2010 Stock Incentive Plan.*</w:t>
            </w:r>
          </w:p>
        </w:tc>
        <w:tc>
          <w:tcPr>
            <w:tcW w:w="0" w:type="dxa"/>
            <w:vAlign w:val="bottom"/>
          </w:tcPr>
          <w:p>
            <w:pPr>
              <w:spacing w:after="0"/>
              <w:rPr>
                <w:sz w:val="1"/>
                <w:szCs w:val="1"/>
                <w:color w:val="auto"/>
              </w:rPr>
            </w:pPr>
          </w:p>
        </w:tc>
      </w:tr>
      <w:tr>
        <w:trPr>
          <w:trHeight w:val="426"/>
        </w:trPr>
        <w:tc>
          <w:tcPr>
            <w:tcW w:w="6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2"/>
              </w:rPr>
              <w:t>Form of RSU Award Notice and Agreement for all Participants (excluding France) for use in connection with the Company’s 2010 Stock</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432"/>
        </w:trPr>
        <w:tc>
          <w:tcPr>
            <w:tcW w:w="6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0"/>
              </w:rPr>
              <w:t>Form of RSU Award Notice and Agreement for Participants in France for use in connection with the Company’s 2010 Stock Incentive Plan.*</w:t>
            </w:r>
          </w:p>
        </w:tc>
        <w:tc>
          <w:tcPr>
            <w:tcW w:w="0" w:type="dxa"/>
            <w:vAlign w:val="bottom"/>
          </w:tcPr>
          <w:p>
            <w:pPr>
              <w:spacing w:after="0"/>
              <w:rPr>
                <w:sz w:val="1"/>
                <w:szCs w:val="1"/>
                <w:color w:val="auto"/>
              </w:rPr>
            </w:pPr>
          </w:p>
        </w:tc>
      </w:tr>
      <w:tr>
        <w:trPr>
          <w:trHeight w:val="426"/>
        </w:trPr>
        <w:tc>
          <w:tcPr>
            <w:tcW w:w="6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0"/>
              </w:rPr>
              <w:t>Form of Stock Option Grant Notice and Agreement for use in connection with both incentive and non-qualified stock options granted under</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the Company’s 2010 Stock Incentive Plan.*</w:t>
            </w:r>
          </w:p>
        </w:tc>
        <w:tc>
          <w:tcPr>
            <w:tcW w:w="0" w:type="dxa"/>
            <w:vAlign w:val="bottom"/>
          </w:tcPr>
          <w:p>
            <w:pPr>
              <w:spacing w:after="0"/>
              <w:rPr>
                <w:sz w:val="1"/>
                <w:szCs w:val="1"/>
                <w:color w:val="auto"/>
              </w:rPr>
            </w:pPr>
          </w:p>
        </w:tc>
      </w:tr>
      <w:tr>
        <w:trPr>
          <w:trHeight w:val="432"/>
        </w:trPr>
        <w:tc>
          <w:tcPr>
            <w:tcW w:w="640" w:type="dxa"/>
            <w:vAlign w:val="bottom"/>
          </w:tcPr>
          <w:p>
            <w:pPr>
              <w:jc w:val="center"/>
              <w:spacing w:after="0"/>
              <w:rPr>
                <w:sz w:val="20"/>
                <w:szCs w:val="20"/>
                <w:color w:val="auto"/>
              </w:rPr>
            </w:pPr>
            <w:r>
              <w:rPr>
                <w:rFonts w:ascii="Arial" w:cs="Arial" w:eastAsia="Arial" w:hAnsi="Arial"/>
                <w:sz w:val="18"/>
                <w:szCs w:val="18"/>
                <w:color w:val="auto"/>
                <w:w w:val="85"/>
              </w:rPr>
              <w:t>12.1</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Statement re Computation of Ratios</w:t>
            </w:r>
          </w:p>
        </w:tc>
        <w:tc>
          <w:tcPr>
            <w:tcW w:w="0" w:type="dxa"/>
            <w:vAlign w:val="bottom"/>
          </w:tcPr>
          <w:p>
            <w:pPr>
              <w:spacing w:after="0"/>
              <w:rPr>
                <w:sz w:val="1"/>
                <w:szCs w:val="1"/>
                <w:color w:val="auto"/>
              </w:rPr>
            </w:pPr>
          </w:p>
        </w:tc>
      </w:tr>
      <w:tr>
        <w:trPr>
          <w:trHeight w:val="432"/>
        </w:trPr>
        <w:tc>
          <w:tcPr>
            <w:tcW w:w="6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32"/>
        </w:trPr>
        <w:tc>
          <w:tcPr>
            <w:tcW w:w="6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32"/>
        </w:trPr>
        <w:tc>
          <w:tcPr>
            <w:tcW w:w="6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20" w:right="5620" w:hanging="5338"/>
        <w:spacing w:after="0" w:line="525" w:lineRule="auto"/>
        <w:tabs>
          <w:tab w:leader="none" w:pos="1406"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160" w:type="dxa"/>
            <w:vAlign w:val="bottom"/>
          </w:tcPr>
          <w:p>
            <w:pPr>
              <w:jc w:val="right"/>
              <w:ind w:right="2952"/>
              <w:spacing w:after="0"/>
              <w:rPr>
                <w:sz w:val="20"/>
                <w:szCs w:val="20"/>
                <w:color w:val="auto"/>
              </w:rPr>
            </w:pPr>
            <w:r>
              <w:rPr>
                <w:rFonts w:ascii="Arial" w:cs="Arial" w:eastAsia="Arial" w:hAnsi="Arial"/>
                <w:sz w:val="18"/>
                <w:szCs w:val="18"/>
                <w:color w:val="auto"/>
              </w:rPr>
              <w:t>ITRON, INC.</w:t>
            </w:r>
          </w:p>
        </w:tc>
      </w:tr>
      <w:tr>
        <w:trPr>
          <w:trHeight w:val="434"/>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May 5, 2010</w:t>
            </w:r>
          </w:p>
        </w:tc>
        <w:tc>
          <w:tcPr>
            <w:tcW w:w="1920" w:type="dxa"/>
            <w:vAlign w:val="bottom"/>
          </w:tcPr>
          <w:p>
            <w:pPr>
              <w:ind w:left="156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STEVEN M. HELMBRECHT</w:t>
            </w:r>
          </w:p>
        </w:tc>
      </w:tr>
      <w:tr>
        <w:trPr>
          <w:trHeight w:val="209"/>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1920" w:type="dxa"/>
            <w:vAlign w:val="bottom"/>
          </w:tcPr>
          <w:p>
            <w:pPr>
              <w:spacing w:after="0"/>
              <w:rPr>
                <w:sz w:val="18"/>
                <w:szCs w:val="18"/>
                <w:color w:val="auto"/>
              </w:rPr>
            </w:pPr>
          </w:p>
        </w:tc>
        <w:tc>
          <w:tcPr>
            <w:tcW w:w="6160" w:type="dxa"/>
            <w:vAlign w:val="bottom"/>
          </w:tcPr>
          <w:p>
            <w:pPr>
              <w:jc w:val="center"/>
              <w:spacing w:after="0"/>
              <w:rPr>
                <w:sz w:val="20"/>
                <w:szCs w:val="20"/>
                <w:color w:val="auto"/>
              </w:rPr>
            </w:pPr>
            <w:r>
              <w:rPr>
                <w:rFonts w:ascii="Arial" w:cs="Arial" w:eastAsia="Arial" w:hAnsi="Arial"/>
                <w:sz w:val="18"/>
                <w:szCs w:val="18"/>
                <w:b w:val="1"/>
                <w:bCs w:val="1"/>
                <w:color w:val="auto"/>
                <w:w w:val="89"/>
              </w:rPr>
              <w:t>Steven M. Helmbrecht</w:t>
            </w:r>
          </w:p>
        </w:tc>
      </w:tr>
      <w:tr>
        <w:trPr>
          <w:trHeight w:val="228"/>
        </w:trPr>
        <w:tc>
          <w:tcPr>
            <w:tcW w:w="3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160" w:type="dxa"/>
            <w:vAlign w:val="bottom"/>
          </w:tcPr>
          <w:p>
            <w:pPr>
              <w:jc w:val="center"/>
              <w:spacing w:after="0"/>
              <w:rPr>
                <w:sz w:val="20"/>
                <w:szCs w:val="20"/>
                <w:color w:val="auto"/>
              </w:rPr>
            </w:pPr>
            <w:r>
              <w:rPr>
                <w:rFonts w:ascii="Arial" w:cs="Arial" w:eastAsia="Arial" w:hAnsi="Arial"/>
                <w:sz w:val="18"/>
                <w:szCs w:val="18"/>
                <w:b w:val="1"/>
                <w:bCs w:val="1"/>
                <w:color w:val="auto"/>
                <w:w w:val="89"/>
              </w:rPr>
              <w:t>Sr. Vice President and Chief Financial Officer</w:t>
            </w:r>
          </w:p>
        </w:tc>
      </w:tr>
      <w:tr>
        <w:trPr>
          <w:trHeight w:val="365"/>
        </w:trPr>
        <w:tc>
          <w:tcPr>
            <w:tcW w:w="3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160" w:type="dxa"/>
            <w:vAlign w:val="bottom"/>
          </w:tcPr>
          <w:p>
            <w:pPr>
              <w:jc w:val="right"/>
              <w:ind w:right="5532"/>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459"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PERFORMANCE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U.S. PARTICIPANTS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to Participant a performance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Award is subject to all the terms and conditions set forth in this Performance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the Performance Restricted Stock Unit Award Agreement, including Appendices A, B and C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Itron, Inc. 2010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all of which are incorporated into the Award Notice in their entirety.</w:t>
      </w:r>
    </w:p>
    <w:p>
      <w:pPr>
        <w:sectPr>
          <w:pgSz w:w="11900" w:h="16838" w:orient="portrait"/>
          <w:cols w:equalWidth="0" w:num="1">
            <w:col w:w="11420"/>
          </w:cols>
          <w:pgMar w:left="240" w:top="125" w:right="2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«First_Name» «Last_Name»</w:t>
      </w:r>
    </w:p>
    <w:p>
      <w:pPr>
        <w:spacing w:after="0" w:line="145"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«Grant Date»</w:t>
      </w:r>
    </w:p>
    <w:p>
      <w:pPr>
        <w:spacing w:after="0" w:line="145"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1, 2010 to December 31, 2010</w:t>
      </w:r>
    </w:p>
    <w:p>
      <w:pPr>
        <w:spacing w:after="0" w:line="145"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Number of Performance Restricted Stock Units (“PSUs”):</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The actual number of PSUs that become eligible for vesting according to the Vesting Schedule below shall be determined based on the attainment of the 2010 Performance Goals specified in Appendix A, as assessed by the Plan Administrator as soon as reasonably practicable after the end of the Performance Period.</w:t>
      </w:r>
    </w:p>
    <w:p>
      <w:pPr>
        <w:spacing w:after="0" w:line="62"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The minimum number of PSUs is zero (0).</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target number of PSUs is: «# of Units»</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maximum number of PSUs is: «# of Units»</w:t>
      </w:r>
    </w:p>
    <w:p>
      <w:pPr>
        <w:sectPr>
          <w:pgSz w:w="11900" w:h="16838" w:orient="portrait"/>
          <w:cols w:equalWidth="0" w:num="1">
            <w:col w:w="11420"/>
          </w:cols>
          <w:pgMar w:left="240" w:top="125" w:right="239"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actual number of PSUs that become eligible for vesting based on the attainment of the 2010 Performance Goals shall vest in three equal installments on January 1, 2012, January 1, 2013 and January 1, 2014 (each, a “</w:t>
      </w:r>
      <w:r>
        <w:rPr>
          <w:rFonts w:ascii="Arial" w:cs="Arial" w:eastAsia="Arial" w:hAnsi="Arial"/>
          <w:sz w:val="18"/>
          <w:szCs w:val="18"/>
          <w:b w:val="1"/>
          <w:bCs w:val="1"/>
          <w:i w:val="1"/>
          <w:iCs w:val="1"/>
          <w:color w:val="auto"/>
        </w:rPr>
        <w:t>Vest Date</w:t>
      </w:r>
      <w:r>
        <w:rPr>
          <w:rFonts w:ascii="Arial" w:cs="Arial" w:eastAsia="Arial" w:hAnsi="Arial"/>
          <w:sz w:val="18"/>
          <w:szCs w:val="18"/>
          <w:color w:val="auto"/>
        </w:rPr>
        <w:t>”).</w:t>
      </w:r>
    </w:p>
    <w:p>
      <w:pPr>
        <w:sectPr>
          <w:pgSz w:w="11900" w:h="16838" w:orient="portrait"/>
          <w:cols w:equalWidth="0" w:num="2">
            <w:col w:w="5340" w:space="720"/>
            <w:col w:w="5360"/>
          </w:cols>
          <w:pgMar w:left="240" w:top="125" w:right="239" w:bottom="1440" w:gutter="0" w:footer="0" w:header="0"/>
          <w:type w:val="continuous"/>
        </w:sectPr>
      </w:pPr>
    </w:p>
    <w:bookmarkStart w:id="50" w:name="page51"/>
    <w:bookmarkEnd w:id="50"/>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Terms/Acknowledgement</w:t>
      </w:r>
      <w:r>
        <w:rPr>
          <w:rFonts w:ascii="Arial" w:cs="Arial" w:eastAsia="Arial" w:hAnsi="Arial"/>
          <w:sz w:val="18"/>
          <w:szCs w:val="18"/>
          <w:color w:val="auto"/>
        </w:rPr>
        <w:t>: This Award is subject to all the terms and conditions set forth in this Award Notice, the Agreement and the Plan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attached to and incorporated into this Award Notice in their entirety.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«First_Name» «Last_Name»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accept this award subject to the terms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conditions stated herein.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«Electronically Signed»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15" w:lineRule="exact"/>
        <w:rPr>
          <w:sz w:val="20"/>
          <w:szCs w:val="20"/>
          <w:color w:val="auto"/>
        </w:rPr>
      </w:pPr>
    </w:p>
    <w:p>
      <w:pPr>
        <w:ind w:right="8160" w:firstLine="8"/>
        <w:spacing w:after="0" w:line="281" w:lineRule="auto"/>
        <w:tabs>
          <w:tab w:leader="none" w:pos="1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Performance Restricted Stock Unit Award Agreement, including Appendices A, B and C</w:t>
      </w:r>
    </w:p>
    <w:p>
      <w:pPr>
        <w:spacing w:after="0" w:line="1" w:lineRule="exact"/>
        <w:rPr>
          <w:rFonts w:ascii="Arial" w:cs="Arial" w:eastAsia="Arial" w:hAnsi="Arial"/>
          <w:sz w:val="16"/>
          <w:szCs w:val="16"/>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2010 Stock Incentive Plan</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Plan Prospectus</w:t>
      </w:r>
    </w:p>
    <w:p>
      <w:pPr>
        <w:sectPr>
          <w:pgSz w:w="11900" w:h="16838" w:orient="portrait"/>
          <w:cols w:equalWidth="0" w:num="1">
            <w:col w:w="11400"/>
          </w:cols>
          <w:pgMar w:left="240" w:top="274" w:right="2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PERFORMANCE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U.S. PARTICIPANTS</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Pursuant to your Performance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this Performance Restricted Stock Unit Award Agreement, including Appendices A, B and C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performance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under its 2010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Capitalized terms not expressly defined in this Agreement but defined in the Plan shall have the same definitions as in the Plan, as applicable.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the Award are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Number of Units Subject to Award</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This Award is a performance based award which is based on targets set by the Plan Administrator at the beginning of the performance year (calendar year 2010 in this case) (the “</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Performance goals are set forth in Appendix A along with your target number of Units for the Performance Period. At the end of the Performance Period, the Plan Administrator shall determine the number of Units that are eligible for vesting under the Award. The Plan Administrator will communicate this number to you as soon as practicable after the end of the Performance Period. The Units will vest in accordance with Section 2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Vesting</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Award will vest to the extent the performance goals set forth in Appendix A are attained as determined by the Plan Administrator and according to the vesting schedule set forth in the Award Notice (the “</w:t>
      </w:r>
      <w:r>
        <w:rPr>
          <w:rFonts w:ascii="Arial" w:cs="Arial" w:eastAsia="Arial" w:hAnsi="Arial"/>
          <w:sz w:val="16"/>
          <w:szCs w:val="16"/>
          <w:b w:val="1"/>
          <w:bCs w:val="1"/>
          <w:i w:val="1"/>
          <w:iCs w:val="1"/>
          <w:color w:val="auto"/>
        </w:rPr>
        <w:t>Vesting Schedule</w:t>
      </w:r>
      <w:r>
        <w:rPr>
          <w:rFonts w:ascii="Arial" w:cs="Arial" w:eastAsia="Arial" w:hAnsi="Arial"/>
          <w:sz w:val="16"/>
          <w:szCs w:val="16"/>
          <w:color w:val="auto"/>
        </w:rPr>
        <w:t>”). One share of Common Stock will be issuable for each performance restricted stock unit that vests. Performance restricted stock units that have vested and are no longer subject to forfeiture according to the Vesting Schedule are referred to herein as “</w:t>
      </w:r>
      <w:r>
        <w:rPr>
          <w:rFonts w:ascii="Arial" w:cs="Arial" w:eastAsia="Arial" w:hAnsi="Arial"/>
          <w:sz w:val="16"/>
          <w:szCs w:val="16"/>
          <w:b w:val="1"/>
          <w:bCs w:val="1"/>
          <w:i w:val="1"/>
          <w:iCs w:val="1"/>
          <w:color w:val="auto"/>
        </w:rPr>
        <w:t>Vested Units</w:t>
      </w:r>
      <w:r>
        <w:rPr>
          <w:rFonts w:ascii="Arial" w:cs="Arial" w:eastAsia="Arial" w:hAnsi="Arial"/>
          <w:sz w:val="16"/>
          <w:szCs w:val="16"/>
          <w:color w:val="auto"/>
        </w:rPr>
        <w:t>.” Performance Restricted Stock Units that have not vested and remain subject to forfeiture under the Vesting Schedule are referred to herein as “</w:t>
      </w:r>
      <w:r>
        <w:rPr>
          <w:rFonts w:ascii="Arial" w:cs="Arial" w:eastAsia="Arial" w:hAnsi="Arial"/>
          <w:sz w:val="16"/>
          <w:szCs w:val="16"/>
          <w:b w:val="1"/>
          <w:bCs w:val="1"/>
          <w:i w:val="1"/>
          <w:iCs w:val="1"/>
          <w:color w:val="auto"/>
        </w:rPr>
        <w:t>Unvested Units</w:t>
      </w:r>
      <w:r>
        <w:rPr>
          <w:rFonts w:ascii="Arial" w:cs="Arial" w:eastAsia="Arial" w:hAnsi="Arial"/>
          <w:sz w:val="16"/>
          <w:szCs w:val="16"/>
          <w:color w:val="auto"/>
        </w:rPr>
        <w:t>.” The Unvested and Vested Units are collectively referred to herein as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The Award will terminate and the Unvested Units will be subject to forfeiture upon termination of your employment as set forth in Section 3.1.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w:t>
      </w:r>
    </w:p>
    <w:p>
      <w:pPr>
        <w:sectPr>
          <w:pgSz w:w="11900" w:h="16838" w:orient="portrait"/>
          <w:cols w:equalWidth="0" w:num="1">
            <w:col w:w="11420"/>
          </w:cols>
          <w:pgMar w:left="240" w:top="274" w:right="239" w:bottom="1440" w:gutter="0" w:footer="0" w:header="0"/>
        </w:sectPr>
      </w:pPr>
    </w:p>
    <w:bookmarkStart w:id="52" w:name="page53"/>
    <w:bookmarkEnd w:id="52"/>
    <w:p>
      <w:pPr>
        <w:ind w:left="460" w:right="7280" w:hanging="452"/>
        <w:spacing w:after="0" w:line="391" w:lineRule="auto"/>
        <w:tabs>
          <w:tab w:leader="none" w:pos="179"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Corporate Transaction 3.1 Termination of Employment</w:t>
      </w:r>
    </w:p>
    <w:p>
      <w:pPr>
        <w:spacing w:after="0" w:line="1"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Except as provided in Section 3.2 below, if your employment terminates during the Performance Period by reason of (a) death or (b) Disability, the number of Units that become eligible for vesting according to the Vesting Schedule (based on the attainment of the performance goals as assessed after the end of the Performance Period) shall be pro-rated based on the number of calendar days of employment with the Company or a Related Corporation during the Performance Period (rounded down to the nearest whole number) and such Units shall vest as of the date of termination but shall be settled in accordance with Section 4 below.</w:t>
      </w:r>
    </w:p>
    <w:p>
      <w:pPr>
        <w:spacing w:after="0" w:line="98"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Except as provided in Section 3.2 below, if your employment terminates during the three-year vesting period following the Performance Period by reason of (a) death or (b) Disability, the Unvested Units shall vest as of the date of termination but shall be settled in accordance with Section 4 below.</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your employment terminates for any other reason, any Unvested Units will be forfeited upon termination of your employment.</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Subject to Section 9.1 below, the Company may cause the Unvested Units to vest with respect to such number of Units as may be necessary to satisfy any Tax-Related Items (as defined in Section 9.1 below) that may arise prior to the date the Units are settled in accordance with Section 4 below.</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Corporate Transaction/Change of Control</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the event of a Corporate Transaction (including a Related Party Transaction) during the Performance Period or during the three-year vesting period following the Performance Period that does not meet the definition of a Change in Control set forth in Appendix B, your Award will remain unaffected. In the event of a Change in Control (as defined in Appendix B) during the Performance Period, the number of PSUs subject to the Award shall be the greater of (a) the target number of PSUs subject to the Award or (b) the actual number of PSUs subject to the Award as determined based on the attainment of the performance goals if the Plan Administrator determines that the attainment of the performance goals may be determined as of the date of the Change in Control, pro-rated based on the portion of the Performance Period that has elapsed between the Award Date and the date of the Change in Control.</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the event of a Change in Control (as defined in Appendix B) during the three-year vesting period following the Performance Period, any Unvested Units will accelerate in vesting and become Vested Units immediately prior to such Change in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Settlement of Vested Units.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Vested Units shall be settled within thirty (30) days following the applicable Vest Date(s) set forth in the Award Notice, or, if earlier, upon the earlier of</w:t>
      </w:r>
    </w:p>
    <w:p>
      <w:pPr>
        <w:spacing w:after="0" w:line="38" w:lineRule="exact"/>
        <w:rPr>
          <w:sz w:val="20"/>
          <w:szCs w:val="20"/>
          <w:color w:val="auto"/>
        </w:rPr>
      </w:pPr>
    </w:p>
    <w:p>
      <w:pPr>
        <w:jc w:val="both"/>
        <w:ind w:firstLine="8"/>
        <w:spacing w:after="0" w:line="254" w:lineRule="auto"/>
        <w:tabs>
          <w:tab w:leader="none" w:pos="2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date within thirty (30) days following your death or (b) a date within five (5) days of a Change in Control, provided that, in the case of U.S. taxpayers, if the Units or settlement of the Units constitute an item of deferred compensation under Section 409A of the Code and the Change in Control does not constitute a “change in control event” within the meaning of Section 409A of the Code, the Vested Units shall be settled on the earlier of the applicable Vest Date(s) set forth in the Award Notice or a date within thirty (30) days following your death.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w:t>
      </w:r>
    </w:p>
    <w:p>
      <w:pPr>
        <w:sectPr>
          <w:pgSz w:w="11900" w:h="16838" w:orient="portrait"/>
          <w:cols w:equalWidth="0" w:num="1">
            <w:col w:w="11420"/>
          </w:cols>
          <w:pgMar w:left="240" w:top="27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 Securities Law Compliance</w:t>
      </w:r>
    </w:p>
    <w:p>
      <w:pPr>
        <w:spacing w:after="0" w:line="90"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You represent and warrant that you (a) have been furnished with a copy of the prospectus for the Plan and all information which you deem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36"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color w:val="auto"/>
        </w:rPr>
        <w:t>You hereby agree that you will in no event sell or distribute all or any part of the shares of Common Stock that you receive pursuant to settlement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Award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unless (a) there is an effective registration statement under the U.S.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any applicable state and foreign securities laws covering any such transaction involving the Shares or (b) the Company receives an opinion of your legal counsel (concurred in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1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You confirm that you have been advised, prior to your receipt of the Shares, that neither the offering of the Shares nor any offering materials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by any regulator under the Securities Act or any other applicable securities act (the “</w:t>
      </w:r>
      <w:r>
        <w:rPr>
          <w:rFonts w:ascii="Arial" w:cs="Arial" w:eastAsia="Arial" w:hAnsi="Arial"/>
          <w:sz w:val="18"/>
          <w:szCs w:val="18"/>
          <w:b w:val="1"/>
          <w:bCs w:val="1"/>
          <w:i w:val="1"/>
          <w:iCs w:val="1"/>
          <w:color w:val="auto"/>
        </w:rPr>
        <w:t>Acts</w:t>
      </w:r>
      <w:r>
        <w:rPr>
          <w:rFonts w:ascii="Arial" w:cs="Arial" w:eastAsia="Arial" w:hAnsi="Arial"/>
          <w:sz w:val="18"/>
          <w:szCs w:val="18"/>
          <w:color w:val="auto"/>
        </w:rPr>
        <w:t>”) and that the Shares cannot be resold unless they are registered under the Acts or unless an exemption from such registration is available.</w:t>
      </w:r>
    </w:p>
    <w:p>
      <w:pPr>
        <w:spacing w:after="0" w:line="132"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You hereby agree to indemnify the Company and hold it harmless from and against any loss, claim or liability, including attorneys’ fees or legal</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the Company as a result of any breach by you of, or any inaccuracy in, any representation, warranty or statement made by you in this Agreement or the breach by you of any terms or conditions of this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Transfer Restrictions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Units shall not be sold, transferred, assigned, encumbered, pledged or otherwise disposed of, whether voluntarily or by operation of law.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 Rights as Shareholder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shall not have voting or other rights as a shareholder of the Company with respect to the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Book Entry Registration of Shares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3</w:t>
      </w:r>
    </w:p>
    <w:p>
      <w:pPr>
        <w:sectPr>
          <w:pgSz w:w="11900" w:h="16838" w:orient="portrait"/>
          <w:cols w:equalWidth="0" w:num="1">
            <w:col w:w="11420"/>
          </w:cols>
          <w:pgMar w:left="240" w:top="27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 Responsibility for Taxes</w:t>
      </w:r>
    </w:p>
    <w:p>
      <w:pPr>
        <w:spacing w:after="0" w:line="90"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b w:val="1"/>
          <w:bCs w:val="1"/>
          <w:color w:val="auto"/>
        </w:rPr>
        <w:t xml:space="preserve">9.1 </w:t>
      </w:r>
      <w:r>
        <w:rPr>
          <w:rFonts w:ascii="Arial" w:cs="Arial" w:eastAsia="Arial" w:hAnsi="Arial"/>
          <w:sz w:val="15"/>
          <w:szCs w:val="15"/>
          <w:color w:val="auto"/>
        </w:rPr>
        <w:t>Regardless of any action the Company or your employer (the “</w:t>
      </w:r>
      <w:r>
        <w:rPr>
          <w:rFonts w:ascii="Arial" w:cs="Arial" w:eastAsia="Arial" w:hAnsi="Arial"/>
          <w:sz w:val="15"/>
          <w:szCs w:val="15"/>
          <w:b w:val="1"/>
          <w:bCs w:val="1"/>
          <w:i w:val="1"/>
          <w:iCs w:val="1"/>
          <w:color w:val="auto"/>
        </w:rPr>
        <w:t>Employer</w:t>
      </w:r>
      <w:r>
        <w:rPr>
          <w:rFonts w:ascii="Arial" w:cs="Arial" w:eastAsia="Arial" w:hAnsi="Arial"/>
          <w:sz w:val="15"/>
          <w:szCs w:val="15"/>
          <w:color w:val="auto"/>
        </w:rPr>
        <w:t>”) take with respect to any and all income tax, social insurance, payroll tax,</w:t>
      </w:r>
      <w:r>
        <w:rPr>
          <w:rFonts w:ascii="Arial" w:cs="Arial" w:eastAsia="Arial" w:hAnsi="Arial"/>
          <w:sz w:val="15"/>
          <w:szCs w:val="15"/>
          <w:b w:val="1"/>
          <w:bCs w:val="1"/>
          <w:color w:val="auto"/>
        </w:rPr>
        <w:t xml:space="preserve"> </w:t>
      </w:r>
      <w:r>
        <w:rPr>
          <w:rFonts w:ascii="Arial" w:cs="Arial" w:eastAsia="Arial" w:hAnsi="Arial"/>
          <w:sz w:val="15"/>
          <w:szCs w:val="15"/>
          <w:color w:val="auto"/>
        </w:rPr>
        <w:t>payment on account or other tax-related items related to your participation in the Plan and legally applicable to you (“</w:t>
      </w:r>
      <w:r>
        <w:rPr>
          <w:rFonts w:ascii="Arial" w:cs="Arial" w:eastAsia="Arial" w:hAnsi="Arial"/>
          <w:sz w:val="15"/>
          <w:szCs w:val="15"/>
          <w:b w:val="1"/>
          <w:bCs w:val="1"/>
          <w:i w:val="1"/>
          <w:iCs w:val="1"/>
          <w:color w:val="auto"/>
        </w:rPr>
        <w:t>Tax-Related Items</w:t>
      </w:r>
      <w:r>
        <w:rPr>
          <w:rFonts w:ascii="Arial" w:cs="Arial" w:eastAsia="Arial" w:hAnsi="Arial"/>
          <w:sz w:val="15"/>
          <w:szCs w:val="15"/>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w:t>
      </w:r>
    </w:p>
    <w:p>
      <w:pPr>
        <w:spacing w:after="0" w:line="2" w:lineRule="exact"/>
        <w:rPr>
          <w:sz w:val="20"/>
          <w:szCs w:val="20"/>
          <w:color w:val="auto"/>
        </w:rPr>
      </w:pPr>
    </w:p>
    <w:p>
      <w:pPr>
        <w:jc w:val="both"/>
        <w:ind w:firstLine="8"/>
        <w:spacing w:after="0" w:line="290" w:lineRule="auto"/>
        <w:tabs>
          <w:tab w:leader="none" w:pos="2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do not commit to and are under no obligation to structure the terms of the grant or any aspect of the Award to reduce or eliminate your liability for Tax-Related Items or achieve any particular tax result. Further, if you have become subject to tax in more than one jurisdiction between the Grant Date and the date of any relevant taxable event, you acknowledge that the Company and/or the Employer (or former employer, as applicable) may be required to withhold or account for Tax-Related Items in more than one jurisdiction. Notwithstanding anything to the contrary in this Section 9.1, the right of the Company or the Employer to withhold any Tax-Related Items for any portion of the Award that is considered deferred compensation subject to Code Section 409A shall be limited to the minimum amount permitted to avoid a prohibited acceleration under Section 409A of the Code.</w:t>
      </w:r>
    </w:p>
    <w:p>
      <w:pPr>
        <w:spacing w:after="0" w:line="11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Prior to any relevant taxable or tax withholding event, as applicable, you will pay or make adequate arrangements satisfactory to the Company and or</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Employer to satisfy all Tax-Related Items.</w:t>
      </w:r>
    </w:p>
    <w:p>
      <w:pPr>
        <w:spacing w:after="0" w:line="126" w:lineRule="exact"/>
        <w:rPr>
          <w:sz w:val="20"/>
          <w:szCs w:val="20"/>
          <w:color w:val="auto"/>
        </w:rPr>
      </w:pPr>
    </w:p>
    <w:p>
      <w:pPr>
        <w:ind w:firstLine="464"/>
        <w:spacing w:after="0" w:line="268"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this regard, you hereby irrevocably appoint Fidelity or any stock plan service provider or brokerage firm designated by the Company for such purpose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your Agent, and authorize the Agent, to:</w:t>
      </w:r>
    </w:p>
    <w:p>
      <w:pPr>
        <w:spacing w:after="0" w:line="50" w:lineRule="exact"/>
        <w:rPr>
          <w:rFonts w:ascii="Arial" w:cs="Arial" w:eastAsia="Arial" w:hAnsi="Arial"/>
          <w:sz w:val="18"/>
          <w:szCs w:val="18"/>
          <w:color w:val="auto"/>
        </w:rPr>
      </w:pPr>
    </w:p>
    <w:p>
      <w:pPr>
        <w:jc w:val="both"/>
        <w:ind w:left="1480" w:hanging="567"/>
        <w:spacing w:after="0" w:line="306" w:lineRule="auto"/>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Tax-Related Items and all applicable fees and commissions due to, or required to be collected by, the Agent;</w:t>
      </w:r>
    </w:p>
    <w:p>
      <w:pPr>
        <w:spacing w:after="0" w:line="25" w:lineRule="exact"/>
        <w:rPr>
          <w:rFonts w:ascii="Arial" w:cs="Arial" w:eastAsia="Arial" w:hAnsi="Arial"/>
          <w:sz w:val="16"/>
          <w:szCs w:val="16"/>
          <w:color w:val="auto"/>
        </w:rPr>
      </w:pPr>
    </w:p>
    <w:p>
      <w:pPr>
        <w:ind w:left="1480" w:hanging="567"/>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Remit directly to the Company the cash amount necessary to cover the Tax-Related Items;</w:t>
      </w:r>
    </w:p>
    <w:p>
      <w:pPr>
        <w:spacing w:after="0" w:line="90"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Retain the amount required to cover all applicable fees and commissions due to, or required to be collected by, the Agent, relating directly to the sale of Shares referred to in clause (i) above;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Remit any remaining funds to you.</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w:t>
      </w:r>
    </w:p>
    <w:p>
      <w:pPr>
        <w:sectPr>
          <w:pgSz w:w="11900" w:h="16838" w:orient="portrait"/>
          <w:cols w:equalWidth="0" w:num="1">
            <w:col w:w="11420"/>
          </w:cols>
          <w:pgMar w:left="240" w:top="274" w:right="239" w:bottom="1440" w:gutter="0" w:footer="0" w:header="0"/>
        </w:sectPr>
      </w:pPr>
    </w:p>
    <w:bookmarkStart w:id="55" w:name="page56"/>
    <w:bookmarkEnd w:id="55"/>
    <w:p>
      <w:pPr>
        <w:ind w:firstLine="464"/>
        <w:spacing w:after="0" w:line="268" w:lineRule="auto"/>
        <w:tabs>
          <w:tab w:leader="none" w:pos="715"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Alternatively, or in addition to or in combination with the withholding mechanism described in Section 9.2(a), you authorize the Company and/or the Employer, at their discretion, to satisfy the obligations with regard to all Tax-Related Items by:</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requiring you to pay to the Company or the Employer any amount of the Tax-Related Items; and/or</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withholding any amount of the Tax-Related Items from your wages or other cash compensation paid to you by the Company and/or the Employer; and/or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withholding in Shares to be issued upon settlement of the Vested Units.</w:t>
      </w:r>
    </w:p>
    <w:p>
      <w:pPr>
        <w:spacing w:after="0" w:line="171" w:lineRule="exact"/>
        <w:rPr>
          <w:rFonts w:ascii="Arial" w:cs="Arial" w:eastAsia="Arial" w:hAnsi="Arial"/>
          <w:sz w:val="18"/>
          <w:szCs w:val="18"/>
          <w:color w:val="auto"/>
        </w:rPr>
      </w:pPr>
    </w:p>
    <w:p>
      <w:pPr>
        <w:jc w:val="both"/>
        <w:ind w:firstLine="464"/>
        <w:spacing w:after="0" w:line="294" w:lineRule="auto"/>
        <w:tabs>
          <w:tab w:leader="none" w:pos="7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110"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color w:val="auto"/>
        </w:rPr>
        <w:t>You acknowledge that the authorization and instruction to the Agent set forth in Section 9.2(a)(i) above to sell Shares to cover the Tax-Related Items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6"/>
          <w:szCs w:val="16"/>
          <w:b w:val="1"/>
          <w:bCs w:val="1"/>
          <w:i w:val="1"/>
          <w:iCs w:val="1"/>
          <w:color w:val="auto"/>
        </w:rPr>
        <w:t>10b5-1 Plan</w:t>
      </w:r>
      <w:r>
        <w:rPr>
          <w:rFonts w:ascii="Arial" w:cs="Arial" w:eastAsia="Arial" w:hAnsi="Arial"/>
          <w:sz w:val="16"/>
          <w:szCs w:val="16"/>
          <w:color w:val="auto"/>
        </w:rPr>
        <w:t>”). This 10b5-1 Plan is being adopted to permit you to sell a number of Shares issued upon settlement of Vested Units sufficient to pay the Tax-Related Items.</w:t>
      </w:r>
    </w:p>
    <w:p>
      <w:pPr>
        <w:spacing w:after="0" w:line="10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5</w:t>
      </w:r>
    </w:p>
    <w:p>
      <w:pPr>
        <w:sectPr>
          <w:pgSz w:w="11900" w:h="16838" w:orient="portrait"/>
          <w:cols w:equalWidth="0" w:num="1">
            <w:col w:w="11420"/>
          </w:cols>
          <w:pgMar w:left="240" w:top="2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Nature of Grant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accepting the grant, you acknowledge, understand and agree that:</w:t>
      </w:r>
    </w:p>
    <w:p>
      <w:pPr>
        <w:spacing w:after="0" w:line="171" w:lineRule="exact"/>
        <w:rPr>
          <w:sz w:val="20"/>
          <w:szCs w:val="20"/>
          <w:color w:val="auto"/>
        </w:rPr>
      </w:pPr>
    </w:p>
    <w:p>
      <w:pPr>
        <w:ind w:firstLine="464"/>
        <w:spacing w:after="0" w:line="268" w:lineRule="auto"/>
        <w:tabs>
          <w:tab w:leader="none" w:pos="7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w:t>
      </w:r>
    </w:p>
    <w:p>
      <w:pPr>
        <w:spacing w:after="0" w:line="131" w:lineRule="exact"/>
        <w:rPr>
          <w:rFonts w:ascii="Arial" w:cs="Arial" w:eastAsia="Arial" w:hAnsi="Arial"/>
          <w:sz w:val="18"/>
          <w:szCs w:val="18"/>
          <w:color w:val="auto"/>
        </w:rPr>
      </w:pPr>
    </w:p>
    <w:p>
      <w:pPr>
        <w:ind w:firstLine="464"/>
        <w:spacing w:after="0" w:line="332" w:lineRule="auto"/>
        <w:tabs>
          <w:tab w:leader="none" w:pos="71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grant of the Award is voluntary and occasional and does not create any contractual or other right to receive future grants of performance restricted stock units, or benefits in lieu of performance restricted stock units, even if performance restricted stock units have been granted repeatedly in the past;</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decisions with respect to future grants of performance restricted stock units, if any, will be at the sole discretion of the Company;</w:t>
      </w:r>
    </w:p>
    <w:p>
      <w:pPr>
        <w:spacing w:after="0" w:line="171" w:lineRule="exact"/>
        <w:rPr>
          <w:rFonts w:ascii="Arial" w:cs="Arial" w:eastAsia="Arial" w:hAnsi="Arial"/>
          <w:sz w:val="18"/>
          <w:szCs w:val="18"/>
          <w:color w:val="auto"/>
        </w:rPr>
      </w:pPr>
    </w:p>
    <w:p>
      <w:pPr>
        <w:ind w:firstLine="464"/>
        <w:spacing w:after="0" w:line="268" w:lineRule="auto"/>
        <w:tabs>
          <w:tab w:leader="none" w:pos="706"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your participation in the Plan shall not create a right to further employment with the Employer and shall not interfere with the ability of the Employer to terminate your employment relationship at any time;</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171" w:lineRule="exact"/>
        <w:rPr>
          <w:rFonts w:ascii="Arial" w:cs="Arial" w:eastAsia="Arial" w:hAnsi="Arial"/>
          <w:sz w:val="18"/>
          <w:szCs w:val="18"/>
          <w:color w:val="auto"/>
        </w:rPr>
      </w:pPr>
    </w:p>
    <w:p>
      <w:pPr>
        <w:ind w:right="20" w:firstLine="464"/>
        <w:spacing w:after="0" w:line="268" w:lineRule="auto"/>
        <w:tabs>
          <w:tab w:leader="none" w:pos="6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an extraordinary item that does not constitute compensation of any kind for services of any kind rendered to the Company or the Employer, and which is outside the scope of your employment contract, if any;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not intended to replace any pension rights or compensation;</w:t>
      </w:r>
    </w:p>
    <w:p>
      <w:pPr>
        <w:spacing w:after="0" w:line="171" w:lineRule="exact"/>
        <w:rPr>
          <w:rFonts w:ascii="Arial" w:cs="Arial" w:eastAsia="Arial" w:hAnsi="Arial"/>
          <w:sz w:val="18"/>
          <w:szCs w:val="18"/>
          <w:color w:val="auto"/>
        </w:rPr>
      </w:pPr>
    </w:p>
    <w:p>
      <w:pPr>
        <w:jc w:val="both"/>
        <w:ind w:firstLine="464"/>
        <w:spacing w:after="0" w:line="256" w:lineRule="auto"/>
        <w:tabs>
          <w:tab w:leader="none" w:pos="70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not part of normal or expected compensation or salary for any purposes, including, but not limited to, calculating any severance, resignation, termination, redundancy, end of service payments, bonuses, long-service awards, pension or retirement or welfare benefits or similar payments and in no event should be considered as compensation for, or relating in any way to, past services for the Company, the Employer or any Related Corporation;</w:t>
      </w:r>
    </w:p>
    <w:p>
      <w:pPr>
        <w:spacing w:after="0" w:line="143" w:lineRule="exact"/>
        <w:rPr>
          <w:rFonts w:ascii="Arial" w:cs="Arial" w:eastAsia="Arial" w:hAnsi="Arial"/>
          <w:sz w:val="18"/>
          <w:szCs w:val="18"/>
          <w:color w:val="auto"/>
        </w:rPr>
      </w:pPr>
    </w:p>
    <w:p>
      <w:pPr>
        <w:ind w:firstLine="464"/>
        <w:spacing w:after="0" w:line="268" w:lineRule="auto"/>
        <w:tabs>
          <w:tab w:leader="none" w:pos="6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grant of the Award and your participation in the Plan will not be interpreted to form an employment contract or relationship with the Company or any Related Corporation;</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6</w:t>
      </w:r>
    </w:p>
    <w:p>
      <w:pPr>
        <w:sectPr>
          <w:pgSz w:w="11900" w:h="16838" w:orient="portrait"/>
          <w:cols w:equalWidth="0" w:num="1">
            <w:col w:w="11420"/>
          </w:cols>
          <w:pgMar w:left="240" w:top="274" w:right="239" w:bottom="1440" w:gutter="0" w:footer="0" w:header="0"/>
        </w:sectPr>
      </w:pPr>
    </w:p>
    <w:bookmarkStart w:id="57" w:name="page58"/>
    <w:bookmarkEnd w:id="57"/>
    <w:p>
      <w:pPr>
        <w:jc w:val="both"/>
        <w:ind w:firstLine="464"/>
        <w:spacing w:after="0" w:line="291" w:lineRule="auto"/>
        <w:tabs>
          <w:tab w:leader="none" w:pos="721"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claim or entitlement to compensation or damages shall arise from forfeiture of the Award resulting from termination of your employment by the Company or the Employer (for any reason whatsoever and whether or not in breach of local labor laws) and, in consideration of the grant of the Award to which you are otherwise not entitled, you irrevocably agree never to institute any claim against the Company or the Employer, waive the ability, if any, to bring any such claim and release the Company and the Employer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claims;</w:t>
      </w:r>
    </w:p>
    <w:p>
      <w:pPr>
        <w:spacing w:after="0" w:line="120" w:lineRule="exact"/>
        <w:rPr>
          <w:rFonts w:ascii="Arial" w:cs="Arial" w:eastAsia="Arial" w:hAnsi="Arial"/>
          <w:sz w:val="16"/>
          <w:szCs w:val="16"/>
          <w:color w:val="auto"/>
        </w:rPr>
      </w:pPr>
    </w:p>
    <w:p>
      <w:pPr>
        <w:jc w:val="both"/>
        <w:ind w:firstLine="464"/>
        <w:spacing w:after="0" w:line="291"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event of termination of your employment (whether or not in breach of local labor laws), your right to vest in the Award, if any, will terminate effective as of the date that you are no longer actively employed and will not be extended by any notice period mandated under local law (</w:t>
      </w:r>
      <w:r>
        <w:rPr>
          <w:rFonts w:ascii="Arial" w:cs="Arial" w:eastAsia="Arial" w:hAnsi="Arial"/>
          <w:sz w:val="16"/>
          <w:szCs w:val="16"/>
          <w:i w:val="1"/>
          <w:iCs w:val="1"/>
          <w:color w:val="auto"/>
        </w:rPr>
        <w:t>e.g.</w:t>
      </w:r>
      <w:r>
        <w:rPr>
          <w:rFonts w:ascii="Arial" w:cs="Arial" w:eastAsia="Arial" w:hAnsi="Arial"/>
          <w:sz w:val="16"/>
          <w:szCs w:val="16"/>
          <w:color w:val="auto"/>
        </w:rPr>
        <w:t>, active employment would not include a period of “garden leave” or similar period pursuant to local law); the Company’s Chief Executive Officer shall have the exclusive discretion to determine when you are no longer actively employed for purposes of the Award (including whether or not a transfer of employment between or among the Company and its Related Corporations or a change in status from an employee to a consultant, agent, advisor or independent contractor will constitute a termination of active employment for purposes of the Award); and</w:t>
      </w:r>
    </w:p>
    <w:p>
      <w:pPr>
        <w:spacing w:after="0" w:line="120" w:lineRule="exact"/>
        <w:rPr>
          <w:rFonts w:ascii="Arial" w:cs="Arial" w:eastAsia="Arial" w:hAnsi="Arial"/>
          <w:sz w:val="16"/>
          <w:szCs w:val="16"/>
          <w:color w:val="auto"/>
        </w:rPr>
      </w:pPr>
    </w:p>
    <w:p>
      <w:pPr>
        <w:ind w:left="780" w:hanging="31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Award and the benefits under the Plan, if any, will not necessarily transfer to another company in the case of a merger, take over or transfer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liability.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 Advice Regarding Grant</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97"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Data Privacy</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7</w:t>
      </w:r>
    </w:p>
    <w:p>
      <w:pPr>
        <w:sectPr>
          <w:pgSz w:w="11900" w:h="16838" w:orient="portrait"/>
          <w:cols w:equalWidth="0" w:num="1">
            <w:col w:w="11420"/>
          </w:cols>
          <w:pgMar w:left="240" w:top="280" w:right="239" w:bottom="1440" w:gutter="0" w:footer="0" w:header="0"/>
        </w:sectPr>
      </w:pPr>
    </w:p>
    <w:bookmarkStart w:id="58" w:name="page59"/>
    <w:bookmarkEnd w:id="58"/>
    <w:p>
      <w:pPr>
        <w:jc w:val="both"/>
        <w:ind w:firstLine="456"/>
        <w:spacing w:after="0" w:line="28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Electronic Delivery and Participation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Language</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If you have received this Agreement or any other document related to the Plan translated into a language other than English and if the meaning of the translated version is different from the English version, the English version will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General Provisions</w:t>
      </w:r>
    </w:p>
    <w:p>
      <w:pPr>
        <w:spacing w:after="0" w:line="9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15.1 Successors and Assigns</w:t>
      </w:r>
      <w:r>
        <w:rPr>
          <w:rFonts w:ascii="Arial" w:cs="Arial" w:eastAsia="Arial" w:hAnsi="Arial"/>
          <w:sz w:val="18"/>
          <w:szCs w:val="18"/>
          <w:color w:val="auto"/>
        </w:rPr>
        <w:t>. The provisions of this Agreement will inure to the benefit of the successors and assigns of the Company and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you and your heirs, executors, administrators, successors and assigns.</w:t>
      </w:r>
    </w:p>
    <w:p>
      <w:pPr>
        <w:spacing w:after="0" w:line="120"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15.2 Section 409A</w:t>
      </w:r>
      <w:r>
        <w:rPr>
          <w:rFonts w:ascii="Arial" w:cs="Arial" w:eastAsia="Arial" w:hAnsi="Arial"/>
          <w:sz w:val="16"/>
          <w:szCs w:val="16"/>
          <w:color w:val="auto"/>
        </w:rPr>
        <w:t>. For purposes of U.S. taxpayers, the Units and the settlement of the Units are intended to either be exempt from Section 409A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Code under the “short-term deferral” exception or comply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8</w:t>
      </w:r>
    </w:p>
    <w:p>
      <w:pPr>
        <w:sectPr>
          <w:pgSz w:w="11900" w:h="16838" w:orient="portrait"/>
          <w:cols w:equalWidth="0" w:num="1">
            <w:col w:w="11420"/>
          </w:cols>
          <w:pgMar w:left="240" w:top="280" w:right="239" w:bottom="1440" w:gutter="0" w:footer="0" w:header="0"/>
        </w:sectPr>
      </w:pPr>
    </w:p>
    <w:bookmarkStart w:id="59" w:name="page60"/>
    <w:bookmarkEnd w:id="59"/>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makes no representation or covenant to ensure that the Units, settlement of the Units or other payment hereunder are exempt from or compliant with Section 409A of the Code and will have no liability to you or any other party if the settlement of the Units or other payment hereunder that is intended to be exempt from, or compliant with, Section 409A of the Code, is not so exempt or compliant or for any action taken by the Plan Administrator with respect thereto.</w:t>
      </w:r>
    </w:p>
    <w:p>
      <w:pPr>
        <w:spacing w:after="0" w:line="10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15.3 Governing Law and Choice of Venue</w:t>
      </w:r>
      <w:r>
        <w:rPr>
          <w:rFonts w:ascii="Arial" w:cs="Arial" w:eastAsia="Arial" w:hAnsi="Arial"/>
          <w:sz w:val="18"/>
          <w:szCs w:val="18"/>
          <w:color w:val="auto"/>
        </w:rPr>
        <w:t>. The Award and the provisions of this Agreement will be construed and administered in accordance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39"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15.4 Severability</w:t>
      </w:r>
      <w:r>
        <w:rPr>
          <w:rFonts w:ascii="Arial" w:cs="Arial" w:eastAsia="Arial" w:hAnsi="Arial"/>
          <w:sz w:val="18"/>
          <w:szCs w:val="18"/>
          <w:color w:val="auto"/>
        </w:rPr>
        <w:t>. The provisions of this Agreement are severable and if any one or more provisions are determined to be illegal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15.5 Notice</w:t>
      </w:r>
      <w:r>
        <w:rPr>
          <w:rFonts w:ascii="Arial" w:cs="Arial" w:eastAsia="Arial" w:hAnsi="Arial"/>
          <w:sz w:val="18"/>
          <w:szCs w:val="18"/>
          <w:color w:val="auto"/>
        </w:rPr>
        <w:t>. Any notice required or permitted hereunder shall be made in writing and sent to the following address:</w:t>
      </w:r>
    </w:p>
    <w:p>
      <w:pPr>
        <w:spacing w:after="0" w:line="9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Liberty Lake, WA USA 99019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Appendix C</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Notwithstanding any provisions in this Agreement, the Award shall be subject to any special terms and conditions set forth in Appendix C to this Agreement for your country (“</w:t>
      </w:r>
      <w:r>
        <w:rPr>
          <w:rFonts w:ascii="Arial" w:cs="Arial" w:eastAsia="Arial" w:hAnsi="Arial"/>
          <w:sz w:val="16"/>
          <w:szCs w:val="16"/>
          <w:b w:val="1"/>
          <w:bCs w:val="1"/>
          <w:i w:val="1"/>
          <w:iCs w:val="1"/>
          <w:color w:val="auto"/>
        </w:rPr>
        <w:t>Appendix C</w:t>
      </w:r>
      <w:r>
        <w:rPr>
          <w:rFonts w:ascii="Arial" w:cs="Arial" w:eastAsia="Arial" w:hAnsi="Arial"/>
          <w:sz w:val="16"/>
          <w:szCs w:val="16"/>
          <w:color w:val="auto"/>
        </w:rPr>
        <w:t>”). Moreover, if you relocate to one of the countries included in Appendix C, the special terms and conditions for such country will apply to you, to the extent the Company determines that the application of such terms and conditions is necessary or advisable in order to comply with local law or facilitate the administration of the Plan. Appendix C constitutes part of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Imposition of Other Requirements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reserves the right to impose other requirements on your participation in the Plan, on the Award and on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9</w:t>
      </w:r>
    </w:p>
    <w:p>
      <w:pPr>
        <w:sectPr>
          <w:pgSz w:w="11900" w:h="16838" w:orient="portrait"/>
          <w:cols w:equalWidth="0" w:num="1">
            <w:col w:w="11420"/>
          </w:cols>
          <w:pgMar w:left="240" w:top="280" w:right="2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[INSERT 2010 PERFORMANCE GOALS]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10</w:t>
      </w:r>
    </w:p>
    <w:p>
      <w:pPr>
        <w:sectPr>
          <w:pgSz w:w="11900" w:h="16838" w:orient="portrait"/>
          <w:cols w:equalWidth="0" w:num="1">
            <w:col w:w="9019"/>
          </w:cols>
          <w:pgMar w:left="1440" w:top="274" w:right="1440" w:bottom="1440" w:gutter="0" w:footer="0" w:header="0"/>
        </w:sectPr>
      </w:pPr>
    </w:p>
    <w:bookmarkStart w:id="61" w:name="page62"/>
    <w:bookmarkEnd w:id="61"/>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LONG TERM PERFORMANCE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U.S. PARTICIPANTS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For purposes of this Agreement, 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xml:space="preserve"> shall be deemed to have occurred if any of the events set forth in any of the following paragraphs shall have occurred:</w:t>
      </w:r>
    </w:p>
    <w:p>
      <w:pPr>
        <w:spacing w:after="0" w:line="132" w:lineRule="exact"/>
        <w:rPr>
          <w:sz w:val="20"/>
          <w:szCs w:val="20"/>
          <w:color w:val="auto"/>
        </w:rPr>
      </w:pPr>
    </w:p>
    <w:p>
      <w:pPr>
        <w:jc w:val="both"/>
        <w:ind w:firstLine="464"/>
        <w:spacing w:after="0" w:line="259" w:lineRule="auto"/>
        <w:tabs>
          <w:tab w:leader="none" w:pos="7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25% or more of either the then outstanding Shares or the combined voting power of the Company’s then outstanding securities, excluding any Person who becomes such a Beneficial Owner in connection with a transaction described in subsection(c) below;</w:t>
      </w:r>
    </w:p>
    <w:p>
      <w:pPr>
        <w:spacing w:after="0" w:line="140" w:lineRule="exact"/>
        <w:rPr>
          <w:rFonts w:ascii="Arial" w:cs="Arial" w:eastAsia="Arial" w:hAnsi="Arial"/>
          <w:sz w:val="18"/>
          <w:szCs w:val="18"/>
          <w:color w:val="auto"/>
        </w:rPr>
      </w:pPr>
    </w:p>
    <w:p>
      <w:pPr>
        <w:jc w:val="both"/>
        <w:ind w:firstLine="464"/>
        <w:spacing w:after="0" w:line="290"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a change in the composition of the Board during any two-year period such that the individuals who, as of the date of this Agreement, constitute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18" w:lineRule="exact"/>
        <w:rPr>
          <w:rFonts w:ascii="Arial" w:cs="Arial" w:eastAsia="Arial" w:hAnsi="Arial"/>
          <w:sz w:val="16"/>
          <w:szCs w:val="16"/>
          <w:color w:val="auto"/>
        </w:rPr>
      </w:pPr>
    </w:p>
    <w:p>
      <w:pPr>
        <w:jc w:val="both"/>
        <w:ind w:firstLine="464"/>
        <w:spacing w:after="0" w:line="288" w:lineRule="auto"/>
        <w:tabs>
          <w:tab w:leader="none" w:pos="70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25% or more of the combined voting power of the Company’s then outstanding securities; or the stockholders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11</w:t>
      </w:r>
    </w:p>
    <w:p>
      <w:pPr>
        <w:sectPr>
          <w:pgSz w:w="11900" w:h="16838" w:orient="portrait"/>
          <w:cols w:equalWidth="0" w:num="1">
            <w:col w:w="11420"/>
          </w:cols>
          <w:pgMar w:left="240" w:top="27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clarity, a Change in Control shall not be deemed to have occurred in the event of a reincorporation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Appendix B,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shall have the meaning set forth in Rule 13d-3 under the Exchange Act.</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For purposes of this Appendix B,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xml:space="preserve">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(as such term is set forth in Rule 12-b2 promulgated under Section 12 of the Exchange Act),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12</w:t>
      </w:r>
    </w:p>
    <w:p>
      <w:pPr>
        <w:sectPr>
          <w:pgSz w:w="11900" w:h="16838" w:orient="portrait"/>
          <w:cols w:equalWidth="0" w:num="1">
            <w:col w:w="11420"/>
          </w:cols>
          <w:pgMar w:left="240" w:top="280" w:right="239" w:bottom="1440" w:gutter="0" w:footer="0" w:header="0"/>
        </w:sectPr>
      </w:pPr>
    </w:p>
    <w:bookmarkStart w:id="63" w:name="page64"/>
    <w:bookmarkEnd w:id="63"/>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C</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LONG TERM PERFORMANCE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U.S. PARTICIPANTS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Appendix C includes additional terms and conditions that govern the restricted stock unit award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xml:space="preserve">) granted to you under the Itron, Inc. 2010 Stock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if you reside in one of the countries listed below. Capitalized terms not expressly defined in this Appendix C but defined in the Plan or the Restricted Stock Unit Award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shall have the same definitions as in the Plan and/or the Agreement,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Appendix C also includes information regarding exchange control and other issues of which you should be aware with respect to your participation in the Plan. The information is based on the exchange control, securities and other laws in effect in the respective countries as of February 2010. Such laws are often complex and change frequently. As a result, the Company strongly recommends that you not rely on the information herein as the only source of information relating to the consequences of participation in the Plan because the information may be out of date at the time that the Award vests or the Shares acquired under the Plan are sold.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Finally, if you are a citizen or resident of a country other than the one in which you are currently working, or if you transfer employment to another country after the Award is granted, the information contained herein may not be applicable to you.</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13</w:t>
      </w:r>
    </w:p>
    <w:p>
      <w:pPr>
        <w:sectPr>
          <w:pgSz w:w="11900" w:h="16838" w:orient="portrait"/>
          <w:cols w:equalWidth="0" w:num="1">
            <w:col w:w="11420"/>
          </w:cols>
          <w:pgMar w:left="240" w:top="27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This provision supplements Section 3.1 of the Agreement:</w:t>
      </w:r>
    </w:p>
    <w:p>
      <w:pPr>
        <w:spacing w:after="0" w:line="1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Except as provided in Section 3.2, if your employment terminates during the Performance Period by reason of Retirement, the number of Units that become eligible for vesting according to the Vesting Schedule (based on the attainment of the performance goals as assessed after the end of the Performance Period) shall be pro-rated based on the number of calendar days of employment with the Company or a Related Corporation during the Performance Period (rounded down to the nearest whole number) and such Units shall vest as of the date of termination but shall be settled in accordance with Section 4.</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Except as provided in Section 3.2, if your employment terminates during the three-year vesting period following the Performance Period by reason of Retirement, the Unvested Units shall vest as of the date of termination but shall be settled in accordance with Section 4.</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purposes of this Agreement, “Retirement” shall mean a termination of employment (other than an involuntary termination for Cause) (a) on or after your 65</w:t>
      </w:r>
      <w:r>
        <w:rPr>
          <w:rFonts w:ascii="Arial" w:cs="Arial" w:eastAsia="Arial" w:hAnsi="Arial"/>
          <w:sz w:val="11"/>
          <w:szCs w:val="11"/>
          <w:color w:val="auto"/>
        </w:rPr>
        <w:t>th</w:t>
      </w:r>
      <w:r>
        <w:rPr>
          <w:rFonts w:ascii="Arial" w:cs="Arial" w:eastAsia="Arial" w:hAnsi="Arial"/>
          <w:sz w:val="18"/>
          <w:szCs w:val="18"/>
          <w:color w:val="auto"/>
        </w:rPr>
        <w:t xml:space="preserve"> birthday or (b) on or after your 55</w:t>
      </w:r>
      <w:r>
        <w:rPr>
          <w:rFonts w:ascii="Arial" w:cs="Arial" w:eastAsia="Arial" w:hAnsi="Arial"/>
          <w:sz w:val="11"/>
          <w:szCs w:val="11"/>
          <w:color w:val="auto"/>
        </w:rPr>
        <w:t>th</w:t>
      </w:r>
      <w:r>
        <w:rPr>
          <w:rFonts w:ascii="Arial" w:cs="Arial" w:eastAsia="Arial" w:hAnsi="Arial"/>
          <w:sz w:val="18"/>
          <w:szCs w:val="18"/>
          <w:color w:val="auto"/>
        </w:rPr>
        <w:t xml:space="preserve"> birthday if you have, at such time, been employed by the Company and/or a Related Corporation for at least ten (10) years.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14</w:t>
      </w:r>
    </w:p>
    <w:p>
      <w:pPr>
        <w:sectPr>
          <w:pgSz w:w="11900" w:h="16838" w:orient="portrait"/>
          <w:cols w:equalWidth="0" w:num="1">
            <w:col w:w="11420"/>
          </w:cols>
          <w:pgMar w:left="240" w:top="27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PERFORMANCE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INTERNATIONAL PARTICIPANTS (EXCLUDING FRANCE)</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to Participant a performance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Award is subject to all the terms and conditions set forth in this Performance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the Performance Restricted Stock Unit Award Agreement, including Appendices A, B and C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Itron, Inc. 2010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all of which are incorporated into the Award Notice in their entirety.</w:t>
      </w:r>
    </w:p>
    <w:p>
      <w:pPr>
        <w:sectPr>
          <w:pgSz w:w="11900" w:h="16838" w:orient="portrait"/>
          <w:cols w:equalWidth="0" w:num="1">
            <w:col w:w="11420"/>
          </w:cols>
          <w:pgMar w:left="240" w:top="125" w:right="2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«First_Name» «Last_Name»</w:t>
      </w:r>
    </w:p>
    <w:p>
      <w:pPr>
        <w:spacing w:after="0" w:line="145"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«Grant Date»</w:t>
      </w:r>
    </w:p>
    <w:p>
      <w:pPr>
        <w:spacing w:after="0" w:line="145"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Performance Period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1, 2010 to December 31, 2010</w:t>
      </w:r>
    </w:p>
    <w:p>
      <w:pPr>
        <w:spacing w:after="0" w:line="145"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Number of Performance Restricted Stock Units (“PSUs”):</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The actual number of PSUs that become eligible for vesting according to the Vesting Schedule below shall be determined based on the attainment of the 2010 Performance Goals specified in Appendix A, as assessed by the Plan Administrator as soon as reasonably practicable after the end of the Performance Period.</w:t>
      </w:r>
    </w:p>
    <w:p>
      <w:pPr>
        <w:spacing w:after="0" w:line="62"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The minimum number of PSUs is zero (0).</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target number of PSUs is: «# of Units»</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maximum number of PSUs is: «# of Units»</w:t>
      </w:r>
    </w:p>
    <w:p>
      <w:pPr>
        <w:sectPr>
          <w:pgSz w:w="11900" w:h="16838" w:orient="portrait"/>
          <w:cols w:equalWidth="0" w:num="1">
            <w:col w:w="11420"/>
          </w:cols>
          <w:pgMar w:left="240" w:top="125" w:right="239"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actual number of PSUs that become eligible for vesting based on the attainment of the 2010 Performance Goals shall vest in three equal installments on January 1, 2012, January 1, 2013 and January 1, 2014 (each, a “</w:t>
      </w:r>
      <w:r>
        <w:rPr>
          <w:rFonts w:ascii="Arial" w:cs="Arial" w:eastAsia="Arial" w:hAnsi="Arial"/>
          <w:sz w:val="18"/>
          <w:szCs w:val="18"/>
          <w:b w:val="1"/>
          <w:bCs w:val="1"/>
          <w:i w:val="1"/>
          <w:iCs w:val="1"/>
          <w:color w:val="auto"/>
        </w:rPr>
        <w:t>Vest Date</w:t>
      </w:r>
      <w:r>
        <w:rPr>
          <w:rFonts w:ascii="Arial" w:cs="Arial" w:eastAsia="Arial" w:hAnsi="Arial"/>
          <w:sz w:val="18"/>
          <w:szCs w:val="18"/>
          <w:color w:val="auto"/>
        </w:rPr>
        <w:t>”).</w:t>
      </w:r>
    </w:p>
    <w:p>
      <w:pPr>
        <w:sectPr>
          <w:pgSz w:w="11900" w:h="16838" w:orient="portrait"/>
          <w:cols w:equalWidth="0" w:num="2">
            <w:col w:w="5340" w:space="720"/>
            <w:col w:w="5360"/>
          </w:cols>
          <w:pgMar w:left="240" w:top="125" w:right="239" w:bottom="1440" w:gutter="0" w:footer="0" w:header="0"/>
          <w:type w:val="continuous"/>
        </w:sectPr>
      </w:pPr>
    </w:p>
    <w:bookmarkStart w:id="66" w:name="page67"/>
    <w:bookmarkEnd w:id="66"/>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Terms/Acknowledgement</w:t>
      </w:r>
      <w:r>
        <w:rPr>
          <w:rFonts w:ascii="Arial" w:cs="Arial" w:eastAsia="Arial" w:hAnsi="Arial"/>
          <w:sz w:val="18"/>
          <w:szCs w:val="18"/>
          <w:color w:val="auto"/>
        </w:rPr>
        <w:t>: This Award is subject to all the terms and conditions set forth in this Award Notice, the Agreement and the Plan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attached to and incorporated into this Award Notice in their entirety.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«First_Name» «Last_Name»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accept this award subject to the terms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conditions stated herein.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«Electronically Signed»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15" w:lineRule="exact"/>
        <w:rPr>
          <w:sz w:val="20"/>
          <w:szCs w:val="20"/>
          <w:color w:val="auto"/>
        </w:rPr>
      </w:pPr>
    </w:p>
    <w:p>
      <w:pPr>
        <w:ind w:right="8160" w:firstLine="8"/>
        <w:spacing w:after="0" w:line="281" w:lineRule="auto"/>
        <w:tabs>
          <w:tab w:leader="none" w:pos="1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Performance Restricted Stock Unit Award Agreement, including Appendices A, B and C</w:t>
      </w:r>
    </w:p>
    <w:p>
      <w:pPr>
        <w:spacing w:after="0" w:line="1" w:lineRule="exact"/>
        <w:rPr>
          <w:rFonts w:ascii="Arial" w:cs="Arial" w:eastAsia="Arial" w:hAnsi="Arial"/>
          <w:sz w:val="16"/>
          <w:szCs w:val="16"/>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2010 Stock Incentive Plan</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Plan Prospectus</w:t>
      </w:r>
    </w:p>
    <w:p>
      <w:pPr>
        <w:sectPr>
          <w:pgSz w:w="11900" w:h="16838" w:orient="portrait"/>
          <w:cols w:equalWidth="0" w:num="1">
            <w:col w:w="11400"/>
          </w:cols>
          <w:pgMar w:left="240" w:top="274"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PERFORMANCE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INTERNATIONAL PARTICIPANTS (EXCLUDING FRANCE)</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Pursuant to your Performance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this Performance Restricted Stock Unit Award Agreement, including Appendices A, B and C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performance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under its 2010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Capitalized terms not expressly defined in this Agreement but defined in the Plan shall have the same definitions as in the Plan, as applicable.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the Award are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Number of Units Subject to Award</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This Award is a performance based award which is based on targets set by the Plan Administrator at the beginning of the performance year (calendar year 2010 in this case) (the “</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Performance goals are set forth in Appendix A along with your target number of Units for the Performance Period. At the end of the Performance Period, the Plan Administrator shall determine the number of Units that are eligible for vesting under the Award. The Plan Administrator will communicate this number to you as soon as practicable after the end of the Performance Period. The Units will vest in accordance with Section 2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Vesting</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Award will vest to the extent the performance goals set forth in Appendix A are attained as determined by the Plan Administrator and according to the vesting schedule set forth in the Award Notice (the “</w:t>
      </w:r>
      <w:r>
        <w:rPr>
          <w:rFonts w:ascii="Arial" w:cs="Arial" w:eastAsia="Arial" w:hAnsi="Arial"/>
          <w:sz w:val="16"/>
          <w:szCs w:val="16"/>
          <w:b w:val="1"/>
          <w:bCs w:val="1"/>
          <w:i w:val="1"/>
          <w:iCs w:val="1"/>
          <w:color w:val="auto"/>
        </w:rPr>
        <w:t>Vesting Schedule</w:t>
      </w:r>
      <w:r>
        <w:rPr>
          <w:rFonts w:ascii="Arial" w:cs="Arial" w:eastAsia="Arial" w:hAnsi="Arial"/>
          <w:sz w:val="16"/>
          <w:szCs w:val="16"/>
          <w:color w:val="auto"/>
        </w:rPr>
        <w:t>”). One share of Common Stock will be issuable for each performance restricted stock unit that vests. Performance restricted stock units that have vested and are no longer subject to forfeiture according to the Vesting Schedule are referred to herein as “</w:t>
      </w:r>
      <w:r>
        <w:rPr>
          <w:rFonts w:ascii="Arial" w:cs="Arial" w:eastAsia="Arial" w:hAnsi="Arial"/>
          <w:sz w:val="16"/>
          <w:szCs w:val="16"/>
          <w:b w:val="1"/>
          <w:bCs w:val="1"/>
          <w:i w:val="1"/>
          <w:iCs w:val="1"/>
          <w:color w:val="auto"/>
        </w:rPr>
        <w:t>Vested Units</w:t>
      </w:r>
      <w:r>
        <w:rPr>
          <w:rFonts w:ascii="Arial" w:cs="Arial" w:eastAsia="Arial" w:hAnsi="Arial"/>
          <w:sz w:val="16"/>
          <w:szCs w:val="16"/>
          <w:color w:val="auto"/>
        </w:rPr>
        <w:t>.” Performance Restricted Stock Units that have not vested and remain subject to forfeiture under the Vesting Schedule are referred to herein as “</w:t>
      </w:r>
      <w:r>
        <w:rPr>
          <w:rFonts w:ascii="Arial" w:cs="Arial" w:eastAsia="Arial" w:hAnsi="Arial"/>
          <w:sz w:val="16"/>
          <w:szCs w:val="16"/>
          <w:b w:val="1"/>
          <w:bCs w:val="1"/>
          <w:i w:val="1"/>
          <w:iCs w:val="1"/>
          <w:color w:val="auto"/>
        </w:rPr>
        <w:t>Unvested Units</w:t>
      </w:r>
      <w:r>
        <w:rPr>
          <w:rFonts w:ascii="Arial" w:cs="Arial" w:eastAsia="Arial" w:hAnsi="Arial"/>
          <w:sz w:val="16"/>
          <w:szCs w:val="16"/>
          <w:color w:val="auto"/>
        </w:rPr>
        <w:t>.” The Unvested and Vested Units are collectively referred to herein as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The Award will terminate and the Unvested Units will be subject to forfeiture upon termination of your employment as set forth in Section 3.1.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w:t>
      </w:r>
    </w:p>
    <w:p>
      <w:pPr>
        <w:sectPr>
          <w:pgSz w:w="11900" w:h="16838" w:orient="portrait"/>
          <w:cols w:equalWidth="0" w:num="1">
            <w:col w:w="11420"/>
          </w:cols>
          <w:pgMar w:left="240" w:top="274" w:right="239" w:bottom="1440" w:gutter="0" w:footer="0" w:header="0"/>
        </w:sectPr>
      </w:pPr>
    </w:p>
    <w:bookmarkStart w:id="68" w:name="page69"/>
    <w:bookmarkEnd w:id="68"/>
    <w:p>
      <w:pPr>
        <w:ind w:left="460" w:right="7280" w:hanging="452"/>
        <w:spacing w:after="0" w:line="391" w:lineRule="auto"/>
        <w:tabs>
          <w:tab w:leader="none" w:pos="179"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Corporate Transaction 3.1 Termination of Employment</w:t>
      </w:r>
    </w:p>
    <w:p>
      <w:pPr>
        <w:spacing w:after="0" w:line="1"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Except as provided in Section 3.2 below, if your employment terminates during the Performance Period by reason of (a) death or (b) Disability, the number of Units that become eligible for vesting according to the Vesting Schedule (based on the attainment of the performance goals as assessed after the end of the Performance Period) shall be pro-rated based on the number of calendar days of employment with the Company or a Related Corporation during the Performance Period (rounded down to the nearest whole number) and such Units shall vest as of the date of termination but shall be settled in accordance with Section 4 below.</w:t>
      </w:r>
    </w:p>
    <w:p>
      <w:pPr>
        <w:spacing w:after="0" w:line="98"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Except as provided in Section 3.2 below, if your employment terminates during the three-year vesting period following the Performance Period by reason of (a) death or (b) Disability, the Unvested Units shall vest as of the date of termination but shall be settled in accordance with Section 4 below.</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your employment terminates for any other reason, any Unvested Units will be forfeited upon termination of your employment.</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Subject to Section 9.1 below, the Company may cause the Unvested Units to vest with respect to such number of Units as may be necessary to satisfy any Tax-Related Items (as defined in Section 9.1 below) that may arise prior to the date the Units are settled in accordance with Section 4 below.</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Corporate Transaction/Change of Control</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the event of a Corporate Transaction (including a Related Party Transaction) during the Performance Period or during the three-year vesting period following the Performance Period that does not meet the definition of a Change in Control set forth in Appendix B, your Award will remain unaffected. In the event of a Change in Control (as defined in Appendix B) during the Performance Period, the number of PSUs subject to the Award shall be the greater of (a) the target number of PSUs subject to the Award or (b) the actual number of PSUs subject to the Award as determined based on the attainment of the performance goals if the Plan Administrator determines that the attainment of the performance goals may be determined as of the date of the Change in Control, pro-rated based on the portion of the Performance Period that has elapsed between the Award Date and the date of the Change in Control.</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the event of a Change in Control (as defined in Appendix B) during the three-year vesting period following the Performance Period, any Unvested Units will accelerate in vesting and become Vested Units immediately prior to such Change in Control.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w:t>
      </w:r>
    </w:p>
    <w:p>
      <w:pPr>
        <w:sectPr>
          <w:pgSz w:w="11900" w:h="16838" w:orient="portrait"/>
          <w:cols w:equalWidth="0" w:num="1">
            <w:col w:w="11420"/>
          </w:cols>
          <w:pgMar w:left="240" w:top="27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Settlement of Vested Units.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Vested Units shall be settled within thirty (30) days following the applicable Vest Date(s) set forth in the Award Notice, or, if earlier, upon the earlier of</w:t>
      </w:r>
    </w:p>
    <w:p>
      <w:pPr>
        <w:spacing w:after="0" w:line="38" w:lineRule="exact"/>
        <w:rPr>
          <w:sz w:val="20"/>
          <w:szCs w:val="20"/>
          <w:color w:val="auto"/>
        </w:rPr>
      </w:pPr>
    </w:p>
    <w:p>
      <w:pPr>
        <w:jc w:val="both"/>
        <w:ind w:firstLine="8"/>
        <w:spacing w:after="0" w:line="254" w:lineRule="auto"/>
        <w:tabs>
          <w:tab w:leader="none" w:pos="2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date within thirty (30) days following your death or (b) a date within five (5) days of a Change in Control, provided that, in the case of U.S. taxpayers, if the Units or settlement of the Units constitute an item of deferred compensation under Section 409A of the Code and the Change in Control does not constitute a “change in control event” within the meaning of Section 409A of the Code, the Vested Units shall be settled on the earlier of the applicable Vest Date(s) set forth in the Award Notice or a date within thirty (30) days following your death.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Securities Law Compliance</w:t>
      </w:r>
    </w:p>
    <w:p>
      <w:pPr>
        <w:spacing w:after="0" w:line="90"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You represent and warrant that you (a) have been furnished with a copy of the prospectus for the Plan and all information which you deem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36"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color w:val="auto"/>
        </w:rPr>
        <w:t>You hereby agree that you will in no event sell or distribute all or any part of the shares of Common Stock that you receive pursuant to settlement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Award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unless (a) there is an effective registration statement under the U.S.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any applicable state and foreign securities laws covering any such transaction involving the Shares or (b) the Company receives an opinion of your legal counsel (concurred in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1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You confirm that you have been advised, prior to your receipt of the Shares, that neither the offering of the Shares nor any offering materials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by any regulator under the Securities Act or any other applicable securities act (the “</w:t>
      </w:r>
      <w:r>
        <w:rPr>
          <w:rFonts w:ascii="Arial" w:cs="Arial" w:eastAsia="Arial" w:hAnsi="Arial"/>
          <w:sz w:val="18"/>
          <w:szCs w:val="18"/>
          <w:b w:val="1"/>
          <w:bCs w:val="1"/>
          <w:i w:val="1"/>
          <w:iCs w:val="1"/>
          <w:color w:val="auto"/>
        </w:rPr>
        <w:t>Acts</w:t>
      </w:r>
      <w:r>
        <w:rPr>
          <w:rFonts w:ascii="Arial" w:cs="Arial" w:eastAsia="Arial" w:hAnsi="Arial"/>
          <w:sz w:val="18"/>
          <w:szCs w:val="18"/>
          <w:color w:val="auto"/>
        </w:rPr>
        <w:t>”) and that the Shares cannot be resold unless they are registered under the Acts or unless an exemption from such registration is available.</w:t>
      </w:r>
    </w:p>
    <w:p>
      <w:pPr>
        <w:spacing w:after="0" w:line="132"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You hereby agree to indemnify the Company and hold it harmless from and against any loss, claim or liability, including attorneys’ fees or legal</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the Company as a result of any breach by you of, or any inaccuracy in, any representation, warranty or statement made by you in this Agreement or the breach by you of any terms or conditions of this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Transfer Restrictions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Units shall not be sold, transferred, assigned, encumbered, pledged or otherwise disposed of, whether voluntarily or by operation of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3</w:t>
      </w:r>
    </w:p>
    <w:p>
      <w:pPr>
        <w:sectPr>
          <w:pgSz w:w="11900" w:h="16838" w:orient="portrait"/>
          <w:cols w:equalWidth="0" w:num="1">
            <w:col w:w="11420"/>
          </w:cols>
          <w:pgMar w:left="240" w:top="27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 No Rights as Shareholder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shall not have voting or other rights as a shareholder of the Company with respect to the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Book Entry Registration of Shares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Responsibility for Taxes</w:t>
      </w:r>
    </w:p>
    <w:p>
      <w:pPr>
        <w:spacing w:after="0" w:line="90"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b w:val="1"/>
          <w:bCs w:val="1"/>
          <w:color w:val="auto"/>
        </w:rPr>
        <w:t xml:space="preserve">9.1 </w:t>
      </w:r>
      <w:r>
        <w:rPr>
          <w:rFonts w:ascii="Arial" w:cs="Arial" w:eastAsia="Arial" w:hAnsi="Arial"/>
          <w:sz w:val="15"/>
          <w:szCs w:val="15"/>
          <w:color w:val="auto"/>
        </w:rPr>
        <w:t>Regardless of any action the Company or your employer (the “</w:t>
      </w:r>
      <w:r>
        <w:rPr>
          <w:rFonts w:ascii="Arial" w:cs="Arial" w:eastAsia="Arial" w:hAnsi="Arial"/>
          <w:sz w:val="15"/>
          <w:szCs w:val="15"/>
          <w:b w:val="1"/>
          <w:bCs w:val="1"/>
          <w:i w:val="1"/>
          <w:iCs w:val="1"/>
          <w:color w:val="auto"/>
        </w:rPr>
        <w:t>Employer</w:t>
      </w:r>
      <w:r>
        <w:rPr>
          <w:rFonts w:ascii="Arial" w:cs="Arial" w:eastAsia="Arial" w:hAnsi="Arial"/>
          <w:sz w:val="15"/>
          <w:szCs w:val="15"/>
          <w:color w:val="auto"/>
        </w:rPr>
        <w:t>”) take with respect to any and all income tax, social insurance, payroll tax,</w:t>
      </w:r>
      <w:r>
        <w:rPr>
          <w:rFonts w:ascii="Arial" w:cs="Arial" w:eastAsia="Arial" w:hAnsi="Arial"/>
          <w:sz w:val="15"/>
          <w:szCs w:val="15"/>
          <w:b w:val="1"/>
          <w:bCs w:val="1"/>
          <w:color w:val="auto"/>
        </w:rPr>
        <w:t xml:space="preserve"> </w:t>
      </w:r>
      <w:r>
        <w:rPr>
          <w:rFonts w:ascii="Arial" w:cs="Arial" w:eastAsia="Arial" w:hAnsi="Arial"/>
          <w:sz w:val="15"/>
          <w:szCs w:val="15"/>
          <w:color w:val="auto"/>
        </w:rPr>
        <w:t>payment on account or other tax-related items related to your participation in the Plan and legally applicable to you (“</w:t>
      </w:r>
      <w:r>
        <w:rPr>
          <w:rFonts w:ascii="Arial" w:cs="Arial" w:eastAsia="Arial" w:hAnsi="Arial"/>
          <w:sz w:val="15"/>
          <w:szCs w:val="15"/>
          <w:b w:val="1"/>
          <w:bCs w:val="1"/>
          <w:i w:val="1"/>
          <w:iCs w:val="1"/>
          <w:color w:val="auto"/>
        </w:rPr>
        <w:t>Tax-Related Items</w:t>
      </w:r>
      <w:r>
        <w:rPr>
          <w:rFonts w:ascii="Arial" w:cs="Arial" w:eastAsia="Arial" w:hAnsi="Arial"/>
          <w:sz w:val="15"/>
          <w:szCs w:val="15"/>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w:t>
      </w:r>
    </w:p>
    <w:p>
      <w:pPr>
        <w:spacing w:after="0" w:line="2" w:lineRule="exact"/>
        <w:rPr>
          <w:sz w:val="20"/>
          <w:szCs w:val="20"/>
          <w:color w:val="auto"/>
        </w:rPr>
      </w:pPr>
    </w:p>
    <w:p>
      <w:pPr>
        <w:jc w:val="both"/>
        <w:ind w:firstLine="8"/>
        <w:spacing w:after="0" w:line="290" w:lineRule="auto"/>
        <w:tabs>
          <w:tab w:leader="none" w:pos="266" w:val="left"/>
        </w:tabs>
        <w:numPr>
          <w:ilvl w:val="0"/>
          <w:numId w:val="28"/>
        </w:numPr>
        <w:rPr>
          <w:rFonts w:ascii="Arial" w:cs="Arial" w:eastAsia="Arial" w:hAnsi="Arial"/>
          <w:sz w:val="16"/>
          <w:szCs w:val="16"/>
          <w:color w:val="auto"/>
        </w:rPr>
      </w:pPr>
      <w:r>
        <w:rPr>
          <w:rFonts w:ascii="Arial" w:cs="Arial" w:eastAsia="Arial" w:hAnsi="Arial"/>
          <w:sz w:val="16"/>
          <w:szCs w:val="16"/>
          <w:color w:val="auto"/>
        </w:rPr>
        <w:t>do not commit to and are under no obligation to structure the terms of the grant or any aspect of the Award to reduce or eliminate your liability for Tax-Related Items or achieve any particular tax result. Further, if you have become subject to tax in more than one jurisdiction between the Grant Date and the date of any relevant taxable event, you acknowledge that the Company and/or the Employer (or former employer, as applicable) may be required to withhold or account for Tax-Related Items in more than one jurisdiction. Notwithstanding anything to the contrary in this Section 9.1, the right of the Company or the Employer to withhold any Tax-Related Items for any portion of the Award that is considered deferred compensation subject to Code Section 409A shall be limited to the minimum amount permitted to avoid a prohibited acceleration under Section 409A of the Code.</w:t>
      </w:r>
    </w:p>
    <w:p>
      <w:pPr>
        <w:spacing w:after="0" w:line="11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Prior to any relevant taxable or tax withholding event, as applicable, you will pay or make adequate arrangements satisfactory to the Company and or</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Employer to satisfy all Tax-Related Items.</w:t>
      </w:r>
    </w:p>
    <w:p>
      <w:pPr>
        <w:spacing w:after="0" w:line="126" w:lineRule="exact"/>
        <w:rPr>
          <w:sz w:val="20"/>
          <w:szCs w:val="20"/>
          <w:color w:val="auto"/>
        </w:rPr>
      </w:pPr>
    </w:p>
    <w:p>
      <w:pPr>
        <w:ind w:firstLine="464"/>
        <w:spacing w:after="0" w:line="268"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this regard, you hereby irrevocably appoint Fidelity or any stock plan service provider or brokerage firm designated by the Company for such purpose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your Agent, and authorize the Agent, to:</w:t>
      </w:r>
    </w:p>
    <w:p>
      <w:pPr>
        <w:spacing w:after="0" w:line="50" w:lineRule="exact"/>
        <w:rPr>
          <w:rFonts w:ascii="Arial" w:cs="Arial" w:eastAsia="Arial" w:hAnsi="Arial"/>
          <w:sz w:val="18"/>
          <w:szCs w:val="18"/>
          <w:color w:val="auto"/>
        </w:rPr>
      </w:pPr>
    </w:p>
    <w:p>
      <w:pPr>
        <w:jc w:val="both"/>
        <w:ind w:left="1480" w:hanging="567"/>
        <w:spacing w:after="0" w:line="306"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Tax-Related Items and all applicable fees and commissions due to, or required to be collected by, the Agent;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w:t>
      </w:r>
    </w:p>
    <w:p>
      <w:pPr>
        <w:sectPr>
          <w:pgSz w:w="11900" w:h="16838" w:orient="portrait"/>
          <w:cols w:equalWidth="0" w:num="1">
            <w:col w:w="11420"/>
          </w:cols>
          <w:pgMar w:left="240" w:top="274" w:right="239" w:bottom="1440" w:gutter="0" w:footer="0" w:header="0"/>
        </w:sectPr>
      </w:pPr>
    </w:p>
    <w:bookmarkStart w:id="71" w:name="page72"/>
    <w:bookmarkEnd w:id="71"/>
    <w:p>
      <w:pPr>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Remit directly to the Company the cash amount necessary to cover the Tax-Related Items;</w:t>
      </w:r>
    </w:p>
    <w:p>
      <w:pPr>
        <w:spacing w:after="0" w:line="90"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Retain the amount required to cover all applicable fees and commissions due to, or required to be collected by, the Agent, relating directly to the sale of Shares referred to in clause (i) above;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Remit any remaining funds to you.</w:t>
      </w:r>
    </w:p>
    <w:p>
      <w:pPr>
        <w:spacing w:after="0" w:line="171" w:lineRule="exact"/>
        <w:rPr>
          <w:rFonts w:ascii="Arial" w:cs="Arial" w:eastAsia="Arial" w:hAnsi="Arial"/>
          <w:sz w:val="18"/>
          <w:szCs w:val="18"/>
          <w:color w:val="auto"/>
        </w:rPr>
      </w:pPr>
    </w:p>
    <w:p>
      <w:pPr>
        <w:ind w:firstLine="464"/>
        <w:spacing w:after="0" w:line="268" w:lineRule="auto"/>
        <w:tabs>
          <w:tab w:leader="none" w:pos="7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Alternatively, or in addition to or in combination with the withholding mechanism described in Section 9.2(a), you authorize the Company and/or the Employer, at their discretion, to satisfy the obligations with regard to all Tax-Related Items by:</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requiring you to pay to the Company or the Employer any amount of the Tax-Related Items; and/or</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withholding any amount of the Tax-Related Items from your wages or other cash compensation paid to you by the Company and/or the Employer; and/or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withholding in Shares to be issued upon settlement of the Vested Units.</w:t>
      </w:r>
    </w:p>
    <w:p>
      <w:pPr>
        <w:spacing w:after="0" w:line="171" w:lineRule="exact"/>
        <w:rPr>
          <w:rFonts w:ascii="Arial" w:cs="Arial" w:eastAsia="Arial" w:hAnsi="Arial"/>
          <w:sz w:val="18"/>
          <w:szCs w:val="18"/>
          <w:color w:val="auto"/>
        </w:rPr>
      </w:pPr>
    </w:p>
    <w:p>
      <w:pPr>
        <w:jc w:val="both"/>
        <w:ind w:firstLine="464"/>
        <w:spacing w:after="0" w:line="294" w:lineRule="auto"/>
        <w:tabs>
          <w:tab w:leader="none" w:pos="711"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110"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color w:val="auto"/>
        </w:rPr>
        <w:t>You acknowledge that the authorization and instruction to the Agent set forth in Section 9.2(a)(i) above to sell Shares to cover the Tax-Related Items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6"/>
          <w:szCs w:val="16"/>
          <w:b w:val="1"/>
          <w:bCs w:val="1"/>
          <w:i w:val="1"/>
          <w:iCs w:val="1"/>
          <w:color w:val="auto"/>
        </w:rPr>
        <w:t>10b5-1 Plan</w:t>
      </w:r>
      <w:r>
        <w:rPr>
          <w:rFonts w:ascii="Arial" w:cs="Arial" w:eastAsia="Arial" w:hAnsi="Arial"/>
          <w:sz w:val="16"/>
          <w:szCs w:val="16"/>
          <w:color w:val="auto"/>
        </w:rPr>
        <w:t>”). This 10b5-1 Plan is being adopted to permit you to sell a number of Shares issued upon settlement of Vested Units sufficient to pay the Tax-Related Items.</w:t>
      </w:r>
    </w:p>
    <w:p>
      <w:pPr>
        <w:spacing w:after="0" w:line="10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5</w:t>
      </w:r>
    </w:p>
    <w:p>
      <w:pPr>
        <w:sectPr>
          <w:pgSz w:w="11900" w:h="16838" w:orient="portrait"/>
          <w:cols w:equalWidth="0" w:num="1">
            <w:col w:w="11420"/>
          </w:cols>
          <w:pgMar w:left="240" w:top="280" w:right="239" w:bottom="1440" w:gutter="0" w:footer="0" w:header="0"/>
        </w:sectPr>
      </w:pPr>
    </w:p>
    <w:bookmarkStart w:id="72" w:name="page73"/>
    <w:bookmarkEnd w:id="72"/>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Nature of Grant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accepting the grant, you acknowledge, understand and agree that:</w:t>
      </w:r>
    </w:p>
    <w:p>
      <w:pPr>
        <w:spacing w:after="0" w:line="171" w:lineRule="exact"/>
        <w:rPr>
          <w:sz w:val="20"/>
          <w:szCs w:val="20"/>
          <w:color w:val="auto"/>
        </w:rPr>
      </w:pPr>
    </w:p>
    <w:p>
      <w:pPr>
        <w:ind w:firstLine="464"/>
        <w:spacing w:after="0" w:line="268" w:lineRule="auto"/>
        <w:tabs>
          <w:tab w:leader="none" w:pos="7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w:t>
      </w:r>
    </w:p>
    <w:p>
      <w:pPr>
        <w:spacing w:after="0" w:line="131" w:lineRule="exact"/>
        <w:rPr>
          <w:rFonts w:ascii="Arial" w:cs="Arial" w:eastAsia="Arial" w:hAnsi="Arial"/>
          <w:sz w:val="18"/>
          <w:szCs w:val="18"/>
          <w:color w:val="auto"/>
        </w:rPr>
      </w:pPr>
    </w:p>
    <w:p>
      <w:pPr>
        <w:ind w:firstLine="464"/>
        <w:spacing w:after="0" w:line="332" w:lineRule="auto"/>
        <w:tabs>
          <w:tab w:leader="none" w:pos="71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grant of the Award is voluntary and occasional and does not create any contractual or other right to receive future grants of performance restricted stock units, or benefits in lieu of performance restricted stock units, even if performance restricted stock units have been granted repeatedly in the past;</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decisions with respect to future grants of performance restricted stock units, if any, will be at the sole discretion of the Company;</w:t>
      </w:r>
    </w:p>
    <w:p>
      <w:pPr>
        <w:spacing w:after="0" w:line="171" w:lineRule="exact"/>
        <w:rPr>
          <w:rFonts w:ascii="Arial" w:cs="Arial" w:eastAsia="Arial" w:hAnsi="Arial"/>
          <w:sz w:val="18"/>
          <w:szCs w:val="18"/>
          <w:color w:val="auto"/>
        </w:rPr>
      </w:pPr>
    </w:p>
    <w:p>
      <w:pPr>
        <w:ind w:firstLine="464"/>
        <w:spacing w:after="0" w:line="268" w:lineRule="auto"/>
        <w:tabs>
          <w:tab w:leader="none" w:pos="7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your participation in the Plan shall not create a right to further employment with the Employer and shall not interfere with the ability of the Employer to terminate your employment relationship at any time;</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171" w:lineRule="exact"/>
        <w:rPr>
          <w:rFonts w:ascii="Arial" w:cs="Arial" w:eastAsia="Arial" w:hAnsi="Arial"/>
          <w:sz w:val="18"/>
          <w:szCs w:val="18"/>
          <w:color w:val="auto"/>
        </w:rPr>
      </w:pPr>
    </w:p>
    <w:p>
      <w:pPr>
        <w:ind w:right="20" w:firstLine="464"/>
        <w:spacing w:after="0" w:line="268" w:lineRule="auto"/>
        <w:tabs>
          <w:tab w:leader="none" w:pos="69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an extraordinary item that does not constitute compensation of any kind for services of any kind rendered to the Company or the Employer, and which is outside the scope of your employment contract, if any;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not intended to replace any pension rights or compensation;</w:t>
      </w:r>
    </w:p>
    <w:p>
      <w:pPr>
        <w:spacing w:after="0" w:line="171" w:lineRule="exact"/>
        <w:rPr>
          <w:rFonts w:ascii="Arial" w:cs="Arial" w:eastAsia="Arial" w:hAnsi="Arial"/>
          <w:sz w:val="18"/>
          <w:szCs w:val="18"/>
          <w:color w:val="auto"/>
        </w:rPr>
      </w:pPr>
    </w:p>
    <w:p>
      <w:pPr>
        <w:jc w:val="both"/>
        <w:ind w:firstLine="464"/>
        <w:spacing w:after="0" w:line="256" w:lineRule="auto"/>
        <w:tabs>
          <w:tab w:leader="none" w:pos="7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not part of normal or expected compensation or salary for any purposes, including, but not limited to, calculating any severance, resignation, termination, redundancy, end of service payments, bonuses, long- service awards, pension or retirement or welfare benefits or similar payments and in no event should be considered as compensation for, or relating in any way to, past services for the Company, the Employer or any Related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6</w:t>
      </w:r>
    </w:p>
    <w:p>
      <w:pPr>
        <w:sectPr>
          <w:pgSz w:w="11900" w:h="16838" w:orient="portrait"/>
          <w:cols w:equalWidth="0" w:num="1">
            <w:col w:w="11420"/>
          </w:cols>
          <w:pgMar w:left="240" w:top="280" w:right="239" w:bottom="1440" w:gutter="0" w:footer="0" w:header="0"/>
        </w:sectPr>
      </w:pPr>
    </w:p>
    <w:bookmarkStart w:id="73" w:name="page74"/>
    <w:bookmarkEnd w:id="73"/>
    <w:p>
      <w:pPr>
        <w:ind w:firstLine="464"/>
        <w:spacing w:after="0" w:line="268" w:lineRule="auto"/>
        <w:tabs>
          <w:tab w:leader="none" w:pos="677"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grant of the Award and your participation in the Plan will not be interpreted to form an employment contract or relationship with the Company or any Related Corporation;</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w:t>
      </w:r>
    </w:p>
    <w:p>
      <w:pPr>
        <w:spacing w:after="0" w:line="171" w:lineRule="exact"/>
        <w:rPr>
          <w:rFonts w:ascii="Arial" w:cs="Arial" w:eastAsia="Arial" w:hAnsi="Arial"/>
          <w:sz w:val="18"/>
          <w:szCs w:val="18"/>
          <w:color w:val="auto"/>
        </w:rPr>
      </w:pPr>
    </w:p>
    <w:p>
      <w:pPr>
        <w:jc w:val="both"/>
        <w:ind w:firstLine="464"/>
        <w:spacing w:after="0" w:line="291" w:lineRule="auto"/>
        <w:tabs>
          <w:tab w:leader="none" w:pos="721"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Award resulting from termination of your employment by the Company or the Employer (for any reason whatsoever and whether or not in breach of local labor laws) and, in consideration of the grant of the Award to which you are otherwise not entitled, you irrevocably agree never to institute any claim against the Company or the Employer, waive the ability, if any, to bring any such claim and release the Company and the Employer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claims;</w:t>
      </w:r>
    </w:p>
    <w:p>
      <w:pPr>
        <w:spacing w:after="0" w:line="120" w:lineRule="exact"/>
        <w:rPr>
          <w:rFonts w:ascii="Arial" w:cs="Arial" w:eastAsia="Arial" w:hAnsi="Arial"/>
          <w:sz w:val="16"/>
          <w:szCs w:val="16"/>
          <w:color w:val="auto"/>
        </w:rPr>
      </w:pPr>
    </w:p>
    <w:p>
      <w:pPr>
        <w:jc w:val="both"/>
        <w:ind w:firstLine="464"/>
        <w:spacing w:after="0" w:line="291"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event of termination of your employment (whether or not in breach of local labor laws), your right to vest in the Award, if any, will terminate effective as of the date that you are no longer actively employed and will not be extended by any notice period mandated under local law (</w:t>
      </w:r>
      <w:r>
        <w:rPr>
          <w:rFonts w:ascii="Arial" w:cs="Arial" w:eastAsia="Arial" w:hAnsi="Arial"/>
          <w:sz w:val="16"/>
          <w:szCs w:val="16"/>
          <w:i w:val="1"/>
          <w:iCs w:val="1"/>
          <w:color w:val="auto"/>
        </w:rPr>
        <w:t>e.g.</w:t>
      </w:r>
      <w:r>
        <w:rPr>
          <w:rFonts w:ascii="Arial" w:cs="Arial" w:eastAsia="Arial" w:hAnsi="Arial"/>
          <w:sz w:val="16"/>
          <w:szCs w:val="16"/>
          <w:color w:val="auto"/>
        </w:rPr>
        <w:t>, active employment would not include a period of “garden leave” or similar period pursuant to local law); the Company’s Chief Executive Officer shall have the exclusive discretion to determine when you are no longer actively employed for purposes of the Award (including whether or not a transfer of employment between or among the Company and its Related Corporations or a change in status from an employee to a consultant, agent, advisor or independent contractor will constitute a termination of active employment for purposes of the Award); and</w:t>
      </w:r>
    </w:p>
    <w:p>
      <w:pPr>
        <w:spacing w:after="0" w:line="120" w:lineRule="exact"/>
        <w:rPr>
          <w:rFonts w:ascii="Arial" w:cs="Arial" w:eastAsia="Arial" w:hAnsi="Arial"/>
          <w:sz w:val="16"/>
          <w:szCs w:val="16"/>
          <w:color w:val="auto"/>
        </w:rPr>
      </w:pPr>
    </w:p>
    <w:p>
      <w:pPr>
        <w:ind w:left="780" w:hanging="31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Award and the benefits under the Plan, if any, will not necessarily transfer to another company in the case of a merger, take over or transfer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liability.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 Advice Regarding Grant</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7</w:t>
      </w:r>
    </w:p>
    <w:p>
      <w:pPr>
        <w:sectPr>
          <w:pgSz w:w="11900" w:h="16838" w:orient="portrait"/>
          <w:cols w:equalWidth="0" w:num="1">
            <w:col w:w="11420"/>
          </w:cols>
          <w:pgMar w:left="240" w:top="280" w:right="239" w:bottom="1440" w:gutter="0" w:footer="0" w:header="0"/>
        </w:sectPr>
      </w:pPr>
    </w:p>
    <w:bookmarkStart w:id="74" w:name="page75"/>
    <w:bookmarkEnd w:id="74"/>
    <w:p>
      <w:pPr>
        <w:ind w:left="280" w:hanging="272"/>
        <w:spacing w:after="0"/>
        <w:tabs>
          <w:tab w:leader="none" w:pos="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Data Privacy</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1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Electronic Delivery and Participation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8</w:t>
      </w:r>
    </w:p>
    <w:p>
      <w:pPr>
        <w:sectPr>
          <w:pgSz w:w="11900" w:h="16838" w:orient="portrait"/>
          <w:cols w:equalWidth="0" w:num="1">
            <w:col w:w="11420"/>
          </w:cols>
          <w:pgMar w:left="240" w:top="28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 Language</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If you have received this Agreement or any other document related to the Plan translated into a language other than English and if the meaning of the translated version is different from the English version, the English version will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General Provisions</w:t>
      </w:r>
    </w:p>
    <w:p>
      <w:pPr>
        <w:spacing w:after="0" w:line="9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15.1 Successors and Assigns</w:t>
      </w:r>
      <w:r>
        <w:rPr>
          <w:rFonts w:ascii="Arial" w:cs="Arial" w:eastAsia="Arial" w:hAnsi="Arial"/>
          <w:sz w:val="18"/>
          <w:szCs w:val="18"/>
          <w:color w:val="auto"/>
        </w:rPr>
        <w:t>. The provisions of this Agreement will inure to the benefit of the successors and assigns of the Company and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you and your heirs, executors, administrators, successors and assigns.</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b w:val="1"/>
          <w:bCs w:val="1"/>
          <w:color w:val="auto"/>
        </w:rPr>
        <w:t>15.2 Section 409A</w:t>
      </w:r>
      <w:r>
        <w:rPr>
          <w:rFonts w:ascii="Arial" w:cs="Arial" w:eastAsia="Arial" w:hAnsi="Arial"/>
          <w:sz w:val="16"/>
          <w:szCs w:val="16"/>
          <w:color w:val="auto"/>
        </w:rPr>
        <w:t>. For purposes of U.S. taxpayers, the Units and the settlement of the Units are intended to either be exempt from Section 409A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Code under the “short-term deferral” exception or comply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The Company makes no representation or covenant to ensure that the Units, settlement of the Units or other payment hereunder are exempt from or compliant with Section 409A of the Code and will have no liability to you or any other party if the settlement of the Units or other payment hereunder that is intended to be exempt from, or compliant with, Section 409A of the Code, is not so exempt or compliant or for any action taken by the Plan Administrator with respect thereto.</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15.3 Governing Law and Choice of Venue</w:t>
      </w:r>
      <w:r>
        <w:rPr>
          <w:rFonts w:ascii="Arial" w:cs="Arial" w:eastAsia="Arial" w:hAnsi="Arial"/>
          <w:sz w:val="18"/>
          <w:szCs w:val="18"/>
          <w:color w:val="auto"/>
        </w:rPr>
        <w:t>. The Award and the provisions of this Agreement will be construed and administered in accordance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39"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15.4 Severability</w:t>
      </w:r>
      <w:r>
        <w:rPr>
          <w:rFonts w:ascii="Arial" w:cs="Arial" w:eastAsia="Arial" w:hAnsi="Arial"/>
          <w:sz w:val="18"/>
          <w:szCs w:val="18"/>
          <w:color w:val="auto"/>
        </w:rPr>
        <w:t>. The provisions of this Agreement are severable and if any one or more provisions are determined to be illegal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15.5 Notice</w:t>
      </w:r>
      <w:r>
        <w:rPr>
          <w:rFonts w:ascii="Arial" w:cs="Arial" w:eastAsia="Arial" w:hAnsi="Arial"/>
          <w:sz w:val="18"/>
          <w:szCs w:val="18"/>
          <w:color w:val="auto"/>
        </w:rPr>
        <w:t>. Any notice required or permitted hereunder shall be made in writing and sent to the following address:</w:t>
      </w:r>
    </w:p>
    <w:p>
      <w:pPr>
        <w:spacing w:after="0" w:line="9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Liberty Lake, WA USA 99019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9</w:t>
      </w:r>
    </w:p>
    <w:p>
      <w:pPr>
        <w:sectPr>
          <w:pgSz w:w="11900" w:h="16838" w:orient="portrait"/>
          <w:cols w:equalWidth="0" w:num="1">
            <w:col w:w="11420"/>
          </w:cols>
          <w:pgMar w:left="240" w:top="274"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 Appendix C</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Notwithstanding any provisions in this Agreement, the Award shall be subject to any special terms and conditions set forth in Appendix C to this Agreement for your country (“</w:t>
      </w:r>
      <w:r>
        <w:rPr>
          <w:rFonts w:ascii="Arial" w:cs="Arial" w:eastAsia="Arial" w:hAnsi="Arial"/>
          <w:sz w:val="16"/>
          <w:szCs w:val="16"/>
          <w:b w:val="1"/>
          <w:bCs w:val="1"/>
          <w:i w:val="1"/>
          <w:iCs w:val="1"/>
          <w:color w:val="auto"/>
        </w:rPr>
        <w:t>Appendix C</w:t>
      </w:r>
      <w:r>
        <w:rPr>
          <w:rFonts w:ascii="Arial" w:cs="Arial" w:eastAsia="Arial" w:hAnsi="Arial"/>
          <w:sz w:val="16"/>
          <w:szCs w:val="16"/>
          <w:color w:val="auto"/>
        </w:rPr>
        <w:t>”). Moreover, if you relocate to one of the countries included in Appendix C, the special terms and conditions for such country will apply to you, to the extent the Company determines that the application of such terms and conditions is necessary or advisable in order to comply with local law or facilitate the administration of the Plan. Appendix C constitutes part of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Imposition of Other Requirements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reserves the right to impose other requirements on your participation in the Plan, on the Award and on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10</w:t>
      </w:r>
    </w:p>
    <w:p>
      <w:pPr>
        <w:sectPr>
          <w:pgSz w:w="11900" w:h="16838" w:orient="portrait"/>
          <w:cols w:equalWidth="0" w:num="1">
            <w:col w:w="11420"/>
          </w:cols>
          <w:pgMar w:left="240" w:top="274" w:right="23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[INSERT 2010 PERFORMANCE GOALS]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11</w:t>
      </w:r>
    </w:p>
    <w:p>
      <w:pPr>
        <w:sectPr>
          <w:pgSz w:w="11900" w:h="16838" w:orient="portrait"/>
          <w:cols w:equalWidth="0" w:num="1">
            <w:col w:w="9019"/>
          </w:cols>
          <w:pgMar w:left="1440" w:top="274" w:right="1440" w:bottom="1440" w:gutter="0" w:footer="0" w:header="0"/>
        </w:sectPr>
      </w:pPr>
    </w:p>
    <w:bookmarkStart w:id="78" w:name="page79"/>
    <w:bookmarkEnd w:id="78"/>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LONG TERM PERFORMANCE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INTERNATIONAL PARTICIPANTS (EXCLUDING FRANCE)</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For purposes of this Agreement, 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xml:space="preserve"> shall be deemed to have occurred if any of the events set forth in any of the following paragraphs shall have occurred:</w:t>
      </w:r>
    </w:p>
    <w:p>
      <w:pPr>
        <w:spacing w:after="0" w:line="132" w:lineRule="exact"/>
        <w:rPr>
          <w:sz w:val="20"/>
          <w:szCs w:val="20"/>
          <w:color w:val="auto"/>
        </w:rPr>
      </w:pPr>
    </w:p>
    <w:p>
      <w:pPr>
        <w:jc w:val="both"/>
        <w:ind w:firstLine="464"/>
        <w:spacing w:after="0" w:line="259" w:lineRule="auto"/>
        <w:tabs>
          <w:tab w:leader="none" w:pos="72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25% or more of either the then outstanding Shares or the combined voting power of the Company’s then outstanding securities, excluding any Person who becomes such a Beneficial Owner in connection with a transaction described in subsection(c) below;</w:t>
      </w:r>
    </w:p>
    <w:p>
      <w:pPr>
        <w:spacing w:after="0" w:line="140" w:lineRule="exact"/>
        <w:rPr>
          <w:rFonts w:ascii="Arial" w:cs="Arial" w:eastAsia="Arial" w:hAnsi="Arial"/>
          <w:sz w:val="18"/>
          <w:szCs w:val="18"/>
          <w:color w:val="auto"/>
        </w:rPr>
      </w:pPr>
    </w:p>
    <w:p>
      <w:pPr>
        <w:jc w:val="both"/>
        <w:ind w:firstLine="464"/>
        <w:spacing w:after="0" w:line="290"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 change in the composition of the Board during any two-year period such that the individuals who, as of the date of this Agreement, constitute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18" w:lineRule="exact"/>
        <w:rPr>
          <w:rFonts w:ascii="Arial" w:cs="Arial" w:eastAsia="Arial" w:hAnsi="Arial"/>
          <w:sz w:val="16"/>
          <w:szCs w:val="16"/>
          <w:color w:val="auto"/>
        </w:rPr>
      </w:pPr>
    </w:p>
    <w:p>
      <w:pPr>
        <w:jc w:val="both"/>
        <w:ind w:firstLine="464"/>
        <w:spacing w:after="0" w:line="288" w:lineRule="auto"/>
        <w:tabs>
          <w:tab w:leader="none" w:pos="70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25% or more of the combined voting power of the Company’s then outstanding securities; or the stockholders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12</w:t>
      </w:r>
    </w:p>
    <w:p>
      <w:pPr>
        <w:sectPr>
          <w:pgSz w:w="11900" w:h="16838" w:orient="portrait"/>
          <w:cols w:equalWidth="0" w:num="1">
            <w:col w:w="11420"/>
          </w:cols>
          <w:pgMar w:left="240" w:top="27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clarity, a Change in Control shall not be deemed to have occurred in the event of a reincorporation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Appendix B,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shall have the meaning set forth in Rule 13d-3 under the Exchange Act.</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For purposes of this Appendix B,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xml:space="preserve">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(as such term is set forth in Rule 12-b2 promulgated under Section 12 of the Exchange Act),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13</w:t>
      </w:r>
    </w:p>
    <w:p>
      <w:pPr>
        <w:sectPr>
          <w:pgSz w:w="11900" w:h="16838" w:orient="portrait"/>
          <w:cols w:equalWidth="0" w:num="1">
            <w:col w:w="11420"/>
          </w:cols>
          <w:pgMar w:left="240" w:top="280" w:right="239" w:bottom="1440" w:gutter="0" w:footer="0" w:header="0"/>
        </w:sectPr>
      </w:pPr>
    </w:p>
    <w:bookmarkStart w:id="80" w:name="page81"/>
    <w:bookmarkEnd w:id="80"/>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C</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LONG TERM PERFORMANCE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INTERNATIONAL PARTICIPANTS (EXCLUDING FRANCE)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Appendix C includes additional terms and conditions that govern the restricted stock unit award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xml:space="preserve">) granted to you under the Itron, Inc. 2010 Stock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if you reside in one of the countries listed below. Capitalized terms not expressly defined in this Appendix C but defined in the Plan or the Restricted Stock Unit Award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shall have the same definitions as in the Plan and/or the Agreement,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Appendix C also includes information regarding exchange control and other issues of which you should be aware with respect to your participation in the Plan. The information is based on the exchange control, securities and other laws in effect in the respective countries as of February 2010. Such laws are often complex and change frequently. As a result, the Company strongly recommends that you not rely on the information herein as the only source of information relating to the consequences of participation in the Plan because the information may be out of date at the time that the Award vests or the Shares acquired under the Plan are sold.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Finally, if you are a citizen or resident of a country other than the one in which you are currently working, or if you transfer employment to another country after the Award is granted, the information contained herein may not be applicable to you.</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BELGIUM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Tax Reporting Notification</w:t>
      </w:r>
      <w:r>
        <w:rPr>
          <w:rFonts w:ascii="Arial" w:cs="Arial" w:eastAsia="Arial" w:hAnsi="Arial"/>
          <w:sz w:val="18"/>
          <w:szCs w:val="18"/>
          <w:color w:val="auto"/>
        </w:rPr>
        <w:t>. If you are a Belgian resident, you are required to report any bank or brokerage accounts held outside of Belgium on your annual tax</w:t>
      </w:r>
      <w:r>
        <w:rPr>
          <w:rFonts w:ascii="Arial" w:cs="Arial" w:eastAsia="Arial" w:hAnsi="Arial"/>
          <w:sz w:val="18"/>
          <w:szCs w:val="18"/>
          <w:b w:val="1"/>
          <w:bCs w:val="1"/>
          <w:color w:val="auto"/>
        </w:rPr>
        <w:t xml:space="preserve"> </w:t>
      </w:r>
      <w:r>
        <w:rPr>
          <w:rFonts w:ascii="Arial" w:cs="Arial" w:eastAsia="Arial" w:hAnsi="Arial"/>
          <w:sz w:val="18"/>
          <w:szCs w:val="18"/>
          <w:color w:val="auto"/>
        </w:rPr>
        <w:t>return.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14</w:t>
      </w:r>
    </w:p>
    <w:p>
      <w:pPr>
        <w:sectPr>
          <w:pgSz w:w="11900" w:h="16838" w:orient="portrait"/>
          <w:cols w:equalWidth="0" w:num="1">
            <w:col w:w="11420"/>
          </w:cols>
          <w:pgMar w:left="240" w:top="274"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GERMANY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Exchange Control Notification</w:t>
      </w:r>
      <w:r>
        <w:rPr>
          <w:rFonts w:ascii="Arial" w:cs="Arial" w:eastAsia="Arial" w:hAnsi="Arial"/>
          <w:sz w:val="16"/>
          <w:szCs w:val="16"/>
          <w:color w:val="auto"/>
        </w:rPr>
        <w:t>. Cross-border payments in excess of €12,500 must be reported monthly to the German Federal Bank. If you use a German bank</w:t>
      </w:r>
      <w:r>
        <w:rPr>
          <w:rFonts w:ascii="Arial" w:cs="Arial" w:eastAsia="Arial" w:hAnsi="Arial"/>
          <w:sz w:val="16"/>
          <w:szCs w:val="16"/>
          <w:b w:val="1"/>
          <w:bCs w:val="1"/>
          <w:color w:val="auto"/>
        </w:rPr>
        <w:t xml:space="preserve"> </w:t>
      </w:r>
      <w:r>
        <w:rPr>
          <w:rFonts w:ascii="Arial" w:cs="Arial" w:eastAsia="Arial" w:hAnsi="Arial"/>
          <w:sz w:val="16"/>
          <w:szCs w:val="16"/>
          <w:color w:val="auto"/>
        </w:rPr>
        <w:t>to transfer a cross-border payment in excess of €12,500 in connection with the sale of Shares acquired under the Plan, the bank will make the report for you. In addition, you must report any receivables, payables, or debts in foreign currency exceeding an amount of €5,000,000 in any month.</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This provision supplements Section 2 of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grant of the Award does not provide any right for you to receive a cash payment and the Vested Units will be settled in Shares only.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Responsibility for Taxes</w:t>
      </w:r>
      <w:r>
        <w:rPr>
          <w:rFonts w:ascii="Arial" w:cs="Arial" w:eastAsia="Arial" w:hAnsi="Arial"/>
          <w:sz w:val="18"/>
          <w:szCs w:val="18"/>
          <w:color w:val="auto"/>
        </w:rPr>
        <w:t>. The following provision supplements Section 9 of the Agreement:</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If payment or withholding of the Tax-Related Items (including the Employer’s Liability, as defined below) is not made within ninety (90) days of the event giving rise to the Tax-Related Items (the </w:t>
      </w:r>
      <w:r>
        <w:rPr>
          <w:rFonts w:ascii="Arial" w:cs="Arial" w:eastAsia="Arial" w:hAnsi="Arial"/>
          <w:sz w:val="16"/>
          <w:szCs w:val="16"/>
          <w:b w:val="1"/>
          <w:bCs w:val="1"/>
          <w:i w:val="1"/>
          <w:iCs w:val="1"/>
          <w:color w:val="auto"/>
        </w:rPr>
        <w:t>“Due Date”</w:t>
      </w:r>
      <w:r>
        <w:rPr>
          <w:rFonts w:ascii="Arial" w:cs="Arial" w:eastAsia="Arial" w:hAnsi="Arial"/>
          <w:sz w:val="16"/>
          <w:szCs w:val="16"/>
          <w:color w:val="auto"/>
        </w:rPr>
        <w:t>) or such other period specified in Section 222(1)(c) of the U.K. Income Tax (Earnings and Pensions) Act 2003, the amount of any uncollected Tax-Related Items will constitute a loan owed by you to the Employer, effective on the Due Date. You agree that the loan will bear interest at the then-current official rate of Her Majesty’s Revenue and Customs (</w:t>
      </w:r>
      <w:r>
        <w:rPr>
          <w:rFonts w:ascii="Arial" w:cs="Arial" w:eastAsia="Arial" w:hAnsi="Arial"/>
          <w:sz w:val="16"/>
          <w:szCs w:val="16"/>
          <w:b w:val="1"/>
          <w:bCs w:val="1"/>
          <w:i w:val="1"/>
          <w:iCs w:val="1"/>
          <w:color w:val="auto"/>
        </w:rPr>
        <w:t>“HMRC”</w:t>
      </w:r>
      <w:r>
        <w:rPr>
          <w:rFonts w:ascii="Arial" w:cs="Arial" w:eastAsia="Arial" w:hAnsi="Arial"/>
          <w:sz w:val="16"/>
          <w:szCs w:val="16"/>
          <w:color w:val="auto"/>
        </w:rPr>
        <w:t>), it will be immediately due and repayable, and the Company or the Employer may recover it at any time thereafter by any of the means referred to in Section 9.2 of the Agreement. Notwithstanding the foregoing, if you are a director or executive officer of the Company (within the meaning of Section 13(k) of the U.S. Securities and Exchange Act of 1934, as amended), you will not be eligible for such a loan to cover the Tax-Related Items. In the event that you are a director or executive officer and the Tax-Related Items are not collected from or paid by you by the Due Date, the amount of any uncollected Tax-Related Items will constitute a benefit to you on which additional income tax and national insurance contributions (including the Employer’s Liability, as defined below) will be payable. You acknowledge that the Company or the Employer may recover such amounts from you by any of the means referred to in Section 9.2 of the Agreement. However, you are also responsible for reporting and paying any income tax and national insurance contributions (including the Employer’s Liability, as defined below) due on this additional benefit directly to HMRC under the self-assessment regime.</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Joint Election</w:t>
      </w:r>
      <w:r>
        <w:rPr>
          <w:rFonts w:ascii="Arial" w:cs="Arial" w:eastAsia="Arial" w:hAnsi="Arial"/>
          <w:sz w:val="18"/>
          <w:szCs w:val="18"/>
          <w:color w:val="auto"/>
        </w:rPr>
        <w:t>. As a condition of your participation in the Plan, you agree to accept any liability for secondary Class 1 national insurance contributions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“Employer’s Liability”</w:t>
      </w:r>
      <w:r>
        <w:rPr>
          <w:rFonts w:ascii="Arial" w:cs="Arial" w:eastAsia="Arial" w:hAnsi="Arial"/>
          <w:sz w:val="18"/>
          <w:szCs w:val="18"/>
          <w:color w:val="auto"/>
        </w:rPr>
        <w:t>) which may be payable by the Company and/or the Employer in connection with the Award and any event giving rise to Tax-Related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Items. To accomplish the foregoing, you agree 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15</w:t>
      </w:r>
    </w:p>
    <w:p>
      <w:pPr>
        <w:sectPr>
          <w:pgSz w:w="11900" w:h="16838" w:orient="portrait"/>
          <w:cols w:equalWidth="0" w:num="1">
            <w:col w:w="11420"/>
          </w:cols>
          <w:pgMar w:left="240" w:top="274" w:right="239" w:bottom="1440" w:gutter="0" w:footer="0" w:header="0"/>
        </w:sectPr>
      </w:pPr>
    </w:p>
    <w:bookmarkStart w:id="82" w:name="page83"/>
    <w:bookmarkEnd w:id="82"/>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execute the following joint election with the Company (the </w:t>
      </w:r>
      <w:r>
        <w:rPr>
          <w:rFonts w:ascii="Arial" w:cs="Arial" w:eastAsia="Arial" w:hAnsi="Arial"/>
          <w:sz w:val="18"/>
          <w:szCs w:val="18"/>
          <w:b w:val="1"/>
          <w:bCs w:val="1"/>
          <w:i w:val="1"/>
          <w:iCs w:val="1"/>
          <w:color w:val="auto"/>
        </w:rPr>
        <w:t>“Joint Election”</w:t>
      </w:r>
      <w:r>
        <w:rPr>
          <w:rFonts w:ascii="Arial" w:cs="Arial" w:eastAsia="Arial" w:hAnsi="Arial"/>
          <w:sz w:val="18"/>
          <w:szCs w:val="18"/>
          <w:color w:val="auto"/>
        </w:rPr>
        <w:t>), the form of such Joint Election being formally approved by HMRC, and any other consent or elections required to accomplish the transfer of the Employer’s Liability to you. You further agree to execute such other joint elections as may be required between yourself and any successor to the Company and/or the Employer. You further agree that the Company and/or the Employer may collect the Employer’s Liability by any of the means set forth in Section 9.2 of the Agreement.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do not enter into a Joint Election prior to vesting of the Award or any other event giving rise to Tax-Related Items, you will forfeit the Units and any benefits in connection with the Award, and any Shares that have been issued will be returned to the Company at no cost to the Company, without any liability to the Company and/or the Employer.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16</w:t>
      </w:r>
    </w:p>
    <w:p>
      <w:pPr>
        <w:sectPr>
          <w:pgSz w:w="11900" w:h="16838" w:orient="portrait"/>
          <w:cols w:equalWidth="0" w:num="1">
            <w:col w:w="11420"/>
          </w:cols>
          <w:pgMar w:left="240" w:top="280"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ITRON,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2010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3473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6465" cy="347345"/>
                    </a:xfrm>
                    <a:prstGeom prst="rect">
                      <a:avLst/>
                    </a:prstGeom>
                    <a:noFill/>
                  </pic:spPr>
                </pic:pic>
              </a:graphicData>
            </a:graphic>
          </wp:anchor>
        </w:drawing>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Note on the Joint Election to Transfer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Employer National Insurance Contributions</w:t>
      </w:r>
    </w:p>
    <w:p>
      <w:pPr>
        <w:spacing w:after="0" w:line="22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b w:val="1"/>
          <w:bCs w:val="1"/>
          <w:color w:val="auto"/>
        </w:rPr>
        <w:t>As a condition of participation in the Itron, Inc. 2010 Stock Incentive Plan (the “Plan”) and the vesting of the restricted stock unit award (the “Award”) that has been granted to you by Itron, Inc. (the “Company”), you are required to enter into a joint election to transfer to you any liability for employer national insurance contributions (the “Employer’s Liability”) that may arise in connection with the Award, or in connection with future restricted stock unit awards, granted to you by the Company under the Plan (the “Joint Election”).</w:t>
      </w:r>
    </w:p>
    <w:p>
      <w:pPr>
        <w:spacing w:after="0" w:line="10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If you do not agree to enter into the Joint Election, the Award will be worthless, as (under the terms of the Restricted Stock Unit Award Agreement), you will not be able to vest in the Award or receive any benefit in connection with the Award.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entering into the Joint Election:</w:t>
      </w:r>
    </w:p>
    <w:p>
      <w:pPr>
        <w:spacing w:after="0" w:line="90" w:lineRule="exact"/>
        <w:rPr>
          <w:sz w:val="20"/>
          <w:szCs w:val="20"/>
          <w:color w:val="auto"/>
        </w:rPr>
      </w:pPr>
    </w:p>
    <w:p>
      <w:pPr>
        <w:ind w:left="900" w:right="20" w:hanging="325"/>
        <w:spacing w:after="0" w:line="334"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you agree that any Employer’s Liability that may arise in connection with or pursuant to the vesting of the Award (and the acquisition of shares of the Company’s common stock) or other taxable events in connection with the Award will be transferred to you; and</w:t>
      </w:r>
    </w:p>
    <w:p>
      <w:pPr>
        <w:spacing w:after="0" w:line="1" w:lineRule="exact"/>
        <w:rPr>
          <w:rFonts w:ascii="Arial" w:cs="Arial" w:eastAsia="Arial" w:hAnsi="Arial"/>
          <w:sz w:val="16"/>
          <w:szCs w:val="16"/>
          <w:color w:val="auto"/>
        </w:rPr>
      </w:pPr>
    </w:p>
    <w:p>
      <w:pPr>
        <w:ind w:left="900" w:hanging="325"/>
        <w:spacing w:after="0" w:line="27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you authorise the Company and/or your employer to recover an amount sufficient to cover this liability by any method set forth in the Restricted Stock Unit Award Agreement and/or the Joint Election.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Indicating your acceptance of the Restricted Stock Unit Award Agreement indicates your agreement to be bound by the terms of the Joint Election.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read the terms of the Joint Election carefully before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accepting the Restricted Stock Unit Award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Joint Election.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print and keep a copy of the Joint Election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your records.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17</w:t>
      </w:r>
    </w:p>
    <w:p>
      <w:pPr>
        <w:sectPr>
          <w:pgSz w:w="11900" w:h="16838" w:orient="portrait"/>
          <w:cols w:equalWidth="0" w:num="1">
            <w:col w:w="11420"/>
          </w:cols>
          <w:pgMar w:left="240" w:top="27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Employees in the United Kingdom</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ELECTION TO TRANSFER THE EMPLOYER’S SECONDARY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CLASS 1 NATIONAL INSURANCE LIABILITY TO THE EMPLOYEE</w:t>
      </w:r>
    </w:p>
    <w:p>
      <w:pPr>
        <w:spacing w:after="0" w:line="19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Election is between:</w:t>
      </w:r>
    </w:p>
    <w:p>
      <w:pPr>
        <w:spacing w:after="0" w:line="90" w:lineRule="exact"/>
        <w:rPr>
          <w:rFonts w:ascii="Arial" w:cs="Arial" w:eastAsia="Arial" w:hAnsi="Arial"/>
          <w:sz w:val="18"/>
          <w:szCs w:val="18"/>
          <w:b w:val="1"/>
          <w:bCs w:val="1"/>
          <w:color w:val="auto"/>
        </w:rPr>
      </w:pPr>
    </w:p>
    <w:p>
      <w:pPr>
        <w:jc w:val="both"/>
        <w:ind w:left="900" w:right="2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You, the individual who has obtained access to this Election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xml:space="preserve">), who is employed by one of the employing companies listed in the attached schedule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xml:space="preserve">), and who is eligible to receive a restricted stock unit award pursuant to the terms and conditions of the Itron, Inc. 2010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Itron, Inc. of 2111 N. Molter Road, Lake Liberty, Washington 99019, U.S.A.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may grant restricted stock unit awards under the Plan and is entering this Election on behalf of the Employer.</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 of Election</w:t>
      </w:r>
    </w:p>
    <w:p>
      <w:pPr>
        <w:spacing w:after="0" w:line="96" w:lineRule="exact"/>
        <w:rPr>
          <w:rFonts w:ascii="Arial" w:cs="Arial" w:eastAsia="Arial" w:hAnsi="Arial"/>
          <w:sz w:val="18"/>
          <w:szCs w:val="18"/>
          <w:b w:val="1"/>
          <w:bCs w:val="1"/>
          <w:color w:val="auto"/>
        </w:rPr>
      </w:pPr>
    </w:p>
    <w:p>
      <w:pPr>
        <w:ind w:left="9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2.1 This Election relates to the Employer’s secondary Class 1 national insurance contributions (the </w:t>
      </w:r>
      <w:r>
        <w:rPr>
          <w:rFonts w:ascii="Arial" w:cs="Arial" w:eastAsia="Arial" w:hAnsi="Arial"/>
          <w:sz w:val="18"/>
          <w:szCs w:val="18"/>
          <w:b w:val="1"/>
          <w:bCs w:val="1"/>
          <w:i w:val="1"/>
          <w:iCs w:val="1"/>
          <w:color w:val="auto"/>
        </w:rPr>
        <w:t>“Employer’s Liability”</w:t>
      </w:r>
      <w:r>
        <w:rPr>
          <w:rFonts w:ascii="Arial" w:cs="Arial" w:eastAsia="Arial" w:hAnsi="Arial"/>
          <w:sz w:val="18"/>
          <w:szCs w:val="18"/>
          <w:color w:val="auto"/>
        </w:rPr>
        <w:t xml:space="preserve">) which may arise on the occurrence of a </w:t>
      </w:r>
      <w:r>
        <w:rPr>
          <w:rFonts w:ascii="Arial" w:cs="Arial" w:eastAsia="Arial" w:hAnsi="Arial"/>
          <w:sz w:val="18"/>
          <w:szCs w:val="18"/>
          <w:b w:val="1"/>
          <w:bCs w:val="1"/>
          <w:i w:val="1"/>
          <w:iCs w:val="1"/>
          <w:color w:val="auto"/>
        </w:rPr>
        <w:t>“Taxable Event”</w:t>
      </w:r>
      <w:r>
        <w:rPr>
          <w:rFonts w:ascii="Arial" w:cs="Arial" w:eastAsia="Arial" w:hAnsi="Arial"/>
          <w:sz w:val="18"/>
          <w:szCs w:val="18"/>
          <w:color w:val="auto"/>
        </w:rPr>
        <w:t xml:space="preserve"> pursuant to paragraph 3B(1A) of Schedule 1 of the Social Security Contributions and Benefits Act 1992, including but not limited to:</w:t>
      </w:r>
    </w:p>
    <w:p>
      <w:pPr>
        <w:spacing w:after="0" w:line="59" w:lineRule="exact"/>
        <w:rPr>
          <w:rFonts w:ascii="Arial" w:cs="Arial" w:eastAsia="Arial" w:hAnsi="Arial"/>
          <w:sz w:val="18"/>
          <w:szCs w:val="18"/>
          <w:b w:val="1"/>
          <w:bCs w:val="1"/>
          <w:color w:val="auto"/>
        </w:rPr>
      </w:pPr>
    </w:p>
    <w:p>
      <w:pPr>
        <w:ind w:left="1480" w:hanging="567"/>
        <w:spacing w:after="0"/>
        <w:tabs>
          <w:tab w:leader="none" w:pos="148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acquisition of securities pursuant to the restricted stock unit award (pursuant to section 477(3)(a) ITEPA); and/or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37"/>
        </w:numPr>
        <w:rPr>
          <w:rFonts w:ascii="Arial" w:cs="Arial" w:eastAsia="Arial" w:hAnsi="Arial"/>
          <w:sz w:val="16"/>
          <w:szCs w:val="16"/>
          <w:color w:val="auto"/>
        </w:rPr>
      </w:pPr>
      <w:r>
        <w:rPr>
          <w:rFonts w:ascii="Arial" w:cs="Arial" w:eastAsia="Arial" w:hAnsi="Arial"/>
          <w:sz w:val="16"/>
          <w:szCs w:val="16"/>
          <w:color w:val="auto"/>
        </w:rPr>
        <w:t>the assignment or release of the restricted stock unit award in return for consideration (pursuant to section 477(3)(b) ITEPA); and/or</w:t>
      </w:r>
    </w:p>
    <w:p>
      <w:pPr>
        <w:spacing w:after="0" w:line="113" w:lineRule="exact"/>
        <w:rPr>
          <w:rFonts w:ascii="Arial" w:cs="Arial" w:eastAsia="Arial" w:hAnsi="Arial"/>
          <w:sz w:val="16"/>
          <w:szCs w:val="16"/>
          <w:color w:val="auto"/>
        </w:rPr>
      </w:pPr>
    </w:p>
    <w:p>
      <w:pPr>
        <w:ind w:left="1480" w:right="20" w:hanging="567"/>
        <w:spacing w:after="0" w:line="268" w:lineRule="auto"/>
        <w:tabs>
          <w:tab w:leader="none" w:pos="148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receipt of a benefit in connection with the restricted stock unit award other than a benefit within (i) or (ii) above (pursuant to section 477(3)(c) ITEPA).</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Election, ITEPA means the Income Tax (Earnings and Pensions) Act 2003.</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This Election is made in accordance with paragraph 3B(1) of Schedule 1 to the Social Security Contributions and Benefits Act 1992.</w:t>
      </w:r>
    </w:p>
    <w:p>
      <w:pPr>
        <w:spacing w:after="0" w:line="90" w:lineRule="exact"/>
        <w:rPr>
          <w:sz w:val="20"/>
          <w:szCs w:val="20"/>
          <w:color w:val="auto"/>
        </w:rPr>
      </w:pPr>
    </w:p>
    <w:p>
      <w:pPr>
        <w:ind w:left="900" w:hanging="445"/>
        <w:spacing w:after="0" w:line="268" w:lineRule="auto"/>
        <w:tabs>
          <w:tab w:leader="none" w:pos="880" w:val="left"/>
        </w:tabs>
        <w:rPr>
          <w:sz w:val="20"/>
          <w:szCs w:val="20"/>
          <w:color w:val="auto"/>
        </w:rPr>
      </w:pPr>
      <w:r>
        <w:rPr>
          <w:rFonts w:ascii="Arial" w:cs="Arial" w:eastAsia="Arial" w:hAnsi="Arial"/>
          <w:sz w:val="18"/>
          <w:szCs w:val="18"/>
          <w:color w:val="auto"/>
        </w:rPr>
        <w:t>2.3</w:t>
        <w:tab/>
        <w:t>This Election applies to all restricted stock unit awards granted to the Employee under the Plan, on or after 8 August 2007 up to the termination date of the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18</w:t>
      </w:r>
    </w:p>
    <w:p>
      <w:pPr>
        <w:sectPr>
          <w:pgSz w:w="11900" w:h="16838" w:orient="portrait"/>
          <w:cols w:equalWidth="0" w:num="1">
            <w:col w:w="11420"/>
          </w:cols>
          <w:pgMar w:left="240" w:top="274" w:right="239" w:bottom="1440" w:gutter="0" w:footer="0" w:header="0"/>
        </w:sectPr>
      </w:pPr>
    </w:p>
    <w:bookmarkStart w:id="85" w:name="page86"/>
    <w:bookmarkEnd w:id="85"/>
    <w:p>
      <w:pPr>
        <w:jc w:val="both"/>
        <w:ind w:left="900" w:hanging="445"/>
        <w:spacing w:after="0" w:line="259"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w:t>
        <w:tab/>
        <w:t>This Election does not apply in relation to any liability, or any part of any liability, arising as a result of regulations being given retrospective effect by virtue of section 4B(2) of either the Social Security Contributions and Benefits Act 1992, or the Social Security Contributions and Benefits (Northern Ireland) Act 1992.</w:t>
      </w:r>
    </w:p>
    <w:p>
      <w:pPr>
        <w:spacing w:after="0" w:line="59" w:lineRule="exact"/>
        <w:rPr>
          <w:sz w:val="20"/>
          <w:szCs w:val="20"/>
          <w:color w:val="auto"/>
        </w:rPr>
      </w:pPr>
    </w:p>
    <w:p>
      <w:pPr>
        <w:jc w:val="both"/>
        <w:ind w:left="900" w:hanging="445"/>
        <w:spacing w:after="0" w:line="268" w:lineRule="auto"/>
        <w:tabs>
          <w:tab w:leader="none" w:pos="880" w:val="left"/>
        </w:tabs>
        <w:rPr>
          <w:sz w:val="20"/>
          <w:szCs w:val="20"/>
          <w:color w:val="auto"/>
        </w:rPr>
      </w:pPr>
      <w:r>
        <w:rPr>
          <w:rFonts w:ascii="Arial" w:cs="Arial" w:eastAsia="Arial" w:hAnsi="Arial"/>
          <w:sz w:val="18"/>
          <w:szCs w:val="18"/>
          <w:color w:val="auto"/>
        </w:rPr>
        <w:t>2.5</w:t>
        <w:tab/>
        <w:t>This Election will not apply to the extent that it relates to relevant employment income which is employment income of the earner by virtue of Chapter 3A of Part 7 of ITEPA 2003 (employment income: securities with artificially depressed market value).</w:t>
      </w:r>
    </w:p>
    <w:p>
      <w:pPr>
        <w:spacing w:after="0" w:line="24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Election</w:t>
      </w:r>
    </w:p>
    <w:p>
      <w:pPr>
        <w:spacing w:after="0" w:line="96"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The Employee and the Company jointly elect that the entire liability of the Employer to pay the Employer’s Liability on the Taxable Event is hereby transferred to the Employee. The Employee understands that by clicking on the acceptance of the Restricted Stock Unit Award button where indicated, he or she will become personally liable for the Employer’s Liability covered by this Election.</w:t>
      </w:r>
    </w:p>
    <w:p>
      <w:pPr>
        <w:spacing w:after="0" w:line="256"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the Employer’s Liability</w:t>
      </w:r>
    </w:p>
    <w:p>
      <w:pPr>
        <w:spacing w:after="0" w:line="96" w:lineRule="exact"/>
        <w:rPr>
          <w:rFonts w:ascii="Arial" w:cs="Arial" w:eastAsia="Arial" w:hAnsi="Arial"/>
          <w:sz w:val="18"/>
          <w:szCs w:val="18"/>
          <w:b w:val="1"/>
          <w:bCs w:val="1"/>
          <w:color w:val="auto"/>
        </w:rPr>
      </w:pPr>
    </w:p>
    <w:p>
      <w:pPr>
        <w:ind w:left="900" w:hanging="446"/>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4.1 Notwithstanding that pursuant to this Election, the Employer’s Liability is transferred to the Employee, the Employee authorises the Employer and the Employer agrees, to remit the Employer’s Liability to Her Majesty’s Revenue and Customs (</w:t>
      </w:r>
      <w:r>
        <w:rPr>
          <w:rFonts w:ascii="Arial" w:cs="Arial" w:eastAsia="Arial" w:hAnsi="Arial"/>
          <w:sz w:val="16"/>
          <w:szCs w:val="16"/>
          <w:b w:val="1"/>
          <w:bCs w:val="1"/>
          <w:i w:val="1"/>
          <w:iCs w:val="1"/>
          <w:color w:val="auto"/>
        </w:rPr>
        <w:t>“HMRC”</w:t>
      </w:r>
      <w:r>
        <w:rPr>
          <w:rFonts w:ascii="Arial" w:cs="Arial" w:eastAsia="Arial" w:hAnsi="Arial"/>
          <w:sz w:val="16"/>
          <w:szCs w:val="16"/>
          <w:color w:val="auto"/>
        </w:rPr>
        <w:t>) on behalf of the Employee. The Employee agrees to pay to the Employer the Employer’s Liability on demand at any time on or after the Taxable Event.</w:t>
      </w:r>
    </w:p>
    <w:p>
      <w:pPr>
        <w:spacing w:after="0" w:line="25" w:lineRule="exact"/>
        <w:rPr>
          <w:rFonts w:ascii="Arial" w:cs="Arial" w:eastAsia="Arial" w:hAnsi="Arial"/>
          <w:sz w:val="18"/>
          <w:szCs w:val="18"/>
          <w:b w:val="1"/>
          <w:bCs w:val="1"/>
          <w:color w:val="auto"/>
        </w:rPr>
      </w:pPr>
    </w:p>
    <w:p>
      <w:pPr>
        <w:ind w:left="900" w:right="2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4.2 Without limitation to Clause 4.1 above, the Employee hereby authorises the Company and/or the Employer to collect the Employer’s Liability from the Employee at any time on or after the Taxable Event:</w:t>
      </w:r>
    </w:p>
    <w:p>
      <w:pPr>
        <w:spacing w:after="0" w:line="5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by deduction from salary or any other payment payable to the Employee at any time on or after the date of the Taxable Event; and/or</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directly from the Employee by payment in cash or cleared funds; and/or</w:t>
      </w:r>
    </w:p>
    <w:p>
      <w:pPr>
        <w:spacing w:after="0" w:line="90"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by arranging, on behalf of the Employee, for the sale of some of the securities which the Employee is entitled to receive in respect of the restricted stock unit award; and/or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through any other method set forth in the Restricted Stock Unit Award Agreement entered into between the Employee and the Company.</w:t>
      </w:r>
    </w:p>
    <w:p>
      <w:pPr>
        <w:spacing w:after="0" w:line="113" w:lineRule="exact"/>
        <w:rPr>
          <w:sz w:val="20"/>
          <w:szCs w:val="20"/>
          <w:color w:val="auto"/>
        </w:rPr>
      </w:pPr>
    </w:p>
    <w:p>
      <w:pPr>
        <w:ind w:left="900" w:hanging="445"/>
        <w:spacing w:after="0" w:line="268" w:lineRule="auto"/>
        <w:tabs>
          <w:tab w:leader="none" w:pos="880" w:val="left"/>
        </w:tabs>
        <w:rPr>
          <w:sz w:val="20"/>
          <w:szCs w:val="20"/>
          <w:color w:val="auto"/>
        </w:rPr>
      </w:pPr>
      <w:r>
        <w:rPr>
          <w:rFonts w:ascii="Arial" w:cs="Arial" w:eastAsia="Arial" w:hAnsi="Arial"/>
          <w:sz w:val="18"/>
          <w:szCs w:val="18"/>
          <w:color w:val="auto"/>
        </w:rPr>
        <w:t>4.3</w:t>
        <w:tab/>
        <w:t>The Company hereby reserves for itself and the Employer the right to withhold the transfer of any securities to the Employee until full payment of the Employer’s Liability is received.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19</w:t>
      </w:r>
    </w:p>
    <w:p>
      <w:pPr>
        <w:sectPr>
          <w:pgSz w:w="11900" w:h="16838" w:orient="portrait"/>
          <w:cols w:equalWidth="0" w:num="1">
            <w:col w:w="11420"/>
          </w:cols>
          <w:pgMar w:left="240" w:top="280" w:right="239" w:bottom="1440" w:gutter="0" w:footer="0" w:header="0"/>
        </w:sectPr>
      </w:pPr>
    </w:p>
    <w:bookmarkStart w:id="86" w:name="page87"/>
    <w:bookmarkEnd w:id="86"/>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Duration of Election</w:t>
      </w:r>
    </w:p>
    <w:p>
      <w:pPr>
        <w:spacing w:after="0" w:line="96" w:lineRule="exact"/>
        <w:rPr>
          <w:rFonts w:ascii="Arial" w:cs="Arial" w:eastAsia="Arial" w:hAnsi="Arial"/>
          <w:sz w:val="18"/>
          <w:szCs w:val="18"/>
          <w:b w:val="1"/>
          <w:bCs w:val="1"/>
          <w:color w:val="auto"/>
        </w:rPr>
      </w:pPr>
    </w:p>
    <w:p>
      <w:pPr>
        <w:ind w:left="90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5.1 The Employee and the Company agree to be bound by the terms of this Election regardless of whether the Employee is transferred abroad or is not employed by the UK Employer on the date on which the Employer’s Liability becomes due.</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5.2   This Election will continue in effect until the earliest of the following:</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such time as both the Employee and the Company agree in writing that it should cease to have effect;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date the Company serves written notice on the Employee terminating its effect;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date HMRC withdraws approval of this Form of Election; or</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date the Election ceases to have effect in accordance with its terms in respect of any outstanding restricted stock unit awards granted under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by the Employee</w:t>
      </w:r>
    </w:p>
    <w:p>
      <w:pPr>
        <w:spacing w:after="0" w:line="9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Employee acknowledges that by clicking on the acceptance of the Restricted Stock Unit Award button where indicated, the Employee agrees to be bound by the terms of this Election as stated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by the Company</w:t>
      </w:r>
    </w:p>
    <w:p>
      <w:pPr>
        <w:spacing w:after="0" w:line="9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The Company acknowledges that by arranging for the scanned signature of an authorised representative to appear on this Election, the Company agrees to be bound by the terms of this Election as stated above.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20</w:t>
      </w:r>
    </w:p>
    <w:p>
      <w:pPr>
        <w:sectPr>
          <w:pgSz w:w="11900" w:h="16838" w:orient="portrait"/>
          <w:cols w:equalWidth="0" w:num="1">
            <w:col w:w="11420"/>
          </w:cols>
          <w:pgMar w:left="240" w:top="274" w:right="239" w:bottom="1440" w:gutter="0" w:footer="0" w:header="0"/>
        </w:sectPr>
      </w:pPr>
    </w:p>
    <w:bookmarkStart w:id="87" w:name="page88"/>
    <w:bookmarkEnd w:id="87"/>
    <w:p>
      <w:pPr>
        <w:ind w:right="2479" w:firstLine="3680"/>
        <w:spacing w:after="0" w:line="43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Schedule to Form of Election – Employing Companies </w:t>
      </w:r>
      <w:r>
        <w:rPr>
          <w:rFonts w:ascii="Arial" w:cs="Arial" w:eastAsia="Arial" w:hAnsi="Arial"/>
          <w:sz w:val="18"/>
          <w:szCs w:val="18"/>
          <w:color w:val="auto"/>
        </w:rPr>
        <w:t>The Employing Companies to which this Form of Election relates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Itron Metering Solutions UK Limited</w:t>
      </w:r>
    </w:p>
    <w:p>
      <w:pPr>
        <w:sectPr>
          <w:pgSz w:w="11900" w:h="16838" w:orient="portrait"/>
          <w:cols w:equalWidth="0" w:num="1">
            <w:col w:w="10219"/>
          </w:cols>
          <w:pgMar w:left="240" w:top="274" w:right="1440"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Langer Road,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Felixstowe, Suffolk, IP11 2ER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24" w:lineRule="exact"/>
        <w:rPr>
          <w:sz w:val="20"/>
          <w:szCs w:val="20"/>
          <w:color w:val="auto"/>
        </w:rPr>
      </w:pPr>
    </w:p>
    <w:p>
      <w:pPr>
        <w:sectPr>
          <w:pgSz w:w="11900" w:h="16838" w:orient="portrait"/>
          <w:cols w:equalWidth="0" w:num="2">
            <w:col w:w="3400" w:space="720"/>
            <w:col w:w="609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Company Number: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Corporation Tax District: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Corporation Tax Reference: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PAYE District: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PAYE 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04274515</w:t>
      </w:r>
    </w:p>
    <w:p>
      <w:pPr>
        <w:spacing w:after="0" w:line="1489" w:lineRule="exact"/>
        <w:rPr>
          <w:sz w:val="20"/>
          <w:szCs w:val="20"/>
          <w:color w:val="auto"/>
        </w:rPr>
      </w:pPr>
    </w:p>
    <w:p>
      <w:pPr>
        <w:sectPr>
          <w:pgSz w:w="11900" w:h="16838" w:orient="portrait"/>
          <w:cols w:equalWidth="0" w:num="2">
            <w:col w:w="3400" w:space="720"/>
            <w:col w:w="6099"/>
          </w:cols>
          <w:pgMar w:left="240" w:top="274" w:right="1440" w:bottom="1440" w:gutter="0" w:footer="0" w:header="0"/>
          <w:type w:val="continuous"/>
        </w:sectPr>
      </w:pPr>
    </w:p>
    <w:p>
      <w:pPr>
        <w:ind w:left="5620"/>
        <w:spacing w:after="0"/>
        <w:rPr>
          <w:sz w:val="20"/>
          <w:szCs w:val="20"/>
          <w:color w:val="auto"/>
        </w:rPr>
      </w:pPr>
      <w:r>
        <w:rPr>
          <w:rFonts w:ascii="Arial" w:cs="Arial" w:eastAsia="Arial" w:hAnsi="Arial"/>
          <w:sz w:val="16"/>
          <w:szCs w:val="16"/>
          <w:i w:val="1"/>
          <w:iCs w:val="1"/>
          <w:color w:val="auto"/>
        </w:rPr>
        <w:t>21</w:t>
      </w:r>
    </w:p>
    <w:p>
      <w:pPr>
        <w:sectPr>
          <w:pgSz w:w="11900" w:h="16838" w:orient="portrait"/>
          <w:cols w:equalWidth="0" w:num="1">
            <w:col w:w="10219"/>
          </w:cols>
          <w:pgMar w:left="240" w:top="274" w:right="1440"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PERFORMANCE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IN FRANCE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to Participant a performance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Award is subject to all the terms and conditions set forth in this Performance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the Performance Restricted Stock Unit Award Agreement, including Appendices A and B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Itron, Inc. 2010 Stock Incentive Plan (the “</w:t>
      </w:r>
      <w:r>
        <w:rPr>
          <w:rFonts w:ascii="Arial" w:cs="Arial" w:eastAsia="Arial" w:hAnsi="Arial"/>
          <w:sz w:val="18"/>
          <w:szCs w:val="18"/>
          <w:b w:val="1"/>
          <w:bCs w:val="1"/>
          <w:i w:val="1"/>
          <w:iCs w:val="1"/>
          <w:color w:val="auto"/>
        </w:rPr>
        <w:t>U.S. Plan</w:t>
      </w:r>
      <w:r>
        <w:rPr>
          <w:rFonts w:ascii="Arial" w:cs="Arial" w:eastAsia="Arial" w:hAnsi="Arial"/>
          <w:sz w:val="18"/>
          <w:szCs w:val="18"/>
          <w:color w:val="auto"/>
        </w:rPr>
        <w:t>”), and the Rules of the Itron, Inc. 2010 Stock Incentive Plan for the Grant of Restricted Stock Units to Participants in France (the “</w:t>
      </w:r>
      <w:r>
        <w:rPr>
          <w:rFonts w:ascii="Arial" w:cs="Arial" w:eastAsia="Arial" w:hAnsi="Arial"/>
          <w:sz w:val="18"/>
          <w:szCs w:val="18"/>
          <w:b w:val="1"/>
          <w:bCs w:val="1"/>
          <w:i w:val="1"/>
          <w:iCs w:val="1"/>
          <w:color w:val="auto"/>
        </w:rPr>
        <w:t>French RSU Plan</w:t>
      </w:r>
      <w:r>
        <w:rPr>
          <w:rFonts w:ascii="Arial" w:cs="Arial" w:eastAsia="Arial" w:hAnsi="Arial"/>
          <w:sz w:val="18"/>
          <w:szCs w:val="18"/>
          <w:color w:val="auto"/>
        </w:rPr>
        <w:t>” and together with the U.S.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all of which are incorporated into the Award Notice in their entirety.</w:t>
      </w:r>
    </w:p>
    <w:p>
      <w:pPr>
        <w:sectPr>
          <w:pgSz w:w="11900" w:h="16838" w:orient="portrait"/>
          <w:cols w:equalWidth="0" w:num="1">
            <w:col w:w="11420"/>
          </w:cols>
          <w:pgMar w:left="240" w:top="125"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«First_Name» «Last_Name»</w:t>
      </w:r>
    </w:p>
    <w:p>
      <w:pPr>
        <w:spacing w:after="0" w:line="14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Date of Grant:</w:t>
      </w:r>
    </w:p>
    <w:p>
      <w:pPr>
        <w:spacing w:after="0" w:line="20" w:lineRule="exact"/>
        <w:rPr>
          <w:sz w:val="20"/>
          <w:szCs w:val="20"/>
          <w:color w:val="auto"/>
        </w:rPr>
      </w:pPr>
      <w:r>
        <w:rPr>
          <w:sz w:val="20"/>
          <w:szCs w:val="20"/>
          <w:color w:val="auto"/>
        </w:rPr>
        <w:br w:type="column"/>
      </w:r>
    </w:p>
    <w:p>
      <w:pPr>
        <w:jc w:val="center"/>
        <w:ind w:right="4520"/>
        <w:spacing w:after="0"/>
        <w:rPr>
          <w:sz w:val="20"/>
          <w:szCs w:val="20"/>
          <w:color w:val="auto"/>
        </w:rPr>
      </w:pPr>
      <w:r>
        <w:rPr>
          <w:rFonts w:ascii="Arial" w:cs="Arial" w:eastAsia="Arial" w:hAnsi="Arial"/>
          <w:sz w:val="15"/>
          <w:szCs w:val="15"/>
          <w:color w:val="auto"/>
        </w:rPr>
        <w:t>«Grant Date»</w:t>
      </w:r>
    </w:p>
    <w:p>
      <w:pPr>
        <w:spacing w:after="0" w:line="14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1, 2010 to December 31, 2010</w:t>
      </w:r>
    </w:p>
    <w:p>
      <w:pPr>
        <w:spacing w:after="0" w:line="14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Number of Performance Restricted Stock Units (“PSUs”):</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The actual number of PSUs that become eligible for vesting according to the Vesting Schedule below shall be determined based on the attainment of the 2010 Performance Goals specified in Appendix A, as assessed by the Plan Administrator as soon as reasonably practicable after the end of the Performance Period.</w:t>
      </w:r>
    </w:p>
    <w:p>
      <w:pPr>
        <w:spacing w:after="0" w:line="62"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ind w:left="5960"/>
        <w:spacing w:after="0"/>
        <w:rPr>
          <w:sz w:val="20"/>
          <w:szCs w:val="20"/>
          <w:color w:val="auto"/>
        </w:rPr>
      </w:pPr>
      <w:r>
        <w:rPr>
          <w:rFonts w:ascii="Arial" w:cs="Arial" w:eastAsia="Arial" w:hAnsi="Arial"/>
          <w:sz w:val="16"/>
          <w:szCs w:val="16"/>
          <w:color w:val="auto"/>
        </w:rPr>
        <w:t>The minimum number of PSUs is zero (0).</w:t>
      </w:r>
    </w:p>
    <w:p>
      <w:pPr>
        <w:spacing w:after="0" w:line="11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target number of PSUs is: «# of Units»</w:t>
      </w:r>
    </w:p>
    <w:p>
      <w:pPr>
        <w:spacing w:after="0" w:line="11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maximum number of PSUs is: «# of Units»</w:t>
      </w:r>
    </w:p>
    <w:p>
      <w:pPr>
        <w:sectPr>
          <w:pgSz w:w="11900" w:h="16838" w:orient="portrait"/>
          <w:cols w:equalWidth="0" w:num="1">
            <w:col w:w="11420"/>
          </w:cols>
          <w:pgMar w:left="240" w:top="125" w:right="239"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actual number of PSUs that become eligible for vesting based on the attainment of the 2010 Performance Goals shall vest on the second anniversary of the Date of Grant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w:t>
      </w:r>
    </w:p>
    <w:p>
      <w:pPr>
        <w:sectPr>
          <w:pgSz w:w="11900" w:h="16838" w:orient="portrait"/>
          <w:cols w:equalWidth="0" w:num="2">
            <w:col w:w="5240" w:space="720"/>
            <w:col w:w="5460"/>
          </w:cols>
          <w:pgMar w:left="240" w:top="125" w:right="239" w:bottom="1440" w:gutter="0" w:footer="0" w:header="0"/>
          <w:type w:val="continuous"/>
        </w:sectPr>
      </w:pPr>
    </w:p>
    <w:bookmarkStart w:id="89" w:name="page90"/>
    <w:bookmarkEnd w:id="89"/>
    <w:p>
      <w:pPr>
        <w:jc w:val="both"/>
        <w:ind w:right="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Terms/Acknowledgement</w:t>
      </w:r>
      <w:r>
        <w:rPr>
          <w:rFonts w:ascii="Arial" w:cs="Arial" w:eastAsia="Arial" w:hAnsi="Arial"/>
          <w:sz w:val="18"/>
          <w:szCs w:val="18"/>
          <w:color w:val="auto"/>
        </w:rPr>
        <w:t>: This Award is subject to all the terms and conditions set forth in this Award Notice, the Agreement and the Plan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attached to and incorporated into this Award Notice in their entirety.</w:t>
      </w:r>
    </w:p>
    <w:p>
      <w:pPr>
        <w:spacing w:after="0" w:line="1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By signing and returning this Award Notice and Agreement providing for the terms and conditions of my grant, I confirm having read and understood the documents relating to this grant (the Performance Restricted Stock Unit Award Agreement, including the Appendices, the U.S. Plan, the French RSU Plan and the U.S. Plan Prospectus) which were provided to me in English language. I accept the terms of those documents accordingly.</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En signant et renvoyant la présente Notice d’Attribution et le Contrat décrivant les termes et conditions de mon attribution, je confirme ainsi avoir lu et compris les documents relatifs à cette attribution (le Contrat d’Attribution d’Actions Gratuites soumises à des Conditions de Performance, incluant les Annexes, le Plan Américain, le Sous-Plan pour la France et le Prospectus Américain) qui m’ont été communiqués en langue anglaise. J’en accepte les termes en connaissance de cause.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«First_Name» «Last_Name»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accept this award subject to the terms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conditions stated herein.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«Electronically Signed»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15" w:lineRule="exact"/>
        <w:rPr>
          <w:sz w:val="20"/>
          <w:szCs w:val="20"/>
          <w:color w:val="auto"/>
        </w:rPr>
      </w:pPr>
    </w:p>
    <w:p>
      <w:pPr>
        <w:ind w:right="8280" w:firstLine="8"/>
        <w:spacing w:after="0" w:line="281" w:lineRule="auto"/>
        <w:tabs>
          <w:tab w:leader="none" w:pos="1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Performance Restricted Stock Unit Award Agreement, including Appendices A and B</w:t>
      </w:r>
    </w:p>
    <w:p>
      <w:pPr>
        <w:spacing w:after="0" w:line="1" w:lineRule="exact"/>
        <w:rPr>
          <w:rFonts w:ascii="Arial" w:cs="Arial" w:eastAsia="Arial" w:hAnsi="Arial"/>
          <w:sz w:val="16"/>
          <w:szCs w:val="16"/>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Plan</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French RSU Plan</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Plan Prospectus</w:t>
      </w:r>
    </w:p>
    <w:p>
      <w:pPr>
        <w:sectPr>
          <w:pgSz w:w="11900" w:h="16838" w:orient="portrait"/>
          <w:cols w:equalWidth="0" w:num="1">
            <w:col w:w="11420"/>
          </w:cols>
          <w:pgMar w:left="240" w:top="274"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PERFORMANCE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IN FRANCE</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Pursuant to your Performance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and this Performance Restricted Stock Unit Award Agreement, including Appendices A and B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performance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under its 2010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Rules of the Itron, Inc. 2010 Stock Incentive Plan for the Grant of Restricted Stock Units to Participants in France (the “</w:t>
      </w:r>
      <w:r>
        <w:rPr>
          <w:rFonts w:ascii="Arial" w:cs="Arial" w:eastAsia="Arial" w:hAnsi="Arial"/>
          <w:sz w:val="18"/>
          <w:szCs w:val="18"/>
          <w:b w:val="1"/>
          <w:bCs w:val="1"/>
          <w:i w:val="1"/>
          <w:iCs w:val="1"/>
          <w:color w:val="auto"/>
        </w:rPr>
        <w:t>French RSU Plan</w:t>
      </w:r>
      <w:r>
        <w:rPr>
          <w:rFonts w:ascii="Arial" w:cs="Arial" w:eastAsia="Arial" w:hAnsi="Arial"/>
          <w:sz w:val="18"/>
          <w:szCs w:val="18"/>
          <w:color w:val="auto"/>
        </w:rPr>
        <w:t>” and together with the U.S.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Capitalized terms not expressly defined in this Agreement but defined in the Plan shall have the same definitions as in the Plan, as applicable.</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Award is intended to qualify for the favorable tax and social security treatment in France applicable to shares granted for no consideration under Sections L. 225-197-1 to L. 225-197-6 of the French Commercial Code, as amended. However, certain events may affect the qualified status of the Award and the Company does not make any undertaking or representation to maintain the qualified status of the Award. If the Award does not retain its qualified status, the favorable tax and social security treatment will not apply and you will be required to pay your portion of social security contributions resulting from the Award.</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Moreover, if you relocate to another country, any special terms and conditions applicable to restricted stock unit awards granted in such country will apply to you, to the extent the Company determines that the application of such terms and conditions is necessary or advisable in order to comply with local law or facilitate the administration of the Plan.</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the Company reserves the right to impose other requirements on the Award and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the Award are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Number of Units Subject to Award</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This Award is a performance based award which is based on targets set by the Plan Administrator at the beginning of the performance year (calendar year 2010 in this case) (the “</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 Performance goals are set forth in Appendix A along with your target number of Units for the Performance Period. At the end of the Performance Period, the Plan Administrator shall determine the actual number of Units that are eligible for vesting under the Award, in accordance with Appendix A and the performance goals set forth therein. The Plan Administrator will communicate this number to you as soon as practicable after the end of the Performance Period. The Units will vest in accordance with Section 2 below.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w:t>
      </w:r>
    </w:p>
    <w:p>
      <w:pPr>
        <w:sectPr>
          <w:pgSz w:w="11900" w:h="16838" w:orient="portrait"/>
          <w:cols w:equalWidth="0" w:num="1">
            <w:col w:w="11420"/>
          </w:cols>
          <w:pgMar w:left="240" w:top="27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Vesting and Settlement</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Award will vest to the extent the performance goals set forth in Appendix A are attained as determined by the Plan Administrator and according to the vesting schedule set forth in the Award Notice (the “</w:t>
      </w:r>
      <w:r>
        <w:rPr>
          <w:rFonts w:ascii="Arial" w:cs="Arial" w:eastAsia="Arial" w:hAnsi="Arial"/>
          <w:sz w:val="16"/>
          <w:szCs w:val="16"/>
          <w:b w:val="1"/>
          <w:bCs w:val="1"/>
          <w:i w:val="1"/>
          <w:iCs w:val="1"/>
          <w:color w:val="auto"/>
        </w:rPr>
        <w:t>Vesting Schedule</w:t>
      </w:r>
      <w:r>
        <w:rPr>
          <w:rFonts w:ascii="Arial" w:cs="Arial" w:eastAsia="Arial" w:hAnsi="Arial"/>
          <w:sz w:val="16"/>
          <w:szCs w:val="16"/>
          <w:color w:val="auto"/>
        </w:rPr>
        <w:t>”). Performance restricted stock units that have vested and are no longer subject to forfeiture according to the Vesting Schedule are referred to herein as “</w:t>
      </w:r>
      <w:r>
        <w:rPr>
          <w:rFonts w:ascii="Arial" w:cs="Arial" w:eastAsia="Arial" w:hAnsi="Arial"/>
          <w:sz w:val="16"/>
          <w:szCs w:val="16"/>
          <w:b w:val="1"/>
          <w:bCs w:val="1"/>
          <w:i w:val="1"/>
          <w:iCs w:val="1"/>
          <w:color w:val="auto"/>
        </w:rPr>
        <w:t>Vested Units</w:t>
      </w:r>
      <w:r>
        <w:rPr>
          <w:rFonts w:ascii="Arial" w:cs="Arial" w:eastAsia="Arial" w:hAnsi="Arial"/>
          <w:sz w:val="16"/>
          <w:szCs w:val="16"/>
          <w:color w:val="auto"/>
        </w:rPr>
        <w:t>.” Performance restricted stock units that have not vested and remain subject to forfeiture under the Vesting Schedule are referred to herein as “</w:t>
      </w:r>
      <w:r>
        <w:rPr>
          <w:rFonts w:ascii="Arial" w:cs="Arial" w:eastAsia="Arial" w:hAnsi="Arial"/>
          <w:sz w:val="16"/>
          <w:szCs w:val="16"/>
          <w:b w:val="1"/>
          <w:bCs w:val="1"/>
          <w:i w:val="1"/>
          <w:iCs w:val="1"/>
          <w:color w:val="auto"/>
        </w:rPr>
        <w:t>Unvested Units</w:t>
      </w:r>
      <w:r>
        <w:rPr>
          <w:rFonts w:ascii="Arial" w:cs="Arial" w:eastAsia="Arial" w:hAnsi="Arial"/>
          <w:sz w:val="16"/>
          <w:szCs w:val="16"/>
          <w:color w:val="auto"/>
        </w:rPr>
        <w:t>.” The Unvested and Vested Units are collectively referred to herein as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The Award will terminate and the Unvested Units will be subject to forfeiture upon termination of your employment as set forth in Section 4 below.</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Unless otherwise provided in this Agreement, as soon as practicable after the Vesting Date, the Company will settle the Vested Units by issuing to you one Share for each Vested Unit, subject to the provisions of Section 7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Corporate Transaction/Change in Control</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 the event of a Corporate Transaction (including a Related Party Transaction) during the Performance Period or the period between the end of the Performance Period and the Vesting Date that does not meet the definition of Change in Control set forth in Appendix B, your Award will remain unaffected.</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the event of a Change in Control (as defined in Appendix B) during the Performance Period, the number of PSUs subject to the Award shall be the greater of (a) the target number of PSUs subject to the Award or (b) the actual number of PSUs subject to the Award as determined based on the attainment of the performance goals if the Plan Administrator determines that the attainment of the performance goals may be determined as of the date of the Change in Control, pro rated based on the portion of the Performance Period that has elapsed between the Date of Grant and the date of the Change in Control.</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the event of a Change in Control (as defined in Appendix B) during the period between the end of the Performance Period and the Vesting Date, any Unvested Units will accelerate in vesting and become Vested Units immediately prior to such Change in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Termination of Employment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Death</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If your employment terminates during the Performance Period by reason of death, the actual number of Units that become eligible for vesting (based on the attainment of the performance goals as assessed after the end of the Performance Period) will become transferable to your heirs. The Company will issue the Shares subject to such Units to your heirs after the end of the Performance Period, provided they contact the Company to request the issuance of the Shares within six (6) months following your death. If your heirs do not request the issuance of the Shares within six (6) months of your death, all of the Units will be forfeited to the Company.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w:t>
      </w:r>
    </w:p>
    <w:p>
      <w:pPr>
        <w:sectPr>
          <w:pgSz w:w="11900" w:h="16838" w:orient="portrait"/>
          <w:cols w:equalWidth="0" w:num="1">
            <w:col w:w="11420"/>
          </w:cols>
          <w:pgMar w:left="240" w:top="274" w:right="239" w:bottom="1440" w:gutter="0" w:footer="0" w:header="0"/>
        </w:sectPr>
      </w:pPr>
    </w:p>
    <w:bookmarkStart w:id="92" w:name="page93"/>
    <w:bookmarkEnd w:id="92"/>
    <w:p>
      <w:pPr>
        <w:jc w:val="both"/>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your employment terminates during the period between the end of the Performance Period and the Vesting Date by reason of death, the actual number of Units that have become eligible for vesting will become transferable to your heirs. The Company will issue the Shares subject to the Units to your heirs upon their request, provided they contact the Company with such a request within six (6) months following your death. If your heirs do not request the issuance of the Shares within six (6) months of your death, the Units will be forfeited to the Company.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 Disability</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If your employment terminates during the Performance Period by reason of Disability (as defined in the French RSU Plan), the number of Units that become eligible for vesting according to the Vesting Schedule (based on the attainment of the performance goals as assessed after the end of the Performance Period) shall be pro-rated based on the number of calendar days of employment with the Company or a Related Corporation during the Performance Period (rounded down to the nearest whole number) and such Units shall vest and be settled in accordance with the Vesting Schedule and Section 2 above.</w:t>
      </w:r>
    </w:p>
    <w:p>
      <w:pPr>
        <w:spacing w:after="0" w:line="11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If your employment terminates during the period between the end of the Performance Period and the Vesting Date by reason of Disability (as defined in the French RSU Plan), the Unvested Units shall vest and be settled in accordance with the Vesting Schedule and Section 2 above.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Other</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If your employment terminates for any other reason during the Performance Period or the period between the end of the Performance Period and the Vesting Date, any Unvested Units will be forfeited upon termination of your employment.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 Rights as Shareholder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shall not have voting or other rights as a shareholder of the Company with respect to the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Transferability of Units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Units shall not be sold, transferred, assigned, encumbered, pledged or otherwise disposed of, whether voluntarily or by operation of law.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w:t>
      </w:r>
    </w:p>
    <w:p>
      <w:pPr>
        <w:sectPr>
          <w:pgSz w:w="11900" w:h="16838" w:orient="portrait"/>
          <w:cols w:equalWidth="0" w:num="1">
            <w:col w:w="11420"/>
          </w:cols>
          <w:pgMar w:left="240" w:top="280" w:right="239" w:bottom="1440" w:gutter="0" w:footer="0" w:header="0"/>
        </w:sectPr>
      </w:pPr>
    </w:p>
    <w:bookmarkStart w:id="93" w:name="page94"/>
    <w:bookmarkEnd w:id="93"/>
    <w:p>
      <w:pPr>
        <w:ind w:left="460" w:right="9380" w:hanging="452"/>
        <w:spacing w:after="0" w:line="417" w:lineRule="auto"/>
        <w:tabs>
          <w:tab w:leader="none" w:pos="179"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Transferability of Shares 7.1 Holding Period</w:t>
      </w:r>
    </w:p>
    <w:p>
      <w:pPr>
        <w:spacing w:after="0" w:line="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You are required to hold the Shares issued pursuant to the vesting of the Units for two years as measured from the Vesting Date or such other period as is required to comply with the minimum mandatory holding period applicable to Shares underlying French-qualified Restricted Stock Units (the “</w:t>
      </w:r>
      <w:r>
        <w:rPr>
          <w:rFonts w:ascii="Arial" w:cs="Arial" w:eastAsia="Arial" w:hAnsi="Arial"/>
          <w:sz w:val="16"/>
          <w:szCs w:val="16"/>
          <w:b w:val="1"/>
          <w:bCs w:val="1"/>
          <w:i w:val="1"/>
          <w:iCs w:val="1"/>
          <w:color w:val="auto"/>
        </w:rPr>
        <w:t>Holding Period</w:t>
      </w:r>
      <w:r>
        <w:rPr>
          <w:rFonts w:ascii="Arial" w:cs="Arial" w:eastAsia="Arial" w:hAnsi="Arial"/>
          <w:sz w:val="16"/>
          <w:szCs w:val="16"/>
          <w:color w:val="auto"/>
        </w:rPr>
        <w:t>”), even if you are no longer an employee or corporate officer, as applicable, of a French Entity. As from the end of the Holding Period, the corresponding Shares shall be freely transferable, subject to applicable legal and regulatory provisions in force and in particular to the provisions of Section 7.2 below.</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This Holding Period requirement shall not apply to your heirs should they acquire Shares under the Plan pursuant to Section 4.1 above nor shall it apply if you terminate employment due to Disability (as defined in the French RSU Plan).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7.2 Closed Period</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 long as the Award and the Shares issued upon vesting of the Units maintain their qualified status and to the extent such restriction is applicable under French law, the Shares may not be sold during a Closed Period (as defined in the French RSU Plan).</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This Closed Period restriction shall not apply to your heirs should they acquire Shares under the Plan pursuant to Section 4.1 above nor shall it apply if you terminate employment due to Disability (as defined in the French RSU Plan).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7.3 Shareholding Restrictions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If you qualify as a managing corporate officer (</w:t>
      </w:r>
      <w:r>
        <w:rPr>
          <w:rFonts w:ascii="Arial" w:cs="Arial" w:eastAsia="Arial" w:hAnsi="Arial"/>
          <w:sz w:val="18"/>
          <w:szCs w:val="18"/>
          <w:i w:val="1"/>
          <w:iCs w:val="1"/>
          <w:color w:val="auto"/>
        </w:rPr>
        <w:t>i.e.,</w:t>
      </w:r>
      <w:r>
        <w:rPr>
          <w:rFonts w:ascii="Arial" w:cs="Arial" w:eastAsia="Arial" w:hAnsi="Arial"/>
          <w:sz w:val="18"/>
          <w:szCs w:val="18"/>
          <w:color w:val="auto"/>
        </w:rPr>
        <w:t xml:space="preserve"> “</w:t>
      </w:r>
      <w:r>
        <w:rPr>
          <w:rFonts w:ascii="Arial" w:cs="Arial" w:eastAsia="Arial" w:hAnsi="Arial"/>
          <w:sz w:val="18"/>
          <w:szCs w:val="18"/>
          <w:i w:val="1"/>
          <w:iCs w:val="1"/>
          <w:color w:val="auto"/>
        </w:rPr>
        <w:t>mandataires sociaux</w:t>
      </w:r>
      <w:r>
        <w:rPr>
          <w:rFonts w:ascii="Arial" w:cs="Arial" w:eastAsia="Arial" w:hAnsi="Arial"/>
          <w:sz w:val="18"/>
          <w:szCs w:val="18"/>
          <w:color w:val="auto"/>
        </w:rPr>
        <w:t xml:space="preserve">,” </w:t>
      </w:r>
      <w:r>
        <w:rPr>
          <w:rFonts w:ascii="Arial" w:cs="Arial" w:eastAsia="Arial" w:hAnsi="Arial"/>
          <w:sz w:val="18"/>
          <w:szCs w:val="18"/>
          <w:i w:val="1"/>
          <w:iCs w:val="1"/>
          <w:color w:val="auto"/>
        </w:rPr>
        <w:t>Président du Conseil d’Administration, Directeur Général, Directeur Général</w:t>
      </w:r>
      <w:r>
        <w:rPr>
          <w:rFonts w:ascii="Arial" w:cs="Arial" w:eastAsia="Arial" w:hAnsi="Arial"/>
          <w:sz w:val="18"/>
          <w:szCs w:val="18"/>
          <w:color w:val="auto"/>
        </w:rPr>
        <w:t xml:space="preserve"> </w:t>
      </w:r>
      <w:r>
        <w:rPr>
          <w:rFonts w:ascii="Arial" w:cs="Arial" w:eastAsia="Arial" w:hAnsi="Arial"/>
          <w:sz w:val="18"/>
          <w:szCs w:val="18"/>
          <w:i w:val="1"/>
          <w:iCs w:val="1"/>
          <w:color w:val="auto"/>
        </w:rPr>
        <w:t>Délégué, Membre du Directoire, Gérant de Sociétés par actions</w:t>
      </w:r>
      <w:r>
        <w:rPr>
          <w:rFonts w:ascii="Arial" w:cs="Arial" w:eastAsia="Arial" w:hAnsi="Arial"/>
          <w:sz w:val="18"/>
          <w:szCs w:val="18"/>
          <w:color w:val="auto"/>
        </w:rPr>
        <w:t>), or have a comparable position in any company of the Itron group of companies including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you are subject to shareholding restrictions under French law, you must hold 20% of the Shares issued upon vesting of the Units and you may not sell such Shares until you cease to serve as a managing corporate officer (or cease to have a comparable position as described herein), if required under French law.</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7.4 Compliance with Transfer Restrictions</w:t>
      </w:r>
    </w:p>
    <w:p>
      <w:pPr>
        <w:spacing w:after="0" w:line="96"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To ensure compliance with the restrictions on the transfer of Shares described in Sections 7.1, 7.2 and 7.3 above, the Company may require that the Shares be held with Fidelity or any brokerage firm designated by the Company (or according to any procedure implemented by the Company) until such Shares are sold.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Securities Law Compliance</w:t>
      </w:r>
    </w:p>
    <w:p>
      <w:pPr>
        <w:spacing w:after="0" w:line="90"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color w:val="auto"/>
        </w:rPr>
        <w:t>You represent and warrant that you (a) have been furnished with a copy of the prospectus for the Plan and all information which you deem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w:t>
      </w:r>
    </w:p>
    <w:p>
      <w:pPr>
        <w:sectPr>
          <w:pgSz w:w="11900" w:h="16838" w:orient="portrait"/>
          <w:cols w:equalWidth="0" w:num="1">
            <w:col w:w="11420"/>
          </w:cols>
          <w:pgMar w:left="240" w:top="274" w:right="239" w:bottom="1440" w:gutter="0" w:footer="0" w:header="0"/>
        </w:sectPr>
      </w:pPr>
    </w:p>
    <w:bookmarkStart w:id="94" w:name="page95"/>
    <w:bookmarkEnd w:id="94"/>
    <w:p>
      <w:pPr>
        <w:jc w:val="both"/>
        <w:ind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8.2 </w:t>
      </w:r>
      <w:r>
        <w:rPr>
          <w:rFonts w:ascii="Arial" w:cs="Arial" w:eastAsia="Arial" w:hAnsi="Arial"/>
          <w:sz w:val="16"/>
          <w:szCs w:val="16"/>
          <w:color w:val="auto"/>
        </w:rPr>
        <w:t>You hereby agree that you will in no event sell or distribute all or any part of the shares of Common Stock that you receive pursuant to settlement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Award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unless (a) there is an effective registration statement under the U.S.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any applicable state and foreign securities laws covering any such transaction involving the Shares or (b) the Company receives an opinion of your legal counsel (concurred in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1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color w:val="auto"/>
        </w:rPr>
        <w:t>You confirm that you have been advised, prior to your receipt of the Shares, that neither the offering of the Shares nor any offering materials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by any regulator under the Securities Act or any other applicable securities act (the “</w:t>
      </w:r>
      <w:r>
        <w:rPr>
          <w:rFonts w:ascii="Arial" w:cs="Arial" w:eastAsia="Arial" w:hAnsi="Arial"/>
          <w:sz w:val="18"/>
          <w:szCs w:val="18"/>
          <w:b w:val="1"/>
          <w:bCs w:val="1"/>
          <w:i w:val="1"/>
          <w:iCs w:val="1"/>
          <w:color w:val="auto"/>
        </w:rPr>
        <w:t>Acts</w:t>
      </w:r>
      <w:r>
        <w:rPr>
          <w:rFonts w:ascii="Arial" w:cs="Arial" w:eastAsia="Arial" w:hAnsi="Arial"/>
          <w:sz w:val="18"/>
          <w:szCs w:val="18"/>
          <w:color w:val="auto"/>
        </w:rPr>
        <w:t>”) and that the Shares cannot be resold unless they are registered under the Acts or unless an exemption from such registration is available.</w:t>
      </w:r>
    </w:p>
    <w:p>
      <w:pPr>
        <w:spacing w:after="0" w:line="132"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color w:val="auto"/>
        </w:rPr>
        <w:t>You hereby agree to indemnify the Company and hold it harmless from and against any loss, claim or liability, including attorneys’ fees or legal</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the Company as a result of any breach by you of, or any inaccuracy in, any representation, warranty or statement made by you in this Agreement or the breach by you of any terms or conditions of this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Book Entry Registration of Shares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Responsibility for Taxes</w:t>
      </w:r>
    </w:p>
    <w:p>
      <w:pPr>
        <w:spacing w:after="0" w:line="90"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b w:val="1"/>
          <w:bCs w:val="1"/>
          <w:color w:val="auto"/>
        </w:rPr>
        <w:t xml:space="preserve">10.1 </w:t>
      </w:r>
      <w:r>
        <w:rPr>
          <w:rFonts w:ascii="Arial" w:cs="Arial" w:eastAsia="Arial" w:hAnsi="Arial"/>
          <w:sz w:val="15"/>
          <w:szCs w:val="15"/>
          <w:color w:val="auto"/>
        </w:rPr>
        <w:t>Regardless of any action the Company or your employer (the “</w:t>
      </w:r>
      <w:r>
        <w:rPr>
          <w:rFonts w:ascii="Arial" w:cs="Arial" w:eastAsia="Arial" w:hAnsi="Arial"/>
          <w:sz w:val="15"/>
          <w:szCs w:val="15"/>
          <w:b w:val="1"/>
          <w:bCs w:val="1"/>
          <w:i w:val="1"/>
          <w:iCs w:val="1"/>
          <w:color w:val="auto"/>
        </w:rPr>
        <w:t>Employer</w:t>
      </w:r>
      <w:r>
        <w:rPr>
          <w:rFonts w:ascii="Arial" w:cs="Arial" w:eastAsia="Arial" w:hAnsi="Arial"/>
          <w:sz w:val="15"/>
          <w:szCs w:val="15"/>
          <w:color w:val="auto"/>
        </w:rPr>
        <w:t>”) take with respect to any and all income tax, social insurance, payroll tax,</w:t>
      </w:r>
      <w:r>
        <w:rPr>
          <w:rFonts w:ascii="Arial" w:cs="Arial" w:eastAsia="Arial" w:hAnsi="Arial"/>
          <w:sz w:val="15"/>
          <w:szCs w:val="15"/>
          <w:b w:val="1"/>
          <w:bCs w:val="1"/>
          <w:color w:val="auto"/>
        </w:rPr>
        <w:t xml:space="preserve"> </w:t>
      </w:r>
      <w:r>
        <w:rPr>
          <w:rFonts w:ascii="Arial" w:cs="Arial" w:eastAsia="Arial" w:hAnsi="Arial"/>
          <w:sz w:val="15"/>
          <w:szCs w:val="15"/>
          <w:color w:val="auto"/>
        </w:rPr>
        <w:t>payment on account or other tax-related items related to your participation in the Plan and legally applicable to you (“</w:t>
      </w:r>
      <w:r>
        <w:rPr>
          <w:rFonts w:ascii="Arial" w:cs="Arial" w:eastAsia="Arial" w:hAnsi="Arial"/>
          <w:sz w:val="15"/>
          <w:szCs w:val="15"/>
          <w:b w:val="1"/>
          <w:bCs w:val="1"/>
          <w:i w:val="1"/>
          <w:iCs w:val="1"/>
          <w:color w:val="auto"/>
        </w:rPr>
        <w:t>Tax-Related Items</w:t>
      </w:r>
      <w:r>
        <w:rPr>
          <w:rFonts w:ascii="Arial" w:cs="Arial" w:eastAsia="Arial" w:hAnsi="Arial"/>
          <w:sz w:val="15"/>
          <w:szCs w:val="15"/>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w:t>
      </w:r>
    </w:p>
    <w:p>
      <w:pPr>
        <w:spacing w:after="0" w:line="2" w:lineRule="exact"/>
        <w:rPr>
          <w:sz w:val="20"/>
          <w:szCs w:val="20"/>
          <w:color w:val="auto"/>
        </w:rPr>
      </w:pPr>
    </w:p>
    <w:p>
      <w:pPr>
        <w:jc w:val="both"/>
        <w:ind w:firstLine="8"/>
        <w:spacing w:after="0" w:line="295" w:lineRule="auto"/>
        <w:tabs>
          <w:tab w:leader="none" w:pos="266" w:val="left"/>
        </w:tabs>
        <w:numPr>
          <w:ilvl w:val="0"/>
          <w:numId w:val="43"/>
        </w:numPr>
        <w:rPr>
          <w:rFonts w:ascii="Arial" w:cs="Arial" w:eastAsia="Arial" w:hAnsi="Arial"/>
          <w:sz w:val="16"/>
          <w:szCs w:val="16"/>
          <w:color w:val="auto"/>
        </w:rPr>
      </w:pPr>
      <w:r>
        <w:rPr>
          <w:rFonts w:ascii="Arial" w:cs="Arial" w:eastAsia="Arial" w:hAnsi="Arial"/>
          <w:sz w:val="16"/>
          <w:szCs w:val="16"/>
          <w:color w:val="auto"/>
        </w:rPr>
        <w:t>do not commit to and are under no obligation to structure the terms of the grant or any aspect of the Award to reduce or eliminate your liability for Tax-Related Items or achieve any particular tax and/or social insurance contribution result. Further, if you have become subject to tax and/or social insurance contributions in more than one jurisdiction between the Date of Grant and the date of any relevant taxable event, you acknowledge that the Company and/or the Employer (or former employer, as applicable) may be required to withhold or account for Tax-Related Items in more than one jurisdiction.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5</w:t>
      </w:r>
    </w:p>
    <w:p>
      <w:pPr>
        <w:sectPr>
          <w:pgSz w:w="11900" w:h="16838" w:orient="portrait"/>
          <w:cols w:equalWidth="0" w:num="1">
            <w:col w:w="11420"/>
          </w:cols>
          <w:pgMar w:left="240" w:top="274" w:right="239" w:bottom="1440" w:gutter="0" w:footer="0" w:header="0"/>
        </w:sectPr>
      </w:pPr>
    </w:p>
    <w:bookmarkStart w:id="95" w:name="page96"/>
    <w:bookmarkEnd w:id="95"/>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10.2 </w:t>
      </w:r>
      <w:r>
        <w:rPr>
          <w:rFonts w:ascii="Arial" w:cs="Arial" w:eastAsia="Arial" w:hAnsi="Arial"/>
          <w:sz w:val="18"/>
          <w:szCs w:val="18"/>
          <w:color w:val="auto"/>
        </w:rPr>
        <w:t>Prior to any relevant taxable or tax and/or social insurance contribution withholding event, as applicable, you will pay or make adequate arrangements</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the Company and or the Employer to satisfy all Tax-Related Items.</w:t>
      </w:r>
    </w:p>
    <w:p>
      <w:pPr>
        <w:spacing w:after="0" w:line="126" w:lineRule="exact"/>
        <w:rPr>
          <w:sz w:val="20"/>
          <w:szCs w:val="20"/>
          <w:color w:val="auto"/>
        </w:rPr>
      </w:pPr>
    </w:p>
    <w:p>
      <w:pPr>
        <w:ind w:firstLine="464"/>
        <w:spacing w:after="0" w:line="26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this regard, you hereby irrevocably appoint Fidelity or any stock plan service provider or brokerage firm designated by the Company for such purpose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your Agent, and authorize the Agent, to:</w:t>
      </w:r>
    </w:p>
    <w:p>
      <w:pPr>
        <w:spacing w:after="0" w:line="50" w:lineRule="exact"/>
        <w:rPr>
          <w:rFonts w:ascii="Arial" w:cs="Arial" w:eastAsia="Arial" w:hAnsi="Arial"/>
          <w:sz w:val="18"/>
          <w:szCs w:val="18"/>
          <w:color w:val="auto"/>
        </w:rPr>
      </w:pPr>
    </w:p>
    <w:p>
      <w:pPr>
        <w:jc w:val="both"/>
        <w:ind w:left="1480" w:hanging="567"/>
        <w:spacing w:after="0" w:line="306"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Tax-Related Items and all applicable fees and commissions due to, or required to be collected by, the Agent;</w:t>
      </w:r>
    </w:p>
    <w:p>
      <w:pPr>
        <w:spacing w:after="0" w:line="25" w:lineRule="exact"/>
        <w:rPr>
          <w:rFonts w:ascii="Arial" w:cs="Arial" w:eastAsia="Arial" w:hAnsi="Arial"/>
          <w:sz w:val="16"/>
          <w:szCs w:val="16"/>
          <w:color w:val="auto"/>
        </w:rPr>
      </w:pPr>
    </w:p>
    <w:p>
      <w:pPr>
        <w:ind w:left="1480" w:hanging="567"/>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Remit directly to the Company the cash amount necessary to cover the Tax-Related Items;</w:t>
      </w:r>
    </w:p>
    <w:p>
      <w:pPr>
        <w:spacing w:after="0" w:line="90"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Retain the amount required to cover all applicable fees and commissions due to, or required to be collected by, the Agent, relating directly to the sale of Shares referred to in clause (i) above;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Remit any remaining funds to you.</w:t>
      </w:r>
    </w:p>
    <w:p>
      <w:pPr>
        <w:spacing w:after="0" w:line="171" w:lineRule="exact"/>
        <w:rPr>
          <w:rFonts w:ascii="Arial" w:cs="Arial" w:eastAsia="Arial" w:hAnsi="Arial"/>
          <w:sz w:val="18"/>
          <w:szCs w:val="18"/>
          <w:color w:val="auto"/>
        </w:rPr>
      </w:pPr>
    </w:p>
    <w:p>
      <w:pPr>
        <w:ind w:firstLine="464"/>
        <w:spacing w:after="0" w:line="268" w:lineRule="auto"/>
        <w:tabs>
          <w:tab w:leader="none" w:pos="7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Alternatively, or in addition to or in combination with the withholding mechanism described in Section 10.2(a), you authorize the Company and/or the Employer, at their discretion, to satisfy the obligations with regard to all Tax-Related Items by:</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requiring you to pay to the Company or the Employer any amount of the Tax-Related Items; and/or</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withholding any amount of the Tax-Related Items from your wages or other cash compensation paid to you by the Company and/or the Employer, within legal limits; and/or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withholding in Shares to be issued upon settlement of the Vested Units.</w:t>
      </w:r>
    </w:p>
    <w:p>
      <w:pPr>
        <w:spacing w:after="0" w:line="171" w:lineRule="exact"/>
        <w:rPr>
          <w:rFonts w:ascii="Arial" w:cs="Arial" w:eastAsia="Arial" w:hAnsi="Arial"/>
          <w:sz w:val="18"/>
          <w:szCs w:val="18"/>
          <w:color w:val="auto"/>
        </w:rPr>
      </w:pPr>
    </w:p>
    <w:p>
      <w:pPr>
        <w:jc w:val="both"/>
        <w:ind w:firstLine="464"/>
        <w:spacing w:after="0" w:line="256" w:lineRule="auto"/>
        <w:tabs>
          <w:tab w:leader="none" w:pos="7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amount withheld is greater than the actual Tax-Related Items, the difference will be refunded to you as soon as practicable. 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and/or social insurance contribution purposes, you will be deemed to have been issued the full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6</w:t>
      </w:r>
    </w:p>
    <w:p>
      <w:pPr>
        <w:sectPr>
          <w:pgSz w:w="11900" w:h="16838" w:orient="portrait"/>
          <w:cols w:equalWidth="0" w:num="1">
            <w:col w:w="11420"/>
          </w:cols>
          <w:pgMar w:left="240" w:top="274" w:right="239" w:bottom="1440" w:gutter="0" w:footer="0" w:header="0"/>
        </w:sectPr>
      </w:pPr>
    </w:p>
    <w:bookmarkStart w:id="96" w:name="page97"/>
    <w:bookmarkEnd w:id="9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134"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 xml:space="preserve">10.3 </w:t>
      </w:r>
      <w:r>
        <w:rPr>
          <w:rFonts w:ascii="Arial" w:cs="Arial" w:eastAsia="Arial" w:hAnsi="Arial"/>
          <w:sz w:val="16"/>
          <w:szCs w:val="16"/>
          <w:color w:val="auto"/>
        </w:rPr>
        <w:t>You acknowledge that the authorization and instruction to the Agent set forth in Section 10.2(a)(i) above to sell Shares to cover the Tax-Related Items</w:t>
      </w:r>
      <w:r>
        <w:rPr>
          <w:rFonts w:ascii="Arial" w:cs="Arial" w:eastAsia="Arial" w:hAnsi="Arial"/>
          <w:sz w:val="16"/>
          <w:szCs w:val="16"/>
          <w:b w:val="1"/>
          <w:bCs w:val="1"/>
          <w:color w:val="auto"/>
        </w:rPr>
        <w:t xml:space="preserve"> </w:t>
      </w:r>
      <w:r>
        <w:rPr>
          <w:rFonts w:ascii="Arial" w:cs="Arial" w:eastAsia="Arial" w:hAnsi="Arial"/>
          <w:sz w:val="16"/>
          <w:szCs w:val="16"/>
          <w:color w:val="auto"/>
        </w:rPr>
        <w:t>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6"/>
          <w:szCs w:val="16"/>
          <w:b w:val="1"/>
          <w:bCs w:val="1"/>
          <w:i w:val="1"/>
          <w:iCs w:val="1"/>
          <w:color w:val="auto"/>
        </w:rPr>
        <w:t>10b5-1 Plan</w:t>
      </w:r>
      <w:r>
        <w:rPr>
          <w:rFonts w:ascii="Arial" w:cs="Arial" w:eastAsia="Arial" w:hAnsi="Arial"/>
          <w:sz w:val="16"/>
          <w:szCs w:val="16"/>
          <w:color w:val="auto"/>
        </w:rPr>
        <w:t>”). This 10b5-1 Plan is being adopted to permit you to sell a number of Shares issued upon settlement of Vested Units sufficient to pay the Tax-Related Items.</w:t>
      </w:r>
    </w:p>
    <w:p>
      <w:pPr>
        <w:spacing w:after="0" w:line="10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10.2(a)(i) and this 10b5-1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Nature of Grant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accepting the grant, you acknowledge, understand and agree that:</w:t>
      </w:r>
    </w:p>
    <w:p>
      <w:pPr>
        <w:spacing w:after="0" w:line="171" w:lineRule="exact"/>
        <w:rPr>
          <w:sz w:val="20"/>
          <w:szCs w:val="20"/>
          <w:color w:val="auto"/>
        </w:rPr>
      </w:pPr>
    </w:p>
    <w:p>
      <w:pPr>
        <w:ind w:firstLine="464"/>
        <w:spacing w:after="0" w:line="268" w:lineRule="auto"/>
        <w:tabs>
          <w:tab w:leader="none" w:pos="71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w:t>
      </w:r>
    </w:p>
    <w:p>
      <w:pPr>
        <w:spacing w:after="0" w:line="131" w:lineRule="exact"/>
        <w:rPr>
          <w:rFonts w:ascii="Arial" w:cs="Arial" w:eastAsia="Arial" w:hAnsi="Arial"/>
          <w:sz w:val="18"/>
          <w:szCs w:val="18"/>
          <w:color w:val="auto"/>
        </w:rPr>
      </w:pPr>
    </w:p>
    <w:p>
      <w:pPr>
        <w:ind w:firstLine="464"/>
        <w:spacing w:after="0" w:line="332" w:lineRule="auto"/>
        <w:tabs>
          <w:tab w:leader="none" w:pos="71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grant of the Award is voluntary and occasional and does not create any contractual or other right to receive future grants of performance restricted stock units, or benefits in lieu of performance restricted stock units, even if performance restricted stock units have been granted repeatedly in the past;</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decisions with respect to future grants of performance restricted stock units, if any, will be at the sole discretion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7</w:t>
      </w:r>
    </w:p>
    <w:p>
      <w:pPr>
        <w:sectPr>
          <w:pgSz w:w="11900" w:h="16838" w:orient="portrait"/>
          <w:cols w:equalWidth="0" w:num="1">
            <w:col w:w="11420"/>
          </w:cols>
          <w:pgMar w:left="240" w:top="280" w:right="239" w:bottom="1440" w:gutter="0" w:footer="0" w:header="0"/>
        </w:sectPr>
      </w:pPr>
    </w:p>
    <w:bookmarkStart w:id="97" w:name="page98"/>
    <w:bookmarkEnd w:id="97"/>
    <w:p>
      <w:pPr>
        <w:ind w:firstLine="464"/>
        <w:spacing w:after="0" w:line="268" w:lineRule="auto"/>
        <w:tabs>
          <w:tab w:leader="none" w:pos="706"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participation in the Plan shall not create a right to further employment with the Employer and shall not interfere with the ability of the Employer to terminate your employment relationship;</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171" w:lineRule="exact"/>
        <w:rPr>
          <w:rFonts w:ascii="Arial" w:cs="Arial" w:eastAsia="Arial" w:hAnsi="Arial"/>
          <w:sz w:val="18"/>
          <w:szCs w:val="18"/>
          <w:color w:val="auto"/>
        </w:rPr>
      </w:pPr>
    </w:p>
    <w:p>
      <w:pPr>
        <w:ind w:right="20" w:firstLine="464"/>
        <w:spacing w:after="0" w:line="268" w:lineRule="auto"/>
        <w:tabs>
          <w:tab w:leader="none" w:pos="69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an extraordinary item that does not constitute compensation of any kind for services of any kind rendered to the Company or the Employer, and which is outside the scope of your employment contract, if any;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not intended to replace any pension rights or compensation;</w:t>
      </w:r>
    </w:p>
    <w:p>
      <w:pPr>
        <w:spacing w:after="0" w:line="171" w:lineRule="exact"/>
        <w:rPr>
          <w:rFonts w:ascii="Arial" w:cs="Arial" w:eastAsia="Arial" w:hAnsi="Arial"/>
          <w:sz w:val="18"/>
          <w:szCs w:val="18"/>
          <w:color w:val="auto"/>
        </w:rPr>
      </w:pPr>
    </w:p>
    <w:p>
      <w:pPr>
        <w:jc w:val="both"/>
        <w:ind w:firstLine="464"/>
        <w:spacing w:after="0" w:line="256" w:lineRule="auto"/>
        <w:tabs>
          <w:tab w:leader="none" w:pos="70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not part of normal or expected compensation or salary for any purposes, including, but not limited to, calculating any severance, resignation, termination, redundancy, end of service payments, bonuses, long-service awards, pension or retirement or welfare benefits or similar payments and in no event should be considered as compensation for, or relating in any way to, past services for the Company, the Employer or any Related Corporation;</w:t>
      </w:r>
    </w:p>
    <w:p>
      <w:pPr>
        <w:spacing w:after="0" w:line="143" w:lineRule="exact"/>
        <w:rPr>
          <w:rFonts w:ascii="Arial" w:cs="Arial" w:eastAsia="Arial" w:hAnsi="Arial"/>
          <w:sz w:val="18"/>
          <w:szCs w:val="18"/>
          <w:color w:val="auto"/>
        </w:rPr>
      </w:pPr>
    </w:p>
    <w:p>
      <w:pPr>
        <w:ind w:firstLine="464"/>
        <w:spacing w:after="0" w:line="268" w:lineRule="auto"/>
        <w:tabs>
          <w:tab w:leader="none" w:pos="6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grant of the Award and your participation in the Plan will not be interpreted to form an employment contract or relationship with the Company or any Related Corporation;</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w:t>
      </w:r>
    </w:p>
    <w:p>
      <w:pPr>
        <w:spacing w:after="0" w:line="171" w:lineRule="exact"/>
        <w:rPr>
          <w:rFonts w:ascii="Arial" w:cs="Arial" w:eastAsia="Arial" w:hAnsi="Arial"/>
          <w:sz w:val="18"/>
          <w:szCs w:val="18"/>
          <w:color w:val="auto"/>
        </w:rPr>
      </w:pPr>
    </w:p>
    <w:p>
      <w:pPr>
        <w:jc w:val="both"/>
        <w:ind w:firstLine="464"/>
        <w:spacing w:after="0" w:line="291" w:lineRule="auto"/>
        <w:tabs>
          <w:tab w:leader="none" w:pos="721"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Award resulting from termination of your employment by the Company or the Employer (for any reason whatsoever and whether or not in breach of local labor laws) and, in consideration of the grant of the Award to which you are otherwise not entitled, you irrevocably agree never to institute any claim against the Company or the Employer, waive the ability, if any, to bring any such claim and release the Company and the Employer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claims;</w:t>
      </w:r>
    </w:p>
    <w:p>
      <w:pPr>
        <w:spacing w:after="0" w:line="120" w:lineRule="exact"/>
        <w:rPr>
          <w:rFonts w:ascii="Arial" w:cs="Arial" w:eastAsia="Arial" w:hAnsi="Arial"/>
          <w:sz w:val="16"/>
          <w:szCs w:val="16"/>
          <w:color w:val="auto"/>
        </w:rPr>
      </w:pPr>
    </w:p>
    <w:p>
      <w:pPr>
        <w:jc w:val="both"/>
        <w:ind w:firstLine="464"/>
        <w:spacing w:after="0" w:line="291" w:lineRule="auto"/>
        <w:tabs>
          <w:tab w:leader="none" w:pos="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event of termination of your employment (whether or not in breach of local labor laws), your right to vest in the Award, if any, will terminate effective as of the date that you are no longer actively employed and will not be extended by any notice period mandated under local law (</w:t>
      </w:r>
      <w:r>
        <w:rPr>
          <w:rFonts w:ascii="Arial" w:cs="Arial" w:eastAsia="Arial" w:hAnsi="Arial"/>
          <w:sz w:val="16"/>
          <w:szCs w:val="16"/>
          <w:i w:val="1"/>
          <w:iCs w:val="1"/>
          <w:color w:val="auto"/>
        </w:rPr>
        <w:t>e.g.</w:t>
      </w:r>
      <w:r>
        <w:rPr>
          <w:rFonts w:ascii="Arial" w:cs="Arial" w:eastAsia="Arial" w:hAnsi="Arial"/>
          <w:sz w:val="16"/>
          <w:szCs w:val="16"/>
          <w:color w:val="auto"/>
        </w:rPr>
        <w:t>, active employment would not include a period of “garden leave” or similar period pursuant to local law); the Company’s Chief Executive Officer shall have the exclusive discretion to determine when you are no longer actively employed for purposes of the Award (including whether or not a transfer of employment between or among the Company and its Related Corporations or a change in status from an employee to a consultant, agent, advisor or independent contractor will constitute a termination of active employment for purposes of the Award);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8</w:t>
      </w:r>
    </w:p>
    <w:p>
      <w:pPr>
        <w:sectPr>
          <w:pgSz w:w="11900" w:h="16838" w:orient="portrait"/>
          <w:cols w:equalWidth="0" w:num="1">
            <w:col w:w="11420"/>
          </w:cols>
          <w:pgMar w:left="240" w:top="280" w:right="239" w:bottom="1440" w:gutter="0" w:footer="0" w:header="0"/>
        </w:sectPr>
      </w:pPr>
    </w:p>
    <w:bookmarkStart w:id="98" w:name="page99"/>
    <w:bookmarkEnd w:id="98"/>
    <w:p>
      <w:pPr>
        <w:ind w:left="780" w:hanging="316"/>
        <w:spacing w:after="0"/>
        <w:tabs>
          <w:tab w:leader="none" w:pos="780" w:val="left"/>
        </w:tabs>
        <w:numPr>
          <w:ilvl w:val="1"/>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Award and the benefits under the Plan, if any, will not necessarily transfer to another company in the case of a merger, take over or transfer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liability.</w:t>
      </w:r>
    </w:p>
    <w:p>
      <w:pPr>
        <w:spacing w:after="0" w:line="239" w:lineRule="exact"/>
        <w:rPr>
          <w:rFonts w:ascii="Arial" w:cs="Arial" w:eastAsia="Arial" w:hAnsi="Arial"/>
          <w:sz w:val="16"/>
          <w:szCs w:val="16"/>
          <w:color w:val="auto"/>
        </w:rPr>
      </w:pPr>
    </w:p>
    <w:p>
      <w:pPr>
        <w:ind w:left="280" w:hanging="272"/>
        <w:spacing w:after="0"/>
        <w:tabs>
          <w:tab w:leader="none" w:pos="2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No Advice Regarding Grant</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97"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Data Privacy</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1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France.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9</w:t>
      </w:r>
    </w:p>
    <w:p>
      <w:pPr>
        <w:sectPr>
          <w:pgSz w:w="11900" w:h="16838" w:orient="portrait"/>
          <w:cols w:equalWidth="0" w:num="1">
            <w:col w:w="11420"/>
          </w:cols>
          <w:pgMar w:left="240" w:top="280" w:right="239" w:bottom="1440" w:gutter="0" w:footer="0" w:header="0"/>
        </w:sectPr>
      </w:pPr>
    </w:p>
    <w:bookmarkStart w:id="99" w:name="page100"/>
    <w:bookmarkEnd w:id="99"/>
    <w:p>
      <w:pPr>
        <w:jc w:val="both"/>
        <w:spacing w:after="0" w:line="323"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Electronic Delivery and Participation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Language</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If you have received this Agreement or any other document related to the Plan translated into a language other than English and if the meaning of the translated version is different from the English version, the English version will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General Provisions</w:t>
      </w:r>
    </w:p>
    <w:p>
      <w:pPr>
        <w:spacing w:after="0" w:line="9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16.1 Successors and Assigns</w:t>
      </w:r>
      <w:r>
        <w:rPr>
          <w:rFonts w:ascii="Arial" w:cs="Arial" w:eastAsia="Arial" w:hAnsi="Arial"/>
          <w:sz w:val="18"/>
          <w:szCs w:val="18"/>
          <w:color w:val="auto"/>
        </w:rPr>
        <w:t>. The provisions of this Agreement will inure to the benefit of the successors and assigns of the Company and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you and your heirs, executors, administrators, successors and assigns.</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b w:val="1"/>
          <w:bCs w:val="1"/>
          <w:color w:val="auto"/>
        </w:rPr>
        <w:t xml:space="preserve">16.2 Section 409A. </w:t>
      </w:r>
      <w:r>
        <w:rPr>
          <w:rFonts w:ascii="Arial" w:cs="Arial" w:eastAsia="Arial" w:hAnsi="Arial"/>
          <w:sz w:val="16"/>
          <w:szCs w:val="16"/>
          <w:color w:val="auto"/>
        </w:rPr>
        <w:t>For purposes of U.S. taxpayers, the Units and the settlement of the Units are intended to either be exempt from Section 409A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Code under the “short-term deferral” exception or comply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The Company makes no representation or covenant to ensure that the Units, settlement of the Units or other payment hereunder are exempt from or compliant with Section 409A of the Code and will have no liability to you or any other party if the settlement of the Units or other payment hereunder that is intended to be exempt from, or compliant with, Section 409A of the Code, is not so exempt or compliant or for any action taken by the Plan Administrator with respect thereto.</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16.3 Governing Law and Choice of Venue</w:t>
      </w:r>
      <w:r>
        <w:rPr>
          <w:rFonts w:ascii="Arial" w:cs="Arial" w:eastAsia="Arial" w:hAnsi="Arial"/>
          <w:sz w:val="18"/>
          <w:szCs w:val="18"/>
          <w:color w:val="auto"/>
        </w:rPr>
        <w:t>. The Award and the provisions of this Agreement will be construed and administered in accordance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10</w:t>
      </w:r>
    </w:p>
    <w:p>
      <w:pPr>
        <w:sectPr>
          <w:pgSz w:w="11900" w:h="16838" w:orient="portrait"/>
          <w:cols w:equalWidth="0" w:num="1">
            <w:col w:w="11420"/>
          </w:cols>
          <w:pgMar w:left="240" w:top="280" w:right="239" w:bottom="1440" w:gutter="0" w:footer="0" w:header="0"/>
        </w:sectPr>
      </w:pPr>
    </w:p>
    <w:bookmarkStart w:id="100" w:name="page101"/>
    <w:bookmarkEnd w:id="100"/>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16.4 Severability</w:t>
      </w:r>
      <w:r>
        <w:rPr>
          <w:rFonts w:ascii="Arial" w:cs="Arial" w:eastAsia="Arial" w:hAnsi="Arial"/>
          <w:sz w:val="18"/>
          <w:szCs w:val="18"/>
          <w:color w:val="auto"/>
        </w:rPr>
        <w:t>. The provisions of this Agreement are severable and if any one or more provisions are determined to be illegal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rFonts w:ascii="Arial" w:cs="Arial" w:eastAsia="Arial" w:hAnsi="Arial"/>
          <w:sz w:val="18"/>
          <w:szCs w:val="18"/>
          <w:b w:val="1"/>
          <w:bCs w:val="1"/>
          <w:color w:val="auto"/>
        </w:rPr>
        <w:t>5 Notice</w:t>
      </w:r>
      <w:r>
        <w:rPr>
          <w:rFonts w:ascii="Arial" w:cs="Arial" w:eastAsia="Arial" w:hAnsi="Arial"/>
          <w:sz w:val="18"/>
          <w:szCs w:val="18"/>
          <w:color w:val="auto"/>
        </w:rPr>
        <w:t>. Any notice required or permitted hereunder shall be made in writing and sent to the following address:</w:t>
      </w:r>
    </w:p>
    <w:p>
      <w:pPr>
        <w:spacing w:after="0" w:line="9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Liberty Lake, WA 99019</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USA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11</w:t>
      </w:r>
    </w:p>
    <w:p>
      <w:pPr>
        <w:sectPr>
          <w:pgSz w:w="11900" w:h="16838" w:orient="portrait"/>
          <w:cols w:equalWidth="0" w:num="1">
            <w:col w:w="11420"/>
          </w:cols>
          <w:pgMar w:left="240" w:top="274" w:right="23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[INSERT 2010 PERFORMANCE GOALS]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12</w:t>
      </w:r>
    </w:p>
    <w:p>
      <w:pPr>
        <w:sectPr>
          <w:pgSz w:w="11900" w:h="16838" w:orient="portrait"/>
          <w:cols w:equalWidth="0" w:num="1">
            <w:col w:w="9019"/>
          </w:cols>
          <w:pgMar w:left="1440" w:top="274" w:right="1440" w:bottom="1440" w:gutter="0" w:footer="0" w:header="0"/>
        </w:sectPr>
      </w:pPr>
    </w:p>
    <w:bookmarkStart w:id="102" w:name="page103"/>
    <w:bookmarkEnd w:id="102"/>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LONG TERM PERFORMANCE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IN FRANCE</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For purposes of this Agreement, 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xml:space="preserve"> shall be deemed to have occurred if any of the events set forth in any of the following paragraphs shall have occurred:</w:t>
      </w:r>
    </w:p>
    <w:p>
      <w:pPr>
        <w:spacing w:after="0" w:line="132" w:lineRule="exact"/>
        <w:rPr>
          <w:sz w:val="20"/>
          <w:szCs w:val="20"/>
          <w:color w:val="auto"/>
        </w:rPr>
      </w:pPr>
    </w:p>
    <w:p>
      <w:pPr>
        <w:jc w:val="both"/>
        <w:ind w:firstLine="464"/>
        <w:spacing w:after="0" w:line="259" w:lineRule="auto"/>
        <w:tabs>
          <w:tab w:leader="none" w:pos="72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25% or more of either the then outstanding Shares or the combined voting power of the Company’s then outstanding securities, excluding any Person who becomes such a Beneficial Owner in connection with a transaction described in subsection(c) below;</w:t>
      </w:r>
    </w:p>
    <w:p>
      <w:pPr>
        <w:spacing w:after="0" w:line="140" w:lineRule="exact"/>
        <w:rPr>
          <w:rFonts w:ascii="Arial" w:cs="Arial" w:eastAsia="Arial" w:hAnsi="Arial"/>
          <w:sz w:val="18"/>
          <w:szCs w:val="18"/>
          <w:color w:val="auto"/>
        </w:rPr>
      </w:pPr>
    </w:p>
    <w:p>
      <w:pPr>
        <w:jc w:val="both"/>
        <w:ind w:firstLine="464"/>
        <w:spacing w:after="0" w:line="290" w:lineRule="auto"/>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a change in the composition of the Board during any two-year period such that the individuals who, as of the date of this Agreement, constitute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18" w:lineRule="exact"/>
        <w:rPr>
          <w:rFonts w:ascii="Arial" w:cs="Arial" w:eastAsia="Arial" w:hAnsi="Arial"/>
          <w:sz w:val="16"/>
          <w:szCs w:val="16"/>
          <w:color w:val="auto"/>
        </w:rPr>
      </w:pPr>
    </w:p>
    <w:p>
      <w:pPr>
        <w:jc w:val="both"/>
        <w:ind w:firstLine="464"/>
        <w:spacing w:after="0" w:line="288" w:lineRule="auto"/>
        <w:tabs>
          <w:tab w:leader="none" w:pos="70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25% or more of the combined voting power of the Company’s then outstanding securities; or the stockholders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13</w:t>
      </w:r>
    </w:p>
    <w:p>
      <w:pPr>
        <w:sectPr>
          <w:pgSz w:w="11900" w:h="16838" w:orient="portrait"/>
          <w:cols w:equalWidth="0" w:num="1">
            <w:col w:w="11420"/>
          </w:cols>
          <w:pgMar w:left="240" w:top="274" w:right="23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clarity, a Change in Control shall not be deemed to have occurred in the event of a reincorporation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For Purposes of this Appendix B,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shall have the meaning set forth in Rule 13d-3 under the Exchange Act.</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For purposes of this Appendix B,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xml:space="preserve">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(as such term is set forth in Rule 12-b2 promulgated under Section 12 of the Exchange Act),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14</w:t>
      </w:r>
    </w:p>
    <w:p>
      <w:pPr>
        <w:sectPr>
          <w:pgSz w:w="11900" w:h="16838" w:orient="portrait"/>
          <w:cols w:equalWidth="0" w:num="1">
            <w:col w:w="11420"/>
          </w:cols>
          <w:pgMar w:left="240" w:top="2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RESTRICTED STOCK UNIT AWARD NOTICE</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ALL PARTICIPANTS (EXCLUDING FRANCE)</w:t>
      </w:r>
    </w:p>
    <w:p>
      <w:pPr>
        <w:spacing w:after="0" w:line="16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Itron,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grants to Participant a restricted stock unit award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The Award is subject to all the terms and conditions set forth in this Restricted Stock Unit Award Notice (the “</w:t>
      </w:r>
      <w:r>
        <w:rPr>
          <w:rFonts w:ascii="Arial" w:cs="Arial" w:eastAsia="Arial" w:hAnsi="Arial"/>
          <w:sz w:val="16"/>
          <w:szCs w:val="16"/>
          <w:b w:val="1"/>
          <w:bCs w:val="1"/>
          <w:i w:val="1"/>
          <w:iCs w:val="1"/>
          <w:color w:val="auto"/>
        </w:rPr>
        <w:t>Award Notice</w:t>
      </w:r>
      <w:r>
        <w:rPr>
          <w:rFonts w:ascii="Arial" w:cs="Arial" w:eastAsia="Arial" w:hAnsi="Arial"/>
          <w:sz w:val="16"/>
          <w:szCs w:val="16"/>
          <w:color w:val="auto"/>
        </w:rPr>
        <w:t>”), the Restricted Stock Unit Award Agreement, including Appendices A and B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the Itron, Inc. 2010 Stock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all of which are incorporated into the Award Notice in their entirety.</w:t>
      </w:r>
    </w:p>
    <w:p>
      <w:pPr>
        <w:sectPr>
          <w:pgSz w:w="11900" w:h="16838" w:orient="portrait"/>
          <w:cols w:equalWidth="0" w:num="1">
            <w:col w:w="11420"/>
          </w:cols>
          <w:pgMar w:left="240" w:top="125" w:right="239"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«First_Name» «Last_Name»</w:t>
      </w:r>
    </w:p>
    <w:p>
      <w:pPr>
        <w:spacing w:after="0" w:line="14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«Grant Date»</w:t>
      </w:r>
    </w:p>
    <w:p>
      <w:pPr>
        <w:spacing w:after="0" w:line="14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of Units»</w:t>
      </w:r>
    </w:p>
    <w:p>
      <w:pPr>
        <w:spacing w:after="0" w:line="134"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The Award will vest with respect to one-third of the Restricted Stock Units on each of the first, second and third anniversaries of the Grant Date (each, a “</w:t>
      </w:r>
      <w:r>
        <w:rPr>
          <w:rFonts w:ascii="Arial" w:cs="Arial" w:eastAsia="Arial" w:hAnsi="Arial"/>
          <w:sz w:val="18"/>
          <w:szCs w:val="18"/>
          <w:b w:val="1"/>
          <w:bCs w:val="1"/>
          <w:i w:val="1"/>
          <w:iCs w:val="1"/>
          <w:color w:val="auto"/>
        </w:rPr>
        <w:t>Vest Date</w:t>
      </w:r>
      <w:r>
        <w:rPr>
          <w:rFonts w:ascii="Arial" w:cs="Arial" w:eastAsia="Arial" w:hAnsi="Arial"/>
          <w:sz w:val="18"/>
          <w:szCs w:val="18"/>
          <w:color w:val="auto"/>
        </w:rPr>
        <w:t>”).</w:t>
      </w:r>
    </w:p>
    <w:p>
      <w:pPr>
        <w:spacing w:after="0" w:line="134"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line="275" w:lineRule="auto"/>
        <w:rPr>
          <w:sz w:val="20"/>
          <w:szCs w:val="20"/>
          <w:color w:val="auto"/>
        </w:rPr>
      </w:pPr>
      <w:r>
        <w:rPr>
          <w:rFonts w:ascii="Arial" w:cs="Arial" w:eastAsia="Arial" w:hAnsi="Arial"/>
          <w:sz w:val="18"/>
          <w:szCs w:val="18"/>
          <w:b w:val="1"/>
          <w:bCs w:val="1"/>
          <w:color w:val="auto"/>
        </w:rPr>
        <w:t>Additional Terms/Acknowledgement</w:t>
      </w:r>
      <w:r>
        <w:rPr>
          <w:rFonts w:ascii="Arial" w:cs="Arial" w:eastAsia="Arial" w:hAnsi="Arial"/>
          <w:sz w:val="18"/>
          <w:szCs w:val="18"/>
          <w:color w:val="auto"/>
        </w:rPr>
        <w:t>: This Award is subject to all the terms and conditions set forth in this Award Notice, the Agreement, and the Plan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attached to and incorporated into this Award Notice in their entirety.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«First_Name» «Last_Name»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accept this award subject to the terms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conditions stated herein.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«Electronically Signed»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15" w:lineRule="exact"/>
        <w:rPr>
          <w:sz w:val="20"/>
          <w:szCs w:val="20"/>
          <w:color w:val="auto"/>
        </w:rPr>
      </w:pPr>
    </w:p>
    <w:p>
      <w:pPr>
        <w:ind w:right="8360" w:firstLine="8"/>
        <w:spacing w:after="0" w:line="281" w:lineRule="auto"/>
        <w:tabs>
          <w:tab w:leader="none" w:pos="1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Restricted Stock Unit Award Agreement, including Appendices A and B</w:t>
      </w:r>
    </w:p>
    <w:p>
      <w:pPr>
        <w:spacing w:after="0" w:line="1" w:lineRule="exact"/>
        <w:rPr>
          <w:rFonts w:ascii="Arial" w:cs="Arial" w:eastAsia="Arial" w:hAnsi="Arial"/>
          <w:sz w:val="16"/>
          <w:szCs w:val="16"/>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2010 Stock Incentive Plan</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Plan Prospectus</w:t>
      </w:r>
    </w:p>
    <w:p>
      <w:pPr>
        <w:sectPr>
          <w:pgSz w:w="11900" w:h="16838" w:orient="portrait"/>
          <w:cols w:equalWidth="0" w:num="1">
            <w:col w:w="11420"/>
          </w:cols>
          <w:pgMar w:left="240" w:top="125" w:right="2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PARTICIPANTS (EXCLUDING FRANCE)</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Pursuant to your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and this Restricted Stock Unit Award Agreement, including Appendices A and B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under its 2010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 indicated in your Award Notice. Capitalized terms not expressly defined in this Agreement but defined in the Plan shall have the same definitions as in the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the Award are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Vesting</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Award will vest according to the vesting schedule set forth in the Award Notice (the “</w:t>
      </w:r>
      <w:r>
        <w:rPr>
          <w:rFonts w:ascii="Arial" w:cs="Arial" w:eastAsia="Arial" w:hAnsi="Arial"/>
          <w:sz w:val="16"/>
          <w:szCs w:val="16"/>
          <w:b w:val="1"/>
          <w:bCs w:val="1"/>
          <w:i w:val="1"/>
          <w:iCs w:val="1"/>
          <w:color w:val="auto"/>
        </w:rPr>
        <w:t>Vesting Schedule</w:t>
      </w:r>
      <w:r>
        <w:rPr>
          <w:rFonts w:ascii="Arial" w:cs="Arial" w:eastAsia="Arial" w:hAnsi="Arial"/>
          <w:sz w:val="16"/>
          <w:szCs w:val="16"/>
          <w:i w:val="1"/>
          <w:iCs w:val="1"/>
          <w:color w:val="auto"/>
        </w:rPr>
        <w:t>”</w:t>
      </w:r>
      <w:r>
        <w:rPr>
          <w:rFonts w:ascii="Arial" w:cs="Arial" w:eastAsia="Arial" w:hAnsi="Arial"/>
          <w:sz w:val="16"/>
          <w:szCs w:val="16"/>
          <w:color w:val="auto"/>
        </w:rPr>
        <w:t>). One share of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16"/>
          <w:szCs w:val="16"/>
          <w:b w:val="1"/>
          <w:bCs w:val="1"/>
          <w:i w:val="1"/>
          <w:iCs w:val="1"/>
          <w:color w:val="auto"/>
        </w:rPr>
        <w:t>Vested Units</w:t>
      </w:r>
      <w:r>
        <w:rPr>
          <w:rFonts w:ascii="Arial" w:cs="Arial" w:eastAsia="Arial" w:hAnsi="Arial"/>
          <w:sz w:val="16"/>
          <w:szCs w:val="16"/>
          <w:color w:val="auto"/>
        </w:rPr>
        <w:t>.” Restricted stock units that have not vested and remain subject to forfeiture under the Vesting Schedule are referred to herein as “</w:t>
      </w:r>
      <w:r>
        <w:rPr>
          <w:rFonts w:ascii="Arial" w:cs="Arial" w:eastAsia="Arial" w:hAnsi="Arial"/>
          <w:sz w:val="16"/>
          <w:szCs w:val="16"/>
          <w:b w:val="1"/>
          <w:bCs w:val="1"/>
          <w:i w:val="1"/>
          <w:iCs w:val="1"/>
          <w:color w:val="auto"/>
        </w:rPr>
        <w:t>Unvested Units</w:t>
      </w:r>
      <w:r>
        <w:rPr>
          <w:rFonts w:ascii="Arial" w:cs="Arial" w:eastAsia="Arial" w:hAnsi="Arial"/>
          <w:sz w:val="16"/>
          <w:szCs w:val="16"/>
          <w:color w:val="auto"/>
        </w:rPr>
        <w:t>.” Except as provided in Section 2 below,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The Award will terminate and the Unvested Units will be forfeited upon termination of your employment for any reason.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Corporate Transaction/Change in Control</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of a Corporate Transaction (including a Related Party Transaction) that does not meet the definition of Change in Control set forth in Appendix A, your Award will remain unaffected. In the event of a Change in Control as defined in Appendix A, any Unvested Units will accelerate in vesting and become Vested Units immediately prior to such Change in Control.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Settlement of Vested Units.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Vested Units shall be settled within 30 days following (a) the applicable Vest Date, or (b) if earlier, the date the Units become vested in connection with a Change in Control pursuant to Section 2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w:t>
      </w:r>
    </w:p>
    <w:p>
      <w:pPr>
        <w:sectPr>
          <w:pgSz w:w="11900" w:h="16838" w:orient="portrait"/>
          <w:cols w:equalWidth="0" w:num="1">
            <w:col w:w="11420"/>
          </w:cols>
          <w:pgMar w:left="240" w:top="274"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Securities Law Compliance</w:t>
      </w:r>
    </w:p>
    <w:p>
      <w:pPr>
        <w:spacing w:after="0" w:line="90"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You represent and warrant that you (a) have been furnished with a copy of the prospectus for the Plan and all information which you deem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36"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color w:val="auto"/>
        </w:rPr>
        <w:t>You hereby agree that you will in no event sell or distribute all or any part of the shares of Common Stock that you receive pursuant to settlement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Award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unless (a) there is an effective registration statement under the U.S.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any applicable state and foreign securities laws covering any such transaction involving the Shares or (b) the Company receives an opinion of your legal counsel (concurred in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1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You confirm that you have been advised, prior to your receipt of the Shares, that neither the offering of the Shares nor any offering materials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by any regulator under the Securities Act or any other applicable securities act (the “</w:t>
      </w:r>
      <w:r>
        <w:rPr>
          <w:rFonts w:ascii="Arial" w:cs="Arial" w:eastAsia="Arial" w:hAnsi="Arial"/>
          <w:sz w:val="18"/>
          <w:szCs w:val="18"/>
          <w:b w:val="1"/>
          <w:bCs w:val="1"/>
          <w:i w:val="1"/>
          <w:iCs w:val="1"/>
          <w:color w:val="auto"/>
        </w:rPr>
        <w:t>Acts</w:t>
      </w:r>
      <w:r>
        <w:rPr>
          <w:rFonts w:ascii="Arial" w:cs="Arial" w:eastAsia="Arial" w:hAnsi="Arial"/>
          <w:sz w:val="18"/>
          <w:szCs w:val="18"/>
          <w:color w:val="auto"/>
        </w:rPr>
        <w:t>”) and that the Shares cannot be resold unless they are registered under the Acts or unless an exemption from such registration is available.</w:t>
      </w:r>
    </w:p>
    <w:p>
      <w:pPr>
        <w:spacing w:after="0" w:line="132"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You hereby agree to indemnify the Company and hold it harmless from and against any loss, claim or liability, including attorneys’ fees or legal</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the Company as a result of any breach by you of, or any inaccuracy in, any representation, warranty or statement made by you in this Agreement or the breach by you of any terms or conditions of this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Transfer Restrictions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Units shall not be sold, transferred, assigned, encumbered, pledged or otherwise disposed of, whether voluntarily or by operation of law.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 Rights as Shareholder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shall not have voting or other rights as a shareholder of the Company with respect to the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Book Entry Registration of Shares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2</w:t>
      </w:r>
    </w:p>
    <w:p>
      <w:pPr>
        <w:sectPr>
          <w:pgSz w:w="11900" w:h="16838" w:orient="portrait"/>
          <w:cols w:equalWidth="0" w:num="1">
            <w:col w:w="11420"/>
          </w:cols>
          <w:pgMar w:left="240" w:top="274"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 Responsibility for Taxes</w:t>
      </w:r>
    </w:p>
    <w:p>
      <w:pPr>
        <w:spacing w:after="0" w:line="90"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b w:val="1"/>
          <w:bCs w:val="1"/>
          <w:color w:val="auto"/>
        </w:rPr>
        <w:t xml:space="preserve">8.1 </w:t>
      </w:r>
      <w:r>
        <w:rPr>
          <w:rFonts w:ascii="Arial" w:cs="Arial" w:eastAsia="Arial" w:hAnsi="Arial"/>
          <w:sz w:val="15"/>
          <w:szCs w:val="15"/>
          <w:color w:val="auto"/>
        </w:rPr>
        <w:t>Regardless of any action the Company or your employer (the “</w:t>
      </w:r>
      <w:r>
        <w:rPr>
          <w:rFonts w:ascii="Arial" w:cs="Arial" w:eastAsia="Arial" w:hAnsi="Arial"/>
          <w:sz w:val="15"/>
          <w:szCs w:val="15"/>
          <w:b w:val="1"/>
          <w:bCs w:val="1"/>
          <w:i w:val="1"/>
          <w:iCs w:val="1"/>
          <w:color w:val="auto"/>
        </w:rPr>
        <w:t>Employer</w:t>
      </w:r>
      <w:r>
        <w:rPr>
          <w:rFonts w:ascii="Arial" w:cs="Arial" w:eastAsia="Arial" w:hAnsi="Arial"/>
          <w:sz w:val="15"/>
          <w:szCs w:val="15"/>
          <w:color w:val="auto"/>
        </w:rPr>
        <w:t>”) take with respect to any and all income tax, social insurance, payroll tax,</w:t>
      </w:r>
      <w:r>
        <w:rPr>
          <w:rFonts w:ascii="Arial" w:cs="Arial" w:eastAsia="Arial" w:hAnsi="Arial"/>
          <w:sz w:val="15"/>
          <w:szCs w:val="15"/>
          <w:b w:val="1"/>
          <w:bCs w:val="1"/>
          <w:color w:val="auto"/>
        </w:rPr>
        <w:t xml:space="preserve"> </w:t>
      </w:r>
      <w:r>
        <w:rPr>
          <w:rFonts w:ascii="Arial" w:cs="Arial" w:eastAsia="Arial" w:hAnsi="Arial"/>
          <w:sz w:val="15"/>
          <w:szCs w:val="15"/>
          <w:color w:val="auto"/>
        </w:rPr>
        <w:t>payment on account or other tax-related items related to your participation in the Plan and legally applicable to you (“</w:t>
      </w:r>
      <w:r>
        <w:rPr>
          <w:rFonts w:ascii="Arial" w:cs="Arial" w:eastAsia="Arial" w:hAnsi="Arial"/>
          <w:sz w:val="15"/>
          <w:szCs w:val="15"/>
          <w:b w:val="1"/>
          <w:bCs w:val="1"/>
          <w:i w:val="1"/>
          <w:iCs w:val="1"/>
          <w:color w:val="auto"/>
        </w:rPr>
        <w:t>Tax-Related Items</w:t>
      </w:r>
      <w:r>
        <w:rPr>
          <w:rFonts w:ascii="Arial" w:cs="Arial" w:eastAsia="Arial" w:hAnsi="Arial"/>
          <w:sz w:val="15"/>
          <w:szCs w:val="15"/>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w:t>
      </w:r>
    </w:p>
    <w:p>
      <w:pPr>
        <w:spacing w:after="0" w:line="2" w:lineRule="exact"/>
        <w:rPr>
          <w:sz w:val="20"/>
          <w:szCs w:val="20"/>
          <w:color w:val="auto"/>
        </w:rPr>
      </w:pPr>
    </w:p>
    <w:p>
      <w:pPr>
        <w:jc w:val="both"/>
        <w:ind w:firstLine="8"/>
        <w:spacing w:after="0" w:line="254" w:lineRule="auto"/>
        <w:tabs>
          <w:tab w:leader="none" w:pos="266"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 not commit to and are under no obligation to structure the terms of the grant or any aspect of the Award to reduce or eliminate your liability for Tax-Related Items or achieve any particular tax result. Further, if you have become subject to tax in more than one jurisdiction between the Grant Date and the date of any relevant taxable event, you acknowledge that the Company and/or the Employer (or former employer, as applicable) may be required to withhold or account for Tax-Related Items in more than one jurisdiction.</w:t>
      </w:r>
    </w:p>
    <w:p>
      <w:pPr>
        <w:spacing w:after="0" w:line="13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Prior to any relevant taxable or tax withholding event, as applicable, you will pay or make adequate arrangements satisfactory to the Company and or</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Employer to satisfy all Tax-Related Items.</w:t>
      </w:r>
    </w:p>
    <w:p>
      <w:pPr>
        <w:spacing w:after="0" w:line="126" w:lineRule="exact"/>
        <w:rPr>
          <w:sz w:val="20"/>
          <w:szCs w:val="20"/>
          <w:color w:val="auto"/>
        </w:rPr>
      </w:pPr>
    </w:p>
    <w:p>
      <w:pPr>
        <w:ind w:firstLine="464"/>
        <w:spacing w:after="0" w:line="268"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this regard, you hereby irrevocably appoint Fidelity or any stock plan service provider or brokerage firm designated by the Company for such purpose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your Agent, and authorize the Agent, to:</w:t>
      </w:r>
    </w:p>
    <w:p>
      <w:pPr>
        <w:spacing w:after="0" w:line="50" w:lineRule="exact"/>
        <w:rPr>
          <w:rFonts w:ascii="Arial" w:cs="Arial" w:eastAsia="Arial" w:hAnsi="Arial"/>
          <w:sz w:val="18"/>
          <w:szCs w:val="18"/>
          <w:color w:val="auto"/>
        </w:rPr>
      </w:pPr>
    </w:p>
    <w:p>
      <w:pPr>
        <w:jc w:val="both"/>
        <w:ind w:left="1480" w:hanging="567"/>
        <w:spacing w:after="0" w:line="306" w:lineRule="auto"/>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Tax-Related Items and all applicable fees and commissions due to, or required to be collected by, the Agent;</w:t>
      </w:r>
    </w:p>
    <w:p>
      <w:pPr>
        <w:spacing w:after="0" w:line="228" w:lineRule="exact"/>
        <w:rPr>
          <w:rFonts w:ascii="Arial" w:cs="Arial" w:eastAsia="Arial" w:hAnsi="Arial"/>
          <w:sz w:val="16"/>
          <w:szCs w:val="16"/>
          <w:color w:val="auto"/>
        </w:rPr>
      </w:pP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Remit directly to the Company the cash amount necessary to cover the Tax-Related Items;</w:t>
      </w:r>
    </w:p>
    <w:p>
      <w:pPr>
        <w:spacing w:after="0" w:line="90"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Retain the amount required to cover all applicable fees and commissions due to, or required to be collected by, the Agent, relating directly to the sale of Shares referred to in clause (i) above;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Remit any remaining funds to you.</w:t>
      </w:r>
    </w:p>
    <w:p>
      <w:pPr>
        <w:spacing w:after="0" w:line="171" w:lineRule="exact"/>
        <w:rPr>
          <w:rFonts w:ascii="Arial" w:cs="Arial" w:eastAsia="Arial" w:hAnsi="Arial"/>
          <w:sz w:val="18"/>
          <w:szCs w:val="18"/>
          <w:color w:val="auto"/>
        </w:rPr>
      </w:pPr>
    </w:p>
    <w:p>
      <w:pPr>
        <w:ind w:firstLine="464"/>
        <w:spacing w:after="0" w:line="268" w:lineRule="auto"/>
        <w:tabs>
          <w:tab w:leader="none" w:pos="7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Alternatively, or in addition to or in combination with the withholding mechanism described in Section 8.2(a), you authorize the Company and/or the Employer, at their discretion, to satisfy the obligations with regard to all Tax-Related Items by:</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requiring you to pay to the Company or the Employer any amount of the Tax-Related Items; and/or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w:t>
      </w:r>
    </w:p>
    <w:p>
      <w:pPr>
        <w:sectPr>
          <w:pgSz w:w="11900" w:h="16838" w:orient="portrait"/>
          <w:cols w:equalWidth="0" w:num="1">
            <w:col w:w="11420"/>
          </w:cols>
          <w:pgMar w:left="240" w:top="274" w:right="239" w:bottom="1440" w:gutter="0" w:footer="0" w:header="0"/>
        </w:sectPr>
      </w:pPr>
    </w:p>
    <w:bookmarkStart w:id="108" w:name="page109"/>
    <w:bookmarkEnd w:id="108"/>
    <w:p>
      <w:pPr>
        <w:ind w:left="1480" w:hanging="567"/>
        <w:spacing w:after="0" w:line="268"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 any amount of the Tax-Related Items from your wages or other cash compensation paid to you by the Company and/or the Employer; and/or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withholding in Shares to be issued upon settlement of the Vested Units.</w:t>
      </w:r>
    </w:p>
    <w:p>
      <w:pPr>
        <w:spacing w:after="0" w:line="171" w:lineRule="exact"/>
        <w:rPr>
          <w:rFonts w:ascii="Arial" w:cs="Arial" w:eastAsia="Arial" w:hAnsi="Arial"/>
          <w:sz w:val="18"/>
          <w:szCs w:val="18"/>
          <w:color w:val="auto"/>
        </w:rPr>
      </w:pPr>
    </w:p>
    <w:p>
      <w:pPr>
        <w:jc w:val="both"/>
        <w:ind w:firstLine="464"/>
        <w:spacing w:after="0" w:line="294" w:lineRule="auto"/>
        <w:tabs>
          <w:tab w:leader="none" w:pos="7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110"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6"/>
          <w:szCs w:val="16"/>
          <w:color w:val="auto"/>
        </w:rPr>
        <w:t>You acknowledge that the authorization and instruction to the Agent set forth in Section 8.2(a)(i) above to sell Shares to cover the Tax-Related Items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6"/>
          <w:szCs w:val="16"/>
          <w:b w:val="1"/>
          <w:bCs w:val="1"/>
          <w:i w:val="1"/>
          <w:iCs w:val="1"/>
          <w:color w:val="auto"/>
        </w:rPr>
        <w:t>10b5-1 Plan</w:t>
      </w:r>
      <w:r>
        <w:rPr>
          <w:rFonts w:ascii="Arial" w:cs="Arial" w:eastAsia="Arial" w:hAnsi="Arial"/>
          <w:sz w:val="16"/>
          <w:szCs w:val="16"/>
          <w:color w:val="auto"/>
        </w:rPr>
        <w:t>”). This 10b5-1 Plan is being adopted to permit you to sell a number of Shares issued upon settlement of Vested Units sufficient to pay the Tax-Related Items.</w:t>
      </w:r>
    </w:p>
    <w:p>
      <w:pPr>
        <w:spacing w:after="0" w:line="10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8.2(a)(i) and this 10b5-1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w:t>
      </w:r>
    </w:p>
    <w:p>
      <w:pPr>
        <w:sectPr>
          <w:pgSz w:w="11900" w:h="16838" w:orient="portrait"/>
          <w:cols w:equalWidth="0" w:num="1">
            <w:col w:w="11420"/>
          </w:cols>
          <w:pgMar w:left="240" w:top="280"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 Nature of Grant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accepting the grant, you acknowledge, understand and agree that:</w:t>
      </w:r>
    </w:p>
    <w:p>
      <w:pPr>
        <w:spacing w:after="0" w:line="171" w:lineRule="exact"/>
        <w:rPr>
          <w:sz w:val="20"/>
          <w:szCs w:val="20"/>
          <w:color w:val="auto"/>
        </w:rPr>
      </w:pPr>
    </w:p>
    <w:p>
      <w:pPr>
        <w:ind w:firstLine="464"/>
        <w:spacing w:after="0" w:line="268" w:lineRule="auto"/>
        <w:tabs>
          <w:tab w:leader="none" w:pos="71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w:t>
      </w:r>
    </w:p>
    <w:p>
      <w:pPr>
        <w:spacing w:after="0" w:line="131" w:lineRule="exact"/>
        <w:rPr>
          <w:rFonts w:ascii="Arial" w:cs="Arial" w:eastAsia="Arial" w:hAnsi="Arial"/>
          <w:sz w:val="18"/>
          <w:szCs w:val="18"/>
          <w:color w:val="auto"/>
        </w:rPr>
      </w:pPr>
    </w:p>
    <w:p>
      <w:pPr>
        <w:ind w:firstLine="464"/>
        <w:spacing w:after="0" w:line="268" w:lineRule="auto"/>
        <w:tabs>
          <w:tab w:leader="none" w:pos="70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decisions with respect to future grants of restricted stock units, if any, will be at the sole discretion of the Company;</w:t>
      </w:r>
    </w:p>
    <w:p>
      <w:pPr>
        <w:spacing w:after="0" w:line="171" w:lineRule="exact"/>
        <w:rPr>
          <w:rFonts w:ascii="Arial" w:cs="Arial" w:eastAsia="Arial" w:hAnsi="Arial"/>
          <w:sz w:val="18"/>
          <w:szCs w:val="18"/>
          <w:color w:val="auto"/>
        </w:rPr>
      </w:pPr>
    </w:p>
    <w:p>
      <w:pPr>
        <w:ind w:firstLine="464"/>
        <w:spacing w:after="0" w:line="268" w:lineRule="auto"/>
        <w:tabs>
          <w:tab w:leader="none" w:pos="706" w:val="left"/>
        </w:tabs>
        <w:numPr>
          <w:ilvl w:val="0"/>
          <w:numId w:val="56"/>
        </w:numPr>
        <w:rPr>
          <w:rFonts w:ascii="Arial" w:cs="Arial" w:eastAsia="Arial" w:hAnsi="Arial"/>
          <w:sz w:val="18"/>
          <w:szCs w:val="18"/>
          <w:color w:val="auto"/>
        </w:rPr>
      </w:pPr>
      <w:r>
        <w:rPr>
          <w:rFonts w:ascii="Arial" w:cs="Arial" w:eastAsia="Arial" w:hAnsi="Arial"/>
          <w:sz w:val="18"/>
          <w:szCs w:val="18"/>
          <w:color w:val="auto"/>
        </w:rPr>
        <w:t>your participation in the Plan shall not create a right to further employment with the Employer and shall not interfere with the ability of the Employer to terminate your employment relationship at any time;</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171" w:lineRule="exact"/>
        <w:rPr>
          <w:rFonts w:ascii="Arial" w:cs="Arial" w:eastAsia="Arial" w:hAnsi="Arial"/>
          <w:sz w:val="18"/>
          <w:szCs w:val="18"/>
          <w:color w:val="auto"/>
        </w:rPr>
      </w:pPr>
    </w:p>
    <w:p>
      <w:pPr>
        <w:ind w:right="20" w:firstLine="464"/>
        <w:spacing w:after="0" w:line="268" w:lineRule="auto"/>
        <w:tabs>
          <w:tab w:leader="none" w:pos="69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an extraordinary item that does not constitute compensation of any kind for services of any kind rendered to the Company or the Employer, and which is outside the scope of your employment contract, if any;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not intended to replace any pension rights or compensation;</w:t>
      </w:r>
    </w:p>
    <w:p>
      <w:pPr>
        <w:spacing w:after="0" w:line="171" w:lineRule="exact"/>
        <w:rPr>
          <w:rFonts w:ascii="Arial" w:cs="Arial" w:eastAsia="Arial" w:hAnsi="Arial"/>
          <w:sz w:val="18"/>
          <w:szCs w:val="18"/>
          <w:color w:val="auto"/>
        </w:rPr>
      </w:pPr>
    </w:p>
    <w:p>
      <w:pPr>
        <w:jc w:val="both"/>
        <w:ind w:firstLine="464"/>
        <w:spacing w:after="0" w:line="256" w:lineRule="auto"/>
        <w:tabs>
          <w:tab w:leader="none" w:pos="70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not part of normal or expected compensation or salary for any purposes, including, but not limited to, calculating any severance, resignation, termination, redundancy, end of service payments, bonuses, long-service awards, pension or retirement or welfare benefits or similar payments and in no event should be considered as compensation for, or relating in any way to, past services for the Company, the Employer or any Related Corporation;</w:t>
      </w:r>
    </w:p>
    <w:p>
      <w:pPr>
        <w:spacing w:after="0" w:line="143" w:lineRule="exact"/>
        <w:rPr>
          <w:rFonts w:ascii="Arial" w:cs="Arial" w:eastAsia="Arial" w:hAnsi="Arial"/>
          <w:sz w:val="18"/>
          <w:szCs w:val="18"/>
          <w:color w:val="auto"/>
        </w:rPr>
      </w:pPr>
    </w:p>
    <w:p>
      <w:pPr>
        <w:ind w:firstLine="464"/>
        <w:spacing w:after="0" w:line="268" w:lineRule="auto"/>
        <w:tabs>
          <w:tab w:leader="none" w:pos="6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grant of the Award and your participation in the Plan will not be interpreted to form an employment contract or relationship with the Company or any Related Corporation;</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w:t>
      </w:r>
    </w:p>
    <w:p>
      <w:pPr>
        <w:spacing w:after="0" w:line="171" w:lineRule="exact"/>
        <w:rPr>
          <w:rFonts w:ascii="Arial" w:cs="Arial" w:eastAsia="Arial" w:hAnsi="Arial"/>
          <w:sz w:val="18"/>
          <w:szCs w:val="18"/>
          <w:color w:val="auto"/>
        </w:rPr>
      </w:pPr>
    </w:p>
    <w:p>
      <w:pPr>
        <w:jc w:val="both"/>
        <w:ind w:right="20" w:firstLine="464"/>
        <w:spacing w:after="0" w:line="259" w:lineRule="auto"/>
        <w:tabs>
          <w:tab w:leader="none" w:pos="7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termination of your employment by the Company or the Employer (for any reason whatsoever and whether or not in breach of local labor laws) and, in consideration of the grant of the Award to which you are otherwise not entitled, you</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5</w:t>
      </w:r>
    </w:p>
    <w:p>
      <w:pPr>
        <w:sectPr>
          <w:pgSz w:w="11900" w:h="16838" w:orient="portrait"/>
          <w:cols w:equalWidth="0" w:num="1">
            <w:col w:w="11420"/>
          </w:cols>
          <w:pgMar w:left="240" w:top="274" w:right="239" w:bottom="1440" w:gutter="0" w:footer="0" w:header="0"/>
        </w:sectPr>
      </w:pPr>
    </w:p>
    <w:bookmarkStart w:id="110" w:name="page111"/>
    <w:bookmarkEnd w:id="110"/>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irrevocably agree never to institute any claim against the Company or the Employer, waive the ability, if any, to bring any such claim and release the Company and the Employer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claims;</w:t>
      </w:r>
    </w:p>
    <w:p>
      <w:pPr>
        <w:spacing w:after="0" w:line="143" w:lineRule="exact"/>
        <w:rPr>
          <w:sz w:val="20"/>
          <w:szCs w:val="20"/>
          <w:color w:val="auto"/>
        </w:rPr>
      </w:pPr>
    </w:p>
    <w:p>
      <w:pPr>
        <w:jc w:val="both"/>
        <w:ind w:firstLine="464"/>
        <w:spacing w:after="0" w:line="291" w:lineRule="auto"/>
        <w:tabs>
          <w:tab w:leader="none" w:pos="6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event of termination of your employment (whether or not in breach of local labor laws), your right to vest in the Award, if any, will terminate effective as of the date that you are no longer actively employed and will not be extended by any notice period mandated under local law (</w:t>
      </w:r>
      <w:r>
        <w:rPr>
          <w:rFonts w:ascii="Arial" w:cs="Arial" w:eastAsia="Arial" w:hAnsi="Arial"/>
          <w:sz w:val="16"/>
          <w:szCs w:val="16"/>
          <w:i w:val="1"/>
          <w:iCs w:val="1"/>
          <w:color w:val="auto"/>
        </w:rPr>
        <w:t>e.g.</w:t>
      </w:r>
      <w:r>
        <w:rPr>
          <w:rFonts w:ascii="Arial" w:cs="Arial" w:eastAsia="Arial" w:hAnsi="Arial"/>
          <w:sz w:val="16"/>
          <w:szCs w:val="16"/>
          <w:color w:val="auto"/>
        </w:rPr>
        <w:t>, active employment would not include a period of “garden leave” or similar period pursuant to local law); the Company’s Chief Executive Officer shall have the exclusive discretion to determine when you are no longer actively employed for purposes of the Award (including whether or not a transfer of employment between or among the Company and its Related Corporations or a change in status from an employee to a consultant, agent, advisor or independent contractor will constitute a termination of active employment for purposes of the Award); and</w:t>
      </w:r>
    </w:p>
    <w:p>
      <w:pPr>
        <w:spacing w:after="0" w:line="120" w:lineRule="exact"/>
        <w:rPr>
          <w:rFonts w:ascii="Arial" w:cs="Arial" w:eastAsia="Arial" w:hAnsi="Arial"/>
          <w:sz w:val="16"/>
          <w:szCs w:val="16"/>
          <w:color w:val="auto"/>
        </w:rPr>
      </w:pPr>
    </w:p>
    <w:p>
      <w:pPr>
        <w:ind w:left="780" w:hanging="316"/>
        <w:spacing w:after="0"/>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Award and the benefits under the Plan, if any, will not necessarily transfer to another company in the case of a merger, take over or transfer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liability.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 Advice Regarding Grant</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97"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Data Privacy</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6</w:t>
      </w:r>
    </w:p>
    <w:p>
      <w:pPr>
        <w:sectPr>
          <w:pgSz w:w="11900" w:h="16838" w:orient="portrait"/>
          <w:cols w:equalWidth="0" w:num="1">
            <w:col w:w="11420"/>
          </w:cols>
          <w:pgMar w:left="240" w:top="280" w:right="239" w:bottom="1440" w:gutter="0" w:footer="0" w:header="0"/>
        </w:sectPr>
      </w:pPr>
    </w:p>
    <w:bookmarkStart w:id="111" w:name="page112"/>
    <w:bookmarkEnd w:id="111"/>
    <w:p>
      <w:pPr>
        <w:jc w:val="both"/>
        <w:ind w:firstLine="456"/>
        <w:spacing w:after="0" w:line="28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Electronic Delivery and Participation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Language</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If you have received this Agreement or any other document related to the Plan translated into a language other than English and if the meaning of the translated version is different from the English version, the English version will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General Provisions</w:t>
      </w:r>
    </w:p>
    <w:p>
      <w:pPr>
        <w:spacing w:after="0" w:line="9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14.1 Successors and Assigns</w:t>
      </w:r>
      <w:r>
        <w:rPr>
          <w:rFonts w:ascii="Arial" w:cs="Arial" w:eastAsia="Arial" w:hAnsi="Arial"/>
          <w:sz w:val="18"/>
          <w:szCs w:val="18"/>
          <w:color w:val="auto"/>
        </w:rPr>
        <w:t>. The provisions of this Agreement will inure to the benefit of the successors and assigns of the Company and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you and your heirs, executors, administrators, successors and assigns.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7</w:t>
      </w:r>
    </w:p>
    <w:p>
      <w:pPr>
        <w:sectPr>
          <w:pgSz w:w="11900" w:h="16838" w:orient="portrait"/>
          <w:cols w:equalWidth="0" w:num="1">
            <w:col w:w="11420"/>
          </w:cols>
          <w:pgMar w:left="240" w:top="280" w:right="239" w:bottom="1440" w:gutter="0" w:footer="0" w:header="0"/>
        </w:sectPr>
      </w:pPr>
    </w:p>
    <w:bookmarkStart w:id="112" w:name="page113"/>
    <w:bookmarkEnd w:id="112"/>
    <w:p>
      <w:pPr>
        <w:jc w:val="both"/>
        <w:ind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 Section 409A</w:t>
      </w:r>
      <w:r>
        <w:rPr>
          <w:rFonts w:ascii="Arial" w:cs="Arial" w:eastAsia="Arial" w:hAnsi="Arial"/>
          <w:sz w:val="18"/>
          <w:szCs w:val="18"/>
          <w:color w:val="auto"/>
        </w:rPr>
        <w:t>. For purposes of U.S. taxpayers, the settlement of the Units is intended to either be exempt from Section 409A of the Code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deferral” exception, and in any event in compliance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The Company makes no representation or covenant to ensure that the Units, settlement of the Units or other payment hereunder are exempt from or compliant with Section 409A of the Code and will have no liability to you or any other party if the settlement of the Units or other payment hereunder that is intended to be exempt from, or compliant with, Section 409A of the Code, is not so exempt or compliant or for any action taken by the Plan Administrator with respect thereto.</w:t>
      </w:r>
    </w:p>
    <w:p>
      <w:pPr>
        <w:spacing w:after="0" w:line="13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14.3 Governing Law and Choice of Venue</w:t>
      </w:r>
      <w:r>
        <w:rPr>
          <w:rFonts w:ascii="Arial" w:cs="Arial" w:eastAsia="Arial" w:hAnsi="Arial"/>
          <w:sz w:val="18"/>
          <w:szCs w:val="18"/>
          <w:color w:val="auto"/>
        </w:rPr>
        <w:t>. The Award and the provisions of this Agreement will be construed and administered in accordance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39"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14.4 Severability</w:t>
      </w:r>
      <w:r>
        <w:rPr>
          <w:rFonts w:ascii="Arial" w:cs="Arial" w:eastAsia="Arial" w:hAnsi="Arial"/>
          <w:sz w:val="18"/>
          <w:szCs w:val="18"/>
          <w:color w:val="auto"/>
        </w:rPr>
        <w:t>. The provisions of this Agreement are severable and if any one or more provisions are determined to be illegal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14.5 Notice</w:t>
      </w:r>
      <w:r>
        <w:rPr>
          <w:rFonts w:ascii="Arial" w:cs="Arial" w:eastAsia="Arial" w:hAnsi="Arial"/>
          <w:sz w:val="18"/>
          <w:szCs w:val="18"/>
          <w:color w:val="auto"/>
        </w:rPr>
        <w:t>. Any notice required or permitted hereunder shall be made in writing and sent to the following address:</w:t>
      </w:r>
    </w:p>
    <w:p>
      <w:pPr>
        <w:spacing w:after="0" w:line="9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Liberty Lake, WA USA 99019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Appendix B</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Notwithstanding any provisions in this Agreement, the Award shall be subject to any special terms and conditions set forth in Appendix B to this Agreement for your country (“</w:t>
      </w:r>
      <w:r>
        <w:rPr>
          <w:rFonts w:ascii="Arial" w:cs="Arial" w:eastAsia="Arial" w:hAnsi="Arial"/>
          <w:sz w:val="16"/>
          <w:szCs w:val="16"/>
          <w:b w:val="1"/>
          <w:bCs w:val="1"/>
          <w:i w:val="1"/>
          <w:iCs w:val="1"/>
          <w:color w:val="auto"/>
        </w:rPr>
        <w:t>Appendix B</w:t>
      </w:r>
      <w:r>
        <w:rPr>
          <w:rFonts w:ascii="Arial" w:cs="Arial" w:eastAsia="Arial" w:hAnsi="Arial"/>
          <w:sz w:val="16"/>
          <w:szCs w:val="16"/>
          <w:color w:val="auto"/>
        </w:rPr>
        <w:t>”). Moreover, if you relocate to one of the countries included in Appendix B, the special terms and conditions for such country will apply to you, to the extent the Company determines that the application of such terms and conditions is necessary or advisable in order to comply with local law or facilitate the administration of the Plan. Appendix B constitutes part of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Imposition of Other Requirements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reserves the right to impose other requirements on your participation in the Plan, on the Award and on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8</w:t>
      </w:r>
    </w:p>
    <w:p>
      <w:pPr>
        <w:sectPr>
          <w:pgSz w:w="11900" w:h="16838" w:orient="portrait"/>
          <w:cols w:equalWidth="0" w:num="1">
            <w:col w:w="11420"/>
          </w:cols>
          <w:pgMar w:left="240" w:top="274" w:right="239" w:bottom="1440" w:gutter="0" w:footer="0" w:header="0"/>
        </w:sectPr>
      </w:pPr>
    </w:p>
    <w:bookmarkStart w:id="113" w:name="page114"/>
    <w:bookmarkEnd w:id="113"/>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PARTICIPANTS (EXCLUDING FRANCE)</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For purposes of this Agreement, 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xml:space="preserve"> shall be deemed to have occurred if any of the events set forth in any of the following paragraphs shall have occurred:</w:t>
      </w:r>
    </w:p>
    <w:p>
      <w:pPr>
        <w:spacing w:after="0" w:line="132" w:lineRule="exact"/>
        <w:rPr>
          <w:sz w:val="20"/>
          <w:szCs w:val="20"/>
          <w:color w:val="auto"/>
        </w:rPr>
      </w:pPr>
    </w:p>
    <w:p>
      <w:pPr>
        <w:jc w:val="both"/>
        <w:ind w:firstLine="464"/>
        <w:spacing w:after="0" w:line="259" w:lineRule="auto"/>
        <w:tabs>
          <w:tab w:leader="none" w:pos="72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25% or more of either the then outstanding Shares or the combined voting power of the Company’s then outstanding securities, excluding any Person who becomes such a Beneficial Owner in connection with a transaction described in subsection(c) below;</w:t>
      </w:r>
    </w:p>
    <w:p>
      <w:pPr>
        <w:spacing w:after="0" w:line="140" w:lineRule="exact"/>
        <w:rPr>
          <w:rFonts w:ascii="Arial" w:cs="Arial" w:eastAsia="Arial" w:hAnsi="Arial"/>
          <w:sz w:val="18"/>
          <w:szCs w:val="18"/>
          <w:color w:val="auto"/>
        </w:rPr>
      </w:pPr>
    </w:p>
    <w:p>
      <w:pPr>
        <w:jc w:val="both"/>
        <w:ind w:firstLine="464"/>
        <w:spacing w:after="0" w:line="290"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a change in the composition of the Board during any two-year period such that the individuals who, as of the date of this Agreement, constitute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18" w:lineRule="exact"/>
        <w:rPr>
          <w:rFonts w:ascii="Arial" w:cs="Arial" w:eastAsia="Arial" w:hAnsi="Arial"/>
          <w:sz w:val="16"/>
          <w:szCs w:val="16"/>
          <w:color w:val="auto"/>
        </w:rPr>
      </w:pPr>
    </w:p>
    <w:p>
      <w:pPr>
        <w:jc w:val="both"/>
        <w:ind w:firstLine="464"/>
        <w:spacing w:after="0" w:line="288" w:lineRule="auto"/>
        <w:tabs>
          <w:tab w:leader="none" w:pos="70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25% or more of the combined voting power of the Company’s then outstanding securities; or the stockholders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9</w:t>
      </w:r>
    </w:p>
    <w:p>
      <w:pPr>
        <w:sectPr>
          <w:pgSz w:w="11900" w:h="16838" w:orient="portrait"/>
          <w:cols w:equalWidth="0" w:num="1">
            <w:col w:w="11420"/>
          </w:cols>
          <w:pgMar w:left="240" w:top="274"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clarity, a Change in Control shall not be deemed to have occurred in the event of a reincorporation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Appendix A,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shall have the meaning set forth in Rule 13d-3 of the Exchange Act.</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For purposes of this Appendix A,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xml:space="preserve">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(as such term is set forth in Rule 12-b2 promulgated under Section 12 of the Exchange Act),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10</w:t>
      </w:r>
    </w:p>
    <w:p>
      <w:pPr>
        <w:sectPr>
          <w:pgSz w:w="11900" w:h="16838" w:orient="portrait"/>
          <w:cols w:equalWidth="0" w:num="1">
            <w:col w:w="11420"/>
          </w:cols>
          <w:pgMar w:left="240" w:top="280" w:right="239" w:bottom="1440" w:gutter="0" w:footer="0" w:header="0"/>
        </w:sectPr>
      </w:pPr>
    </w:p>
    <w:bookmarkStart w:id="115" w:name="page116"/>
    <w:bookmarkEnd w:id="115"/>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PARTICIPANTS (EXCLUDING FRANCE)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This Appendix B includes additional terms and conditions that govern the restricted stock unit award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xml:space="preserve">) granted to you under the Itron, Inc. 2010 Stock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if you reside in one of the countries listed below. Capitalized terms not expressly defined in this Appendix B but defined in the Plan or the Restricted Stock Unit Award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shall have the same definitions as in the Plan and/or the Agreement,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Appendix B also includes information regarding exchange control and other issues of which you should be aware with respect to your participation in the Plan. The information is based on the exchange control, securities and other laws in effect in the respective countries as of February 2010. Such laws are often complex and change frequently. As a result, the Company strongly recommends that you not rely on the information herein as the only source of information relating to the consequences of participation in the Plan because the information may be out of date at the time that the Award vests or the Shares acquired under the Plan are sold.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Finally, if you are a citizen or resident of a country other than the one in which you are currently working, or if you transfer employment to another country after the Award is granted, the information contained herein may not be applicable to you.</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ARGENTINA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Neither the Award nor the underlying Shares are publicly offered or listed on any stock exchange in Argentina. The offer is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and not subject to the supervision of any Argentine governmental authority.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11</w:t>
      </w:r>
    </w:p>
    <w:p>
      <w:pPr>
        <w:sectPr>
          <w:pgSz w:w="11900" w:h="16838" w:orient="portrait"/>
          <w:cols w:equalWidth="0" w:num="1">
            <w:col w:w="11420"/>
          </w:cols>
          <w:pgMar w:left="240" w:top="274" w:right="239" w:bottom="1440" w:gutter="0" w:footer="0" w:header="0"/>
        </w:sectPr>
      </w:pPr>
    </w:p>
    <w:bookmarkStart w:id="116" w:name="page117"/>
    <w:bookmarkEnd w:id="116"/>
    <w:p>
      <w:pPr>
        <w:jc w:val="both"/>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Control Notification</w:t>
      </w:r>
      <w:r>
        <w:rPr>
          <w:rFonts w:ascii="Arial" w:cs="Arial" w:eastAsia="Arial" w:hAnsi="Arial"/>
          <w:sz w:val="18"/>
          <w:szCs w:val="18"/>
          <w:color w:val="auto"/>
        </w:rPr>
        <w:t>. In the event that you transfer proceeds in excess of US$2,000,000 from the sale of Shares into Argentina in a single month, you</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required to place 30% of any proceeds in excess of US$2,000,000 in a non-interest-bearing dollar-denominated mandatory deposit account for a holding period of 365 days.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AUSTRALIA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This provision supplements Section 1 of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grant of the Award does not provide any right for you to receive a cash payment and the Vested Units will be settled in Shares only.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Securities Law Notification. </w:t>
      </w:r>
      <w:r>
        <w:rPr>
          <w:rFonts w:ascii="Arial" w:cs="Arial" w:eastAsia="Arial" w:hAnsi="Arial"/>
          <w:sz w:val="18"/>
          <w:szCs w:val="18"/>
          <w:color w:val="auto"/>
        </w:rPr>
        <w:t>If you acquire Shares under the Plan and subsequently offer the Shares for sale to a person or entity resident in Australia, such an</w:t>
      </w:r>
      <w:r>
        <w:rPr>
          <w:rFonts w:ascii="Arial" w:cs="Arial" w:eastAsia="Arial" w:hAnsi="Arial"/>
          <w:sz w:val="18"/>
          <w:szCs w:val="18"/>
          <w:b w:val="1"/>
          <w:bCs w:val="1"/>
          <w:color w:val="auto"/>
        </w:rPr>
        <w:t xml:space="preserve"> </w:t>
      </w:r>
      <w:r>
        <w:rPr>
          <w:rFonts w:ascii="Arial" w:cs="Arial" w:eastAsia="Arial" w:hAnsi="Arial"/>
          <w:sz w:val="18"/>
          <w:szCs w:val="18"/>
          <w:color w:val="auto"/>
        </w:rPr>
        <w:t>offer may be subject to disclosure requirements under Australian law and you should obtain legal advice regarding any applicable disclosure requirements prior to making any such offer.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BELGIUM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Tax Reporting Notification</w:t>
      </w:r>
      <w:r>
        <w:rPr>
          <w:rFonts w:ascii="Arial" w:cs="Arial" w:eastAsia="Arial" w:hAnsi="Arial"/>
          <w:sz w:val="18"/>
          <w:szCs w:val="18"/>
          <w:color w:val="auto"/>
        </w:rPr>
        <w:t>. If you are a Belgian resident, you are required to report any bank or brokerage accounts held outside of Belgium on your annual tax</w:t>
      </w:r>
      <w:r>
        <w:rPr>
          <w:rFonts w:ascii="Arial" w:cs="Arial" w:eastAsia="Arial" w:hAnsi="Arial"/>
          <w:sz w:val="18"/>
          <w:szCs w:val="18"/>
          <w:b w:val="1"/>
          <w:bCs w:val="1"/>
          <w:color w:val="auto"/>
        </w:rPr>
        <w:t xml:space="preserve"> </w:t>
      </w:r>
      <w:r>
        <w:rPr>
          <w:rFonts w:ascii="Arial" w:cs="Arial" w:eastAsia="Arial" w:hAnsi="Arial"/>
          <w:sz w:val="18"/>
          <w:szCs w:val="18"/>
          <w:color w:val="auto"/>
        </w:rPr>
        <w:t>return.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BRAZIL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8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Compliance with the Law</w:t>
      </w:r>
      <w:r>
        <w:rPr>
          <w:rFonts w:ascii="Arial" w:cs="Arial" w:eastAsia="Arial" w:hAnsi="Arial"/>
          <w:sz w:val="18"/>
          <w:szCs w:val="18"/>
          <w:color w:val="auto"/>
        </w:rPr>
        <w:t>. In accepting the grant of the Award, you acknowledge your agreement to comply with applicable Brazilian laws and to pay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applicable tax associated with the Award and the sale of the Shares acquired under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Exchange Control Notification</w:t>
      </w:r>
      <w:r>
        <w:rPr>
          <w:rFonts w:ascii="Arial" w:cs="Arial" w:eastAsia="Arial" w:hAnsi="Arial"/>
          <w:sz w:val="18"/>
          <w:szCs w:val="18"/>
          <w:color w:val="auto"/>
        </w:rPr>
        <w:t>. If you are a resident or domiciled in Brazil, you will be required to submit an annual declaration of assets and rights held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of Brazil to the Central Bank of Brazil if the aggregate value of such assets and rights is equal to or greater than US$100,000. Assets and rights that must be reported include Shares acquired under the Plan.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12</w:t>
      </w:r>
    </w:p>
    <w:p>
      <w:pPr>
        <w:sectPr>
          <w:pgSz w:w="11900" w:h="16838" w:orient="portrait"/>
          <w:cols w:equalWidth="0" w:num="1">
            <w:col w:w="11420"/>
          </w:cols>
          <w:pgMar w:left="240" w:top="274"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CANADA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This provision supplements Section 1 of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grant of the Award does not provide any right for you to receive a cash payment and the Vested Units will be settled in Shares only.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Grant</w:t>
      </w:r>
      <w:r>
        <w:rPr>
          <w:rFonts w:ascii="Arial" w:cs="Arial" w:eastAsia="Arial" w:hAnsi="Arial"/>
          <w:sz w:val="18"/>
          <w:szCs w:val="18"/>
          <w:color w:val="auto"/>
        </w:rPr>
        <w:t>. The following provision replaces Section 9(l) of the Agreement:</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event of termination of your employment (whether or not in breach of local labor laws), your right to vest in the Award, if any, will terminate effective as of the earlier of (a) the date on which your employment is terminated, or (b) the date on which you receive a notice of termination; the Company’s Chief Executive Officer shall have the exclusive discretion to determine when you are no longer actively employed for purposes of the Award (including whether or not a transfer of employment between or among the Company and its Related Corporations or a change in status from an employee to a consultant, agent, advisor or independent contractor will constitute a termination of active employment for purposes of the Award).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CHILE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Neither the Company nor Shares acquired under the Plan are registered with the Chilean Registry of Securities or under the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Chilean Superintendence of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Control Notification</w:t>
      </w:r>
      <w:r>
        <w:rPr>
          <w:rFonts w:ascii="Arial" w:cs="Arial" w:eastAsia="Arial" w:hAnsi="Arial"/>
          <w:sz w:val="16"/>
          <w:szCs w:val="16"/>
          <w:color w:val="auto"/>
        </w:rPr>
        <w:t>. Exchange control regulations will apply if your aggregate investments abroad are equal to or greater than US$5,000,000</w:t>
      </w:r>
    </w:p>
    <w:p>
      <w:pPr>
        <w:spacing w:after="0" w:line="1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Tax Reporting and Registration Notification</w:t>
      </w:r>
      <w:r>
        <w:rPr>
          <w:rFonts w:ascii="Arial" w:cs="Arial" w:eastAsia="Arial" w:hAnsi="Arial"/>
          <w:sz w:val="16"/>
          <w:szCs w:val="16"/>
          <w:color w:val="auto"/>
        </w:rPr>
        <w:t>. You must file Tax Form 1851 “Annual Sworn Statement Regarding Investments Held Abroad” in relation to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acquired under the Plan that are held abroad. In addition, if you wish to receive credit in Chile for any tax paid abroad on any dividends received pursuant to the Shares, you must register the acquisition of Shares with the Chilean Internal Revenue Service (the “</w:t>
      </w:r>
      <w:r>
        <w:rPr>
          <w:rFonts w:ascii="Arial" w:cs="Arial" w:eastAsia="Arial" w:hAnsi="Arial"/>
          <w:sz w:val="16"/>
          <w:szCs w:val="16"/>
          <w:b w:val="1"/>
          <w:bCs w:val="1"/>
          <w:i w:val="1"/>
          <w:iCs w:val="1"/>
          <w:color w:val="auto"/>
        </w:rPr>
        <w:t>CIRS</w:t>
      </w:r>
      <w:r>
        <w:rPr>
          <w:rFonts w:ascii="Arial" w:cs="Arial" w:eastAsia="Arial" w:hAnsi="Arial"/>
          <w:sz w:val="16"/>
          <w:szCs w:val="16"/>
          <w:color w:val="auto"/>
        </w:rPr>
        <w:t xml:space="preserve">”) and also file Tax Form 1853 “Annual Sworn Statement Regarding Credits for Taxes Paid Abroad.” These forms must be submitted through the CIRS web page at </w:t>
      </w:r>
      <w:r>
        <w:rPr>
          <w:rFonts w:ascii="Arial" w:cs="Arial" w:eastAsia="Arial" w:hAnsi="Arial"/>
          <w:sz w:val="16"/>
          <w:szCs w:val="16"/>
          <w:u w:val="single" w:color="auto"/>
          <w:color w:val="auto"/>
        </w:rPr>
        <w:t>www.sii.cl</w:t>
      </w:r>
      <w:r>
        <w:rPr>
          <w:rFonts w:ascii="Arial" w:cs="Arial" w:eastAsia="Arial" w:hAnsi="Arial"/>
          <w:sz w:val="16"/>
          <w:szCs w:val="16"/>
          <w:color w:val="auto"/>
        </w:rPr>
        <w:t>.</w:t>
      </w:r>
    </w:p>
    <w:p>
      <w:pPr>
        <w:spacing w:after="0" w:line="10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Registration of the acquisition of Shares with the CIRS will also provide evidence of the acquisition price of the Shares which you will need when the Shares are sold. It may also be possible for you to provide other evidence in the form of the Agreement or a report of the price paid for the Shares and the number of Shares acquired and sold; however, neither the Company nor Fidelity (or any other stock plan service provider designated by the Company) are under any obligation to provide you with such a report. </w:t>
      </w:r>
      <w:r>
        <w:rPr>
          <w:rFonts w:ascii="Arial" w:cs="Arial" w:eastAsia="Arial" w:hAnsi="Arial"/>
          <w:sz w:val="16"/>
          <w:szCs w:val="16"/>
          <w:i w:val="1"/>
          <w:iCs w:val="1"/>
          <w:color w:val="auto"/>
        </w:rPr>
        <w:t>You should consult with your personal legal and tax advisors regarding how to register with the CIRS (if desired).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13</w:t>
      </w:r>
    </w:p>
    <w:p>
      <w:pPr>
        <w:sectPr>
          <w:pgSz w:w="11900" w:h="16838" w:orient="portrait"/>
          <w:cols w:equalWidth="0" w:num="1">
            <w:col w:w="11420"/>
          </w:cols>
          <w:pgMar w:left="240" w:top="274"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CHINA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This provision supplements Section 1 of the Agreement.</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facilitate compliance with applicable laws or regulations in China, you agree and acknowledge that the Company or the Agent is entitled to (a) immediately sell all Shares issued to you upon settlement of the Vested Units (on your behalf pursuant to this authorization), either at the time the Vested Units are settled or when you cease employment with the Employer, the Company or a Related Corporation, or (b) require that any Shares acquired under the Plan be held with the Agent until the Shares are sold. You also agree to sign any forms and/or consents required by the Agent to effectuate the sale of Shares in case you cease employment and you acknowledge that the Agent is under no obligation to arrange for the sale of the Shares at any particular price. In any event, when the Shares acquired under the Plan are sold, the proceeds of the sale of the Shares, less any applicable Tax-Related Items and broker’s fees or commissions, will be remitted to you in accordance with applicable exchange control law and regulations, as further described below.</w:t>
      </w:r>
    </w:p>
    <w:p>
      <w:pPr>
        <w:spacing w:after="0" w:line="1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Exchange Control Requirements</w:t>
      </w:r>
      <w:r>
        <w:rPr>
          <w:rFonts w:ascii="Arial" w:cs="Arial" w:eastAsia="Arial" w:hAnsi="Arial"/>
          <w:sz w:val="16"/>
          <w:szCs w:val="16"/>
          <w:color w:val="auto"/>
        </w:rPr>
        <w:t>. You understand and agree that, pursuant to local exchange control requirements, you will be required to repatriate the cash</w:t>
      </w:r>
      <w:r>
        <w:rPr>
          <w:rFonts w:ascii="Arial" w:cs="Arial" w:eastAsia="Arial" w:hAnsi="Arial"/>
          <w:sz w:val="16"/>
          <w:szCs w:val="16"/>
          <w:b w:val="1"/>
          <w:bCs w:val="1"/>
          <w:color w:val="auto"/>
        </w:rPr>
        <w:t xml:space="preserve"> </w:t>
      </w:r>
      <w:r>
        <w:rPr>
          <w:rFonts w:ascii="Arial" w:cs="Arial" w:eastAsia="Arial" w:hAnsi="Arial"/>
          <w:sz w:val="16"/>
          <w:szCs w:val="16"/>
          <w:color w:val="auto"/>
        </w:rPr>
        <w:t>proceeds from the sale of the Shares acquired under the Plan to China. You further understand that, under local law, such repatriation of the cash proceeds may need to be effectuated through a special exchange control account established by the Company, a Related Corporation or the Employer, and you hereby consent and agree that any cash proceeds from the sale of Shares acquired under the Plan may be transferred to such special account prior to being delivered to you. You also understand that the Company will deliver the proceeds to you as soon as possible, but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in under no obligation to secure any particular exchange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14</w:t>
      </w:r>
    </w:p>
    <w:p>
      <w:pPr>
        <w:sectPr>
          <w:pgSz w:w="11900" w:h="16838" w:orient="portrait"/>
          <w:cols w:equalWidth="0" w:num="1">
            <w:col w:w="11420"/>
          </w:cols>
          <w:pgMar w:left="240" w:top="274"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GERMANY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Exchange Control Notification</w:t>
      </w:r>
      <w:r>
        <w:rPr>
          <w:rFonts w:ascii="Arial" w:cs="Arial" w:eastAsia="Arial" w:hAnsi="Arial"/>
          <w:sz w:val="16"/>
          <w:szCs w:val="16"/>
          <w:color w:val="auto"/>
        </w:rPr>
        <w:t>. Cross-border payments in excess of €12,500 must be reported monthly to the German Federal Bank. If you use a German bank</w:t>
      </w:r>
      <w:r>
        <w:rPr>
          <w:rFonts w:ascii="Arial" w:cs="Arial" w:eastAsia="Arial" w:hAnsi="Arial"/>
          <w:sz w:val="16"/>
          <w:szCs w:val="16"/>
          <w:b w:val="1"/>
          <w:bCs w:val="1"/>
          <w:color w:val="auto"/>
        </w:rPr>
        <w:t xml:space="preserve"> </w:t>
      </w:r>
      <w:r>
        <w:rPr>
          <w:rFonts w:ascii="Arial" w:cs="Arial" w:eastAsia="Arial" w:hAnsi="Arial"/>
          <w:sz w:val="16"/>
          <w:szCs w:val="16"/>
          <w:color w:val="auto"/>
        </w:rPr>
        <w:t>to transfer a cross-border payment in excess of €12,500 in connection with the sale of Shares acquired under the Plan, the bank will make the report for you. In addition, you must report any receivables, payables, or debts in foreign currency exceeding an amount of €5,000,000 in any month.</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HUNGARY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Insurance Notification</w:t>
      </w:r>
      <w:r>
        <w:rPr>
          <w:rFonts w:ascii="Arial" w:cs="Arial" w:eastAsia="Arial" w:hAnsi="Arial"/>
          <w:sz w:val="18"/>
          <w:szCs w:val="18"/>
          <w:color w:val="auto"/>
        </w:rPr>
        <w:t>. This provision supplements Section 8.1 of the Agreement:</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Pursuant to the Social Insurance Act (Act. No. LXXX of 1997 on Social Insurance Contributions), you are responsible for paying </w:t>
      </w:r>
      <w:r>
        <w:rPr>
          <w:rFonts w:ascii="Arial" w:cs="Arial" w:eastAsia="Arial" w:hAnsi="Arial"/>
          <w:sz w:val="18"/>
          <w:szCs w:val="18"/>
          <w:u w:val="single" w:color="auto"/>
          <w:color w:val="auto"/>
        </w:rPr>
        <w:t>both</w:t>
      </w:r>
      <w:r>
        <w:rPr>
          <w:rFonts w:ascii="Arial" w:cs="Arial" w:eastAsia="Arial" w:hAnsi="Arial"/>
          <w:sz w:val="18"/>
          <w:szCs w:val="18"/>
          <w:color w:val="auto"/>
        </w:rPr>
        <w:t xml:space="preserve"> the employee portion and the employer portion of social insurance contributions due in connection with the Award.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Exchange Control Notification</w:t>
      </w:r>
      <w:r>
        <w:rPr>
          <w:rFonts w:ascii="Arial" w:cs="Arial" w:eastAsia="Arial" w:hAnsi="Arial"/>
          <w:sz w:val="18"/>
          <w:szCs w:val="18"/>
          <w:color w:val="auto"/>
        </w:rPr>
        <w:t>. You understand that you must repatriate any proceeds from the sale of Shares acquired under the Plan to India and convert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into local currency within ninety (90) days of receipt. You will receive a foreign inward remittance certificate (</w:t>
      </w:r>
      <w:r>
        <w:rPr>
          <w:rFonts w:ascii="Arial" w:cs="Arial" w:eastAsia="Arial" w:hAnsi="Arial"/>
          <w:sz w:val="18"/>
          <w:szCs w:val="18"/>
          <w:b w:val="1"/>
          <w:bCs w:val="1"/>
          <w:i w:val="1"/>
          <w:iCs w:val="1"/>
          <w:color w:val="auto"/>
        </w:rPr>
        <w:t>“FIRC”</w:t>
      </w:r>
      <w:r>
        <w:rPr>
          <w:rFonts w:ascii="Arial" w:cs="Arial" w:eastAsia="Arial" w:hAnsi="Arial"/>
          <w:sz w:val="18"/>
          <w:szCs w:val="18"/>
          <w:color w:val="auto"/>
        </w:rPr>
        <w:t>) from the bank where you deposit the foreign currency. You should maintain the FIRC as evidence of the repatriation of the proceeds in the event the Reserve Bank of India or the Employer requests proof of repatriation.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INDONESIA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If you remit funds (including proceeds from the sale of Shares) into Indonesia, the Indonesian bank through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is made will submit a report of the transaction to the Bank of Indonesia for statistical reporting purposes. For transactions of US$10,000 or more, a more detailed description of the transaction must be included in the report and you may be required to provide information about the transaction (</w:t>
      </w:r>
      <w:r>
        <w:rPr>
          <w:rFonts w:ascii="Arial" w:cs="Arial" w:eastAsia="Arial" w:hAnsi="Arial"/>
          <w:sz w:val="16"/>
          <w:szCs w:val="16"/>
          <w:i w:val="1"/>
          <w:iCs w:val="1"/>
          <w:color w:val="auto"/>
        </w:rPr>
        <w:t>e.g.</w:t>
      </w:r>
      <w:r>
        <w:rPr>
          <w:rFonts w:ascii="Arial" w:cs="Arial" w:eastAsia="Arial" w:hAnsi="Arial"/>
          <w:sz w:val="16"/>
          <w:szCs w:val="16"/>
          <w:color w:val="auto"/>
        </w:rPr>
        <w:t>, the relationship between you and the transferor of the funds, the source of the funds, etc.) to the bank in order for the bank to complete the report.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15</w:t>
      </w:r>
    </w:p>
    <w:p>
      <w:pPr>
        <w:sectPr>
          <w:pgSz w:w="11900" w:h="16838" w:orient="portrait"/>
          <w:cols w:equalWidth="0" w:num="1">
            <w:col w:w="11420"/>
          </w:cols>
          <w:pgMar w:left="240" w:top="274"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ITALY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This provision replaces Section 11 of the Agreement:</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You understand that the Employer, the Company and any Related Corporation may hold certain personal information about you, including, but not limited to, your name, home address and telephone number, date of birth, social insurance number or other identification number, salary, nationality, job title, any shares of stock or directorships held in the Company or any Related Corporation, details of all Awards or any other entitlement to shares of stock awarded, canceled, exercised, vested, unvested or outstanding in your favor and will process such data for the exclusive purpose of implementing, managing and administering the Plan (“Data”) and in compliance with applicable laws and regulations.</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You also understand that providing the Company with Data is mandatory for compliance with local law and necessary for the performance of the Plan and that your refusal to provide such Data would make it impossible for the Company to perform its contractual obligations and may affect your ability to participate in the Plan. The controller of personal data processing is Itron, Inc. with registered offices at 2111 N. Molter Road, Liberty Lake, Washington 99019, U.S.A., and, pursuant to Legislative Decree no. 196/2003, its representative in Italy is Baerbel Wouters, with registered offices at Via Gorky, 105, 20092 Cinisello Balsamo, Milan, Italy.</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You understand that Data will not be publicized, but it may be accessible by the Employer and its internal and external personnel in charge of processing of such Data and by the data processor (the “Processor”), if any. An updated list of Processors and other transferees of Data is available upon request from the Employer. Furthermore, Data may be transferred to banks, other financial institutions, or brokers involved in the management and administration of the Plan. You understand that Data may also be transferred to the independent registered public accounting firm engaged by the Company. You further understand that the Company and/or any Related Corporation will transfer Data among themselves as necessary for the purpose of implementing, administering and managing your participation in the Plan, and that the Company and/or any Related Corporation may each further transfer Data to third parties assisting the Company in the implementation, administration, and management of the Plan, including any requisite transfer of Data to a broker or other third party with whom you may elect to deposit any Shares acquired upon vesting of the Units. Such recipients may receive, possess, use, retain, and transfer Data in electronic or other form, for the sole purpose of implementing, administering, and managing your participation in the Plan. You understand that these recipients may be acting as controllers, Processors or persons in charge of processing, as the case may be, in accordance with local law and may be located in or outside the European Economic Area in countries such as in the United States that might not provide the same level of protection as intended under Italian data privacy laws.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16</w:t>
      </w:r>
    </w:p>
    <w:p>
      <w:pPr>
        <w:sectPr>
          <w:pgSz w:w="11900" w:h="16838" w:orient="portrait"/>
          <w:cols w:equalWidth="0" w:num="1">
            <w:col w:w="11420"/>
          </w:cols>
          <w:pgMar w:left="240" w:top="274" w:right="239" w:bottom="1440" w:gutter="0" w:footer="0" w:header="0"/>
        </w:sectPr>
      </w:pPr>
    </w:p>
    <w:bookmarkStart w:id="121" w:name="page122"/>
    <w:bookmarkEnd w:id="121"/>
    <w:p>
      <w:pPr>
        <w:jc w:val="both"/>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understand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the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 You should contact the Employer in this regard.</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Furthermore, you are aware that Data will not be used for direct marketing purposes. In addition, Data provided can be reviewed and questions or complaints can be addressed by contacting your human resources department.</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Plan Document Acknowledgment</w:t>
      </w:r>
      <w:r>
        <w:rPr>
          <w:rFonts w:ascii="Arial" w:cs="Arial" w:eastAsia="Arial" w:hAnsi="Arial"/>
          <w:sz w:val="18"/>
          <w:szCs w:val="18"/>
          <w:color w:val="auto"/>
        </w:rPr>
        <w:t>. In accepting the grant of the Award, you acknowledge that you have received a copy of the Plan and the Agreement and have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the Plan and the Agreement, including this Appendix B, in their entirety and fully understand and accept all provisions of the Plan and the Agreement, including this Appendix B.</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You further acknowledge that you have read and specifically and expressly approve the following sections of the Agreement and this Appendix B: Section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Vesting; Section 2: Corporate Transaction; Section 8: Responsibility for Taxes; Section 9: Nature of Grant; Section 12: Electronic Delivery and Participation;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13: Language; Section 14.3: Governing Law and Choice of Venue; Section 16: Imposition of Other Requirements; and the Data Privacy provision above.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Control Notification</w:t>
      </w:r>
      <w:r>
        <w:rPr>
          <w:rFonts w:ascii="Arial" w:cs="Arial" w:eastAsia="Arial" w:hAnsi="Arial"/>
          <w:sz w:val="16"/>
          <w:szCs w:val="16"/>
          <w:color w:val="auto"/>
        </w:rPr>
        <w:t>. You are required to report in your annual tax return: (a) any transfers of cash or Shares to or from Italy exceeding €10,000;</w:t>
      </w:r>
    </w:p>
    <w:p>
      <w:pPr>
        <w:spacing w:after="0" w:line="44"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any foreign investments or investments held outside of Italy exceeding €10,000 if such investments (e.g., Shares) may give rise to taxable income in Italy; and</w:t>
      </w:r>
    </w:p>
    <w:p>
      <w:pPr>
        <w:spacing w:after="0" w:line="43" w:lineRule="exact"/>
        <w:rPr>
          <w:rFonts w:ascii="Arial" w:cs="Arial" w:eastAsia="Arial" w:hAnsi="Arial"/>
          <w:sz w:val="15"/>
          <w:szCs w:val="15"/>
          <w:color w:val="auto"/>
        </w:rPr>
      </w:pPr>
    </w:p>
    <w:p>
      <w:pPr>
        <w:jc w:val="both"/>
        <w:ind w:firstLine="8"/>
        <w:spacing w:after="0" w:line="255" w:lineRule="auto"/>
        <w:tabs>
          <w:tab w:leader="none" w:pos="2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of the transfers to and from Italy which have had an impact during the calendar year on your foreign investments or investments held outside of Italy. You may be exempt from the requirement in (a) if the transfer or investment is made through an authorized broker resident in Italy, as the broker will generally comply with the reporting obligation on your behalf.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17</w:t>
      </w:r>
    </w:p>
    <w:p>
      <w:pPr>
        <w:sectPr>
          <w:pgSz w:w="11900" w:h="16838" w:orient="portrait"/>
          <w:cols w:equalWidth="0" w:num="1">
            <w:col w:w="11420"/>
          </w:cols>
          <w:pgMar w:left="240" w:top="280"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LUXEMBOURG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Exchange Control Notification</w:t>
      </w:r>
      <w:r>
        <w:rPr>
          <w:rFonts w:ascii="Arial" w:cs="Arial" w:eastAsia="Arial" w:hAnsi="Arial"/>
          <w:sz w:val="16"/>
          <w:szCs w:val="16"/>
          <w:color w:val="auto"/>
        </w:rPr>
        <w:t>. You are required to report any inward remittances of funds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Banque Central de Luxembourg</w:t>
      </w:r>
      <w:r>
        <w:rPr>
          <w:rFonts w:ascii="Arial" w:cs="Arial" w:eastAsia="Arial" w:hAnsi="Arial"/>
          <w:sz w:val="16"/>
          <w:szCs w:val="16"/>
          <w:b w:val="1"/>
          <w:bCs w:val="1"/>
          <w:color w:val="auto"/>
        </w:rPr>
        <w:t xml:space="preserve"> </w:t>
      </w:r>
      <w:r>
        <w:rPr>
          <w:rFonts w:ascii="Arial" w:cs="Arial" w:eastAsia="Arial" w:hAnsi="Arial"/>
          <w:sz w:val="16"/>
          <w:szCs w:val="16"/>
          <w:color w:val="auto"/>
        </w:rPr>
        <w:t>and/or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Service Central de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La Statistique et des Études Économiques </w:t>
      </w:r>
      <w:r>
        <w:rPr>
          <w:rFonts w:ascii="Arial" w:cs="Arial" w:eastAsia="Arial" w:hAnsi="Arial"/>
          <w:sz w:val="16"/>
          <w:szCs w:val="16"/>
          <w:color w:val="auto"/>
        </w:rPr>
        <w:t>within fifteen (15) working days following the month during the transaction occurred. If a Luxembourg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 is involved in the transaction, it generally will fulfill the reporting obligation on your behalf; otherwise, you will have to report the transaction yourself.</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MALAYSIA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You should be aware of the Malaysian insider trading rules summarized below.</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Malaysian Capital Markets and Services Act, 2007, you are prohibited from acquiring Shares or rights to Shares (</w:t>
      </w:r>
      <w:r>
        <w:rPr>
          <w:rFonts w:ascii="Arial" w:cs="Arial" w:eastAsia="Arial" w:hAnsi="Arial"/>
          <w:sz w:val="18"/>
          <w:szCs w:val="18"/>
          <w:i w:val="1"/>
          <w:iCs w:val="1"/>
          <w:color w:val="auto"/>
        </w:rPr>
        <w:t>e.g.</w:t>
      </w:r>
      <w:r>
        <w:rPr>
          <w:rFonts w:ascii="Arial" w:cs="Arial" w:eastAsia="Arial" w:hAnsi="Arial"/>
          <w:sz w:val="18"/>
          <w:szCs w:val="18"/>
          <w:color w:val="auto"/>
        </w:rPr>
        <w:t>, an Award) or selling Shares when you are in possession of information which is not generally available and which you know or should know will have a material effect on the Company’s stock price once such information is generally available.</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Director Notification Obligation</w:t>
      </w:r>
      <w:r>
        <w:rPr>
          <w:rFonts w:ascii="Arial" w:cs="Arial" w:eastAsia="Arial" w:hAnsi="Arial"/>
          <w:sz w:val="18"/>
          <w:szCs w:val="18"/>
          <w:color w:val="auto"/>
        </w:rPr>
        <w:t>. If you are a director of a Malaysian Related Corporation, you are subject to certain notification requirements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Malaysian Companies Act, 1965. Among these requirements is an obligation to notify the Malaysian Related Corporation in writing when you acquire or dispose of an interest (</w:t>
      </w:r>
      <w:r>
        <w:rPr>
          <w:rFonts w:ascii="Arial" w:cs="Arial" w:eastAsia="Arial" w:hAnsi="Arial"/>
          <w:sz w:val="18"/>
          <w:szCs w:val="18"/>
          <w:i w:val="1"/>
          <w:iCs w:val="1"/>
          <w:color w:val="auto"/>
        </w:rPr>
        <w:t>e.g.</w:t>
      </w:r>
      <w:r>
        <w:rPr>
          <w:rFonts w:ascii="Arial" w:cs="Arial" w:eastAsia="Arial" w:hAnsi="Arial"/>
          <w:sz w:val="18"/>
          <w:szCs w:val="18"/>
          <w:color w:val="auto"/>
        </w:rPr>
        <w:t>, an Award or Shares) in the Company or a Related Corporation. Such notifications must be made within fourteen (14) days of acquiring or disposing of any interest in the Company or a Related Corporation.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You should be aware of Dutch insider trading rules which may impact the sale of Shares acquired under the Plan. In particular, you</w:t>
      </w:r>
      <w:r>
        <w:rPr>
          <w:rFonts w:ascii="Arial" w:cs="Arial" w:eastAsia="Arial" w:hAnsi="Arial"/>
          <w:sz w:val="18"/>
          <w:szCs w:val="18"/>
          <w:b w:val="1"/>
          <w:bCs w:val="1"/>
          <w:color w:val="auto"/>
        </w:rPr>
        <w:t xml:space="preserve"> </w:t>
      </w:r>
      <w:r>
        <w:rPr>
          <w:rFonts w:ascii="Arial" w:cs="Arial" w:eastAsia="Arial" w:hAnsi="Arial"/>
          <w:sz w:val="18"/>
          <w:szCs w:val="18"/>
          <w:color w:val="auto"/>
        </w:rPr>
        <w:t>may be prohibited from effecting certain Share transactions if you have insider information regarding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It is your responsibility to comply with the following Dutch insider trading rules:</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Under Article 46 of the Act on the Supervision of the Securities Trade 1995, anyone who has “inside information” related to the Company is prohibited from effectuating a transaction in securities in or from the Netherlands. “Inside information” is knowledge of a detail concerning the issuer to which the securities relate that is not public and which, if published, would reasonably be expected to affect the stock price, regardless of the development of the price. The insider could be any employee of the Company or a Related Corporation in the Netherlands who has inside information as described 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18</w:t>
      </w:r>
    </w:p>
    <w:p>
      <w:pPr>
        <w:sectPr>
          <w:pgSz w:w="11900" w:h="16838" w:orient="portrait"/>
          <w:cols w:equalWidth="0" w:num="1">
            <w:col w:w="11420"/>
          </w:cols>
          <w:pgMar w:left="240" w:top="274" w:right="239" w:bottom="1440" w:gutter="0" w:footer="0" w:header="0"/>
        </w:sectPr>
      </w:pPr>
    </w:p>
    <w:bookmarkStart w:id="123" w:name="page124"/>
    <w:bookmarkEnd w:id="12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Given the broad scope of the definition of inside information, certain employees of the Company working at a Related Corporation in the Netherlands (including you) may have inside information and, thus, would be prohibited from effectuating a transaction in securities in the Netherlands at a time when the employee had such inside information.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PORTUGAL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Exchange Control Notification</w:t>
      </w:r>
      <w:r>
        <w:rPr>
          <w:rFonts w:ascii="Arial" w:cs="Arial" w:eastAsia="Arial" w:hAnsi="Arial"/>
          <w:sz w:val="18"/>
          <w:szCs w:val="18"/>
          <w:color w:val="auto"/>
        </w:rPr>
        <w:t>. If you acquire Shares upon settlement of the Vested Units, the acquisition of the Shares should be reported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Banco de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Portugal </w:t>
      </w:r>
      <w:r>
        <w:rPr>
          <w:rFonts w:ascii="Arial" w:cs="Arial" w:eastAsia="Arial" w:hAnsi="Arial"/>
          <w:sz w:val="18"/>
          <w:szCs w:val="18"/>
          <w:color w:val="auto"/>
        </w:rPr>
        <w:t>for statistical purposes. If the Shares are deposited with a commercial bank or financial intermediary in Portugal, such bank or financial intermediary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will submit the report on your behalf. If the Shares are not deposited with a commercial bank or financial intermediary in Portugal, you are responsible for submitting the report to the </w:t>
      </w:r>
      <w:r>
        <w:rPr>
          <w:rFonts w:ascii="Arial" w:cs="Arial" w:eastAsia="Arial" w:hAnsi="Arial"/>
          <w:sz w:val="18"/>
          <w:szCs w:val="18"/>
          <w:i w:val="1"/>
          <w:iCs w:val="1"/>
          <w:color w:val="auto"/>
        </w:rPr>
        <w:t>Banco de Portugal</w:t>
      </w:r>
      <w:r>
        <w:rPr>
          <w:rFonts w:ascii="Arial" w:cs="Arial" w:eastAsia="Arial" w:hAnsi="Arial"/>
          <w:sz w:val="18"/>
          <w:szCs w:val="18"/>
          <w:color w:val="auto"/>
        </w:rPr>
        <w: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POLAND</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Exchange Control Notification</w:t>
      </w:r>
      <w:r>
        <w:rPr>
          <w:rFonts w:ascii="Arial" w:cs="Arial" w:eastAsia="Arial" w:hAnsi="Arial"/>
          <w:sz w:val="18"/>
          <w:szCs w:val="18"/>
          <w:color w:val="auto"/>
        </w:rPr>
        <w:t>. If you transfer funds in excess of €15,000 into Poland in connection with the sale of Shares acquired under the Plan, the funds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must be transferred via a bank account. You are required to retain the documents connected with a foreign exchange transaction for a period of five (5) years, as measured from the end of the year in which such transaction occurred. If you hold Shares acquired under the Plan and/or keep a bank account abroad, you will have reporting duties to the National Bank of Poland. </w:t>
      </w:r>
      <w:r>
        <w:rPr>
          <w:rFonts w:ascii="Arial" w:cs="Arial" w:eastAsia="Arial" w:hAnsi="Arial"/>
          <w:sz w:val="18"/>
          <w:szCs w:val="18"/>
          <w:i w:val="1"/>
          <w:iCs w:val="1"/>
          <w:color w:val="auto"/>
        </w:rPr>
        <w:t>You should consult with your personal legal advisor to determine what you must do to fulfill any applicable</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duties.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RUSSIA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Exchange Control Notification</w:t>
      </w:r>
      <w:r>
        <w:rPr>
          <w:rFonts w:ascii="Arial" w:cs="Arial" w:eastAsia="Arial" w:hAnsi="Arial"/>
          <w:sz w:val="16"/>
          <w:szCs w:val="16"/>
          <w:color w:val="auto"/>
        </w:rPr>
        <w:t>. You must repatriate to Russia the proceeds from the sale of Shares and any cash dividends received in relation to the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a reasonably short time of receipt. Such funds must be initially credited to you through a foreign currency account opened in your name at an authorized bank in Russia. After the funds are initially received in Russia, they may be further remitted to foreign banks subject to the following limitations: (i) the foreign account may be opened only for individuals; (ii) the foreign account may not be used for business activities; and (iii) you must give notice to the Russian tax authorities about the opening or closing of each foreign account within one month of the account opening or closing, as applicable.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19</w:t>
      </w:r>
    </w:p>
    <w:p>
      <w:pPr>
        <w:sectPr>
          <w:pgSz w:w="11900" w:h="16838" w:orient="portrait"/>
          <w:cols w:equalWidth="0" w:num="1">
            <w:col w:w="11420"/>
          </w:cols>
          <w:pgMar w:left="240" w:top="280" w:right="239" w:bottom="1440" w:gutter="0" w:footer="0" w:header="0"/>
        </w:sectPr>
      </w:pPr>
    </w:p>
    <w:bookmarkStart w:id="124" w:name="page125"/>
    <w:bookmarkEnd w:id="124"/>
    <w:p>
      <w:pPr>
        <w:jc w:val="both"/>
        <w:spacing w:after="0" w:line="32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Law Notification</w:t>
      </w:r>
      <w:r>
        <w:rPr>
          <w:rFonts w:ascii="Arial" w:cs="Arial" w:eastAsia="Arial" w:hAnsi="Arial"/>
          <w:sz w:val="15"/>
          <w:szCs w:val="15"/>
          <w:color w:val="auto"/>
        </w:rPr>
        <w:t>. The Agreement, the Plan and all other materials you may receive regarding the Award and participation in the Plan do not constitute</w:t>
      </w:r>
      <w:r>
        <w:rPr>
          <w:rFonts w:ascii="Arial" w:cs="Arial" w:eastAsia="Arial" w:hAnsi="Arial"/>
          <w:sz w:val="15"/>
          <w:szCs w:val="15"/>
          <w:b w:val="1"/>
          <w:bCs w:val="1"/>
          <w:color w:val="auto"/>
        </w:rPr>
        <w:t xml:space="preserve"> </w:t>
      </w:r>
      <w:r>
        <w:rPr>
          <w:rFonts w:ascii="Arial" w:cs="Arial" w:eastAsia="Arial" w:hAnsi="Arial"/>
          <w:sz w:val="15"/>
          <w:szCs w:val="15"/>
          <w:color w:val="auto"/>
        </w:rPr>
        <w:t>advertising or an offering of securities in Russia. The issuance of Shares under the Plan has not and will not be registered in Russia and, therefore, the Shares described in any Plan documents may not be offered or placed in public circulation in Russia. In no event will Shares be delivered to you in Russia; all Shares acquired under the Plan will be maintained on your behalf in the United States. You are not permitted to sell Shares directly to a Russian legal entity or resident.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SINGAPORE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Securities Law Notification</w:t>
      </w:r>
      <w:r>
        <w:rPr>
          <w:rFonts w:ascii="Arial" w:cs="Arial" w:eastAsia="Arial" w:hAnsi="Arial"/>
          <w:sz w:val="16"/>
          <w:szCs w:val="16"/>
          <w:color w:val="auto"/>
        </w:rPr>
        <w:t>. The grant of the Award is being made pursuant to the “Qualifying Person” exemption” under section 273(1)(f) of the Securities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Futures Act (Chapter 289, 2006 Ed.) (“SFA”). The Plan has not been lodged or registered as a prospectus with the Monetary Authority of Singapore. You should note that the Award is subject to section 257 of the SFA and you will not be able to make (i) any subsequent sale of the Shares in Singapore or (ii) any offer of such subsequent sale of the Shares subject to the Award in Singapore, unless such sale or offer in is made pursuant to the exemptions under Part XIII Division (1) Subdivision (4) (other than section 280) of the SFA (Chapter 289, 2006 Ed.).</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Director Notification Requirement</w:t>
      </w:r>
      <w:r>
        <w:rPr>
          <w:rFonts w:ascii="Arial" w:cs="Arial" w:eastAsia="Arial" w:hAnsi="Arial"/>
          <w:sz w:val="16"/>
          <w:szCs w:val="16"/>
          <w:color w:val="auto"/>
        </w:rPr>
        <w:t>. If you are a director, associate director or shadow director</w:t>
      </w:r>
      <w:r>
        <w:rPr>
          <w:rFonts w:ascii="Arial" w:cs="Arial" w:eastAsia="Arial" w:hAnsi="Arial"/>
          <w:sz w:val="10"/>
          <w:szCs w:val="10"/>
          <w:color w:val="auto"/>
        </w:rPr>
        <w:t>1</w:t>
      </w:r>
      <w:r>
        <w:rPr>
          <w:rFonts w:ascii="Arial" w:cs="Arial" w:eastAsia="Arial" w:hAnsi="Arial"/>
          <w:sz w:val="16"/>
          <w:szCs w:val="16"/>
          <w:b w:val="1"/>
          <w:bCs w:val="1"/>
          <w:color w:val="auto"/>
        </w:rPr>
        <w:t xml:space="preserve"> </w:t>
      </w:r>
      <w:r>
        <w:rPr>
          <w:rFonts w:ascii="Arial" w:cs="Arial" w:eastAsia="Arial" w:hAnsi="Arial"/>
          <w:sz w:val="16"/>
          <w:szCs w:val="16"/>
          <w:color w:val="auto"/>
        </w:rPr>
        <w:t>of a Singapore Related Corporation, you are subject to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notification requirements under the Singapore Companies Act, regardless of whether you are a Singapore resident or employed in Singapore. Among these requirements is the obligation to notify the Singapore Related Corporation in writing when you receive or dispose of an interest (</w:t>
      </w:r>
      <w:r>
        <w:rPr>
          <w:rFonts w:ascii="Arial" w:cs="Arial" w:eastAsia="Arial" w:hAnsi="Arial"/>
          <w:sz w:val="16"/>
          <w:szCs w:val="16"/>
          <w:i w:val="1"/>
          <w:iCs w:val="1"/>
          <w:color w:val="auto"/>
        </w:rPr>
        <w:t>e.g.,</w:t>
      </w:r>
      <w:r>
        <w:rPr>
          <w:rFonts w:ascii="Arial" w:cs="Arial" w:eastAsia="Arial" w:hAnsi="Arial"/>
          <w:sz w:val="16"/>
          <w:szCs w:val="16"/>
          <w:color w:val="auto"/>
        </w:rPr>
        <w:t xml:space="preserve"> Units, Shares) in the Company or a Related Corporation. These notifications must be made within two (2) days of acquiring or disposing of any interest in the Company or any Related Corporation or within two (2) days of becoming a director, associate director or shadow director if such an interest exists at that time.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SOUTH AFRICA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Responsibility for Taxes</w:t>
      </w:r>
      <w:r>
        <w:rPr>
          <w:rFonts w:ascii="Arial" w:cs="Arial" w:eastAsia="Arial" w:hAnsi="Arial"/>
          <w:sz w:val="18"/>
          <w:szCs w:val="18"/>
          <w:color w:val="auto"/>
        </w:rPr>
        <w:t>. The following provision supplements Section 8 of the Agreement:</w:t>
      </w:r>
    </w:p>
    <w:p>
      <w:pPr>
        <w:spacing w:after="0" w:line="366" w:lineRule="exact"/>
        <w:rPr>
          <w:sz w:val="20"/>
          <w:szCs w:val="20"/>
          <w:color w:val="auto"/>
        </w:rPr>
      </w:pPr>
    </w:p>
    <w:p>
      <w:pPr>
        <w:ind w:left="460" w:right="20" w:hanging="452"/>
        <w:spacing w:after="0" w:line="241" w:lineRule="auto"/>
        <w:tabs>
          <w:tab w:leader="none" w:pos="460" w:val="left"/>
        </w:tabs>
        <w:numPr>
          <w:ilvl w:val="0"/>
          <w:numId w:val="61"/>
        </w:numPr>
        <w:rPr>
          <w:rFonts w:ascii="Arial" w:cs="Arial" w:eastAsia="Arial" w:hAnsi="Arial"/>
          <w:sz w:val="21"/>
          <w:szCs w:val="21"/>
          <w:color w:val="auto"/>
          <w:vertAlign w:val="superscript"/>
        </w:rPr>
      </w:pPr>
      <w:r>
        <w:rPr>
          <w:rFonts w:ascii="Arial" w:cs="Arial" w:eastAsia="Arial" w:hAnsi="Arial"/>
          <w:sz w:val="17"/>
          <w:szCs w:val="17"/>
          <w:color w:val="auto"/>
        </w:rPr>
        <w:t>A shadow director is an individual who is not on the board of directors of the Singapore Related Corporation but who has sufficient control so that the board of directors of the Singapore Related Corporation acts in accordance with the directions and instructions of the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20</w:t>
      </w:r>
    </w:p>
    <w:p>
      <w:pPr>
        <w:sectPr>
          <w:pgSz w:w="11900" w:h="16838" w:orient="portrait"/>
          <w:cols w:equalWidth="0" w:num="1">
            <w:col w:w="11420"/>
          </w:cols>
          <w:pgMar w:left="240" w:top="274" w:right="239" w:bottom="1440" w:gutter="0" w:footer="0" w:header="0"/>
        </w:sectPr>
      </w:pPr>
    </w:p>
    <w:bookmarkStart w:id="125" w:name="page126"/>
    <w:bookmarkEnd w:id="125"/>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accepting the grant of the Award, you agree that, immediately upon vesting of the Award, you will notify the Employer of the amount of any gain realized. If you fail to advise the Employer of the gain realized upon vesting, you may be liable for a fine. You will be solely responsible paying any difference the actual tax liability resulting from the Award and the amount withheld by the Company or the Employer.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Exchange Control Notification</w:t>
      </w:r>
      <w:r>
        <w:rPr>
          <w:rFonts w:ascii="Arial" w:cs="Arial" w:eastAsia="Arial" w:hAnsi="Arial"/>
          <w:sz w:val="16"/>
          <w:szCs w:val="16"/>
          <w:color w:val="auto"/>
        </w:rPr>
        <w:t>. You are solely responsible for ensuring compliance with and applicable exchange control laws and regulations in South Africa.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Because no transfer of funds from South Africa is required in connection with the Award, no filing or reporting requirements should apply when the Award is granted or when Shares are issued upon vesting of the Units. </w:t>
      </w:r>
      <w:r>
        <w:rPr>
          <w:rFonts w:ascii="Arial" w:cs="Arial" w:eastAsia="Arial" w:hAnsi="Arial"/>
          <w:sz w:val="16"/>
          <w:szCs w:val="16"/>
          <w:i w:val="1"/>
          <w:iCs w:val="1"/>
          <w:color w:val="auto"/>
        </w:rPr>
        <w:t>However, because exchange control regulations change frequently and without notice, you should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consult your legal advisor prior to the acquisition or sale of Shares under the Plan to ensure compliance with current regulations. </w:t>
      </w:r>
      <w:r>
        <w:rPr>
          <w:rFonts w:ascii="Arial" w:cs="Arial" w:eastAsia="Arial" w:hAnsi="Arial"/>
          <w:sz w:val="16"/>
          <w:szCs w:val="16"/>
          <w:color w:val="auto"/>
        </w:rPr>
        <w:t>As noted above, you are</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complying with South African exchange control laws and regulations, and neither the Company nor the Employer will be liable for any fines or penalties resulting from your failure to comply with any applicable requirements.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SPAIN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Grant</w:t>
      </w:r>
      <w:r>
        <w:rPr>
          <w:rFonts w:ascii="Arial" w:cs="Arial" w:eastAsia="Arial" w:hAnsi="Arial"/>
          <w:sz w:val="18"/>
          <w:szCs w:val="18"/>
          <w:color w:val="auto"/>
        </w:rPr>
        <w:t>. The following provision supplements Section 9 of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accepting the grant of the Award, you consent to participation in the Plan and acknowledge that you have received a copy of the Plan.</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You understand that the Company has unilaterally, gratuitously and in its sole discretion decided to grant Awards to individuals who may be employees of the Company or a Related Corporation throughout the world. The decision is limited and entered into based upon the express assumption and condition that any grant will not bind the Company or a Related Corporation, other than as expressly set forth in the Agreement. Consequently, you understand that the Award is granted on the assumption and condition that the Award and any Shares acquired upon settlement of the Vested Units are not part of any employment contract (whether with the Company or a Related Corporation) and shall not be considered a mandatory benefit, salary for any purpose (including severance compensation), or any other right whatsoever. Furthermore, you understand that you will not be entitled to continue vesting in the Award once your active employment with the Company or a Related Corporation ceases. In addition, you understand that this grant would not be made but for the assumptions and conditions set forth above; thus, you acknowledge and freely accept that, should any or all of the assumptions be mistaken or any of the conditions not be met for any reason, then the grant of or any right to the Award and the underlying Shares shall be null and void.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21</w:t>
      </w:r>
    </w:p>
    <w:p>
      <w:pPr>
        <w:sectPr>
          <w:pgSz w:w="11900" w:h="16838" w:orient="portrait"/>
          <w:cols w:equalWidth="0" w:num="1">
            <w:col w:w="11420"/>
          </w:cols>
          <w:pgMar w:left="240" w:top="280"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Exchange Control Notification</w:t>
      </w:r>
      <w:r>
        <w:rPr>
          <w:rFonts w:ascii="Arial" w:cs="Arial" w:eastAsia="Arial" w:hAnsi="Arial"/>
          <w:sz w:val="16"/>
          <w:szCs w:val="16"/>
          <w:color w:val="auto"/>
        </w:rPr>
        <w:t>. You must declare the acquisition of Shares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Spanish Dirección General de Comercio e Inversiones</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i w:val="1"/>
          <w:iCs w:val="1"/>
          <w:color w:val="auto"/>
        </w:rPr>
        <w:t>DGCI</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Bureau for Commerce and Investments, which is a department of the Ministry of Industry, Tourism and Commerce for statistical purposes. You must also declare the ownership of any Shares in a foreign company (including Shares acquired under the Plan) with the Directorate of Foreign Transactions each January while the Shares are owned. In addition, the sale of Shares must be declared to the DGCI within one month after the sale.</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receiving foreign currency payments derived from the ownership of Shares (</w:t>
      </w:r>
      <w:r>
        <w:rPr>
          <w:rFonts w:ascii="Arial" w:cs="Arial" w:eastAsia="Arial" w:hAnsi="Arial"/>
          <w:sz w:val="18"/>
          <w:szCs w:val="18"/>
          <w:i w:val="1"/>
          <w:iCs w:val="1"/>
          <w:color w:val="auto"/>
        </w:rPr>
        <w:t>i.e.</w:t>
      </w:r>
      <w:r>
        <w:rPr>
          <w:rFonts w:ascii="Arial" w:cs="Arial" w:eastAsia="Arial" w:hAnsi="Arial"/>
          <w:sz w:val="18"/>
          <w:szCs w:val="18"/>
          <w:color w:val="auto"/>
        </w:rPr>
        <w:t>, dividends or sale proceeds), you must inform the financial institution receiving the payment of the basis upon which such payment is made. You will need to provide the following information: (i) your name, address, and tax identification number; (ii) the name and corporate domicile of the Company; (iii) the amount of the payment and the currency used; (iv) the country of origin; (v) the reasons for the payment; and (vi) any further information that may be required.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SWEDEN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UNITED ARAB EMIRATES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This provision supplements Section 1 of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grant of the Award does not provide any right for you to receive a cash payment and the Vested Units will be settled in Shares only.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Responsibility for Taxes</w:t>
      </w:r>
      <w:r>
        <w:rPr>
          <w:rFonts w:ascii="Arial" w:cs="Arial" w:eastAsia="Arial" w:hAnsi="Arial"/>
          <w:sz w:val="18"/>
          <w:szCs w:val="18"/>
          <w:color w:val="auto"/>
        </w:rPr>
        <w:t>. The following provision supplements Section 8 of the Agreement:</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If payment or withholding of the Tax-Related Items (including the Employer’s Liability, as defined below) is not made within ninety (90) days of the event giving rise to the Tax-Related Items (the </w:t>
      </w:r>
      <w:r>
        <w:rPr>
          <w:rFonts w:ascii="Arial" w:cs="Arial" w:eastAsia="Arial" w:hAnsi="Arial"/>
          <w:sz w:val="18"/>
          <w:szCs w:val="18"/>
          <w:b w:val="1"/>
          <w:bCs w:val="1"/>
          <w:i w:val="1"/>
          <w:iCs w:val="1"/>
          <w:color w:val="auto"/>
        </w:rPr>
        <w:t>“Due Date”</w:t>
      </w:r>
      <w:r>
        <w:rPr>
          <w:rFonts w:ascii="Arial" w:cs="Arial" w:eastAsia="Arial" w:hAnsi="Arial"/>
          <w:sz w:val="18"/>
          <w:szCs w:val="18"/>
          <w:color w:val="auto"/>
        </w:rPr>
        <w:t>) or such other period specified in Section 222(1)(c) of the U.K. Income Tax (Earnings and Pensions) Act 2003, the amount of any uncollected Tax-Related Items will constitute a loan owed by you to the Employer, effective on the Due Date. You agree that the loan will bear interest at the then-current official rate of Her Majesty’s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22</w:t>
      </w:r>
    </w:p>
    <w:p>
      <w:pPr>
        <w:sectPr>
          <w:pgSz w:w="11900" w:h="16838" w:orient="portrait"/>
          <w:cols w:equalWidth="0" w:num="1">
            <w:col w:w="11420"/>
          </w:cols>
          <w:pgMar w:left="240" w:top="280" w:right="239" w:bottom="1440" w:gutter="0" w:footer="0" w:header="0"/>
        </w:sectPr>
      </w:pPr>
    </w:p>
    <w:bookmarkStart w:id="127" w:name="page128"/>
    <w:bookmarkEnd w:id="127"/>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and Customs (</w:t>
      </w:r>
      <w:r>
        <w:rPr>
          <w:rFonts w:ascii="Arial" w:cs="Arial" w:eastAsia="Arial" w:hAnsi="Arial"/>
          <w:sz w:val="16"/>
          <w:szCs w:val="16"/>
          <w:b w:val="1"/>
          <w:bCs w:val="1"/>
          <w:i w:val="1"/>
          <w:iCs w:val="1"/>
          <w:color w:val="auto"/>
        </w:rPr>
        <w:t>“HMRC”</w:t>
      </w:r>
      <w:r>
        <w:rPr>
          <w:rFonts w:ascii="Arial" w:cs="Arial" w:eastAsia="Arial" w:hAnsi="Arial"/>
          <w:sz w:val="16"/>
          <w:szCs w:val="16"/>
          <w:color w:val="auto"/>
        </w:rPr>
        <w:t>), it will be immediately due and repayable, and the Company or the Employer may recover it at any time thereafter by any of the means referred to in Section 8.2 of the Agreement. Notwithstanding the foregoing, if you are a director or executive officer of the Company (within the meaning of Section 13(k) of the U.S. Securities and Exchange Act of 1934, as amended), you will not be eligible for such a loan to cover the Tax-Related Items. In the event that you are a director or executive officer and the Tax-Related Items are not collected from or paid by you by the Due Date, the amount of any uncollected Tax-Related Items will constitute a benefit to you on which additional income tax and national insurance contributions (including the Employer’s Liability, as defined below) will be payable. You acknowledge that the Company or the Employer may recover such amounts from you by any of the means referred to in Section 8.2 of the Agreement. However, you are also responsible for reporting and paying any income tax and national insurance contributions (including the Employer’s Liability, as defined below) due on this additional benefit directly to HMRC under the self-assessment regime.</w:t>
      </w:r>
    </w:p>
    <w:p>
      <w:pPr>
        <w:spacing w:after="0" w:line="1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Joint Election</w:t>
      </w:r>
      <w:r>
        <w:rPr>
          <w:rFonts w:ascii="Arial" w:cs="Arial" w:eastAsia="Arial" w:hAnsi="Arial"/>
          <w:sz w:val="16"/>
          <w:szCs w:val="16"/>
          <w:color w:val="auto"/>
        </w:rPr>
        <w:t>. As a condition of your participation in the Plan, you agree to accept any liability for secondary Class 1 national insurance contributions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“Employer’s Liability”</w:t>
      </w:r>
      <w:r>
        <w:rPr>
          <w:rFonts w:ascii="Arial" w:cs="Arial" w:eastAsia="Arial" w:hAnsi="Arial"/>
          <w:sz w:val="16"/>
          <w:szCs w:val="16"/>
          <w:color w:val="auto"/>
        </w:rPr>
        <w:t>) which may be payable by the Company and/or the Employer in connection with the Award and any event giving rise to Tax-Related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Items. To accomplish the foregoing, you agree to execute the following joint election with the Company (the </w:t>
      </w:r>
      <w:r>
        <w:rPr>
          <w:rFonts w:ascii="Arial" w:cs="Arial" w:eastAsia="Arial" w:hAnsi="Arial"/>
          <w:sz w:val="16"/>
          <w:szCs w:val="16"/>
          <w:b w:val="1"/>
          <w:bCs w:val="1"/>
          <w:i w:val="1"/>
          <w:iCs w:val="1"/>
          <w:color w:val="auto"/>
        </w:rPr>
        <w:t>“Joint Election”</w:t>
      </w:r>
      <w:r>
        <w:rPr>
          <w:rFonts w:ascii="Arial" w:cs="Arial" w:eastAsia="Arial" w:hAnsi="Arial"/>
          <w:sz w:val="16"/>
          <w:szCs w:val="16"/>
          <w:color w:val="auto"/>
        </w:rPr>
        <w:t>), the form of such Joint Election being formally approved by HMRC, and any other consent or elections required to accomplish the transfer of the Employer’s Liability to you. You further agree to execute such other joint elections as may be required between yourself and any successor to the Company and/or the Employer. You further agree that the Company and/or the Employer may collect the Employer’s Liability by any of the means set forth in Section 8.2 of the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do not enter into a Joint Election prior to vesting of the Award or any other event giving rise to Tax-Related Items, you will forfeit the Units and any benefits in connection with the Award, and any Shares that have been issued will be returned to the Company at no cost to the Company, without any liability to the Company and/or the Employer.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23</w:t>
      </w:r>
    </w:p>
    <w:p>
      <w:pPr>
        <w:sectPr>
          <w:pgSz w:w="11900" w:h="16838" w:orient="portrait"/>
          <w:cols w:equalWidth="0" w:num="1">
            <w:col w:w="11420"/>
          </w:cols>
          <w:pgMar w:left="240" w:top="280" w:right="23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ITRON,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2010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3041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304165"/>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Note on the Joint Election to Transfer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Employer National Insurance Contributions</w:t>
      </w:r>
    </w:p>
    <w:p>
      <w:pPr>
        <w:spacing w:after="0" w:line="18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b w:val="1"/>
          <w:bCs w:val="1"/>
          <w:color w:val="auto"/>
        </w:rPr>
        <w:t>As a condition of participation in the Itron, Inc. 2010 Stock Incentive Plan (the “Plan”) and the vesting of the restricted stock unit award (the “Award”) that has been granted to you by Itron, Inc. (the “Company”), you are required to enter into a joint election to transfer to you any liability for employer national insurance contributions (the “Employer’s Liability”) that may arise in connection with the Award, or in connection with future restricted stock unit awards, granted to you by the Company under the Plan (the “Joint Election”).</w:t>
      </w:r>
    </w:p>
    <w:p>
      <w:pPr>
        <w:spacing w:after="0" w:line="10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If you do not agree to enter into the Joint Election, the Award will be worthless, as (under the terms of the Restricted Stock Unit Award Agreement), you will not be able to vest in the Award or receive any benefit in connection with the Award.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By entering into the Joint Election:</w:t>
      </w:r>
    </w:p>
    <w:p>
      <w:pPr>
        <w:spacing w:after="0" w:line="90" w:lineRule="exact"/>
        <w:rPr>
          <w:sz w:val="20"/>
          <w:szCs w:val="20"/>
          <w:color w:val="auto"/>
        </w:rPr>
      </w:pPr>
    </w:p>
    <w:p>
      <w:pPr>
        <w:ind w:left="90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 agree that any Employer’s Liability that may arise in connection with or pursuant to the vesting of the Award (and the acquisition of shares of the Company’s common stock) or other taxable events in connection with the Award will be transferred to you; and</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 authorise the Company and/or your employer to recover an amount sufficient to cover this liability by any method set forth in the Restricted Stock Unit Award Agreement and/or the Joint Election.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Indicating your acceptance of the Restricted Stock Unit Award Agreement indicates your agreement to be bound by the terms of the Joint Election.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read the terms of the Joint Election carefully before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accepting the Restricted Stock Unit Award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Joint Election.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print and keep a copy of the Joint Election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your records.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24</w:t>
      </w:r>
    </w:p>
    <w:p>
      <w:pPr>
        <w:sectPr>
          <w:pgSz w:w="11900" w:h="16838" w:orient="portrait"/>
          <w:cols w:equalWidth="0" w:num="1">
            <w:col w:w="11420"/>
          </w:cols>
          <w:pgMar w:left="240" w:top="274"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Employees in the United Kingdom</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ELECTION TO TRANSFER THE EMPLOYER’S SECONDARY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CLASS 1 NATIONAL INSURANCE LIABILITY TO THE EMPLOYEE</w:t>
      </w:r>
    </w:p>
    <w:p>
      <w:pPr>
        <w:spacing w:after="0" w:line="199"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Election is between:</w:t>
      </w:r>
    </w:p>
    <w:p>
      <w:pPr>
        <w:spacing w:after="0" w:line="90" w:lineRule="exact"/>
        <w:rPr>
          <w:rFonts w:ascii="Arial" w:cs="Arial" w:eastAsia="Arial" w:hAnsi="Arial"/>
          <w:sz w:val="18"/>
          <w:szCs w:val="18"/>
          <w:b w:val="1"/>
          <w:bCs w:val="1"/>
          <w:color w:val="auto"/>
        </w:rPr>
      </w:pPr>
    </w:p>
    <w:p>
      <w:pPr>
        <w:jc w:val="both"/>
        <w:ind w:left="900" w:right="20" w:hanging="446"/>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You, the individual who has obtained access to this Election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xml:space="preserve">), who is employed by one of the employing companies listed in the attached schedule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xml:space="preserve">), and who is eligible to receive a restricted stock unit award pursuant to the terms and conditions of the Itron, Inc. 2010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Itron, Inc. of 2111 N. Molter Road, Lake Liberty, Washington 99019, U.S.A.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may grant restricted stock unit awards under the Plan and is entering this Election on behalf of the Employer.</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 of Election</w:t>
      </w:r>
    </w:p>
    <w:p>
      <w:pPr>
        <w:spacing w:after="0" w:line="96" w:lineRule="exact"/>
        <w:rPr>
          <w:rFonts w:ascii="Arial" w:cs="Arial" w:eastAsia="Arial" w:hAnsi="Arial"/>
          <w:sz w:val="18"/>
          <w:szCs w:val="18"/>
          <w:b w:val="1"/>
          <w:bCs w:val="1"/>
          <w:color w:val="auto"/>
        </w:rPr>
      </w:pPr>
    </w:p>
    <w:p>
      <w:pPr>
        <w:ind w:left="9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2.1 This Election relates to the Employer’s secondary Class 1 national insurance contributions (the </w:t>
      </w:r>
      <w:r>
        <w:rPr>
          <w:rFonts w:ascii="Arial" w:cs="Arial" w:eastAsia="Arial" w:hAnsi="Arial"/>
          <w:sz w:val="18"/>
          <w:szCs w:val="18"/>
          <w:b w:val="1"/>
          <w:bCs w:val="1"/>
          <w:i w:val="1"/>
          <w:iCs w:val="1"/>
          <w:color w:val="auto"/>
        </w:rPr>
        <w:t>“Employer’s Liability”</w:t>
      </w:r>
      <w:r>
        <w:rPr>
          <w:rFonts w:ascii="Arial" w:cs="Arial" w:eastAsia="Arial" w:hAnsi="Arial"/>
          <w:sz w:val="18"/>
          <w:szCs w:val="18"/>
          <w:color w:val="auto"/>
        </w:rPr>
        <w:t xml:space="preserve">) which may arise on the occurrence of a </w:t>
      </w:r>
      <w:r>
        <w:rPr>
          <w:rFonts w:ascii="Arial" w:cs="Arial" w:eastAsia="Arial" w:hAnsi="Arial"/>
          <w:sz w:val="18"/>
          <w:szCs w:val="18"/>
          <w:b w:val="1"/>
          <w:bCs w:val="1"/>
          <w:i w:val="1"/>
          <w:iCs w:val="1"/>
          <w:color w:val="auto"/>
        </w:rPr>
        <w:t>“Taxable Event”</w:t>
      </w:r>
      <w:r>
        <w:rPr>
          <w:rFonts w:ascii="Arial" w:cs="Arial" w:eastAsia="Arial" w:hAnsi="Arial"/>
          <w:sz w:val="18"/>
          <w:szCs w:val="18"/>
          <w:color w:val="auto"/>
        </w:rPr>
        <w:t xml:space="preserve"> pursuant to paragraph 3B(1A) of Schedule 1 of the Social Security Contributions and Benefits Act 1992, including but not limited to:</w:t>
      </w:r>
    </w:p>
    <w:p>
      <w:pPr>
        <w:spacing w:after="0" w:line="59" w:lineRule="exact"/>
        <w:rPr>
          <w:rFonts w:ascii="Arial" w:cs="Arial" w:eastAsia="Arial" w:hAnsi="Arial"/>
          <w:sz w:val="18"/>
          <w:szCs w:val="18"/>
          <w:b w:val="1"/>
          <w:bCs w:val="1"/>
          <w:color w:val="auto"/>
        </w:rPr>
      </w:pPr>
    </w:p>
    <w:p>
      <w:pPr>
        <w:ind w:left="1480" w:hanging="567"/>
        <w:spacing w:after="0"/>
        <w:tabs>
          <w:tab w:leader="none" w:pos="1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acquisition of securities pursuant to the restricted stock unit award (pursuant to section 477(3)(a) ITEPA); and/or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assignment or release of the restricted stock unit award in return for consideration (pursuant to section 477(3)(b) ITEPA); and/or</w:t>
      </w:r>
    </w:p>
    <w:p>
      <w:pPr>
        <w:spacing w:after="0" w:line="113" w:lineRule="exact"/>
        <w:rPr>
          <w:rFonts w:ascii="Arial" w:cs="Arial" w:eastAsia="Arial" w:hAnsi="Arial"/>
          <w:sz w:val="16"/>
          <w:szCs w:val="16"/>
          <w:color w:val="auto"/>
        </w:rPr>
      </w:pPr>
    </w:p>
    <w:p>
      <w:pPr>
        <w:ind w:left="1480" w:right="20" w:hanging="567"/>
        <w:spacing w:after="0" w:line="268" w:lineRule="auto"/>
        <w:tabs>
          <w:tab w:leader="none" w:pos="1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receipt of a benefit in connection with the restricted stock unit award other than a benefit within (i) or (ii) above (pursuant to section 477(3)(c) ITEPA).</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Election, ITEPA means the Income Tax (Earnings and Pensions) Act 2003.</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This Election is made in accordance with paragraph 3B(1) of Schedule 1 to the Social Security Contributions and Benefits Act 1992.</w:t>
      </w:r>
    </w:p>
    <w:p>
      <w:pPr>
        <w:spacing w:after="0" w:line="90" w:lineRule="exact"/>
        <w:rPr>
          <w:sz w:val="20"/>
          <w:szCs w:val="20"/>
          <w:color w:val="auto"/>
        </w:rPr>
      </w:pPr>
    </w:p>
    <w:p>
      <w:pPr>
        <w:ind w:left="900" w:hanging="445"/>
        <w:spacing w:after="0" w:line="268" w:lineRule="auto"/>
        <w:tabs>
          <w:tab w:leader="none" w:pos="880" w:val="left"/>
        </w:tabs>
        <w:rPr>
          <w:sz w:val="20"/>
          <w:szCs w:val="20"/>
          <w:color w:val="auto"/>
        </w:rPr>
      </w:pPr>
      <w:r>
        <w:rPr>
          <w:rFonts w:ascii="Arial" w:cs="Arial" w:eastAsia="Arial" w:hAnsi="Arial"/>
          <w:sz w:val="18"/>
          <w:szCs w:val="18"/>
          <w:color w:val="auto"/>
        </w:rPr>
        <w:t>2.3</w:t>
        <w:tab/>
        <w:t>This Election applies to all restricted stock unit awards granted to the Employee under the Plan, on or after 8 August 2007 up to the termination date of the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25</w:t>
      </w:r>
    </w:p>
    <w:p>
      <w:pPr>
        <w:sectPr>
          <w:pgSz w:w="11900" w:h="16838" w:orient="portrait"/>
          <w:cols w:equalWidth="0" w:num="1">
            <w:col w:w="11420"/>
          </w:cols>
          <w:pgMar w:left="240" w:top="274" w:right="239" w:bottom="1440" w:gutter="0" w:footer="0" w:header="0"/>
        </w:sectPr>
      </w:pPr>
    </w:p>
    <w:bookmarkStart w:id="130" w:name="page131"/>
    <w:bookmarkEnd w:id="130"/>
    <w:p>
      <w:pPr>
        <w:jc w:val="both"/>
        <w:ind w:left="900" w:hanging="445"/>
        <w:spacing w:after="0" w:line="259"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w:t>
        <w:tab/>
        <w:t>This Election does not apply in relation to any liability, or any part of any liability, arising as a result of regulations being given retrospective effect by virtue of section 4B(2) of either the Social Security Contributions and Benefits Act 1992, or the Social Security Contributions and Benefits (Northern Ireland) Act 1992.</w:t>
      </w:r>
    </w:p>
    <w:p>
      <w:pPr>
        <w:spacing w:after="0" w:line="59" w:lineRule="exact"/>
        <w:rPr>
          <w:sz w:val="20"/>
          <w:szCs w:val="20"/>
          <w:color w:val="auto"/>
        </w:rPr>
      </w:pPr>
    </w:p>
    <w:p>
      <w:pPr>
        <w:jc w:val="both"/>
        <w:ind w:left="900" w:hanging="445"/>
        <w:spacing w:after="0" w:line="268" w:lineRule="auto"/>
        <w:tabs>
          <w:tab w:leader="none" w:pos="880" w:val="left"/>
        </w:tabs>
        <w:rPr>
          <w:sz w:val="20"/>
          <w:szCs w:val="20"/>
          <w:color w:val="auto"/>
        </w:rPr>
      </w:pPr>
      <w:r>
        <w:rPr>
          <w:rFonts w:ascii="Arial" w:cs="Arial" w:eastAsia="Arial" w:hAnsi="Arial"/>
          <w:sz w:val="18"/>
          <w:szCs w:val="18"/>
          <w:color w:val="auto"/>
        </w:rPr>
        <w:t>2.5</w:t>
        <w:tab/>
        <w:t>This Election will not apply to the extent that it relates to relevant employment income which is employment income of the earner by virtue of Chapter 3A of Part 7 of ITEPA 2003 (employment income: securities with artificially depressed market value).</w:t>
      </w:r>
    </w:p>
    <w:p>
      <w:pPr>
        <w:spacing w:after="0" w:line="248"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Election</w:t>
      </w:r>
    </w:p>
    <w:p>
      <w:pPr>
        <w:spacing w:after="0" w:line="96"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The Employee and the Company jointly elect that the entire liability of the Employer to pay the Employer’s Liability on the Taxable Event is hereby transferred to the Employee. The Employee understands that by clicking on the acceptance of the Restricted Stock Unit Award button where indicated, he or she will become personally liable for the Employer’s Liability covered by this Election.</w:t>
      </w:r>
    </w:p>
    <w:p>
      <w:pPr>
        <w:spacing w:after="0" w:line="256"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the Employer’s Liability</w:t>
      </w:r>
    </w:p>
    <w:p>
      <w:pPr>
        <w:spacing w:after="0" w:line="96" w:lineRule="exact"/>
        <w:rPr>
          <w:rFonts w:ascii="Arial" w:cs="Arial" w:eastAsia="Arial" w:hAnsi="Arial"/>
          <w:sz w:val="18"/>
          <w:szCs w:val="18"/>
          <w:b w:val="1"/>
          <w:bCs w:val="1"/>
          <w:color w:val="auto"/>
        </w:rPr>
      </w:pPr>
    </w:p>
    <w:p>
      <w:pPr>
        <w:ind w:left="900" w:hanging="446"/>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4.1 Notwithstanding that pursuant to this Election, the Employer’s Liability is transferred to the Employee, the Employee authorises the Employer and the Employer agrees, to remit the Employer’s Liability to Her Majesty’s Revenue and Customs (</w:t>
      </w:r>
      <w:r>
        <w:rPr>
          <w:rFonts w:ascii="Arial" w:cs="Arial" w:eastAsia="Arial" w:hAnsi="Arial"/>
          <w:sz w:val="16"/>
          <w:szCs w:val="16"/>
          <w:b w:val="1"/>
          <w:bCs w:val="1"/>
          <w:i w:val="1"/>
          <w:iCs w:val="1"/>
          <w:color w:val="auto"/>
        </w:rPr>
        <w:t>“HMRC”</w:t>
      </w:r>
      <w:r>
        <w:rPr>
          <w:rFonts w:ascii="Arial" w:cs="Arial" w:eastAsia="Arial" w:hAnsi="Arial"/>
          <w:sz w:val="16"/>
          <w:szCs w:val="16"/>
          <w:color w:val="auto"/>
        </w:rPr>
        <w:t>) on behalf of the Employee. The Employee agrees to pay to the Employer the Employer’s Liability on demand at any time on or after the Taxable Event.</w:t>
      </w:r>
    </w:p>
    <w:p>
      <w:pPr>
        <w:spacing w:after="0" w:line="25" w:lineRule="exact"/>
        <w:rPr>
          <w:rFonts w:ascii="Arial" w:cs="Arial" w:eastAsia="Arial" w:hAnsi="Arial"/>
          <w:sz w:val="18"/>
          <w:szCs w:val="18"/>
          <w:b w:val="1"/>
          <w:bCs w:val="1"/>
          <w:color w:val="auto"/>
        </w:rPr>
      </w:pPr>
    </w:p>
    <w:p>
      <w:pPr>
        <w:ind w:left="900" w:right="2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4.2 Without limitation to Clause 4.1 above, the Employee hereby authorises the Company and/or the Employer to collect the Employer’s Liability from the Employee at any time on or after the Taxable Event:</w:t>
      </w:r>
    </w:p>
    <w:p>
      <w:pPr>
        <w:spacing w:after="0" w:line="5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by deduction from salary or any other payment payable to the Employee at any time on or after the date of the Taxable Event; and/or</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directly from the Employee by payment in cash or cleared funds; and/or</w:t>
      </w:r>
    </w:p>
    <w:p>
      <w:pPr>
        <w:spacing w:after="0" w:line="90"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by arranging, on behalf of the Employee, for the sale of some of the securities which the Employee is entitled to receive in respect of the restricted stock unit award; and/or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through any other method set forth in the Restricted Stock Unit Award Agreement entered into between the Employee and the Company.</w:t>
      </w:r>
    </w:p>
    <w:p>
      <w:pPr>
        <w:spacing w:after="0" w:line="113" w:lineRule="exact"/>
        <w:rPr>
          <w:sz w:val="20"/>
          <w:szCs w:val="20"/>
          <w:color w:val="auto"/>
        </w:rPr>
      </w:pPr>
    </w:p>
    <w:p>
      <w:pPr>
        <w:ind w:left="900" w:hanging="445"/>
        <w:spacing w:after="0" w:line="268" w:lineRule="auto"/>
        <w:tabs>
          <w:tab w:leader="none" w:pos="880" w:val="left"/>
        </w:tabs>
        <w:rPr>
          <w:sz w:val="20"/>
          <w:szCs w:val="20"/>
          <w:color w:val="auto"/>
        </w:rPr>
      </w:pPr>
      <w:r>
        <w:rPr>
          <w:rFonts w:ascii="Arial" w:cs="Arial" w:eastAsia="Arial" w:hAnsi="Arial"/>
          <w:sz w:val="18"/>
          <w:szCs w:val="18"/>
          <w:color w:val="auto"/>
        </w:rPr>
        <w:t>4.3</w:t>
        <w:tab/>
        <w:t>The Company hereby reserves for itself and the Employer the right to withhold the transfer of any securities to the Employee until full payment of the Employer’s Liability is received.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26</w:t>
      </w:r>
    </w:p>
    <w:p>
      <w:pPr>
        <w:sectPr>
          <w:pgSz w:w="11900" w:h="16838" w:orient="portrait"/>
          <w:cols w:equalWidth="0" w:num="1">
            <w:col w:w="11420"/>
          </w:cols>
          <w:pgMar w:left="240" w:top="280" w:right="239" w:bottom="1440" w:gutter="0" w:footer="0" w:header="0"/>
        </w:sectPr>
      </w:pPr>
    </w:p>
    <w:bookmarkStart w:id="131" w:name="page132"/>
    <w:bookmarkEnd w:id="131"/>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Duration of Election</w:t>
      </w:r>
    </w:p>
    <w:p>
      <w:pPr>
        <w:spacing w:after="0" w:line="96" w:lineRule="exact"/>
        <w:rPr>
          <w:rFonts w:ascii="Arial" w:cs="Arial" w:eastAsia="Arial" w:hAnsi="Arial"/>
          <w:sz w:val="18"/>
          <w:szCs w:val="18"/>
          <w:b w:val="1"/>
          <w:bCs w:val="1"/>
          <w:color w:val="auto"/>
        </w:rPr>
      </w:pPr>
    </w:p>
    <w:p>
      <w:pPr>
        <w:ind w:left="90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5.1 The Employee and the Company agree to be bound by the terms of this Election regardless of whether the Employee is transferred abroad or is not employed by the UK Employer on the date on which the Employer’s Liability becomes due.</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5.2   This Election will continue in effect until the earliest of the following:</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such time as both the Employee and the Company agree in writing that it should cease to have effect;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date the Company serves written notice on the Employee terminating its effect;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date HMRC withdraws approval of this Form of Election; or</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date the Election ceases to have effect in accordance with its terms in respect of any outstanding restricted stock unit awards granted under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by the Employee</w:t>
      </w:r>
    </w:p>
    <w:p>
      <w:pPr>
        <w:spacing w:after="0" w:line="9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Employee acknowledges that by clicking on the acceptance of the Restricted Stock Unit Award button where indicated, the Employee agrees to be bound by the terms of this Election as stated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by the Company</w:t>
      </w:r>
    </w:p>
    <w:p>
      <w:pPr>
        <w:spacing w:after="0" w:line="9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The Company acknowledges that by arranging for the scanned signature of an authorised representative to appear on this Election, the Company agrees to be bound by the terms of this Election as stated above.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27</w:t>
      </w:r>
    </w:p>
    <w:p>
      <w:pPr>
        <w:sectPr>
          <w:pgSz w:w="11900" w:h="16838" w:orient="portrait"/>
          <w:cols w:equalWidth="0" w:num="1">
            <w:col w:w="11420"/>
          </w:cols>
          <w:pgMar w:left="240" w:top="274" w:right="239" w:bottom="1440" w:gutter="0" w:footer="0" w:header="0"/>
        </w:sectPr>
      </w:pPr>
    </w:p>
    <w:bookmarkStart w:id="132" w:name="page133"/>
    <w:bookmarkEnd w:id="132"/>
    <w:p>
      <w:pPr>
        <w:ind w:right="2479" w:firstLine="3680"/>
        <w:spacing w:after="0" w:line="39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Schedule to Form of Election – Employing Companies </w:t>
      </w:r>
      <w:r>
        <w:rPr>
          <w:rFonts w:ascii="Arial" w:cs="Arial" w:eastAsia="Arial" w:hAnsi="Arial"/>
          <w:sz w:val="18"/>
          <w:szCs w:val="18"/>
          <w:color w:val="auto"/>
        </w:rPr>
        <w:t>The Employing Companies to which this Form of Election relates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Itron Metering Solutions UK Limited</w:t>
      </w:r>
    </w:p>
    <w:p>
      <w:pPr>
        <w:sectPr>
          <w:pgSz w:w="11900" w:h="16838" w:orient="portrait"/>
          <w:cols w:equalWidth="0" w:num="1">
            <w:col w:w="10219"/>
          </w:cols>
          <w:pgMar w:left="240" w:top="274" w:right="1440"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Langer Road,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Felixstowe, Suffolk, IP11 2ER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24" w:lineRule="exact"/>
        <w:rPr>
          <w:sz w:val="20"/>
          <w:szCs w:val="20"/>
          <w:color w:val="auto"/>
        </w:rPr>
      </w:pPr>
    </w:p>
    <w:p>
      <w:pPr>
        <w:sectPr>
          <w:pgSz w:w="11900" w:h="16838" w:orient="portrait"/>
          <w:cols w:equalWidth="0" w:num="2">
            <w:col w:w="3280" w:space="720"/>
            <w:col w:w="621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Company Number: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Corporation Tax District: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Corporation Tax Reference: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PAYE District: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PAYE 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04274515</w:t>
      </w:r>
    </w:p>
    <w:p>
      <w:pPr>
        <w:spacing w:after="0" w:line="1489" w:lineRule="exact"/>
        <w:rPr>
          <w:sz w:val="20"/>
          <w:szCs w:val="20"/>
          <w:color w:val="auto"/>
        </w:rPr>
      </w:pPr>
    </w:p>
    <w:p>
      <w:pPr>
        <w:sectPr>
          <w:pgSz w:w="11900" w:h="16838" w:orient="portrait"/>
          <w:cols w:equalWidth="0" w:num="2">
            <w:col w:w="3280" w:space="720"/>
            <w:col w:w="6219"/>
          </w:cols>
          <w:pgMar w:left="240" w:top="274" w:right="1440" w:bottom="1440" w:gutter="0" w:footer="0" w:header="0"/>
          <w:type w:val="continuous"/>
        </w:sectPr>
      </w:pPr>
    </w:p>
    <w:p>
      <w:pPr>
        <w:ind w:left="5620"/>
        <w:spacing w:after="0"/>
        <w:rPr>
          <w:sz w:val="20"/>
          <w:szCs w:val="20"/>
          <w:color w:val="auto"/>
        </w:rPr>
      </w:pPr>
      <w:r>
        <w:rPr>
          <w:rFonts w:ascii="Arial" w:cs="Arial" w:eastAsia="Arial" w:hAnsi="Arial"/>
          <w:sz w:val="16"/>
          <w:szCs w:val="16"/>
          <w:i w:val="1"/>
          <w:iCs w:val="1"/>
          <w:color w:val="auto"/>
        </w:rPr>
        <w:t>28</w:t>
      </w:r>
    </w:p>
    <w:p>
      <w:pPr>
        <w:sectPr>
          <w:pgSz w:w="11900" w:h="16838" w:orient="portrait"/>
          <w:cols w:equalWidth="0" w:num="1">
            <w:col w:w="10219"/>
          </w:cols>
          <w:pgMar w:left="240" w:top="274" w:right="1440" w:bottom="1440" w:gutter="0" w:footer="0" w:header="0"/>
          <w:type w:val="continuous"/>
        </w:sectPr>
      </w:pPr>
    </w:p>
    <w:bookmarkStart w:id="133" w:name="page134"/>
    <w:bookmarkEnd w:id="133"/>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u w:val="single" w:color="auto"/>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-201295</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29</w:t>
      </w:r>
    </w:p>
    <w:p>
      <w:pPr>
        <w:sectPr>
          <w:pgSz w:w="11900" w:h="16838" w:orient="portrait"/>
          <w:cols w:equalWidth="0" w:num="2">
            <w:col w:w="4300" w:space="720"/>
            <w:col w:w="5199"/>
          </w:cols>
          <w:pgMar w:left="240" w:top="274"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NOTICE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IN FRANCE</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Itron,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grants to Participant a restricted stock unit award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The Award is subject to all the terms and conditions set forth in this Restricted Stock Unit Award Notice (the “</w:t>
      </w:r>
      <w:r>
        <w:rPr>
          <w:rFonts w:ascii="Arial" w:cs="Arial" w:eastAsia="Arial" w:hAnsi="Arial"/>
          <w:sz w:val="16"/>
          <w:szCs w:val="16"/>
          <w:b w:val="1"/>
          <w:bCs w:val="1"/>
          <w:i w:val="1"/>
          <w:iCs w:val="1"/>
          <w:color w:val="auto"/>
        </w:rPr>
        <w:t>Award Notice</w:t>
      </w:r>
      <w:r>
        <w:rPr>
          <w:rFonts w:ascii="Arial" w:cs="Arial" w:eastAsia="Arial" w:hAnsi="Arial"/>
          <w:sz w:val="16"/>
          <w:szCs w:val="16"/>
          <w:color w:val="auto"/>
        </w:rPr>
        <w:t>”), the Restricted Stock Unit Award Agreement, including Appendix A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the Itron, Inc. 2010 Stock Incentive Plan (the “</w:t>
      </w:r>
      <w:r>
        <w:rPr>
          <w:rFonts w:ascii="Arial" w:cs="Arial" w:eastAsia="Arial" w:hAnsi="Arial"/>
          <w:sz w:val="16"/>
          <w:szCs w:val="16"/>
          <w:b w:val="1"/>
          <w:bCs w:val="1"/>
          <w:i w:val="1"/>
          <w:iCs w:val="1"/>
          <w:color w:val="auto"/>
        </w:rPr>
        <w:t>U.S. Plan</w:t>
      </w:r>
      <w:r>
        <w:rPr>
          <w:rFonts w:ascii="Arial" w:cs="Arial" w:eastAsia="Arial" w:hAnsi="Arial"/>
          <w:sz w:val="16"/>
          <w:szCs w:val="16"/>
          <w:color w:val="auto"/>
        </w:rPr>
        <w:t>”) and the Rules of the Itron, Inc. 2010 Stock Incentive Plan for the Grant of Restricted Stock Units to Participants in France (the “</w:t>
      </w:r>
      <w:r>
        <w:rPr>
          <w:rFonts w:ascii="Arial" w:cs="Arial" w:eastAsia="Arial" w:hAnsi="Arial"/>
          <w:sz w:val="16"/>
          <w:szCs w:val="16"/>
          <w:b w:val="1"/>
          <w:bCs w:val="1"/>
          <w:i w:val="1"/>
          <w:iCs w:val="1"/>
          <w:color w:val="auto"/>
        </w:rPr>
        <w:t>French RSU Plan</w:t>
      </w:r>
      <w:r>
        <w:rPr>
          <w:rFonts w:ascii="Arial" w:cs="Arial" w:eastAsia="Arial" w:hAnsi="Arial"/>
          <w:sz w:val="16"/>
          <w:szCs w:val="16"/>
          <w:color w:val="auto"/>
        </w:rPr>
        <w:t>” and together with the U.S.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all of which are incorporated into the Award Notice in their entirety.</w:t>
      </w:r>
    </w:p>
    <w:p>
      <w:pPr>
        <w:sectPr>
          <w:pgSz w:w="11900" w:h="16838" w:orient="portrait"/>
          <w:cols w:equalWidth="0" w:num="1">
            <w:col w:w="11420"/>
          </w:cols>
          <w:pgMar w:left="240" w:top="125"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«First_Name» «Last_Name»</w:t>
      </w:r>
    </w:p>
    <w:p>
      <w:pPr>
        <w:spacing w:after="0" w:line="14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Date of Grant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ind w:right="4520"/>
        <w:spacing w:after="0"/>
        <w:rPr>
          <w:sz w:val="20"/>
          <w:szCs w:val="20"/>
          <w:color w:val="auto"/>
        </w:rPr>
      </w:pPr>
      <w:r>
        <w:rPr>
          <w:rFonts w:ascii="Arial" w:cs="Arial" w:eastAsia="Arial" w:hAnsi="Arial"/>
          <w:sz w:val="15"/>
          <w:szCs w:val="15"/>
          <w:color w:val="auto"/>
        </w:rPr>
        <w:t>«Grant Date»</w:t>
      </w:r>
    </w:p>
    <w:p>
      <w:pPr>
        <w:spacing w:after="0" w:line="14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Number of Restricted Stock Units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of Units»</w:t>
      </w:r>
    </w:p>
    <w:p>
      <w:pPr>
        <w:spacing w:after="0" w:line="134"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The Award will vest in full on the second anniversary of the Date of Grant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w:t>
      </w:r>
    </w:p>
    <w:p>
      <w:pPr>
        <w:spacing w:after="0" w:line="126"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jc w:val="both"/>
        <w:spacing w:after="0" w:line="275" w:lineRule="auto"/>
        <w:rPr>
          <w:sz w:val="20"/>
          <w:szCs w:val="20"/>
          <w:color w:val="auto"/>
        </w:rPr>
      </w:pPr>
      <w:r>
        <w:rPr>
          <w:rFonts w:ascii="Arial" w:cs="Arial" w:eastAsia="Arial" w:hAnsi="Arial"/>
          <w:sz w:val="18"/>
          <w:szCs w:val="18"/>
          <w:b w:val="1"/>
          <w:bCs w:val="1"/>
          <w:color w:val="auto"/>
        </w:rPr>
        <w:t>Additional Terms/Acknowledgement</w:t>
      </w:r>
      <w:r>
        <w:rPr>
          <w:rFonts w:ascii="Arial" w:cs="Arial" w:eastAsia="Arial" w:hAnsi="Arial"/>
          <w:sz w:val="18"/>
          <w:szCs w:val="18"/>
          <w:color w:val="auto"/>
        </w:rPr>
        <w:t>: This Award is subject to all the terms and conditions set forth in this Award Notice, the Agreement, and the Plan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attached to and incorporated into this Award Notice in their entirety.</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and returning this Award Notice and Agreement providing for the terms and conditions of my grant, I confirm having read and understood the documents relating to this grant (the Restricted Stock Unit Award Agreement, the U.S. Plan, the French RSU Plan and the U.S. Plan Prospectus) which were provided to me in English language. I accept the terms of those documents accordingly.</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En signant et renvoyant la présente Notice d’Attribution et le Contrat décrivant les termes et conditions de mon attribution, je confirme ainsi avoir lu et compris les documents relatifs à cette attribution (le Contrat d’Attribution d’Actions Gratuites, le Plan Américain, le Sous-Plan pour la France et le Prospectus Américain) qui m’ont été communiqués en langue anglaise. J’en accepte les termes en connaissance de cause.</w:t>
      </w:r>
    </w:p>
    <w:p>
      <w:pPr>
        <w:sectPr>
          <w:pgSz w:w="11900" w:h="16838" w:orient="portrait"/>
          <w:cols w:equalWidth="0" w:num="1">
            <w:col w:w="11420"/>
          </w:cols>
          <w:pgMar w:left="240" w:top="125" w:right="2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«First_Name» «Last_Name»</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I accept this award subject to the terms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conditions stated herein.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«Electronically 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23" w:lineRule="exact"/>
        <w:rPr>
          <w:sz w:val="20"/>
          <w:szCs w:val="20"/>
          <w:color w:val="auto"/>
        </w:rPr>
      </w:pPr>
    </w:p>
    <w:p>
      <w:pPr>
        <w:ind w:right="7159" w:firstLine="8"/>
        <w:spacing w:after="0" w:line="254" w:lineRule="auto"/>
        <w:tabs>
          <w:tab w:leader="none" w:pos="1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Restricted Stock Unit Award Agreement, including Appendix A</w:t>
      </w: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U.S. Plan</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French RSU Plan</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U.S. Plan Prospectus</w:t>
      </w:r>
    </w:p>
    <w:p>
      <w:pPr>
        <w:sectPr>
          <w:pgSz w:w="11900" w:h="16838" w:orient="portrait"/>
          <w:cols w:equalWidth="0" w:num="1">
            <w:col w:w="10219"/>
          </w:cols>
          <w:pgMar w:left="240" w:top="280" w:right="1440"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IN FRANCE</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Pursuant to your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and this Restricted Stock Unit Award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under its 2010 Stock Incentive Plan (the “</w:t>
      </w:r>
      <w:r>
        <w:rPr>
          <w:rFonts w:ascii="Arial" w:cs="Arial" w:eastAsia="Arial" w:hAnsi="Arial"/>
          <w:sz w:val="18"/>
          <w:szCs w:val="18"/>
          <w:b w:val="1"/>
          <w:bCs w:val="1"/>
          <w:i w:val="1"/>
          <w:iCs w:val="1"/>
          <w:color w:val="auto"/>
        </w:rPr>
        <w:t>U.S. Plan</w:t>
      </w:r>
      <w:r>
        <w:rPr>
          <w:rFonts w:ascii="Arial" w:cs="Arial" w:eastAsia="Arial" w:hAnsi="Arial"/>
          <w:sz w:val="18"/>
          <w:szCs w:val="18"/>
          <w:color w:val="auto"/>
        </w:rPr>
        <w:t>”) and the Rules of the Itron, Inc. 2010 Stock Incentive Plan for the Grant of Restricted Stock Units to Participants in France (the “</w:t>
      </w:r>
      <w:r>
        <w:rPr>
          <w:rFonts w:ascii="Arial" w:cs="Arial" w:eastAsia="Arial" w:hAnsi="Arial"/>
          <w:sz w:val="18"/>
          <w:szCs w:val="18"/>
          <w:b w:val="1"/>
          <w:bCs w:val="1"/>
          <w:i w:val="1"/>
          <w:iCs w:val="1"/>
          <w:color w:val="auto"/>
        </w:rPr>
        <w:t>French RSU Plan</w:t>
      </w:r>
      <w:r>
        <w:rPr>
          <w:rFonts w:ascii="Arial" w:cs="Arial" w:eastAsia="Arial" w:hAnsi="Arial"/>
          <w:sz w:val="18"/>
          <w:szCs w:val="18"/>
          <w:color w:val="auto"/>
        </w:rPr>
        <w:t>” and together with the U.S.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 indicated in your Award Notice. Capitalized terms not expressly defined in this Agreement but defined in the Plan shall have the same definitions as in the Plan.</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Award is intended to qualify for the favorable tax and social security treatment in France applicable to shares granted for no consideration under Sections L. 225-197-1 to L. 225-197-6 of the French Commercial Code, as amended. However, certain events may affect the qualified status of the Award and the Company does not make any undertaking or representation to maintain the qualified status of the Award. If the Award does not retain its qualified status, the favorable tax and social security treatment will not apply and you will be required to pay your portion of social security contributions resulting from the Award.</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Moreover, if you relocate to another country, any special terms and conditions applicable to restricted stock unit awards granted in such country will apply to you, to the extent the Company determines that the application of such terms and conditions is necessary or advisable in order to comply with local law or facilitate the administration of the Plan.</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the Company reserves the right to impose other requirements on the Award and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the Award are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Vesting and Settlement</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Award will vest according to the vesting schedule set forth in the Award Notice (the “</w:t>
      </w:r>
      <w:r>
        <w:rPr>
          <w:rFonts w:ascii="Arial" w:cs="Arial" w:eastAsia="Arial" w:hAnsi="Arial"/>
          <w:sz w:val="18"/>
          <w:szCs w:val="18"/>
          <w:b w:val="1"/>
          <w:bCs w:val="1"/>
          <w:i w:val="1"/>
          <w:iCs w:val="1"/>
          <w:color w:val="auto"/>
        </w:rPr>
        <w:t>Vesting Schedule</w:t>
      </w:r>
      <w:r>
        <w:rPr>
          <w:rFonts w:ascii="Arial" w:cs="Arial" w:eastAsia="Arial" w:hAnsi="Arial"/>
          <w:sz w:val="18"/>
          <w:szCs w:val="18"/>
          <w:i w:val="1"/>
          <w:iCs w:val="1"/>
          <w:color w:val="auto"/>
        </w:rPr>
        <w:t>”</w:t>
      </w:r>
      <w:r>
        <w:rPr>
          <w:rFonts w:ascii="Arial" w:cs="Arial" w:eastAsia="Arial" w:hAnsi="Arial"/>
          <w:sz w:val="18"/>
          <w:szCs w:val="18"/>
          <w:color w:val="auto"/>
        </w:rPr>
        <w:t>). Restricted stock units that have vested and are no longer subject to forfeiture according to the Vesting Schedule are referred to herein as “</w:t>
      </w:r>
      <w:r>
        <w:rPr>
          <w:rFonts w:ascii="Arial" w:cs="Arial" w:eastAsia="Arial" w:hAnsi="Arial"/>
          <w:sz w:val="18"/>
          <w:szCs w:val="18"/>
          <w:b w:val="1"/>
          <w:bCs w:val="1"/>
          <w:i w:val="1"/>
          <w:iCs w:val="1"/>
          <w:color w:val="auto"/>
        </w:rPr>
        <w:t>Vested Units</w:t>
      </w:r>
      <w:r>
        <w:rPr>
          <w:rFonts w:ascii="Arial" w:cs="Arial" w:eastAsia="Arial" w:hAnsi="Arial"/>
          <w:sz w:val="18"/>
          <w:szCs w:val="18"/>
          <w:color w:val="auto"/>
        </w:rPr>
        <w:t>.” Restricted stock units that have not vested and remain subject to forfeiture under the Vesting Schedule are referred to herein as “</w:t>
      </w:r>
      <w:r>
        <w:rPr>
          <w:rFonts w:ascii="Arial" w:cs="Arial" w:eastAsia="Arial" w:hAnsi="Arial"/>
          <w:sz w:val="18"/>
          <w:szCs w:val="18"/>
          <w:b w:val="1"/>
          <w:bCs w:val="1"/>
          <w:i w:val="1"/>
          <w:iCs w:val="1"/>
          <w:color w:val="auto"/>
        </w:rPr>
        <w:t>Unvested Units</w:t>
      </w:r>
      <w:r>
        <w:rPr>
          <w:rFonts w:ascii="Arial" w:cs="Arial" w:eastAsia="Arial" w:hAnsi="Arial"/>
          <w:sz w:val="18"/>
          <w:szCs w:val="18"/>
          <w:color w:val="auto"/>
        </w:rPr>
        <w:t>.” Except as provided in Section 3 below,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w:t>
      </w:r>
    </w:p>
    <w:p>
      <w:pPr>
        <w:sectPr>
          <w:pgSz w:w="11900" w:h="16838" w:orient="portrait"/>
          <w:cols w:equalWidth="0" w:num="1">
            <w:col w:w="11420"/>
          </w:cols>
          <w:pgMar w:left="240" w:top="274" w:right="239" w:bottom="1440" w:gutter="0" w:footer="0" w:header="0"/>
        </w:sectPr>
      </w:pPr>
    </w:p>
    <w:bookmarkStart w:id="137" w:name="page138"/>
    <w:bookmarkEnd w:id="137"/>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provided in this Agreement, as soon as practicable after the Vesting Date, the Company will settle the Vested Units by issuing to you one Share for each Vested Unit, subject to the provisions of Section 6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Corporate Transaction/Change in Control</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of a Corporate Transaction (including a Related Party Transaction) that does not meet the definition of Change of Control in Appendix A, your Award will remain unaffected. In the event of a Change of Control as defined in Appendix A, any Unvested Units will accelerate in vesting and become Vested Units immediately prior to such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Termination of Employment</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your employment terminates during the Units’ vesting period by reason of death, the Units will become transferable to your heirs. The Company will issue the Shares subject to the Units to your heirs upon their request, provided they contact the Company with such a request within six (6) months following your death. If your heirs do not request the issuance of the Shares within six (6) months of your death, the Units will be forfeited to the Company.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your employment terminates during the Units’ vesting period for any reason other than death, any Unvested Units will be forfeited to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No Rights as Shareholder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shall not have voting or other rights as a shareholder of the Company with respect to the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Transferability of Units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Units shall not be sold, transferred, assigned, encumbered, pledged or otherwise disposed of, whether voluntarily or by operation of law.</w:t>
      </w:r>
    </w:p>
    <w:p>
      <w:pPr>
        <w:spacing w:after="0" w:line="246" w:lineRule="exact"/>
        <w:rPr>
          <w:sz w:val="20"/>
          <w:szCs w:val="20"/>
          <w:color w:val="auto"/>
        </w:rPr>
      </w:pPr>
    </w:p>
    <w:p>
      <w:pPr>
        <w:ind w:left="460" w:right="9380" w:hanging="452"/>
        <w:spacing w:after="0" w:line="417" w:lineRule="auto"/>
        <w:tabs>
          <w:tab w:leader="none" w:pos="179"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Transferability of Shares 6.1 Holding Period</w:t>
      </w:r>
    </w:p>
    <w:p>
      <w:pPr>
        <w:spacing w:after="0" w:line="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You are required to hold the Shares issued pursuant to the vesting of the Units for two years as measured from the Vesting Date or such other period as is required to comply with the minimum mandatory holding period applicable to Shares underlying French-qualified Restricted Stock Units (the “</w:t>
      </w:r>
      <w:r>
        <w:rPr>
          <w:rFonts w:ascii="Arial" w:cs="Arial" w:eastAsia="Arial" w:hAnsi="Arial"/>
          <w:sz w:val="16"/>
          <w:szCs w:val="16"/>
          <w:b w:val="1"/>
          <w:bCs w:val="1"/>
          <w:i w:val="1"/>
          <w:iCs w:val="1"/>
          <w:color w:val="auto"/>
        </w:rPr>
        <w:t>Holding Period</w:t>
      </w:r>
      <w:r>
        <w:rPr>
          <w:rFonts w:ascii="Arial" w:cs="Arial" w:eastAsia="Arial" w:hAnsi="Arial"/>
          <w:sz w:val="16"/>
          <w:szCs w:val="16"/>
          <w:color w:val="auto"/>
        </w:rPr>
        <w:t>”), even if you are no longer an employee or corporate officer, as applicable, of a French Entity. As from the end of the Holding Period, the corresponding Shares shall be freely transferable, subject to applicable legal and regulatory provisions in force and in particular to the provisions of Section 6.2 below.</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This Holding Period requirement shall not apply to your heirs should they acquire Shares under the Plan pursuant to Section 3 above nor shall it apply if you terminate employment due to Disability (as defined in the French RSU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w:t>
      </w:r>
    </w:p>
    <w:p>
      <w:pPr>
        <w:sectPr>
          <w:pgSz w:w="11900" w:h="16838" w:orient="portrait"/>
          <w:cols w:equalWidth="0" w:num="1">
            <w:col w:w="11420"/>
          </w:cols>
          <w:pgMar w:left="240" w:top="280" w:right="239" w:bottom="144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 Closed Period</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 long as the Award and the Shares issued upon vesting of the Units maintain their qualified status and to the extent such restriction is applicable under French law, the Shares may not be sold during a Closed Period (as defined in the French RSU Plan).</w:t>
      </w:r>
    </w:p>
    <w:p>
      <w:pPr>
        <w:spacing w:after="0" w:line="1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This Closed Period restriction shall not apply to your heirs should they acquire Shares under the Plan pursuant to Section 3 above nor shall it apply if you terminate employment due to Disability (as defined in the French RSU Plan).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6.3 Shareholding Restrictions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If you qualify as a managing corporate officer (</w:t>
      </w:r>
      <w:r>
        <w:rPr>
          <w:rFonts w:ascii="Arial" w:cs="Arial" w:eastAsia="Arial" w:hAnsi="Arial"/>
          <w:sz w:val="18"/>
          <w:szCs w:val="18"/>
          <w:i w:val="1"/>
          <w:iCs w:val="1"/>
          <w:color w:val="auto"/>
        </w:rPr>
        <w:t>i.e.,</w:t>
      </w:r>
      <w:r>
        <w:rPr>
          <w:rFonts w:ascii="Arial" w:cs="Arial" w:eastAsia="Arial" w:hAnsi="Arial"/>
          <w:sz w:val="18"/>
          <w:szCs w:val="18"/>
          <w:color w:val="auto"/>
        </w:rPr>
        <w:t xml:space="preserve"> “</w:t>
      </w:r>
      <w:r>
        <w:rPr>
          <w:rFonts w:ascii="Arial" w:cs="Arial" w:eastAsia="Arial" w:hAnsi="Arial"/>
          <w:sz w:val="18"/>
          <w:szCs w:val="18"/>
          <w:i w:val="1"/>
          <w:iCs w:val="1"/>
          <w:color w:val="auto"/>
        </w:rPr>
        <w:t>mandataires sociaux</w:t>
      </w:r>
      <w:r>
        <w:rPr>
          <w:rFonts w:ascii="Arial" w:cs="Arial" w:eastAsia="Arial" w:hAnsi="Arial"/>
          <w:sz w:val="18"/>
          <w:szCs w:val="18"/>
          <w:color w:val="auto"/>
        </w:rPr>
        <w:t xml:space="preserve">,” </w:t>
      </w:r>
      <w:r>
        <w:rPr>
          <w:rFonts w:ascii="Arial" w:cs="Arial" w:eastAsia="Arial" w:hAnsi="Arial"/>
          <w:sz w:val="18"/>
          <w:szCs w:val="18"/>
          <w:i w:val="1"/>
          <w:iCs w:val="1"/>
          <w:color w:val="auto"/>
        </w:rPr>
        <w:t>Président du Conseil d’Administration, Directeur Général, Directeur Général</w:t>
      </w:r>
      <w:r>
        <w:rPr>
          <w:rFonts w:ascii="Arial" w:cs="Arial" w:eastAsia="Arial" w:hAnsi="Arial"/>
          <w:sz w:val="18"/>
          <w:szCs w:val="18"/>
          <w:color w:val="auto"/>
        </w:rPr>
        <w:t xml:space="preserve"> </w:t>
      </w:r>
      <w:r>
        <w:rPr>
          <w:rFonts w:ascii="Arial" w:cs="Arial" w:eastAsia="Arial" w:hAnsi="Arial"/>
          <w:sz w:val="18"/>
          <w:szCs w:val="18"/>
          <w:i w:val="1"/>
          <w:iCs w:val="1"/>
          <w:color w:val="auto"/>
        </w:rPr>
        <w:t>Délégué, Membre du Directoire, Gérant de Sociétés par actions</w:t>
      </w:r>
      <w:r>
        <w:rPr>
          <w:rFonts w:ascii="Arial" w:cs="Arial" w:eastAsia="Arial" w:hAnsi="Arial"/>
          <w:sz w:val="18"/>
          <w:szCs w:val="18"/>
          <w:color w:val="auto"/>
        </w:rPr>
        <w:t>), or have a comparable position in any company of the Itron group of companies including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you are subject to shareholding restrictions under French law, you must hold 20% of the Shares issued upon vesting of the Units and you may not sell such Shares until you cease to serve as a managing corporate officer (or cease to have a comparable position as described herein), if required under French law.</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6.4 Compliance with Transfer Restrictions</w:t>
      </w:r>
    </w:p>
    <w:p>
      <w:pPr>
        <w:spacing w:after="0" w:line="96"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To ensure compliance with the restrictions on the transfer of Shares described in Sections 6.1, 6.2 and 6.3. above, the Company may require that the Shares be held with Fidelity or any brokerage firm designated by the Company (or according to any procedure implemented by the Company) until such Shares are sold.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Securities Law Compliance</w:t>
      </w:r>
    </w:p>
    <w:p>
      <w:pPr>
        <w:spacing w:after="0" w:line="90"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You represent and warrant that you (a) have been furnished with a copy of the prospectus for the Plan and all information which you deem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3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You hereby agree that you will in no event sell or distribute all or any part of the Shares unless (a) there is an effective registration statement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U.S.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any applicable state and foreign securities laws covering any such transaction involving the Shares or (b) the Company receives an opinion of your legal counsel (concurred in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w:t>
      </w:r>
    </w:p>
    <w:p>
      <w:pPr>
        <w:sectPr>
          <w:pgSz w:w="11900" w:h="16838" w:orient="portrait"/>
          <w:cols w:equalWidth="0" w:num="1">
            <w:col w:w="11420"/>
          </w:cols>
          <w:pgMar w:left="240" w:top="274" w:right="239" w:bottom="1440" w:gutter="0" w:footer="0" w:header="0"/>
        </w:sectPr>
      </w:pPr>
    </w:p>
    <w:bookmarkStart w:id="139" w:name="page140"/>
    <w:bookmarkEnd w:id="139"/>
    <w:p>
      <w:pPr>
        <w:jc w:val="both"/>
        <w:ind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7.3 </w:t>
      </w:r>
      <w:r>
        <w:rPr>
          <w:rFonts w:ascii="Arial" w:cs="Arial" w:eastAsia="Arial" w:hAnsi="Arial"/>
          <w:sz w:val="18"/>
          <w:szCs w:val="18"/>
          <w:color w:val="auto"/>
        </w:rPr>
        <w:t>You confirm that you have been advised, prior to your receipt of the Shares, that neither the offering of the Shares nor any offering materials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by any regulator under the Securities Act or any other applicable securities act (the “</w:t>
      </w:r>
      <w:r>
        <w:rPr>
          <w:rFonts w:ascii="Arial" w:cs="Arial" w:eastAsia="Arial" w:hAnsi="Arial"/>
          <w:sz w:val="18"/>
          <w:szCs w:val="18"/>
          <w:b w:val="1"/>
          <w:bCs w:val="1"/>
          <w:i w:val="1"/>
          <w:iCs w:val="1"/>
          <w:color w:val="auto"/>
        </w:rPr>
        <w:t>Acts</w:t>
      </w:r>
      <w:r>
        <w:rPr>
          <w:rFonts w:ascii="Arial" w:cs="Arial" w:eastAsia="Arial" w:hAnsi="Arial"/>
          <w:sz w:val="18"/>
          <w:szCs w:val="18"/>
          <w:color w:val="auto"/>
        </w:rPr>
        <w:t>”) and that the Shares cannot be resold unless they are registered under the Acts or unless an exemption from such registration is available.</w:t>
      </w:r>
    </w:p>
    <w:p>
      <w:pPr>
        <w:spacing w:after="0" w:line="132"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color w:val="auto"/>
        </w:rPr>
        <w:t>You hereby agree to indemnify the Company and hold it harmless from and against any loss, claim or liability, including attorneys’ fees or legal</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the Company as a result of any breach by you of, or any inaccuracy in, any representation, warranty or statement made by you in this Agreement or the breach by you of any terms or conditions of this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Book Entry Registration of Shares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Responsibility for Taxes</w:t>
      </w:r>
    </w:p>
    <w:p>
      <w:pPr>
        <w:spacing w:after="0" w:line="90"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b w:val="1"/>
          <w:bCs w:val="1"/>
          <w:color w:val="auto"/>
        </w:rPr>
        <w:t xml:space="preserve">9.1 </w:t>
      </w:r>
      <w:r>
        <w:rPr>
          <w:rFonts w:ascii="Arial" w:cs="Arial" w:eastAsia="Arial" w:hAnsi="Arial"/>
          <w:sz w:val="15"/>
          <w:szCs w:val="15"/>
          <w:color w:val="auto"/>
        </w:rPr>
        <w:t>Regardless of any action the Company or your employer (the “</w:t>
      </w:r>
      <w:r>
        <w:rPr>
          <w:rFonts w:ascii="Arial" w:cs="Arial" w:eastAsia="Arial" w:hAnsi="Arial"/>
          <w:sz w:val="15"/>
          <w:szCs w:val="15"/>
          <w:b w:val="1"/>
          <w:bCs w:val="1"/>
          <w:i w:val="1"/>
          <w:iCs w:val="1"/>
          <w:color w:val="auto"/>
        </w:rPr>
        <w:t>Employer</w:t>
      </w:r>
      <w:r>
        <w:rPr>
          <w:rFonts w:ascii="Arial" w:cs="Arial" w:eastAsia="Arial" w:hAnsi="Arial"/>
          <w:sz w:val="15"/>
          <w:szCs w:val="15"/>
          <w:color w:val="auto"/>
        </w:rPr>
        <w:t>”) take with respect to any and all income tax, social insurance, payroll tax,</w:t>
      </w:r>
      <w:r>
        <w:rPr>
          <w:rFonts w:ascii="Arial" w:cs="Arial" w:eastAsia="Arial" w:hAnsi="Arial"/>
          <w:sz w:val="15"/>
          <w:szCs w:val="15"/>
          <w:b w:val="1"/>
          <w:bCs w:val="1"/>
          <w:color w:val="auto"/>
        </w:rPr>
        <w:t xml:space="preserve"> </w:t>
      </w:r>
      <w:r>
        <w:rPr>
          <w:rFonts w:ascii="Arial" w:cs="Arial" w:eastAsia="Arial" w:hAnsi="Arial"/>
          <w:sz w:val="15"/>
          <w:szCs w:val="15"/>
          <w:color w:val="auto"/>
        </w:rPr>
        <w:t>payment on account or other tax-related items related to your participation in the Plan and legally applicable to you (“</w:t>
      </w:r>
      <w:r>
        <w:rPr>
          <w:rFonts w:ascii="Arial" w:cs="Arial" w:eastAsia="Arial" w:hAnsi="Arial"/>
          <w:sz w:val="15"/>
          <w:szCs w:val="15"/>
          <w:b w:val="1"/>
          <w:bCs w:val="1"/>
          <w:i w:val="1"/>
          <w:iCs w:val="1"/>
          <w:color w:val="auto"/>
        </w:rPr>
        <w:t>Tax-Related Items</w:t>
      </w:r>
      <w:r>
        <w:rPr>
          <w:rFonts w:ascii="Arial" w:cs="Arial" w:eastAsia="Arial" w:hAnsi="Arial"/>
          <w:sz w:val="15"/>
          <w:szCs w:val="15"/>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w:t>
      </w:r>
    </w:p>
    <w:p>
      <w:pPr>
        <w:spacing w:after="0" w:line="2" w:lineRule="exact"/>
        <w:rPr>
          <w:sz w:val="20"/>
          <w:szCs w:val="20"/>
          <w:color w:val="auto"/>
        </w:rPr>
      </w:pPr>
    </w:p>
    <w:p>
      <w:pPr>
        <w:jc w:val="both"/>
        <w:ind w:firstLine="8"/>
        <w:spacing w:after="0" w:line="295" w:lineRule="auto"/>
        <w:tabs>
          <w:tab w:leader="none" w:pos="266" w:val="left"/>
        </w:tabs>
        <w:numPr>
          <w:ilvl w:val="0"/>
          <w:numId w:val="69"/>
        </w:numPr>
        <w:rPr>
          <w:rFonts w:ascii="Arial" w:cs="Arial" w:eastAsia="Arial" w:hAnsi="Arial"/>
          <w:sz w:val="16"/>
          <w:szCs w:val="16"/>
          <w:color w:val="auto"/>
        </w:rPr>
      </w:pPr>
      <w:r>
        <w:rPr>
          <w:rFonts w:ascii="Arial" w:cs="Arial" w:eastAsia="Arial" w:hAnsi="Arial"/>
          <w:sz w:val="16"/>
          <w:szCs w:val="16"/>
          <w:color w:val="auto"/>
        </w:rPr>
        <w:t>do not commit to and are under no obligation to structure the terms of the grant or any aspect of the Award to reduce or eliminate your liability for Tax-Related Items or achieve any particular tax and/or social insurance contribution result. Further, if you have become subject to tax and/or social insurance contributions in more than one jurisdiction between the Date of Grant and the date of any relevant taxable event, you acknowledge that the Company and/or the Employer (or former employer, as applicable) may be required to withhold or account for Tax-Related Items in more than one jurisdiction.</w:t>
      </w:r>
    </w:p>
    <w:p>
      <w:pPr>
        <w:spacing w:after="0" w:line="10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Prior to any relevant taxable or tax and/or social insurance contribution withholding event, as applicable, you will pay or make adequate arrangements</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the Company and or the Employer to satisfy all Tax-Related Items.</w:t>
      </w:r>
    </w:p>
    <w:p>
      <w:pPr>
        <w:spacing w:after="0" w:line="126" w:lineRule="exact"/>
        <w:rPr>
          <w:sz w:val="20"/>
          <w:szCs w:val="20"/>
          <w:color w:val="auto"/>
        </w:rPr>
      </w:pPr>
    </w:p>
    <w:p>
      <w:pPr>
        <w:ind w:firstLine="464"/>
        <w:spacing w:after="0" w:line="268" w:lineRule="auto"/>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this regard, you hereby irrevocably appoint Fidelity or any stock plan service provider or brokerage firm designated by the Company for such purpose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your Agent, and authorize the Agent, to:</w:t>
      </w:r>
    </w:p>
    <w:p>
      <w:pPr>
        <w:spacing w:after="0" w:line="50" w:lineRule="exact"/>
        <w:rPr>
          <w:rFonts w:ascii="Arial" w:cs="Arial" w:eastAsia="Arial" w:hAnsi="Arial"/>
          <w:sz w:val="18"/>
          <w:szCs w:val="18"/>
          <w:color w:val="auto"/>
        </w:rPr>
      </w:pPr>
    </w:p>
    <w:p>
      <w:pPr>
        <w:jc w:val="both"/>
        <w:ind w:left="1480" w:hanging="567"/>
        <w:spacing w:after="0" w:line="306" w:lineRule="auto"/>
        <w:tabs>
          <w:tab w:leader="none" w:pos="14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Tax-Related Items and all applicable fees and commissions due to, or required to be collected by, the Agent;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w:t>
      </w:r>
    </w:p>
    <w:p>
      <w:pPr>
        <w:sectPr>
          <w:pgSz w:w="11900" w:h="16838" w:orient="portrait"/>
          <w:cols w:equalWidth="0" w:num="1">
            <w:col w:w="11420"/>
          </w:cols>
          <w:pgMar w:left="240" w:top="274" w:right="239" w:bottom="1440" w:gutter="0" w:footer="0" w:header="0"/>
        </w:sectPr>
      </w:pPr>
    </w:p>
    <w:bookmarkStart w:id="140" w:name="page141"/>
    <w:bookmarkEnd w:id="140"/>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Remit directly to the Company the cash amount necessary to cover the Tax-Related Items;</w:t>
      </w:r>
    </w:p>
    <w:p>
      <w:pPr>
        <w:spacing w:after="0" w:line="90"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Retain the amount required to cover all applicable fees and commissions due to, or required to be collected by, the Agent, relating directly to the sale of Shares referred to in clause (i) above;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Remit any remaining funds to you.</w:t>
      </w:r>
    </w:p>
    <w:p>
      <w:pPr>
        <w:spacing w:after="0" w:line="171" w:lineRule="exact"/>
        <w:rPr>
          <w:rFonts w:ascii="Arial" w:cs="Arial" w:eastAsia="Arial" w:hAnsi="Arial"/>
          <w:sz w:val="18"/>
          <w:szCs w:val="18"/>
          <w:color w:val="auto"/>
        </w:rPr>
      </w:pPr>
    </w:p>
    <w:p>
      <w:pPr>
        <w:ind w:firstLine="464"/>
        <w:spacing w:after="0" w:line="268" w:lineRule="auto"/>
        <w:tabs>
          <w:tab w:leader="none" w:pos="7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Alternatively, or in addition to or in combination with the withholding mechanism described in Section 9.2(a), you authorize the Company and/or the Employer, at their discretion, to satisfy the obligations with regard to all Tax-Related Items by:</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requiring you to pay to the Company or the Employer any amount of the Tax-Related Items; and/or</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withholding any amount of the Tax-Related Items from your wages or other cash compensation paid to you by the Company and/or the Employer, within legal limits; and/or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withholding in Shares to be issued upon settlement of the Vested Units.</w:t>
      </w:r>
    </w:p>
    <w:p>
      <w:pPr>
        <w:spacing w:after="0" w:line="171" w:lineRule="exact"/>
        <w:rPr>
          <w:rFonts w:ascii="Arial" w:cs="Arial" w:eastAsia="Arial" w:hAnsi="Arial"/>
          <w:sz w:val="18"/>
          <w:szCs w:val="18"/>
          <w:color w:val="auto"/>
        </w:rPr>
      </w:pPr>
    </w:p>
    <w:p>
      <w:pPr>
        <w:jc w:val="both"/>
        <w:ind w:firstLine="464"/>
        <w:spacing w:after="0" w:line="291" w:lineRule="auto"/>
        <w:tabs>
          <w:tab w:leader="none" w:pos="71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the amount withheld is greater than the actual Tax-Related Items, the difference will be refunded to you as soon as practicable. 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and/or social insurance contribution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114"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color w:val="auto"/>
        </w:rPr>
        <w:t>You acknowledge that the authorization and instruction to the Agent set forth in Section 9.2(a)(i) above to sell Shares to cover the Tax-Related Items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6"/>
          <w:szCs w:val="16"/>
          <w:b w:val="1"/>
          <w:bCs w:val="1"/>
          <w:i w:val="1"/>
          <w:iCs w:val="1"/>
          <w:color w:val="auto"/>
        </w:rPr>
        <w:t>10b5-1 Plan</w:t>
      </w:r>
      <w:r>
        <w:rPr>
          <w:rFonts w:ascii="Arial" w:cs="Arial" w:eastAsia="Arial" w:hAnsi="Arial"/>
          <w:sz w:val="16"/>
          <w:szCs w:val="16"/>
          <w:color w:val="auto"/>
        </w:rPr>
        <w:t>”). This 10b5-1 Plan is being adopted to permit you to sell a number of Shares issued upon settlement of Vested Units sufficient to pay the Tax-Related Items.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5</w:t>
      </w:r>
    </w:p>
    <w:p>
      <w:pPr>
        <w:sectPr>
          <w:pgSz w:w="11900" w:h="16838" w:orient="portrait"/>
          <w:cols w:equalWidth="0" w:num="1">
            <w:col w:w="11420"/>
          </w:cols>
          <w:pgMar w:left="240" w:top="280" w:right="239" w:bottom="1440" w:gutter="0" w:footer="0" w:header="0"/>
        </w:sectPr>
      </w:pPr>
    </w:p>
    <w:bookmarkStart w:id="141" w:name="page142"/>
    <w:bookmarkEnd w:id="141"/>
    <w:p>
      <w:pPr>
        <w:jc w:val="both"/>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Nature of Grant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accepting the grant, you acknowledge, understand and agree that:</w:t>
      </w:r>
    </w:p>
    <w:p>
      <w:pPr>
        <w:spacing w:after="0" w:line="171" w:lineRule="exact"/>
        <w:rPr>
          <w:sz w:val="20"/>
          <w:szCs w:val="20"/>
          <w:color w:val="auto"/>
        </w:rPr>
      </w:pPr>
    </w:p>
    <w:p>
      <w:pPr>
        <w:ind w:firstLine="464"/>
        <w:spacing w:after="0" w:line="268" w:lineRule="auto"/>
        <w:tabs>
          <w:tab w:leader="none" w:pos="71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w:t>
      </w:r>
    </w:p>
    <w:p>
      <w:pPr>
        <w:spacing w:after="0" w:line="131" w:lineRule="exact"/>
        <w:rPr>
          <w:rFonts w:ascii="Arial" w:cs="Arial" w:eastAsia="Arial" w:hAnsi="Arial"/>
          <w:sz w:val="18"/>
          <w:szCs w:val="18"/>
          <w:color w:val="auto"/>
        </w:rPr>
      </w:pPr>
    </w:p>
    <w:p>
      <w:pPr>
        <w:ind w:firstLine="464"/>
        <w:spacing w:after="0" w:line="268" w:lineRule="auto"/>
        <w:tabs>
          <w:tab w:leader="none" w:pos="70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decisions with respect to future grants of restricted stock units, if any, will be at the sole discretion of the Company;</w:t>
      </w:r>
    </w:p>
    <w:p>
      <w:pPr>
        <w:spacing w:after="0" w:line="171" w:lineRule="exact"/>
        <w:rPr>
          <w:rFonts w:ascii="Arial" w:cs="Arial" w:eastAsia="Arial" w:hAnsi="Arial"/>
          <w:sz w:val="18"/>
          <w:szCs w:val="18"/>
          <w:color w:val="auto"/>
        </w:rPr>
      </w:pPr>
    </w:p>
    <w:p>
      <w:pPr>
        <w:ind w:firstLine="464"/>
        <w:spacing w:after="0" w:line="268" w:lineRule="auto"/>
        <w:tabs>
          <w:tab w:leader="none" w:pos="706" w:val="left"/>
        </w:tabs>
        <w:numPr>
          <w:ilvl w:val="0"/>
          <w:numId w:val="73"/>
        </w:numPr>
        <w:rPr>
          <w:rFonts w:ascii="Arial" w:cs="Arial" w:eastAsia="Arial" w:hAnsi="Arial"/>
          <w:sz w:val="18"/>
          <w:szCs w:val="18"/>
          <w:color w:val="auto"/>
        </w:rPr>
      </w:pPr>
      <w:r>
        <w:rPr>
          <w:rFonts w:ascii="Arial" w:cs="Arial" w:eastAsia="Arial" w:hAnsi="Arial"/>
          <w:sz w:val="18"/>
          <w:szCs w:val="18"/>
          <w:color w:val="auto"/>
        </w:rPr>
        <w:t>your participation in the Plan shall not create a right to further employment with the Employer and shall not interfere with the ability of the Employer to terminate your employment relationship;</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171" w:lineRule="exact"/>
        <w:rPr>
          <w:rFonts w:ascii="Arial" w:cs="Arial" w:eastAsia="Arial" w:hAnsi="Arial"/>
          <w:sz w:val="18"/>
          <w:szCs w:val="18"/>
          <w:color w:val="auto"/>
        </w:rPr>
      </w:pPr>
    </w:p>
    <w:p>
      <w:pPr>
        <w:ind w:right="20" w:firstLine="464"/>
        <w:spacing w:after="0" w:line="268" w:lineRule="auto"/>
        <w:tabs>
          <w:tab w:leader="none" w:pos="6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an extraordinary item that does not constitute compensation of any kind for services of any kind rendered to the Company or the Employer, and which is outside the scope of your employment contract, if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6</w:t>
      </w:r>
    </w:p>
    <w:p>
      <w:pPr>
        <w:sectPr>
          <w:pgSz w:w="11900" w:h="16838" w:orient="portrait"/>
          <w:cols w:equalWidth="0" w:num="1">
            <w:col w:w="11420"/>
          </w:cols>
          <w:pgMar w:left="240" w:top="280" w:right="239" w:bottom="1440" w:gutter="0" w:footer="0" w:header="0"/>
        </w:sectPr>
      </w:pPr>
    </w:p>
    <w:bookmarkStart w:id="142" w:name="page143"/>
    <w:bookmarkEnd w:id="142"/>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Award and the Shares subject to the Award are not intended to replace any pension rights or compensation;</w:t>
      </w:r>
    </w:p>
    <w:p>
      <w:pPr>
        <w:spacing w:after="0" w:line="171" w:lineRule="exact"/>
        <w:rPr>
          <w:rFonts w:ascii="Arial" w:cs="Arial" w:eastAsia="Arial" w:hAnsi="Arial"/>
          <w:sz w:val="18"/>
          <w:szCs w:val="18"/>
          <w:color w:val="auto"/>
        </w:rPr>
      </w:pPr>
    </w:p>
    <w:p>
      <w:pPr>
        <w:jc w:val="both"/>
        <w:ind w:firstLine="464"/>
        <w:spacing w:after="0" w:line="256" w:lineRule="auto"/>
        <w:tabs>
          <w:tab w:leader="none" w:pos="7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not part of normal or expected compensation or salary for any purposes, including, but not limited to, calculating any severance, resignation, termination, redundancy, end of service payments, bonuses, long-service awards, pension or retirement or welfare benefits or similar payments and in no event should be considered as compensation for, or relating in any way to, past services for the Company, the Employer or any Related Corporation;</w:t>
      </w:r>
    </w:p>
    <w:p>
      <w:pPr>
        <w:spacing w:after="0" w:line="143" w:lineRule="exact"/>
        <w:rPr>
          <w:rFonts w:ascii="Arial" w:cs="Arial" w:eastAsia="Arial" w:hAnsi="Arial"/>
          <w:sz w:val="18"/>
          <w:szCs w:val="18"/>
          <w:color w:val="auto"/>
        </w:rPr>
      </w:pPr>
    </w:p>
    <w:p>
      <w:pPr>
        <w:ind w:firstLine="464"/>
        <w:spacing w:after="0" w:line="268" w:lineRule="auto"/>
        <w:tabs>
          <w:tab w:leader="none" w:pos="67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grant of the Award and your participation in the Plan will not be interpreted to form an employment contract or relationship with the Company or any Related Corporation;</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w:t>
      </w:r>
    </w:p>
    <w:p>
      <w:pPr>
        <w:spacing w:after="0" w:line="171" w:lineRule="exact"/>
        <w:rPr>
          <w:rFonts w:ascii="Arial" w:cs="Arial" w:eastAsia="Arial" w:hAnsi="Arial"/>
          <w:sz w:val="18"/>
          <w:szCs w:val="18"/>
          <w:color w:val="auto"/>
        </w:rPr>
      </w:pPr>
    </w:p>
    <w:p>
      <w:pPr>
        <w:jc w:val="both"/>
        <w:ind w:firstLine="464"/>
        <w:spacing w:after="0" w:line="291" w:lineRule="auto"/>
        <w:tabs>
          <w:tab w:leader="none" w:pos="721"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Award resulting from termination of your employment by the Company or the Employer (for any reason whatsoever and whether or not in breach of local labor laws) and, in consideration of the grant of the Award to which you are otherwise not entitled, you irrevocably agree never to institute any claim against the Company or the Employer, waive the ability, if any, to bring any such claim and release the Company and the Employer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claims;</w:t>
      </w:r>
    </w:p>
    <w:p>
      <w:pPr>
        <w:spacing w:after="0" w:line="120" w:lineRule="exact"/>
        <w:rPr>
          <w:rFonts w:ascii="Arial" w:cs="Arial" w:eastAsia="Arial" w:hAnsi="Arial"/>
          <w:sz w:val="16"/>
          <w:szCs w:val="16"/>
          <w:color w:val="auto"/>
        </w:rPr>
      </w:pPr>
    </w:p>
    <w:p>
      <w:pPr>
        <w:jc w:val="both"/>
        <w:ind w:firstLine="464"/>
        <w:spacing w:after="0" w:line="291" w:lineRule="auto"/>
        <w:tabs>
          <w:tab w:leader="none" w:pos="6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event of termination of your employment (whether or not in breach of local labor laws), your right to vest in the Award, if any, will terminate effective as of the date that you are no longer actively employed and will not be extended by any notice period mandated under local law (</w:t>
      </w:r>
      <w:r>
        <w:rPr>
          <w:rFonts w:ascii="Arial" w:cs="Arial" w:eastAsia="Arial" w:hAnsi="Arial"/>
          <w:sz w:val="16"/>
          <w:szCs w:val="16"/>
          <w:i w:val="1"/>
          <w:iCs w:val="1"/>
          <w:color w:val="auto"/>
        </w:rPr>
        <w:t>e.g.</w:t>
      </w:r>
      <w:r>
        <w:rPr>
          <w:rFonts w:ascii="Arial" w:cs="Arial" w:eastAsia="Arial" w:hAnsi="Arial"/>
          <w:sz w:val="16"/>
          <w:szCs w:val="16"/>
          <w:color w:val="auto"/>
        </w:rPr>
        <w:t>, active employment would not include a period of “garden leave” or similar period pursuant to local law); the Company’s Chief Executive Officer shall have the exclusive discretion to determine when you are no longer actively employed for purposes of the Award (including whether or not a transfer of employment between or among the Company and its Related Corporations or a change in status from an employee to a consultant, agent, advisor or independent contractor will constitute a termination of active employment for purposes of the Award); and</w:t>
      </w:r>
    </w:p>
    <w:p>
      <w:pPr>
        <w:spacing w:after="0" w:line="120" w:lineRule="exact"/>
        <w:rPr>
          <w:rFonts w:ascii="Arial" w:cs="Arial" w:eastAsia="Arial" w:hAnsi="Arial"/>
          <w:sz w:val="16"/>
          <w:szCs w:val="16"/>
          <w:color w:val="auto"/>
        </w:rPr>
      </w:pPr>
    </w:p>
    <w:p>
      <w:pPr>
        <w:ind w:left="780" w:hanging="316"/>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Award and the benefits under the Plan, if any, will not necessarily transfer to another company in the case of a merger, take over or transfer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liability.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 Advice Regarding Grant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7</w:t>
      </w:r>
    </w:p>
    <w:p>
      <w:pPr>
        <w:sectPr>
          <w:pgSz w:w="11900" w:h="16838" w:orient="portrait"/>
          <w:cols w:equalWidth="0" w:num="1">
            <w:col w:w="11420"/>
          </w:cols>
          <w:pgMar w:left="240" w:top="280" w:right="239" w:bottom="1440" w:gutter="0" w:footer="0" w:header="0"/>
        </w:sectPr>
      </w:pPr>
    </w:p>
    <w:bookmarkStart w:id="143" w:name="page144"/>
    <w:bookmarkEnd w:id="14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b w:val="1"/>
          <w:bCs w:val="1"/>
          <w:i w:val="1"/>
          <w:iCs w:val="1"/>
          <w:color w:val="auto"/>
        </w:rPr>
        <w:t>. Data Privacy</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1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France.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Electronic Delivery and Participation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8</w:t>
      </w:r>
    </w:p>
    <w:p>
      <w:pPr>
        <w:sectPr>
          <w:pgSz w:w="11900" w:h="16838" w:orient="portrait"/>
          <w:cols w:equalWidth="0" w:num="1">
            <w:col w:w="11420"/>
          </w:cols>
          <w:pgMar w:left="240" w:top="280"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 Language</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If you have received this Agreement or any other document related to the Plan translated into a language other than English and if the meaning of the translated version is different from the English version, the English version will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General Provisions</w:t>
      </w:r>
    </w:p>
    <w:p>
      <w:pPr>
        <w:spacing w:after="0" w:line="9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15.1 Successors and Assigns</w:t>
      </w:r>
      <w:r>
        <w:rPr>
          <w:rFonts w:ascii="Arial" w:cs="Arial" w:eastAsia="Arial" w:hAnsi="Arial"/>
          <w:sz w:val="18"/>
          <w:szCs w:val="18"/>
          <w:color w:val="auto"/>
        </w:rPr>
        <w:t>. The provisions of this Agreement will inure to the benefit of the successors and assigns of the Company and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you and your heirs, executors, administrators, successors and assigns.</w:t>
      </w:r>
    </w:p>
    <w:p>
      <w:pPr>
        <w:spacing w:after="0" w:line="12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b w:val="1"/>
          <w:bCs w:val="1"/>
          <w:color w:val="auto"/>
        </w:rPr>
        <w:t>15.2 Section 409A</w:t>
      </w:r>
      <w:r>
        <w:rPr>
          <w:rFonts w:ascii="Arial" w:cs="Arial" w:eastAsia="Arial" w:hAnsi="Arial"/>
          <w:sz w:val="18"/>
          <w:szCs w:val="18"/>
          <w:color w:val="auto"/>
        </w:rPr>
        <w:t>. For purposes of U.S. taxpayers, the settlement of the Units is intended to either be exempt from Section 409A of the Code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deferral” exception, and in any event in compliance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The Company makes no representation or covenant to ensure that the Units, settlement of the Units or other payment hereunder are exempt from or compliant with Section 409A of the Code and will have no liability to you or any other party if the settlement of the Units or other payment hereunder that is intended to be exempt from, or compliant with, Section 409A of the Code, is not so exempt or compliant or for any action taken by the Plan Administrator with respect thereto.</w:t>
      </w:r>
    </w:p>
    <w:p>
      <w:pPr>
        <w:spacing w:after="0" w:line="13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15.3 Governing Law and Choice of Venue</w:t>
      </w:r>
      <w:r>
        <w:rPr>
          <w:rFonts w:ascii="Arial" w:cs="Arial" w:eastAsia="Arial" w:hAnsi="Arial"/>
          <w:sz w:val="18"/>
          <w:szCs w:val="18"/>
          <w:color w:val="auto"/>
        </w:rPr>
        <w:t>. The Award and the provisions of this Agreement will be construed and administered in accordance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39"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15.4 Severability</w:t>
      </w:r>
      <w:r>
        <w:rPr>
          <w:rFonts w:ascii="Arial" w:cs="Arial" w:eastAsia="Arial" w:hAnsi="Arial"/>
          <w:sz w:val="18"/>
          <w:szCs w:val="18"/>
          <w:color w:val="auto"/>
        </w:rPr>
        <w:t>. The provisions of this Agreement are severable and if any one or more provisions are determined to be illegal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9</w:t>
      </w:r>
    </w:p>
    <w:p>
      <w:pPr>
        <w:sectPr>
          <w:pgSz w:w="11900" w:h="16838" w:orient="portrait"/>
          <w:cols w:equalWidth="0" w:num="1">
            <w:col w:w="11420"/>
          </w:cols>
          <w:pgMar w:left="240" w:top="274" w:right="239" w:bottom="1440" w:gutter="0" w:footer="0" w:header="0"/>
        </w:sectPr>
      </w:pPr>
    </w:p>
    <w:bookmarkStart w:id="145" w:name="page146"/>
    <w:bookmarkEnd w:id="145"/>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15.5 Notice. </w:t>
      </w:r>
      <w:r>
        <w:rPr>
          <w:rFonts w:ascii="Arial" w:cs="Arial" w:eastAsia="Arial" w:hAnsi="Arial"/>
          <w:sz w:val="15"/>
          <w:szCs w:val="15"/>
          <w:color w:val="auto"/>
        </w:rPr>
        <w:t>Any notice required or permitted hereunder shall be made in writing and sent to the following address:</w:t>
      </w:r>
    </w:p>
    <w:p>
      <w:pPr>
        <w:sectPr>
          <w:pgSz w:w="11900" w:h="16838" w:orient="portrait"/>
          <w:cols w:equalWidth="0" w:num="1">
            <w:col w:w="9759"/>
          </w:cols>
          <w:pgMar w:left="700" w:top="274" w:right="1440" w:bottom="1440" w:gutter="0" w:footer="0" w:header="0"/>
        </w:sectPr>
      </w:pPr>
    </w:p>
    <w:p>
      <w:pPr>
        <w:spacing w:after="0" w:line="13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Liberty Lake, WA 99019</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USA</w:t>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i w:val="1"/>
          <w:iCs w:val="1"/>
          <w:color w:val="auto"/>
        </w:rPr>
        <w:t>10</w:t>
      </w:r>
    </w:p>
    <w:p>
      <w:pPr>
        <w:sectPr>
          <w:pgSz w:w="11900" w:h="16838" w:orient="portrait"/>
          <w:cols w:equalWidth="0" w:num="1">
            <w:col w:w="9759"/>
          </w:cols>
          <w:pgMar w:left="700" w:top="274" w:right="1440" w:bottom="1440" w:gutter="0" w:footer="0" w:header="0"/>
          <w:type w:val="continuous"/>
        </w:sectPr>
      </w:pPr>
    </w:p>
    <w:bookmarkStart w:id="146" w:name="page147"/>
    <w:bookmarkEnd w:id="146"/>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IN FRANCE</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For purposes of this Agreement, 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xml:space="preserve"> shall be deemed to have occurred if any of the events set forth in any of the following paragraphs shall have occurred:</w:t>
      </w:r>
    </w:p>
    <w:p>
      <w:pPr>
        <w:spacing w:after="0" w:line="132" w:lineRule="exact"/>
        <w:rPr>
          <w:sz w:val="20"/>
          <w:szCs w:val="20"/>
          <w:color w:val="auto"/>
        </w:rPr>
      </w:pPr>
    </w:p>
    <w:p>
      <w:pPr>
        <w:jc w:val="both"/>
        <w:ind w:firstLine="1492"/>
        <w:spacing w:after="0" w:line="259" w:lineRule="auto"/>
        <w:tabs>
          <w:tab w:leader="none" w:pos="17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25% or more of either the then outstanding Shares or the combined voting power of the Company’s then outstanding securities, excluding any Person who becomes such a Beneficial Owner in connection with a transaction described in subsection(c) below;</w:t>
      </w:r>
    </w:p>
    <w:p>
      <w:pPr>
        <w:spacing w:after="0" w:line="140" w:lineRule="exact"/>
        <w:rPr>
          <w:rFonts w:ascii="Arial" w:cs="Arial" w:eastAsia="Arial" w:hAnsi="Arial"/>
          <w:sz w:val="18"/>
          <w:szCs w:val="18"/>
          <w:color w:val="auto"/>
        </w:rPr>
      </w:pPr>
    </w:p>
    <w:p>
      <w:pPr>
        <w:jc w:val="both"/>
        <w:ind w:firstLine="1492"/>
        <w:spacing w:after="0" w:line="290" w:lineRule="auto"/>
        <w:tabs>
          <w:tab w:leader="none" w:pos="17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 change in the composition of the Board during any two-year period such that the individuals who, as of the date of this Agreement, constitute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18" w:lineRule="exact"/>
        <w:rPr>
          <w:rFonts w:ascii="Arial" w:cs="Arial" w:eastAsia="Arial" w:hAnsi="Arial"/>
          <w:sz w:val="16"/>
          <w:szCs w:val="16"/>
          <w:color w:val="auto"/>
        </w:rPr>
      </w:pPr>
    </w:p>
    <w:p>
      <w:pPr>
        <w:jc w:val="both"/>
        <w:ind w:firstLine="1492"/>
        <w:spacing w:after="0" w:line="291" w:lineRule="auto"/>
        <w:tabs>
          <w:tab w:leader="none" w:pos="174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25% or more of the combined voting power of the Company’s then outstanding securities; or</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stockholders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11</w:t>
      </w:r>
    </w:p>
    <w:p>
      <w:pPr>
        <w:sectPr>
          <w:pgSz w:w="11900" w:h="16838" w:orient="portrait"/>
          <w:cols w:equalWidth="0" w:num="1">
            <w:col w:w="11420"/>
          </w:cols>
          <w:pgMar w:left="240" w:top="274"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clarity, a Change in Control shall not be deemed to occur in the event of a reincorporation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Appendix A,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shall have the meaning set forth in Rule 13d-3 of the Exchange Act.</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For purposes of this Appendix A,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xml:space="preserve">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(as such term is set forth in Rule 12-b2 promulgated under Section 12 of the Exchange Act),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12</w:t>
      </w:r>
    </w:p>
    <w:p>
      <w:pPr>
        <w:sectPr>
          <w:pgSz w:w="11900" w:h="16838" w:orient="portrait"/>
          <w:cols w:equalWidth="0" w:num="1">
            <w:col w:w="11420"/>
          </w:cols>
          <w:pgMar w:left="240" w:top="28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63270" cy="3086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32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Itron, Inc. (the “Company”) hereby grants to Participant an option (the “Option”) to purchase shares of the Company’s common stock.</w:t>
      </w:r>
    </w:p>
    <w:p>
      <w:pPr>
        <w:sectPr>
          <w:pgSz w:w="11900" w:h="16838" w:orient="portrait"/>
          <w:cols w:equalWidth="0" w:num="1">
            <w:col w:w="11420"/>
          </w:cols>
          <w:pgMar w:left="240" w:top="125"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Number of Shares Subject to Option: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Option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&lt;&lt;Name&gt;&gt; &lt;&lt;SSN&gt;&gt;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&lt;&lt;Grant Date&gt;&gt;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&lt;&lt;Option Granted&gt;&gt;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&lt;&lt;Grant Price&gt;&gt;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&lt;&lt;Expiration Date&gt;&gt;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&lt;&lt;Incentive Stock Option&gt;&gt;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&lt;&lt;Nonqualified Stock Option&gt;&gt;</w:t>
      </w:r>
    </w:p>
    <w:p>
      <w:pPr>
        <w:spacing w:after="0" w:line="141"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and Exercisability Schedule:</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Option will vest and become exercisable on the one-year anniversary of the Grant Date. An additional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Option will vest and become exercisable each year thereafter so that the entire Option will be fully vested and exercisable three years from the Grant Date.</w:t>
      </w:r>
    </w:p>
    <w:p>
      <w:pPr>
        <w:spacing w:after="0" w:line="107"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line="339" w:lineRule="auto"/>
        <w:rPr>
          <w:sz w:val="20"/>
          <w:szCs w:val="20"/>
          <w:color w:val="auto"/>
        </w:rPr>
      </w:pPr>
      <w:r>
        <w:rPr>
          <w:rFonts w:ascii="Arial" w:cs="Arial" w:eastAsia="Arial" w:hAnsi="Arial"/>
          <w:sz w:val="16"/>
          <w:szCs w:val="16"/>
          <w:b w:val="1"/>
          <w:bCs w:val="1"/>
          <w:color w:val="auto"/>
        </w:rPr>
        <w:t xml:space="preserve">Additional Terms: </w:t>
      </w:r>
      <w:r>
        <w:rPr>
          <w:rFonts w:ascii="Arial" w:cs="Arial" w:eastAsia="Arial" w:hAnsi="Arial"/>
          <w:sz w:val="16"/>
          <w:szCs w:val="16"/>
          <w:color w:val="auto"/>
        </w:rPr>
        <w:t>The Option is subject to all the terms and conditions set forth in this Stock Option Grant Notice (this “Grant Notice”), the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Company’s 2010 Stock Incentive Plan (the “Plan”), which are attached to and incorporated into this Grant Notice in their entirety.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&lt;&lt;Name&gt;&gt;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 accept the Option subject to the terms and conditions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stated 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&lt;&lt;electronically signed&gt;&gt;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-17780</wp:posOffset>
            </wp:positionV>
            <wp:extent cx="7804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p>
    <w:p>
      <w:pPr>
        <w:spacing w:after="0" w:line="21"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Stock Option Agreement</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2010 Stock Incentive Plan</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Plan Prospectus</w:t>
      </w:r>
    </w:p>
    <w:p>
      <w:pPr>
        <w:sectPr>
          <w:pgSz w:w="11900" w:h="16838" w:orient="portrait"/>
          <w:cols w:equalWidth="0" w:num="1">
            <w:col w:w="11420"/>
          </w:cols>
          <w:pgMar w:left="240" w:top="125" w:right="239" w:bottom="1440"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your Stock Option Grant Notice (the “Grant Notice”), Itron, Inc. (the “Company”) has granted you an Option (the “Option”) under its 2010 Stock Incentive Plan (the “Plan”) to purchase the number of shares of the Company’s common stock (the “Shares”) indicated in your Grant Notice at the price (the “Grant Price”) indicated in your Grant Notice. Capitalized terms not expressly defined in this Stock Option Agreement or the Grant Notice have the same definitions as in the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Option are as follows:</w:t>
      </w:r>
    </w:p>
    <w:p>
      <w:pPr>
        <w:spacing w:after="0" w:line="165"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Vesting and Exercisability</w:t>
      </w:r>
      <w:r>
        <w:rPr>
          <w:rFonts w:ascii="Arial" w:cs="Arial" w:eastAsia="Arial" w:hAnsi="Arial"/>
          <w:sz w:val="16"/>
          <w:szCs w:val="16"/>
          <w:color w:val="auto"/>
        </w:rPr>
        <w:t>. Subject to the limitations contained herein, the Option will vest and become exercisable as provided in your Grant Notice.</w:t>
      </w:r>
    </w:p>
    <w:p>
      <w:pPr>
        <w:spacing w:after="0" w:line="194" w:lineRule="exact"/>
        <w:rPr>
          <w:rFonts w:ascii="Arial" w:cs="Arial" w:eastAsia="Arial" w:hAnsi="Arial"/>
          <w:sz w:val="16"/>
          <w:szCs w:val="16"/>
          <w:color w:val="auto"/>
        </w:rPr>
      </w:pPr>
    </w:p>
    <w:p>
      <w:pPr>
        <w:jc w:val="both"/>
        <w:ind w:firstLine="8"/>
        <w:spacing w:after="0" w:line="254" w:lineRule="auto"/>
        <w:tabs>
          <w:tab w:leader="none" w:pos="203"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Securities Law Compliance</w:t>
      </w:r>
      <w:r>
        <w:rPr>
          <w:rFonts w:ascii="Arial" w:cs="Arial" w:eastAsia="Arial" w:hAnsi="Arial"/>
          <w:sz w:val="18"/>
          <w:szCs w:val="18"/>
          <w:color w:val="auto"/>
        </w:rPr>
        <w:t>. At the present time, the Company has an effective registration statement on file with the U.S.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with respect to the Shares. The Company intends to maintain this registration but has no obligation to do so. In the event that such registration ceases to be effective, you will not be able to exercise the Option unless exemptions from registration under U.S. federal and state (and, where applicable, foreign) securities laws are available, which exemptions from registration are very limited and might be unavailable. The exercise of the Option must also comply with other applicable laws and regulations governing the Option, and you may not exercise the Option if the Company determines that such exercise would not be in material compliance with such laws and regulations. In addition, you agree not to sell any of the Shares received under this Option at a time when applicable laws or Company policies prohibit a sale.</w:t>
      </w:r>
    </w:p>
    <w:p>
      <w:pPr>
        <w:spacing w:after="0" w:line="141" w:lineRule="exact"/>
        <w:rPr>
          <w:rFonts w:ascii="Arial" w:cs="Arial" w:eastAsia="Arial" w:hAnsi="Arial"/>
          <w:sz w:val="18"/>
          <w:szCs w:val="18"/>
          <w:color w:val="auto"/>
        </w:rPr>
      </w:pPr>
    </w:p>
    <w:p>
      <w:pPr>
        <w:jc w:val="both"/>
        <w:ind w:firstLine="8"/>
        <w:spacing w:after="0" w:line="310" w:lineRule="auto"/>
        <w:tabs>
          <w:tab w:leader="none" w:pos="176"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Type of Option</w:t>
      </w:r>
      <w:r>
        <w:rPr>
          <w:rFonts w:ascii="Arial" w:cs="Arial" w:eastAsia="Arial" w:hAnsi="Arial"/>
          <w:sz w:val="16"/>
          <w:szCs w:val="16"/>
          <w:color w:val="auto"/>
        </w:rPr>
        <w:t>. Your Grant Notice specifies the type of Option granted to you, which may be an Incentive Stock Option or a Nonqualified Stock Option, or</w:t>
      </w:r>
      <w:r>
        <w:rPr>
          <w:rFonts w:ascii="Arial" w:cs="Arial" w:eastAsia="Arial" w:hAnsi="Arial"/>
          <w:sz w:val="16"/>
          <w:szCs w:val="16"/>
          <w:b w:val="1"/>
          <w:bCs w:val="1"/>
          <w:color w:val="auto"/>
        </w:rPr>
        <w:t xml:space="preserve"> </w:t>
      </w:r>
      <w:r>
        <w:rPr>
          <w:rFonts w:ascii="Arial" w:cs="Arial" w:eastAsia="Arial" w:hAnsi="Arial"/>
          <w:sz w:val="16"/>
          <w:szCs w:val="16"/>
          <w:color w:val="auto"/>
        </w:rPr>
        <w:t>both. Of the total number of options granted to you, the number of Incentive Stock Options shall be determined in accordance with the limits set forth in the Code and related regulations. Incentive Stock Options are governed by the Code and related regulations as described below:</w:t>
      </w:r>
    </w:p>
    <w:p>
      <w:pPr>
        <w:spacing w:after="0" w:line="22"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Incentive Stock Option Qualification.</w:t>
      </w:r>
      <w:r>
        <w:rPr>
          <w:rFonts w:ascii="Arial" w:cs="Arial" w:eastAsia="Arial" w:hAnsi="Arial"/>
          <w:sz w:val="18"/>
          <w:szCs w:val="18"/>
          <w:color w:val="auto"/>
        </w:rPr>
        <w:t xml:space="preserve"> If all or a portion of the Option is intended to qualify as an Incentive Stock Option under U.S. federal income tax law, the Company does not represent or guarantee that the Option qualifies as such.</w:t>
      </w:r>
    </w:p>
    <w:p>
      <w:pPr>
        <w:spacing w:after="0" w:line="51" w:lineRule="exact"/>
        <w:rPr>
          <w:sz w:val="20"/>
          <w:szCs w:val="20"/>
          <w:color w:val="auto"/>
        </w:rPr>
      </w:pPr>
    </w:p>
    <w:p>
      <w:pPr>
        <w:jc w:val="both"/>
        <w:ind w:left="920"/>
        <w:spacing w:after="0" w:line="298" w:lineRule="auto"/>
        <w:rPr>
          <w:sz w:val="20"/>
          <w:szCs w:val="20"/>
          <w:color w:val="auto"/>
        </w:rPr>
      </w:pPr>
      <w:r>
        <w:rPr>
          <w:rFonts w:ascii="Arial" w:cs="Arial" w:eastAsia="Arial" w:hAnsi="Arial"/>
          <w:sz w:val="16"/>
          <w:szCs w:val="16"/>
          <w:color w:val="auto"/>
        </w:rPr>
        <w:t>If the aggregate Fair Market Value (determined as of the Grant Date) of the Shares subject to the Option and all other Incentive Stock Options you hold that first become exercisable during any calendar year exceeds $100,000, any excess portion will be treated as a Nonqualified Stock Option, unless the rules and regulations governing the $100,000 limit for Incentive Stock Options are amended. A portion of the Option may be treated as a Nonqualified Stock Option if certain events cause exercisability of the Option to accelerate.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w:t>
      </w:r>
    </w:p>
    <w:p>
      <w:pPr>
        <w:sectPr>
          <w:pgSz w:w="11900" w:h="16838" w:orient="portrait"/>
          <w:cols w:equalWidth="0" w:num="1">
            <w:col w:w="11420"/>
          </w:cols>
          <w:pgMar w:left="240" w:top="274" w:right="239" w:bottom="1440" w:gutter="0" w:footer="0" w:header="0"/>
        </w:sectPr>
      </w:pPr>
    </w:p>
    <w:bookmarkStart w:id="150" w:name="page151"/>
    <w:bookmarkEnd w:id="150"/>
    <w:p>
      <w:pPr>
        <w:jc w:val="both"/>
        <w:ind w:left="90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Disqualifying Disposition.</w:t>
      </w:r>
      <w:r>
        <w:rPr>
          <w:rFonts w:ascii="Arial" w:cs="Arial" w:eastAsia="Arial" w:hAnsi="Arial"/>
          <w:sz w:val="18"/>
          <w:szCs w:val="18"/>
          <w:color w:val="auto"/>
        </w:rPr>
        <w:t xml:space="preserve"> To obtain certain tax benefits afforded to Incentive Stock Options, you must hold the Shares issued upon the exercise of the Option for two years after the Grant Date and one year after the date of exercise. You may be subject to the alternative minimum tax at the time of exercise.</w:t>
      </w:r>
    </w:p>
    <w:p>
      <w:pPr>
        <w:spacing w:after="0" w:line="59"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b w:val="1"/>
          <w:bCs w:val="1"/>
          <w:i w:val="1"/>
          <w:iCs w:val="1"/>
          <w:color w:val="auto"/>
        </w:rPr>
        <w:t>By accepting the Incentive Stock Option, you agree to promptly notify the Company if you dispose of any of the Shares within one year from the date you exercise all or part of your Option or within two years from the Grant Date.</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The Company is not providing any tax, legal or financial advice, nor is the Company making any recommendations regarding your participation in the Plan or your acquisition or sale of the Shares underlying the Option.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Option and the acquisition or disposition of any Shares to be issued pursuant to the exercise of the Option in light of your specific situation or had the opportunity to consult with such advisors but chose not to do so.</w:t>
      </w:r>
    </w:p>
    <w:p>
      <w:pPr>
        <w:spacing w:after="0" w:line="139"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Method of Exercise</w:t>
      </w:r>
      <w:r>
        <w:rPr>
          <w:rFonts w:ascii="Arial" w:cs="Arial" w:eastAsia="Arial" w:hAnsi="Arial"/>
          <w:sz w:val="16"/>
          <w:szCs w:val="16"/>
          <w:color w:val="auto"/>
        </w:rPr>
        <w:t>. You may exercise the Option upon notice and payment of the Grant Price by any of the following methods, unless disallowed by law:</w:t>
      </w:r>
    </w:p>
    <w:p>
      <w:pPr>
        <w:spacing w:after="0" w:line="119" w:lineRule="exact"/>
        <w:rPr>
          <w:rFonts w:ascii="Arial" w:cs="Arial" w:eastAsia="Arial" w:hAnsi="Arial"/>
          <w:sz w:val="16"/>
          <w:szCs w:val="16"/>
          <w:color w:val="auto"/>
        </w:rPr>
      </w:pPr>
    </w:p>
    <w:p>
      <w:pPr>
        <w:ind w:left="700" w:hanging="236"/>
        <w:spacing w:after="0"/>
        <w:tabs>
          <w:tab w:leader="none" w:pos="7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broker assisted exercise; or</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Shares already owned by you.</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You may elect to receive the proceeds of the exercise in either cash or Shares;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if your Option is an Incentive Stock Option and you take the proceeds of its exercise in cash, you may not receive the benefit of the intended tax treatment of your Incentive Stock Option, as explained above in Section 3(b).</w:t>
      </w:r>
    </w:p>
    <w:p>
      <w:pPr>
        <w:spacing w:after="0" w:line="134"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Term of Option</w:t>
      </w:r>
      <w:r>
        <w:rPr>
          <w:rFonts w:ascii="Arial" w:cs="Arial" w:eastAsia="Arial" w:hAnsi="Arial"/>
          <w:sz w:val="18"/>
          <w:szCs w:val="18"/>
          <w:color w:val="auto"/>
        </w:rPr>
        <w:t>. This Option shall expire ten years from the Grant Date thereof, but shall be subject to earlier termination as follows:</w:t>
      </w:r>
    </w:p>
    <w:p>
      <w:pPr>
        <w:spacing w:after="0" w:line="9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Unvested Options.</w:t>
      </w:r>
      <w:r>
        <w:rPr>
          <w:rFonts w:ascii="Arial" w:cs="Arial" w:eastAsia="Arial" w:hAnsi="Arial"/>
          <w:sz w:val="18"/>
          <w:szCs w:val="18"/>
          <w:color w:val="auto"/>
        </w:rPr>
        <w:t xml:space="preserve"> In the event you cease to be an employee of the Company or a Related Corporation for any reason, the unvested portion of the Option shall terminate immediately.</w:t>
      </w:r>
    </w:p>
    <w:p>
      <w:pPr>
        <w:spacing w:after="0" w:line="253" w:lineRule="exact"/>
        <w:rPr>
          <w:rFonts w:ascii="Arial" w:cs="Arial" w:eastAsia="Arial" w:hAnsi="Arial"/>
          <w:sz w:val="18"/>
          <w:szCs w:val="18"/>
          <w:color w:val="auto"/>
        </w:rPr>
      </w:pPr>
    </w:p>
    <w:p>
      <w:pPr>
        <w:ind w:left="900" w:hanging="446"/>
        <w:spacing w:after="0"/>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Vested Options.</w:t>
      </w:r>
    </w:p>
    <w:p>
      <w:pPr>
        <w:spacing w:after="0" w:line="90" w:lineRule="exact"/>
        <w:rPr>
          <w:rFonts w:ascii="Arial" w:cs="Arial" w:eastAsia="Arial" w:hAnsi="Arial"/>
          <w:sz w:val="18"/>
          <w:szCs w:val="18"/>
          <w:color w:val="auto"/>
        </w:rPr>
      </w:pPr>
    </w:p>
    <w:p>
      <w:pPr>
        <w:jc w:val="both"/>
        <w:ind w:left="920" w:firstLine="1"/>
        <w:spacing w:after="0" w:line="306" w:lineRule="auto"/>
        <w:tabs>
          <w:tab w:leader="none" w:pos="1129" w:val="left"/>
        </w:tabs>
        <w:numPr>
          <w:ilvl w:val="2"/>
          <w:numId w:val="80"/>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xml:space="preserve"> In the event you cease to be an employee of the Company or a Related Corporation for any reason other than death, Disability, Retirement (as defined below) or Cause, the vested portion of the Option shall remain exercisable until the earlier of (A) 90 days after the date you cease to be an employee of the Company or a Related Corporation or (B) the date on which the Option expires by its terms.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w:t>
      </w:r>
    </w:p>
    <w:p>
      <w:pPr>
        <w:sectPr>
          <w:pgSz w:w="11900" w:h="16838" w:orient="portrait"/>
          <w:cols w:equalWidth="0" w:num="1">
            <w:col w:w="11420"/>
          </w:cols>
          <w:pgMar w:left="240" w:top="280" w:right="239" w:bottom="1440" w:gutter="0" w:footer="0" w:header="0"/>
        </w:sectPr>
      </w:pPr>
    </w:p>
    <w:bookmarkStart w:id="151" w:name="page152"/>
    <w:bookmarkEnd w:id="151"/>
    <w:p>
      <w:pPr>
        <w:jc w:val="both"/>
        <w:ind w:left="920" w:firstLine="1"/>
        <w:spacing w:after="0" w:line="255" w:lineRule="auto"/>
        <w:tabs>
          <w:tab w:leader="none" w:pos="117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or Disability</w:t>
      </w:r>
      <w:r>
        <w:rPr>
          <w:rFonts w:ascii="Arial" w:cs="Arial" w:eastAsia="Arial" w:hAnsi="Arial"/>
          <w:sz w:val="18"/>
          <w:szCs w:val="18"/>
          <w:color w:val="auto"/>
        </w:rPr>
        <w:t>. In the event of your death or Disability while an employee of the Company or a Related Corporation, the vested portion of the Option shall remain exercisable until the earlier of (A) one year following the date of death or Disability or (B) the date on which the Option expires by its terms. Upon death, the exercisable portion of the Option may be exercised by the personal representative of your estate, the person(s) to whom your rights under the Option have passed by will or the applicable laws of descent and distribution, or the beneficiary you have designated pursuant to the Plan.</w:t>
      </w:r>
    </w:p>
    <w:p>
      <w:pPr>
        <w:spacing w:after="0" w:line="61" w:lineRule="exact"/>
        <w:rPr>
          <w:rFonts w:ascii="Arial" w:cs="Arial" w:eastAsia="Arial" w:hAnsi="Arial"/>
          <w:sz w:val="18"/>
          <w:szCs w:val="18"/>
          <w:color w:val="auto"/>
        </w:rPr>
      </w:pPr>
    </w:p>
    <w:p>
      <w:pPr>
        <w:jc w:val="both"/>
        <w:ind w:left="920" w:firstLine="1"/>
        <w:spacing w:after="0" w:line="256" w:lineRule="auto"/>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In the event you cease to be an employee of the Company or a Related Corporation due to Retirement, the vested portion of the Option shall remain exercisable until the earlier of (A) three years following the date of Retirement or (B) the date on which the Option expires by its terms. For purposes of this Stock Option Agreement, “Retirement” means retirement on or after the earlier of (i) age 65 or (ii) age 55 plus ten years of employment with the Company and/or a Related Corporation.</w:t>
      </w:r>
    </w:p>
    <w:p>
      <w:pPr>
        <w:spacing w:after="0" w:line="62" w:lineRule="exact"/>
        <w:rPr>
          <w:rFonts w:ascii="Arial" w:cs="Arial" w:eastAsia="Arial" w:hAnsi="Arial"/>
          <w:sz w:val="18"/>
          <w:szCs w:val="18"/>
          <w:color w:val="auto"/>
        </w:rPr>
      </w:pPr>
    </w:p>
    <w:p>
      <w:pPr>
        <w:jc w:val="both"/>
        <w:ind w:left="920" w:firstLine="1"/>
        <w:spacing w:after="0" w:line="255" w:lineRule="auto"/>
        <w:tabs>
          <w:tab w:leader="none" w:pos="1217"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The unvested and vested portion of the Option will automatically expire at the time the Company first notifies you of your termination of employment for Cause, unless the Plan Administrator determines otherwise. If your employment relationship is suspended pending an investigation of whether you will be terminated for Cause, all your rights under the Option likewise will be suspended during the period of investigation. If any facts that would constitute termination for Cause are discovered after your termination of employment, any Option you then hold may be immediately terminated by the Plan Administrator.</w:t>
      </w:r>
    </w:p>
    <w:p>
      <w:pPr>
        <w:spacing w:after="0" w:line="13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Notwithstanding anything to the contrary contained herein, if your Option is an Incentive Stock Option and assuming it does not otherwise expire by its terms, to qualify for the beneficial tax treatment afforded Incentive Stock Options, your Option must be exercised within (i) three months after termination of employment for reasons other than death or Disability, and (ii) one year after termination of employment due to death or Disability.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 is your responsibility to be aware of the date the Option terminates.</w:t>
      </w:r>
    </w:p>
    <w:p>
      <w:pPr>
        <w:spacing w:after="0" w:line="84" w:lineRule="exact"/>
        <w:rPr>
          <w:sz w:val="20"/>
          <w:szCs w:val="20"/>
          <w:color w:val="auto"/>
        </w:rPr>
      </w:pPr>
    </w:p>
    <w:p>
      <w:pPr>
        <w:jc w:val="both"/>
        <w:ind w:firstLine="8"/>
        <w:spacing w:after="0" w:line="262" w:lineRule="auto"/>
        <w:tabs>
          <w:tab w:leader="none" w:pos="189"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Limited Transferability</w:t>
      </w:r>
      <w:r>
        <w:rPr>
          <w:rFonts w:ascii="Arial" w:cs="Arial" w:eastAsia="Arial" w:hAnsi="Arial"/>
          <w:sz w:val="18"/>
          <w:szCs w:val="18"/>
          <w:color w:val="auto"/>
        </w:rPr>
        <w:t>. During your lifetime only you can exercise the Option. The Option is not transferable except by will or by the applicable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 except to the extent permitted by the Plan Administrator. The Plan provides for exercise of the Option by a beneficiary designated on a Company-approved form or the personal representative of your estate.</w:t>
      </w:r>
    </w:p>
    <w:p>
      <w:pPr>
        <w:spacing w:after="0" w:line="132" w:lineRule="exact"/>
        <w:rPr>
          <w:rFonts w:ascii="Arial" w:cs="Arial" w:eastAsia="Arial" w:hAnsi="Arial"/>
          <w:sz w:val="18"/>
          <w:szCs w:val="18"/>
          <w:color w:val="auto"/>
        </w:rPr>
      </w:pPr>
    </w:p>
    <w:p>
      <w:pPr>
        <w:jc w:val="both"/>
        <w:ind w:firstLine="8"/>
        <w:spacing w:after="0" w:line="256" w:lineRule="auto"/>
        <w:tabs>
          <w:tab w:leader="none" w:pos="189"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Regardless of any action the Company (or your employer, if different) takes with respect to any and all income or withholding tax</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federal, state, local and non-U.S. tax), social insurance, payroll tax or other tax-related items related to your participation in the Plan and legally applicable to you (“Tax-Related Items”), you acknowledge that the ultimate liability for all Tax-Related Items is and remains your responsibility and may exceed the amount, if any, actually withheld by the Company. You further acknowledge that the Company (a) makes no representations or undertakings regarding the treatment of 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w:t>
      </w:r>
    </w:p>
    <w:p>
      <w:pPr>
        <w:sectPr>
          <w:pgSz w:w="11900" w:h="16838" w:orient="portrait"/>
          <w:cols w:equalWidth="0" w:num="1">
            <w:col w:w="11420"/>
          </w:cols>
          <w:pgMar w:left="240" w:top="279" w:right="239" w:bottom="1440" w:gutter="0" w:footer="0" w:header="0"/>
        </w:sectPr>
      </w:pPr>
    </w:p>
    <w:bookmarkStart w:id="152" w:name="page153"/>
    <w:bookmarkEnd w:id="152"/>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Tax-Related Items in connection with any aspect of the Option, including the grant, vesting or exercise of the Option, the subsequent sale of Shares acquired pursuant to such exercise and the receipt of any dividends; and (b) does not commit to and is under no obligation to structure the terms of the grant or any aspect of this Option to reduce or eliminate your liability for Tax-Related Items or achieve any particular tax result. Further, if you have become subject to tax in more than one jurisdiction between the Grant Date and the date of any taxable or tax withholding event, as applicable, you acknowledge that the Company may be required to withhold or account for Tax-Related Items in more than one jurisdiction.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any relevant taxable or tax withholding event, as applicable, you shall pay or make adequate arrangements satisfactory to the Company to satisfy all Tax-Related Items. In this regard, you authorize the Company or its agent, at the Company’s discretion, to satisfy the obligations with regard to all Tax-Related Items by one or a combination of the following methods:</w:t>
      </w:r>
    </w:p>
    <w:p>
      <w:pPr>
        <w:spacing w:after="0" w:line="59"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withholding from wages or other cash compensation otherwise payable to you by the Company, and/or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withholding from the proceeds of the sale of Shares acquired upon exercise of the Option, either through a voluntary sale or through a mandatory sale arranged by the Company (on your behalf pursuant to this authorization; and/or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withholding in Shares to be issued upon exercise of the Option.</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you will be deemed to have been issued the full number of Shares subject to the exercised portion of the Option, notwithstanding that a number of the Shares are held back solely for the purpose of paying the Tax-Related Items due as a result of any aspect of your participation in the Plan.</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may refuse to honor the exercise and refuse to deliver the Shares if you fail to comply with your obligations in connection with the Tax-Related Items as described in this section.</w:t>
      </w:r>
    </w:p>
    <w:p>
      <w:pPr>
        <w:spacing w:after="0" w:line="126" w:lineRule="exact"/>
        <w:rPr>
          <w:sz w:val="20"/>
          <w:szCs w:val="20"/>
          <w:color w:val="auto"/>
        </w:rPr>
      </w:pPr>
    </w:p>
    <w:p>
      <w:pPr>
        <w:jc w:val="both"/>
        <w:ind w:firstLine="8"/>
        <w:spacing w:after="0" w:line="293" w:lineRule="auto"/>
        <w:tabs>
          <w:tab w:leader="none" w:pos="176"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The Company reserves the right, to the extent the Company deems necessary or advisable in its sole discretion, to unilaterally amend or modify</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this Stock Option Agreement or the Grant Notice or adopt other policies and procedures (including amendments, policies and procedures with retroactive effect), or take any other actions, as the Plan Administrator determines are necessary or appropriate to ensure that this Option qualifies for exemption from, or complies with the requirements of, Section 409A of the Code; provided, however, that the Company makes no representation that the Option will be exempt from or will comply with, Section 409A of the Code, and makes no undertaking to preclude Section 409A of the Code from applying to the Option or to ensure that it complies with Section 409A of the Code.</w:t>
      </w:r>
    </w:p>
    <w:p>
      <w:pPr>
        <w:spacing w:after="0" w:line="110" w:lineRule="exact"/>
        <w:rPr>
          <w:rFonts w:ascii="Arial" w:cs="Arial" w:eastAsia="Arial" w:hAnsi="Arial"/>
          <w:sz w:val="16"/>
          <w:szCs w:val="16"/>
          <w:color w:val="auto"/>
        </w:rPr>
      </w:pPr>
    </w:p>
    <w:p>
      <w:pPr>
        <w:ind w:firstLine="8"/>
        <w:spacing w:after="0" w:line="275" w:lineRule="auto"/>
        <w:tabs>
          <w:tab w:leader="none" w:pos="176"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Option Not an Employment or Service Contract. </w:t>
      </w:r>
      <w:r>
        <w:rPr>
          <w:rFonts w:ascii="Arial" w:cs="Arial" w:eastAsia="Arial" w:hAnsi="Arial"/>
          <w:sz w:val="18"/>
          <w:szCs w:val="18"/>
          <w:color w:val="auto"/>
        </w:rPr>
        <w:t>Nothing in the Plan or any award under the Plan will be deemed to be an employment contract or limit in</w:t>
      </w:r>
      <w:r>
        <w:rPr>
          <w:rFonts w:ascii="Arial" w:cs="Arial" w:eastAsia="Arial" w:hAnsi="Arial"/>
          <w:sz w:val="18"/>
          <w:szCs w:val="18"/>
          <w:b w:val="1"/>
          <w:bCs w:val="1"/>
          <w:color w:val="auto"/>
        </w:rPr>
        <w:t xml:space="preserve"> </w:t>
      </w:r>
      <w:r>
        <w:rPr>
          <w:rFonts w:ascii="Arial" w:cs="Arial" w:eastAsia="Arial" w:hAnsi="Arial"/>
          <w:sz w:val="18"/>
          <w:szCs w:val="18"/>
          <w:color w:val="auto"/>
        </w:rPr>
        <w:t>any way the right of the Company to terminate your employment at any time, with or without cause.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w:t>
      </w:r>
    </w:p>
    <w:p>
      <w:pPr>
        <w:sectPr>
          <w:pgSz w:w="11900" w:h="16838" w:orient="portrait"/>
          <w:cols w:equalWidth="0" w:num="1">
            <w:col w:w="11420"/>
          </w:cols>
          <w:pgMar w:left="240" w:top="280" w:right="239" w:bottom="1440" w:gutter="0" w:footer="0" w:header="0"/>
        </w:sectPr>
      </w:pPr>
    </w:p>
    <w:bookmarkStart w:id="153" w:name="page154"/>
    <w:bookmarkEnd w:id="153"/>
    <w:p>
      <w:pPr>
        <w:ind w:firstLine="8"/>
        <w:spacing w:after="0" w:line="275" w:lineRule="auto"/>
        <w:tabs>
          <w:tab w:leader="none" w:pos="277"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 and Assigns</w:t>
      </w:r>
      <w:r>
        <w:rPr>
          <w:rFonts w:ascii="Arial" w:cs="Arial" w:eastAsia="Arial" w:hAnsi="Arial"/>
          <w:sz w:val="18"/>
          <w:szCs w:val="18"/>
          <w:color w:val="auto"/>
        </w:rPr>
        <w:t>. This Agreement will inure to the benefit of the successors and assigns of the Company and be binding upon you and your heirs,</w:t>
      </w:r>
      <w:r>
        <w:rPr>
          <w:rFonts w:ascii="Arial" w:cs="Arial" w:eastAsia="Arial" w:hAnsi="Arial"/>
          <w:sz w:val="18"/>
          <w:szCs w:val="18"/>
          <w:b w:val="1"/>
          <w:bCs w:val="1"/>
          <w:color w:val="auto"/>
        </w:rPr>
        <w:t xml:space="preserve"> </w:t>
      </w:r>
      <w:r>
        <w:rPr>
          <w:rFonts w:ascii="Arial" w:cs="Arial" w:eastAsia="Arial" w:hAnsi="Arial"/>
          <w:sz w:val="18"/>
          <w:szCs w:val="18"/>
          <w:color w:val="auto"/>
        </w:rPr>
        <w:t>executors, administrators, successors and assigns.</w:t>
      </w:r>
    </w:p>
    <w:p>
      <w:pPr>
        <w:spacing w:after="0" w:line="119" w:lineRule="exact"/>
        <w:rPr>
          <w:rFonts w:ascii="Arial" w:cs="Arial" w:eastAsia="Arial" w:hAnsi="Arial"/>
          <w:sz w:val="18"/>
          <w:szCs w:val="18"/>
          <w:color w:val="auto"/>
        </w:rPr>
      </w:pPr>
    </w:p>
    <w:p>
      <w:pPr>
        <w:jc w:val="both"/>
        <w:ind w:firstLine="8"/>
        <w:spacing w:after="0" w:line="258" w:lineRule="auto"/>
        <w:tabs>
          <w:tab w:leader="none" w:pos="27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Data Privacy. </w:t>
      </w:r>
      <w:r>
        <w:rPr>
          <w:rFonts w:ascii="Arial" w:cs="Arial" w:eastAsia="Arial" w:hAnsi="Arial"/>
          <w:sz w:val="18"/>
          <w:szCs w:val="18"/>
          <w:color w:val="auto"/>
        </w:rPr>
        <w:t>You hereby explicitly and unambiguously consent to the collection, use and transfer, in electronic or other form, of your personal data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Grant Notice by and among, as applicable, the Company and its Related Corporations and any stock plan service provider, including any designated broker, that may assist the Company with the Plan (presently or in the future) for the exclusive purpose of implementing, administering and managing your participation in the Plan.</w:t>
      </w:r>
    </w:p>
    <w:p>
      <w:pPr>
        <w:spacing w:after="0" w:line="136" w:lineRule="exact"/>
        <w:rPr>
          <w:rFonts w:ascii="Arial" w:cs="Arial" w:eastAsia="Arial" w:hAnsi="Arial"/>
          <w:sz w:val="18"/>
          <w:szCs w:val="18"/>
          <w:color w:val="auto"/>
        </w:rPr>
      </w:pPr>
    </w:p>
    <w:p>
      <w:pPr>
        <w:jc w:val="both"/>
        <w:ind w:firstLine="8"/>
        <w:spacing w:after="0" w:line="310" w:lineRule="auto"/>
        <w:tabs>
          <w:tab w:leader="none" w:pos="263"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 xml:space="preserve">Electronic Delivery and Participation. </w:t>
      </w:r>
      <w:r>
        <w:rPr>
          <w:rFonts w:ascii="Arial" w:cs="Arial" w:eastAsia="Arial" w:hAnsi="Arial"/>
          <w:sz w:val="16"/>
          <w:szCs w:val="16"/>
          <w:color w:val="auto"/>
        </w:rPr>
        <w:t>The Company may, in its sole discretion, decide to deliver any documents related to current or future participation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97" w:lineRule="exact"/>
        <w:rPr>
          <w:rFonts w:ascii="Arial" w:cs="Arial" w:eastAsia="Arial" w:hAnsi="Arial"/>
          <w:sz w:val="16"/>
          <w:szCs w:val="16"/>
          <w:color w:val="auto"/>
        </w:rPr>
      </w:pPr>
    </w:p>
    <w:p>
      <w:pPr>
        <w:jc w:val="both"/>
        <w:ind w:firstLine="8"/>
        <w:spacing w:after="0" w:line="262" w:lineRule="auto"/>
        <w:tabs>
          <w:tab w:leader="none" w:pos="263"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Imposition of Other Requirements. </w:t>
      </w:r>
      <w:r>
        <w:rPr>
          <w:rFonts w:ascii="Arial" w:cs="Arial" w:eastAsia="Arial" w:hAnsi="Arial"/>
          <w:sz w:val="18"/>
          <w:szCs w:val="18"/>
          <w:color w:val="auto"/>
        </w:rPr>
        <w:t>If you relocate to another country, any special terms and conditions applicable to stock options granted in such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will apply to you, to the extent the Company determines that the application of such terms and conditions is necessary or advisable in order to comply with local law or facilitate the administration of the Plan.</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reserves the right to impose other requirements on the Option and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134" w:lineRule="exact"/>
        <w:rPr>
          <w:sz w:val="20"/>
          <w:szCs w:val="20"/>
          <w:color w:val="auto"/>
        </w:rPr>
      </w:pPr>
    </w:p>
    <w:p>
      <w:pPr>
        <w:jc w:val="both"/>
        <w:ind w:firstLine="8"/>
        <w:spacing w:after="0" w:line="256" w:lineRule="auto"/>
        <w:tabs>
          <w:tab w:leader="none" w:pos="29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Governing Law and Choice of Venue</w:t>
      </w:r>
      <w:r>
        <w:rPr>
          <w:rFonts w:ascii="Arial" w:cs="Arial" w:eastAsia="Arial" w:hAnsi="Arial"/>
          <w:sz w:val="18"/>
          <w:szCs w:val="18"/>
          <w:color w:val="auto"/>
        </w:rPr>
        <w:t>. The Option and the provisions of this Agreement will be construed and administered in accordance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38" w:lineRule="exact"/>
        <w:rPr>
          <w:rFonts w:ascii="Arial" w:cs="Arial" w:eastAsia="Arial" w:hAnsi="Arial"/>
          <w:sz w:val="18"/>
          <w:szCs w:val="18"/>
          <w:color w:val="auto"/>
        </w:rPr>
      </w:pPr>
    </w:p>
    <w:p>
      <w:pPr>
        <w:ind w:right="20" w:firstLine="8"/>
        <w:spacing w:after="0" w:line="275" w:lineRule="auto"/>
        <w:tabs>
          <w:tab w:leader="none" w:pos="263"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 or in part, the remaining provisions shall nevertheless be binding and enforceable.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5</w:t>
      </w:r>
    </w:p>
    <w:p>
      <w:pPr>
        <w:sectPr>
          <w:pgSz w:w="11900" w:h="16838" w:orient="portrait"/>
          <w:cols w:equalWidth="0" w:num="1">
            <w:col w:w="11420"/>
          </w:cols>
          <w:pgMar w:left="240" w:top="274" w:right="23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16. </w:t>
      </w:r>
      <w:r>
        <w:rPr>
          <w:rFonts w:ascii="Arial" w:cs="Arial" w:eastAsia="Arial" w:hAnsi="Arial"/>
          <w:sz w:val="16"/>
          <w:szCs w:val="16"/>
          <w:b w:val="1"/>
          <w:bCs w:val="1"/>
          <w:color w:val="auto"/>
        </w:rPr>
        <w:t>Notice</w:t>
      </w:r>
      <w:r>
        <w:rPr>
          <w:rFonts w:ascii="Arial" w:cs="Arial" w:eastAsia="Arial" w:hAnsi="Arial"/>
          <w:sz w:val="16"/>
          <w:szCs w:val="16"/>
          <w:color w:val="auto"/>
        </w:rPr>
        <w:t>. Any notice required or permitted hereunder shall be made in writing and sent to the following address:</w:t>
      </w:r>
    </w:p>
    <w:p>
      <w:pPr>
        <w:sectPr>
          <w:pgSz w:w="11900" w:h="16838" w:orient="portrait"/>
          <w:cols w:equalWidth="0" w:num="1">
            <w:col w:w="10219"/>
          </w:cols>
          <w:pgMar w:left="240" w:top="274" w:right="1440" w:bottom="1440" w:gutter="0" w:footer="0" w:header="0"/>
        </w:sectPr>
      </w:pPr>
    </w:p>
    <w:p>
      <w:pPr>
        <w:spacing w:after="0" w:line="11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Liberty Lake, WA USA 99019</w:t>
      </w:r>
    </w:p>
    <w:p>
      <w:pPr>
        <w:spacing w:after="0" w:line="151" w:lineRule="exact"/>
        <w:rPr>
          <w:sz w:val="20"/>
          <w:szCs w:val="20"/>
          <w:color w:val="auto"/>
        </w:rPr>
      </w:pPr>
    </w:p>
    <w:p>
      <w:pPr>
        <w:jc w:val="right"/>
        <w:ind w:right="4459"/>
        <w:spacing w:after="0"/>
        <w:rPr>
          <w:sz w:val="20"/>
          <w:szCs w:val="20"/>
          <w:color w:val="auto"/>
        </w:rPr>
      </w:pPr>
      <w:r>
        <w:rPr>
          <w:rFonts w:ascii="Arial" w:cs="Arial" w:eastAsia="Arial" w:hAnsi="Arial"/>
          <w:sz w:val="18"/>
          <w:szCs w:val="18"/>
          <w:i w:val="1"/>
          <w:iCs w:val="1"/>
          <w:color w:val="auto"/>
        </w:rPr>
        <w:t>6</w:t>
      </w:r>
    </w:p>
    <w:p>
      <w:pPr>
        <w:sectPr>
          <w:pgSz w:w="11900" w:h="16838" w:orient="portrait"/>
          <w:cols w:equalWidth="0" w:num="1">
            <w:col w:w="10219"/>
          </w:cols>
          <w:pgMar w:left="240" w:top="274" w:right="1440"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Exhibit 12.1</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300" w:type="dxa"/>
            <w:vAlign w:val="bottom"/>
            <w:gridSpan w:val="6"/>
          </w:tcPr>
          <w:p>
            <w:pPr>
              <w:ind w:left="460"/>
              <w:spacing w:after="0"/>
              <w:rPr>
                <w:sz w:val="20"/>
                <w:szCs w:val="20"/>
                <w:color w:val="auto"/>
              </w:rPr>
            </w:pPr>
            <w:r>
              <w:rPr>
                <w:rFonts w:ascii="Arial" w:cs="Arial" w:eastAsia="Arial" w:hAnsi="Arial"/>
                <w:sz w:val="18"/>
                <w:szCs w:val="18"/>
                <w:b w:val="1"/>
                <w:bCs w:val="1"/>
                <w:color w:val="auto"/>
                <w:w w:val="99"/>
              </w:rPr>
              <w:t>STATEMENT RE COMPUTATION OF RATIOS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Three Months Ended</w:t>
            </w:r>
          </w:p>
        </w:tc>
        <w:tc>
          <w:tcPr>
            <w:tcW w:w="1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392"/>
              <w:spacing w:after="0"/>
              <w:rPr>
                <w:sz w:val="20"/>
                <w:szCs w:val="20"/>
                <w:color w:val="auto"/>
              </w:rPr>
            </w:pPr>
            <w:r>
              <w:rPr>
                <w:rFonts w:ascii="Arial" w:cs="Arial" w:eastAsia="Arial" w:hAnsi="Arial"/>
                <w:sz w:val="18"/>
                <w:szCs w:val="18"/>
                <w:b w:val="1"/>
                <w:bCs w:val="1"/>
                <w:color w:val="auto"/>
                <w:w w:val="95"/>
              </w:rPr>
              <w:t>Year Ended December 31,</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3"/>
              </w:rPr>
              <w:t>March 31, 2010</w:t>
            </w:r>
          </w:p>
        </w:tc>
        <w:tc>
          <w:tcPr>
            <w:tcW w:w="180" w:type="dxa"/>
            <w:vAlign w:val="bottom"/>
          </w:tcPr>
          <w:p>
            <w:pPr>
              <w:spacing w:after="0"/>
              <w:rPr>
                <w:sz w:val="19"/>
                <w:szCs w:val="19"/>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2008</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4"/>
              </w:rPr>
              <w:t>2006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9"/>
              </w:rPr>
              <w:t>2005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7"/>
          </w:tcPr>
          <w:p>
            <w:pPr>
              <w:jc w:val="right"/>
              <w:ind w:right="352"/>
              <w:spacing w:after="0"/>
              <w:rPr>
                <w:sz w:val="20"/>
                <w:szCs w:val="20"/>
                <w:color w:val="auto"/>
              </w:rPr>
            </w:pPr>
            <w:r>
              <w:rPr>
                <w:rFonts w:ascii="Arial" w:cs="Arial" w:eastAsia="Arial" w:hAnsi="Arial"/>
                <w:sz w:val="18"/>
                <w:szCs w:val="18"/>
                <w:b w:val="1"/>
                <w:bCs w:val="1"/>
                <w:color w:val="auto"/>
              </w:rPr>
              <w:t>(in thousands, except ratios)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Pre-tax income (loss)</w:t>
            </w:r>
          </w:p>
        </w:tc>
        <w:tc>
          <w:tcPr>
            <w:tcW w:w="156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18,102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$(46,074)</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18,582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6"/>
              </w:rPr>
              <w:t>(43,550)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52,235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27,528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income from equity investees</w:t>
            </w:r>
          </w:p>
        </w:tc>
        <w:tc>
          <w:tcPr>
            <w:tcW w:w="1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18,102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(46,351)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18,489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6"/>
              </w:rPr>
              <w:t>(43,908)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52,202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27,446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Fixed charges </w:t>
            </w:r>
            <w:r>
              <w:rPr>
                <w:rFonts w:ascii="Arial" w:cs="Arial" w:eastAsia="Arial" w:hAnsi="Arial"/>
                <w:sz w:val="11"/>
                <w:szCs w:val="11"/>
                <w:color w:val="auto"/>
              </w:rPr>
              <w:t>(1)</w:t>
            </w:r>
            <w:r>
              <w:rPr>
                <w:rFonts w:ascii="Arial" w:cs="Arial" w:eastAsia="Arial" w:hAnsi="Arial"/>
                <w:sz w:val="18"/>
                <w:szCs w:val="18"/>
                <w:color w:val="auto"/>
              </w:rPr>
              <w:t>:</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11"/>
                <w:szCs w:val="11"/>
                <w:color w:val="auto"/>
              </w:rPr>
              <w:t>(2)</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14,923</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70,311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94,177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100,935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17,785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18,944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portion of rent expense</w:t>
            </w:r>
          </w:p>
        </w:tc>
        <w:tc>
          <w:tcPr>
            <w:tcW w:w="1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5,241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5,163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4,098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330"/>
        </w:trPr>
        <w:tc>
          <w:tcPr>
            <w:tcW w:w="3380" w:type="dxa"/>
            <w:vAlign w:val="bottom"/>
            <w:gridSpan w:val="2"/>
          </w:tcPr>
          <w:p>
            <w:pPr>
              <w:spacing w:after="0"/>
              <w:rPr>
                <w:sz w:val="20"/>
                <w:szCs w:val="20"/>
                <w:color w:val="auto"/>
              </w:rPr>
            </w:pPr>
            <w:r>
              <w:rPr>
                <w:rFonts w:ascii="Arial" w:cs="Arial" w:eastAsia="Arial" w:hAnsi="Arial"/>
                <w:sz w:val="18"/>
                <w:szCs w:val="18"/>
                <w:color w:val="auto"/>
              </w:rPr>
              <w:t>a) Fixed charges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16,198</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75,552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99,340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105,033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20,026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21,456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11"/>
                <w:szCs w:val="11"/>
                <w:color w:val="auto"/>
              </w:rPr>
              <w:t>(3)</w:t>
            </w:r>
          </w:p>
        </w:tc>
        <w:tc>
          <w:tcPr>
            <w:tcW w:w="15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34,300</w:t>
            </w:r>
          </w:p>
        </w:tc>
        <w:tc>
          <w:tcPr>
            <w:tcW w:w="10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$ 29,201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2"/>
              </w:rPr>
              <w:t>117,829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61,125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72,228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48,902</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Ratios:</w:t>
            </w:r>
          </w:p>
        </w:tc>
        <w:tc>
          <w:tcPr>
            <w:tcW w:w="1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3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11"/>
                <w:szCs w:val="11"/>
                <w:color w:val="auto"/>
              </w:rPr>
              <w:t>(b/a)</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2"/>
        </w:trPr>
        <w:tc>
          <w:tcPr>
            <w:tcW w:w="3380" w:type="dxa"/>
            <w:vAlign w:val="bottom"/>
            <w:gridSpan w:val="2"/>
          </w:tcPr>
          <w:p>
            <w:pPr>
              <w:spacing w:after="0"/>
              <w:rPr>
                <w:sz w:val="20"/>
                <w:szCs w:val="20"/>
                <w:color w:val="auto"/>
              </w:rPr>
            </w:pPr>
            <w:r>
              <w:rPr>
                <w:rFonts w:ascii="Arial" w:cs="Arial" w:eastAsia="Arial" w:hAnsi="Arial"/>
                <w:sz w:val="18"/>
                <w:szCs w:val="18"/>
                <w:color w:val="auto"/>
              </w:rPr>
              <w:t>Deficit of earnings to fixed charges</w:t>
            </w:r>
          </w:p>
        </w:tc>
        <w:tc>
          <w:tcPr>
            <w:tcW w:w="156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$(46,351)</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6"/>
              </w:rPr>
              <w:t>(43,908)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900" w:right="240" w:hanging="446"/>
        <w:spacing w:after="0" w:line="228" w:lineRule="auto"/>
        <w:tabs>
          <w:tab w:leader="none" w:pos="900" w:val="left"/>
        </w:tabs>
        <w:numPr>
          <w:ilvl w:val="0"/>
          <w:numId w:val="87"/>
        </w:numPr>
        <w:rPr>
          <w:rFonts w:ascii="Arial" w:cs="Arial" w:eastAsia="Arial" w:hAnsi="Arial"/>
          <w:sz w:val="22"/>
          <w:szCs w:val="22"/>
          <w:color w:val="auto"/>
          <w:vertAlign w:val="superscript"/>
        </w:rPr>
      </w:pPr>
      <w:r>
        <w:rPr>
          <w:rFonts w:ascii="Arial" w:cs="Arial" w:eastAsia="Arial" w:hAnsi="Arial"/>
          <w:sz w:val="18"/>
          <w:szCs w:val="18"/>
          <w:color w:val="auto"/>
        </w:rPr>
        <w:t>Fixed charges consist of interest on indebtedness and amortization of debt issuance costs plus that portion of lease rental expense representative of the interest factor.</w:t>
      </w:r>
    </w:p>
    <w:p>
      <w:pPr>
        <w:spacing w:after="0" w:line="1" w:lineRule="exact"/>
        <w:rPr>
          <w:rFonts w:ascii="Arial" w:cs="Arial" w:eastAsia="Arial" w:hAnsi="Arial"/>
          <w:sz w:val="22"/>
          <w:szCs w:val="22"/>
          <w:color w:val="auto"/>
          <w:vertAlign w:val="superscript"/>
        </w:rPr>
      </w:pPr>
    </w:p>
    <w:p>
      <w:pPr>
        <w:ind w:left="900" w:hanging="446"/>
        <w:spacing w:after="0" w:line="205" w:lineRule="auto"/>
        <w:tabs>
          <w:tab w:leader="none" w:pos="900" w:val="left"/>
        </w:tabs>
        <w:numPr>
          <w:ilvl w:val="0"/>
          <w:numId w:val="87"/>
        </w:numPr>
        <w:rPr>
          <w:rFonts w:ascii="Arial" w:cs="Arial" w:eastAsia="Arial" w:hAnsi="Arial"/>
          <w:sz w:val="22"/>
          <w:szCs w:val="22"/>
          <w:color w:val="auto"/>
          <w:vertAlign w:val="superscript"/>
        </w:rPr>
      </w:pPr>
      <w:r>
        <w:rPr>
          <w:rFonts w:ascii="Arial" w:cs="Arial" w:eastAsia="Arial" w:hAnsi="Arial"/>
          <w:sz w:val="18"/>
          <w:szCs w:val="18"/>
          <w:color w:val="auto"/>
        </w:rPr>
        <w:t>Interest expense, gross, includes amortization of prepaid debt fees and discount.</w:t>
      </w:r>
    </w:p>
    <w:p>
      <w:pPr>
        <w:spacing w:after="0" w:line="7" w:lineRule="exact"/>
        <w:rPr>
          <w:rFonts w:ascii="Arial" w:cs="Arial" w:eastAsia="Arial" w:hAnsi="Arial"/>
          <w:sz w:val="22"/>
          <w:szCs w:val="22"/>
          <w:color w:val="auto"/>
          <w:vertAlign w:val="superscript"/>
        </w:rPr>
      </w:pPr>
    </w:p>
    <w:p>
      <w:pPr>
        <w:ind w:left="900" w:right="460" w:hanging="446"/>
        <w:spacing w:after="0" w:line="221" w:lineRule="auto"/>
        <w:tabs>
          <w:tab w:leader="none" w:pos="900" w:val="left"/>
        </w:tabs>
        <w:numPr>
          <w:ilvl w:val="0"/>
          <w:numId w:val="87"/>
        </w:numPr>
        <w:rPr>
          <w:rFonts w:ascii="Arial" w:cs="Arial" w:eastAsia="Arial" w:hAnsi="Arial"/>
          <w:sz w:val="22"/>
          <w:szCs w:val="22"/>
          <w:color w:val="auto"/>
          <w:vertAlign w:val="superscript"/>
        </w:rPr>
      </w:pPr>
      <w:r>
        <w:rPr>
          <w:rFonts w:ascii="Arial" w:cs="Arial" w:eastAsia="Arial" w:hAnsi="Arial"/>
          <w:sz w:val="18"/>
          <w:szCs w:val="18"/>
          <w:color w:val="auto"/>
        </w:rPr>
        <w:t>Earnings for ratio consist of income (loss) from continuing operations before income taxes, less income (loss) from equity investees, plus fixed charges.</w:t>
      </w:r>
    </w:p>
    <w:p>
      <w:pPr>
        <w:ind w:left="900" w:right="420" w:hanging="446"/>
        <w:spacing w:after="0" w:line="237" w:lineRule="auto"/>
        <w:tabs>
          <w:tab w:leader="none" w:pos="900" w:val="left"/>
        </w:tabs>
        <w:numPr>
          <w:ilvl w:val="0"/>
          <w:numId w:val="87"/>
        </w:numPr>
        <w:rPr>
          <w:rFonts w:ascii="Arial" w:cs="Arial" w:eastAsia="Arial" w:hAnsi="Arial"/>
          <w:sz w:val="21"/>
          <w:szCs w:val="21"/>
          <w:color w:val="auto"/>
          <w:vertAlign w:val="superscript"/>
        </w:rPr>
      </w:pPr>
      <w:r>
        <w:rPr>
          <w:rFonts w:ascii="Arial" w:cs="Arial" w:eastAsia="Arial" w:hAnsi="Arial"/>
          <w:sz w:val="17"/>
          <w:szCs w:val="17"/>
          <w:color w:val="auto"/>
        </w:rPr>
        <w:t>Due to Itron’s losses for the years ended December 31, 2009 and 2007, the coverage ratio was less than 1:1. Additional earnings of $46,351 and $43,908 would have been needed to achieve a coverage ratio of 1:1 in each of those respective periods.</w:t>
      </w:r>
    </w:p>
    <w:p>
      <w:pPr>
        <w:sectPr>
          <w:pgSz w:w="11900" w:h="16838" w:orient="portrait"/>
          <w:cols w:equalWidth="0" w:num="1">
            <w:col w:w="11420"/>
          </w:cols>
          <w:pgMar w:left="24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Malcolm Unsworth, certify that:</w:t>
      </w:r>
    </w:p>
    <w:p>
      <w:pPr>
        <w:spacing w:after="0" w:line="90"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8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00" w:hanging="440"/>
        <w:spacing w:after="0" w:line="332" w:lineRule="auto"/>
        <w:tabs>
          <w:tab w:leader="none" w:pos="19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60" w:hanging="440"/>
        <w:spacing w:after="0" w:line="268" w:lineRule="auto"/>
        <w:tabs>
          <w:tab w:leader="none" w:pos="19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ITRON, INC.</w:t>
      </w:r>
    </w:p>
    <w:p>
      <w:pPr>
        <w:spacing w:after="0" w:line="117" w:lineRule="exact"/>
        <w:rPr>
          <w:sz w:val="20"/>
          <w:szCs w:val="20"/>
          <w:color w:val="auto"/>
        </w:rPr>
      </w:pPr>
    </w:p>
    <w:p>
      <w:pPr>
        <w:ind w:left="6860"/>
        <w:spacing w:after="0"/>
        <w:tabs>
          <w:tab w:leader="none" w:pos="8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Malcolm Unsworth</w:t>
      </w:r>
    </w:p>
    <w:p>
      <w:pPr>
        <w:spacing w:after="0" w:line="21"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2010</w:t>
      </w:r>
    </w:p>
    <w:p>
      <w:pPr>
        <w:sectPr>
          <w:pgSz w:w="11900" w:h="16838" w:orient="portrait"/>
          <w:cols w:equalWidth="0" w:num="1">
            <w:col w:w="11420"/>
          </w:cols>
          <w:pgMar w:left="24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90"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8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00" w:hanging="440"/>
        <w:spacing w:after="0" w:line="332" w:lineRule="auto"/>
        <w:tabs>
          <w:tab w:leader="none" w:pos="19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60" w:hanging="440"/>
        <w:spacing w:after="0" w:line="268" w:lineRule="auto"/>
        <w:tabs>
          <w:tab w:leader="none" w:pos="19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ITRON, INC.</w:t>
      </w:r>
    </w:p>
    <w:p>
      <w:pPr>
        <w:spacing w:after="0" w:line="117" w:lineRule="exact"/>
        <w:rPr>
          <w:sz w:val="20"/>
          <w:szCs w:val="20"/>
          <w:color w:val="auto"/>
        </w:rPr>
      </w:pPr>
    </w:p>
    <w:p>
      <w:pPr>
        <w:ind w:left="686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2010</w:t>
      </w:r>
    </w:p>
    <w:p>
      <w:pPr>
        <w:sectPr>
          <w:pgSz w:w="11900" w:h="16838" w:orient="portrait"/>
          <w:cols w:equalWidth="0" w:num="1">
            <w:col w:w="11420"/>
          </w:cols>
          <w:pgMar w:left="24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March 31, 2010 (the Report) for the purpose of complying with Rule 13a-14(b) or Rule 15d-14(b) of the Securities Exchange Act of 1934 and Section 1350 of Chapter 63 of Title 18 of the United States Code.</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Malcolm Unsworth, the Chief Executive Officer and Steven M. Helmbrecht, the Chief Financial Officer of the Company, each certifies that to the best of his knowledge:</w:t>
      </w:r>
    </w:p>
    <w:p>
      <w:pPr>
        <w:spacing w:after="0" w:line="51"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Malcolm Unsworth</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May 5, 2010</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May 5,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605"/>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1)"/>
      <w:numFmt w:val="decimal"/>
      <w:start w:val="1"/>
    </w:lvl>
  </w:abstractNum>
  <w:abstractNum w:abstractNumId="9">
    <w:nsid w:val="749ABB43"/>
    <w:multiLevelType w:val="hybridMultilevel"/>
    <w:lvl w:ilvl="0">
      <w:lvlJc w:val="left"/>
      <w:lvlText w:val="(%1)"/>
      <w:numFmt w:val="decimal"/>
      <w:start w:val="1"/>
    </w:lvl>
  </w:abstractNum>
  <w:abstractNum w:abstractNumId="10">
    <w:nsid w:val="3DC240FB"/>
    <w:multiLevelType w:val="hybridMultilevel"/>
    <w:lvl w:ilvl="0">
      <w:lvlJc w:val="left"/>
      <w:lvlText w:val="%1)"/>
      <w:numFmt w:val="decimal"/>
      <w:start w:val="605"/>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1)"/>
      <w:numFmt w:val="lowerLetter"/>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1."/>
      <w:numFmt w:val="decimal"/>
      <w:start w:val="3"/>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1)"/>
      <w:numFmt w:val="lowerLetter"/>
      <w:start w:val="2"/>
    </w:lvl>
  </w:abstractNum>
  <w:abstractNum w:abstractNumId="18">
    <w:nsid w:val="4F4EF005"/>
    <w:multiLevelType w:val="hybridMultilevel"/>
    <w:lvl w:ilvl="0">
      <w:lvlJc w:val="left"/>
      <w:lvlText w:val="(%1)"/>
      <w:numFmt w:val="lowerLetter"/>
      <w:start w:val="1"/>
    </w:lvl>
    <w:lvl w:ilvl="1">
      <w:lvlJc w:val="left"/>
      <w:lvlText w:val="(%2)"/>
      <w:numFmt w:val="lowerRoman"/>
      <w:start w:val="1"/>
    </w:lvl>
  </w:abstractNum>
  <w:abstractNum w:abstractNumId="19">
    <w:nsid w:val="23F9C13C"/>
    <w:multiLevelType w:val="hybridMultilevel"/>
    <w:lvl w:ilvl="0">
      <w:lvlJc w:val="left"/>
      <w:lvlText w:val="(%1)"/>
      <w:numFmt w:val="lowerLetter"/>
      <w:start w:val="2"/>
    </w:lvl>
    <w:lvl w:ilvl="1">
      <w:lvlJc w:val="left"/>
      <w:lvlText w:val="(%2)"/>
      <w:numFmt w:val="lowerRoman"/>
      <w:start w:val="1"/>
    </w:lvl>
  </w:abstractNum>
  <w:abstractNum w:abstractNumId="20">
    <w:nsid w:val="649BB77C"/>
    <w:multiLevelType w:val="hybridMultilevel"/>
    <w:lvl w:ilvl="0">
      <w:lvlJc w:val="left"/>
      <w:lvlText w:val="(%1)"/>
      <w:numFmt w:val="lowerLetter"/>
      <w:start w:val="1"/>
    </w:lvl>
  </w:abstractNum>
  <w:abstractNum w:abstractNumId="21">
    <w:nsid w:val="275AC794"/>
    <w:multiLevelType w:val="hybridMultilevel"/>
    <w:lvl w:ilvl="0">
      <w:lvlJc w:val="left"/>
      <w:lvlText w:val="(%1)"/>
      <w:numFmt w:val="lowerLetter"/>
      <w:start w:val="11"/>
    </w:lvl>
  </w:abstractNum>
  <w:abstractNum w:abstractNumId="22">
    <w:nsid w:val="39386575"/>
    <w:multiLevelType w:val="hybridMultilevel"/>
    <w:lvl w:ilvl="0">
      <w:lvlJc w:val="left"/>
      <w:lvlText w:val="%1."/>
      <w:numFmt w:val="decimal"/>
      <w:start w:val="12"/>
    </w:lvl>
  </w:abstractNum>
  <w:abstractNum w:abstractNumId="23">
    <w:nsid w:val="1CF10FD8"/>
    <w:multiLevelType w:val="hybridMultilevel"/>
    <w:lvl w:ilvl="0">
      <w:lvlJc w:val="left"/>
      <w:lvlText w:val="(%1)"/>
      <w:numFmt w:val="lowerLetter"/>
      <w:start w:val="1"/>
    </w:lvl>
  </w:abstractNum>
  <w:abstractNum w:abstractNumId="24">
    <w:nsid w:val="180115BE"/>
    <w:multiLevelType w:val="hybridMultilevel"/>
    <w:lvl w:ilvl="0">
      <w:lvlJc w:val="left"/>
      <w:lvlText w:val="%1."/>
      <w:numFmt w:val="decimal"/>
      <w:start w:val="1"/>
    </w:lvl>
  </w:abstractNum>
  <w:abstractNum w:abstractNumId="25">
    <w:nsid w:val="235BA861"/>
    <w:multiLevelType w:val="hybridMultilevel"/>
    <w:lvl w:ilvl="0">
      <w:lvlJc w:val="left"/>
      <w:lvlText w:val="%1."/>
      <w:numFmt w:val="decimal"/>
      <w:start w:val="3"/>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1)"/>
      <w:numFmt w:val="lowerLetter"/>
      <w:start w:val="2"/>
    </w:lvl>
  </w:abstractNum>
  <w:abstractNum w:abstractNumId="28">
    <w:nsid w:val="15B5AF5C"/>
    <w:multiLevelType w:val="hybridMultilevel"/>
    <w:lvl w:ilvl="0">
      <w:lvlJc w:val="left"/>
      <w:lvlText w:val="(%1)"/>
      <w:numFmt w:val="lowerLetter"/>
      <w:start w:val="1"/>
    </w:lvl>
    <w:lvl w:ilvl="1">
      <w:lvlJc w:val="left"/>
      <w:lvlText w:val="(%2)"/>
      <w:numFmt w:val="lowerRoman"/>
      <w:start w:val="1"/>
    </w:lvl>
  </w:abstractNum>
  <w:abstractNum w:abstractNumId="29">
    <w:nsid w:val="741226BB"/>
    <w:multiLevelType w:val="hybridMultilevel"/>
    <w:lvl w:ilvl="0">
      <w:lvlJc w:val="left"/>
      <w:lvlText w:val="%1"/>
      <w:numFmt w:val="lowerLetter"/>
      <w:start w:val="1"/>
    </w:lvl>
    <w:lvl w:ilvl="1">
      <w:lvlJc w:val="left"/>
      <w:lvlText w:val="(%2)"/>
      <w:numFmt w:val="lowerRoman"/>
      <w:start w:val="2"/>
    </w:lvl>
  </w:abstractNum>
  <w:abstractNum w:abstractNumId="30">
    <w:nsid w:val="D34B6A8"/>
    <w:multiLevelType w:val="hybridMultilevel"/>
    <w:lvl w:ilvl="0">
      <w:lvlJc w:val="left"/>
      <w:lvlText w:val="(%1)"/>
      <w:numFmt w:val="lowerLetter"/>
      <w:start w:val="2"/>
    </w:lvl>
    <w:lvl w:ilvl="1">
      <w:lvlJc w:val="left"/>
      <w:lvlText w:val="(%2)"/>
      <w:numFmt w:val="lowerRoman"/>
      <w:start w:val="1"/>
    </w:lvl>
  </w:abstractNum>
  <w:abstractNum w:abstractNumId="31">
    <w:nsid w:val="10233C99"/>
    <w:multiLevelType w:val="hybridMultilevel"/>
    <w:lvl w:ilvl="0">
      <w:lvlJc w:val="left"/>
      <w:lvlText w:val="(%1)"/>
      <w:numFmt w:val="lowerLetter"/>
      <w:start w:val="1"/>
    </w:lvl>
  </w:abstractNum>
  <w:abstractNum w:abstractNumId="32">
    <w:nsid w:val="3F6AB60F"/>
    <w:multiLevelType w:val="hybridMultilevel"/>
    <w:lvl w:ilvl="0">
      <w:lvlJc w:val="left"/>
      <w:lvlText w:val="(%1)"/>
      <w:numFmt w:val="lowerLetter"/>
      <w:start w:val="9"/>
    </w:lvl>
  </w:abstractNum>
  <w:abstractNum w:abstractNumId="33">
    <w:nsid w:val="61574095"/>
    <w:multiLevelType w:val="hybridMultilevel"/>
    <w:lvl w:ilvl="0">
      <w:lvlJc w:val="left"/>
      <w:lvlText w:val="%1."/>
      <w:numFmt w:val="decimal"/>
      <w:start w:val="12"/>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37">
    <w:nsid w:val="310C50B3"/>
    <w:multiLevelType w:val="hybridMultilevel"/>
    <w:lvl w:ilvl="0">
      <w:lvlJc w:val="left"/>
      <w:lvlText w:val="%1."/>
      <w:numFmt w:val="decimal"/>
      <w:start w:val="3"/>
    </w:lvl>
  </w:abstractNum>
  <w:abstractNum w:abstractNumId="38">
    <w:nsid w:val="5FF87E05"/>
    <w:multiLevelType w:val="hybridMultilevel"/>
    <w:lvl w:ilvl="0">
      <w:lvlJc w:val="left"/>
      <w:lvlText w:val="%1."/>
      <w:numFmt w:val="decimal"/>
      <w:start w:val="4"/>
    </w:lvl>
    <w:lvl w:ilvl="1">
      <w:lvlJc w:val="left"/>
      <w:lvlText w:val="(%2)"/>
      <w:numFmt w:val="lowerRoman"/>
      <w:start w:val="1"/>
    </w:lvl>
  </w:abstractNum>
  <w:abstractNum w:abstractNumId="39">
    <w:nsid w:val="2F305DEF"/>
    <w:multiLevelType w:val="hybridMultilevel"/>
    <w:lvl w:ilvl="0">
      <w:lvlJc w:val="left"/>
      <w:lvlText w:val="%1."/>
      <w:numFmt w:val="decimal"/>
      <w:start w:val="5"/>
    </w:lvl>
    <w:lvl w:ilvl="1">
      <w:lvlJc w:val="left"/>
      <w:lvlText w:val="(%2)"/>
      <w:numFmt w:val="lowerRoman"/>
      <w:start w:val="1"/>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1."/>
      <w:numFmt w:val="decimal"/>
      <w:start w:val="7"/>
    </w:lvl>
  </w:abstractNum>
  <w:abstractNum w:abstractNumId="42">
    <w:nsid w:val="4AD084E9"/>
    <w:multiLevelType w:val="hybridMultilevel"/>
    <w:lvl w:ilvl="0">
      <w:lvlJc w:val="left"/>
      <w:lvlText w:val="(%1)"/>
      <w:numFmt w:val="lowerLetter"/>
      <w:start w:val="2"/>
    </w:lvl>
  </w:abstractNum>
  <w:abstractNum w:abstractNumId="43">
    <w:nsid w:val="1F48EAA1"/>
    <w:multiLevelType w:val="hybridMultilevel"/>
    <w:lvl w:ilvl="0">
      <w:lvlJc w:val="left"/>
      <w:lvlText w:val="(%1)"/>
      <w:numFmt w:val="lowerLetter"/>
      <w:start w:val="1"/>
    </w:lvl>
    <w:lvl w:ilvl="1">
      <w:lvlJc w:val="left"/>
      <w:lvlText w:val="(%2)"/>
      <w:numFmt w:val="lowerRoman"/>
      <w:start w:val="1"/>
    </w:lvl>
  </w:abstractNum>
  <w:abstractNum w:abstractNumId="44">
    <w:nsid w:val="1381823A"/>
    <w:multiLevelType w:val="hybridMultilevel"/>
    <w:lvl w:ilvl="0">
      <w:lvlJc w:val="left"/>
      <w:lvlText w:val="(%1)"/>
      <w:numFmt w:val="lowerLetter"/>
      <w:start w:val="1"/>
    </w:lvl>
  </w:abstractNum>
  <w:abstractNum w:abstractNumId="45">
    <w:nsid w:val="5DB70AE5"/>
    <w:multiLevelType w:val="hybridMultilevel"/>
    <w:lvl w:ilvl="0">
      <w:lvlJc w:val="left"/>
      <w:lvlText w:val="(%1)"/>
      <w:numFmt w:val="lowerLetter"/>
      <w:start w:val="4"/>
    </w:lvl>
  </w:abstractNum>
  <w:abstractNum w:abstractNumId="46">
    <w:nsid w:val="100F8FCA"/>
    <w:multiLevelType w:val="hybridMultilevel"/>
    <w:lvl w:ilvl="0">
      <w:lvlJc w:val="left"/>
      <w:lvlText w:val="%1"/>
      <w:numFmt w:val="decimal"/>
      <w:start w:val="1"/>
    </w:lvl>
    <w:lvl w:ilvl="1">
      <w:lvlJc w:val="left"/>
      <w:lvlText w:val="(%2)"/>
      <w:numFmt w:val="lowerLetter"/>
      <w:start w:val="13"/>
    </w:lvl>
  </w:abstractNum>
  <w:abstractNum w:abstractNumId="47">
    <w:nsid w:val="6590700B"/>
    <w:multiLevelType w:val="hybridMultilevel"/>
    <w:lvl w:ilvl="0">
      <w:lvlJc w:val="left"/>
      <w:lvlText w:val="%1."/>
      <w:numFmt w:val="decimal"/>
      <w:start w:val="12"/>
    </w:lvl>
    <w:lvl w:ilvl="1">
      <w:lvlJc w:val="left"/>
      <w:lvlText w:val="%2"/>
      <w:numFmt w:val="lowerLetter"/>
      <w:start w:val="1"/>
    </w:lvl>
  </w:abstractNum>
  <w:abstractNum w:abstractNumId="48">
    <w:nsid w:val="15014ACB"/>
    <w:multiLevelType w:val="hybridMultilevel"/>
    <w:lvl w:ilvl="0">
      <w:lvlJc w:val="left"/>
      <w:lvlText w:val="%1."/>
      <w:numFmt w:val="decimal"/>
      <w:start w:val="13"/>
    </w:lvl>
  </w:abstractNum>
  <w:abstractNum w:abstractNumId="49">
    <w:nsid w:val="5F5E7FD0"/>
    <w:multiLevelType w:val="hybridMultilevel"/>
    <w:lvl w:ilvl="0">
      <w:lvlJc w:val="left"/>
      <w:lvlText w:val="(%1)"/>
      <w:numFmt w:val="lowerLetter"/>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lowerLetter"/>
      <w:start w:val="2"/>
    </w:lvl>
  </w:abstractNum>
  <w:abstractNum w:abstractNumId="52">
    <w:nsid w:val="6B94764"/>
    <w:multiLevelType w:val="hybridMultilevel"/>
    <w:lvl w:ilvl="0">
      <w:lvlJc w:val="left"/>
      <w:lvlText w:val="(%1)"/>
      <w:numFmt w:val="lowerLetter"/>
      <w:start w:val="1"/>
    </w:lvl>
    <w:lvl w:ilvl="1">
      <w:lvlJc w:val="left"/>
      <w:lvlText w:val="(%2)"/>
      <w:numFmt w:val="lowerRoman"/>
      <w:start w:val="1"/>
    </w:lvl>
  </w:abstractNum>
  <w:abstractNum w:abstractNumId="53">
    <w:nsid w:val="42C296BD"/>
    <w:multiLevelType w:val="hybridMultilevel"/>
    <w:lvl w:ilvl="0">
      <w:lvlJc w:val="left"/>
      <w:lvlText w:val="%1"/>
      <w:numFmt w:val="lowerLetter"/>
      <w:start w:val="1"/>
    </w:lvl>
    <w:lvl w:ilvl="1">
      <w:lvlJc w:val="left"/>
      <w:lvlText w:val="(%2)"/>
      <w:numFmt w:val="lowerRoman"/>
      <w:start w:val="2"/>
    </w:lvl>
  </w:abstractNum>
  <w:abstractNum w:abstractNumId="54">
    <w:nsid w:val="168E121F"/>
    <w:multiLevelType w:val="hybridMultilevel"/>
    <w:lvl w:ilvl="0">
      <w:lvlJc w:val="left"/>
      <w:lvlText w:val="(%1)"/>
      <w:numFmt w:val="lowerLetter"/>
      <w:start w:val="3"/>
    </w:lvl>
    <w:lvl w:ilvl="1">
      <w:lvlJc w:val="left"/>
      <w:lvlText w:val="%2"/>
      <w:numFmt w:val="lowerRoman"/>
      <w:start w:val="1"/>
    </w:lvl>
  </w:abstractNum>
  <w:abstractNum w:abstractNumId="55">
    <w:nsid w:val="1EBA5D23"/>
    <w:multiLevelType w:val="hybridMultilevel"/>
    <w:lvl w:ilvl="0">
      <w:lvlJc w:val="left"/>
      <w:lvlText w:val="(%1)"/>
      <w:numFmt w:val="lowerLetter"/>
      <w:start w:val="1"/>
    </w:lvl>
  </w:abstractNum>
  <w:abstractNum w:abstractNumId="56">
    <w:nsid w:val="661E3F1E"/>
    <w:multiLevelType w:val="hybridMultilevel"/>
    <w:lvl w:ilvl="0">
      <w:lvlJc w:val="left"/>
      <w:lvlText w:val="(%1)"/>
      <w:numFmt w:val="lowerLetter"/>
      <w:start w:val="12"/>
    </w:lvl>
  </w:abstractNum>
  <w:abstractNum w:abstractNumId="57">
    <w:nsid w:val="5DC79EA8"/>
    <w:multiLevelType w:val="hybridMultilevel"/>
    <w:lvl w:ilvl="0">
      <w:lvlJc w:val="left"/>
      <w:lvlText w:val="%1."/>
      <w:numFmt w:val="decimal"/>
      <w:start w:val="11"/>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Letter"/>
      <w:start w:val="2"/>
    </w:lvl>
  </w:abstractNum>
  <w:abstractNum w:abstractNumId="60">
    <w:nsid w:val="51D9C564"/>
    <w:multiLevelType w:val="hybridMultilevel"/>
    <w:lvl w:ilvl="0">
      <w:lvlJc w:val="left"/>
      <w:lvlText w:val="1"/>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3">
    <w:nsid w:val="11447B73"/>
    <w:multiLevelType w:val="hybridMultilevel"/>
    <w:lvl w:ilvl="0">
      <w:lvlJc w:val="left"/>
      <w:lvlText w:val="%1."/>
      <w:numFmt w:val="decimal"/>
      <w:start w:val="3"/>
    </w:lvl>
  </w:abstractNum>
  <w:abstractNum w:abstractNumId="64">
    <w:nsid w:val="42963E5A"/>
    <w:multiLevelType w:val="hybridMultilevel"/>
    <w:lvl w:ilvl="0">
      <w:lvlJc w:val="left"/>
      <w:lvlText w:val="%1."/>
      <w:numFmt w:val="decimal"/>
      <w:start w:val="4"/>
    </w:lvl>
    <w:lvl w:ilvl="1">
      <w:lvlJc w:val="left"/>
      <w:lvlText w:val="(%2)"/>
      <w:numFmt w:val="lowerRoman"/>
      <w:start w:val="1"/>
    </w:lvl>
  </w:abstractNum>
  <w:abstractNum w:abstractNumId="65">
    <w:nsid w:val="A0382C5"/>
    <w:multiLevelType w:val="hybridMultilevel"/>
    <w:lvl w:ilvl="0">
      <w:lvlJc w:val="left"/>
      <w:lvlText w:val="%1."/>
      <w:numFmt w:val="decimal"/>
      <w:start w:val="5"/>
    </w:lvl>
    <w:lvl w:ilvl="1">
      <w:lvlJc w:val="left"/>
      <w:lvlText w:val="(%2)"/>
      <w:numFmt w:val="lowerRoman"/>
      <w:start w:val="1"/>
    </w:lvl>
  </w:abstractNum>
  <w:abstractNum w:abstractNumId="66">
    <w:nsid w:val="8F2B15E"/>
    <w:multiLevelType w:val="hybridMultilevel"/>
    <w:lvl w:ilvl="0">
      <w:lvlJc w:val="left"/>
      <w:lvlText w:val="%1."/>
      <w:numFmt w:val="decimal"/>
      <w:start w:val="1"/>
    </w:lvl>
  </w:abstractNum>
  <w:abstractNum w:abstractNumId="67">
    <w:nsid w:val="1A32234B"/>
    <w:multiLevelType w:val="hybridMultilevel"/>
    <w:lvl w:ilvl="0">
      <w:lvlJc w:val="left"/>
      <w:lvlText w:val="%1."/>
      <w:numFmt w:val="decimal"/>
      <w:start w:val="6"/>
    </w:lvl>
  </w:abstractNum>
  <w:abstractNum w:abstractNumId="68">
    <w:nsid w:val="3B0FD379"/>
    <w:multiLevelType w:val="hybridMultilevel"/>
    <w:lvl w:ilvl="0">
      <w:lvlJc w:val="left"/>
      <w:lvlText w:val="(%1)"/>
      <w:numFmt w:val="lowerLetter"/>
      <w:start w:val="2"/>
    </w:lvl>
  </w:abstractNum>
  <w:abstractNum w:abstractNumId="69">
    <w:nsid w:val="68EB2F63"/>
    <w:multiLevelType w:val="hybridMultilevel"/>
    <w:lvl w:ilvl="0">
      <w:lvlJc w:val="left"/>
      <w:lvlText w:val="(%1)"/>
      <w:numFmt w:val="lowerLetter"/>
      <w:start w:val="1"/>
    </w:lvl>
    <w:lvl w:ilvl="1">
      <w:lvlJc w:val="left"/>
      <w:lvlText w:val="(%2)"/>
      <w:numFmt w:val="lowerRoman"/>
      <w:start w:val="1"/>
    </w:lvl>
  </w:abstractNum>
  <w:abstractNum w:abstractNumId="70">
    <w:nsid w:val="4962813B"/>
    <w:multiLevelType w:val="hybridMultilevel"/>
    <w:lvl w:ilvl="0">
      <w:lvlJc w:val="left"/>
      <w:lvlText w:val="%1"/>
      <w:numFmt w:val="lowerLetter"/>
      <w:start w:val="1"/>
    </w:lvl>
    <w:lvl w:ilvl="1">
      <w:lvlJc w:val="left"/>
      <w:lvlText w:val="(%2)"/>
      <w:numFmt w:val="lowerRoman"/>
      <w:start w:val="2"/>
    </w:lvl>
  </w:abstractNum>
  <w:abstractNum w:abstractNumId="71">
    <w:nsid w:val="60B6DF70"/>
    <w:multiLevelType w:val="hybridMultilevel"/>
    <w:lvl w:ilvl="0">
      <w:lvlJc w:val="left"/>
      <w:lvlText w:val="(%1)"/>
      <w:numFmt w:val="lowerLetter"/>
      <w:start w:val="2"/>
    </w:lvl>
    <w:lvl w:ilvl="1">
      <w:lvlJc w:val="left"/>
      <w:lvlText w:val="(%2)"/>
      <w:numFmt w:val="lowerRoman"/>
      <w:start w:val="1"/>
    </w:lvl>
  </w:abstractNum>
  <w:abstractNum w:abstractNumId="72">
    <w:nsid w:val="6A5EE64"/>
    <w:multiLevelType w:val="hybridMultilevel"/>
    <w:lvl w:ilvl="0">
      <w:lvlJc w:val="left"/>
      <w:lvlText w:val="(%1)"/>
      <w:numFmt w:val="lowerLetter"/>
      <w:start w:val="1"/>
    </w:lvl>
  </w:abstractNum>
  <w:abstractNum w:abstractNumId="73">
    <w:nsid w:val="14330624"/>
    <w:multiLevelType w:val="hybridMultilevel"/>
    <w:lvl w:ilvl="0">
      <w:lvlJc w:val="left"/>
      <w:lvlText w:val="(%1)"/>
      <w:numFmt w:val="lowerLetter"/>
      <w:start w:val="7"/>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1."/>
      <w:numFmt w:val="decimal"/>
      <w:start w:val="1"/>
    </w:lvl>
  </w:abstractNum>
  <w:abstractNum w:abstractNumId="76">
    <w:nsid w:val="71EA1109"/>
    <w:multiLevelType w:val="hybridMultilevel"/>
    <w:lvl w:ilvl="0">
      <w:lvlJc w:val="left"/>
      <w:lvlText w:val="%1."/>
      <w:numFmt w:val="decimal"/>
      <w:start w:val="1"/>
    </w:lvl>
    <w:lvl w:ilvl="1">
      <w:lvlJc w:val="left"/>
      <w:lvlText w:val="(%2)"/>
      <w:numFmt w:val="lowerLetter"/>
      <w:start w:val="1"/>
    </w:lvl>
  </w:abstractNum>
  <w:abstractNum w:abstractNumId="77">
    <w:nsid w:val="100F59DC"/>
    <w:multiLevelType w:val="hybridMultilevel"/>
    <w:lvl w:ilvl="0">
      <w:lvlJc w:val="left"/>
      <w:lvlText w:val="(%1)"/>
      <w:numFmt w:val="lowerLetter"/>
      <w:start w:val="2"/>
    </w:lvl>
  </w:abstractNum>
  <w:abstractNum w:abstractNumId="78">
    <w:nsid w:val="7FB7E0AA"/>
    <w:multiLevelType w:val="hybridMultilevel"/>
    <w:lvl w:ilvl="0">
      <w:lvlJc w:val="left"/>
      <w:lvlText w:val="%1."/>
      <w:numFmt w:val="decimal"/>
      <w:start w:val="4"/>
    </w:lvl>
    <w:lvl w:ilvl="1">
      <w:lvlJc w:val="left"/>
      <w:lvlText w:val="(%2)"/>
      <w:numFmt w:val="lowerLetter"/>
      <w:start w:val="1"/>
    </w:lvl>
  </w:abstractNum>
  <w:abstractNum w:abstractNumId="79">
    <w:nsid w:val="6EB5BD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80">
    <w:nsid w:val="6F6DD9AC"/>
    <w:multiLevelType w:val="hybridMultilevel"/>
    <w:lvl w:ilvl="0">
      <w:lvlJc w:val="left"/>
      <w:lvlText w:val="(%1)"/>
      <w:numFmt w:val="lowerRoman"/>
      <w:start w:val="2"/>
    </w:lvl>
  </w:abstractNum>
  <w:abstractNum w:abstractNumId="81">
    <w:nsid w:val="94211F2"/>
    <w:multiLevelType w:val="hybridMultilevel"/>
    <w:lvl w:ilvl="0">
      <w:lvlJc w:val="left"/>
      <w:lvlText w:val="%1."/>
      <w:numFmt w:val="decimal"/>
      <w:start w:val="6"/>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1."/>
      <w:numFmt w:val="decimal"/>
      <w:start w:val="8"/>
    </w:lvl>
  </w:abstractNum>
  <w:abstractNum w:abstractNumId="84">
    <w:nsid w:val="4C04A8AF"/>
    <w:multiLevelType w:val="hybridMultilevel"/>
    <w:lvl w:ilvl="0">
      <w:lvlJc w:val="left"/>
      <w:lvlText w:val="%1."/>
      <w:numFmt w:val="decimal"/>
      <w:start w:val="10"/>
    </w:lvl>
  </w:abstractNum>
  <w:abstractNum w:abstractNumId="85">
    <w:nsid w:val="1716703B"/>
    <w:multiLevelType w:val="hybridMultilevel"/>
    <w:lvl w:ilvl="0">
      <w:lvlJc w:val="left"/>
      <w:lvlText w:val="%1."/>
      <w:numFmt w:val="decimal"/>
      <w:start w:val="14"/>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2019-12-10T06:14:26Z</dcterms:created>
  <dcterms:modified xsi:type="dcterms:W3CDTF">2019-12-10T06:14:26Z</dcterms:modified>
</cp:coreProperties>
</file>