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3 )(1)</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465741106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12/31/2001</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740" w:hanging="205"/>
        <w:spacing w:after="0"/>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8"/>
        <w:spacing w:after="0" w:line="23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465741106</w:t>
            </w:r>
          </w:p>
        </w:tc>
        <w:tc>
          <w:tcPr>
            <w:tcW w:w="23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13G/A</w:t>
            </w:r>
          </w:p>
        </w:tc>
        <w:tc>
          <w:tcPr>
            <w:tcW w:w="3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9"/>
              </w:rPr>
              <w:t>--------------------</w:t>
            </w:r>
          </w:p>
        </w:tc>
        <w:tc>
          <w:tcPr>
            <w:tcW w:w="232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TCW Group, Inc., on behalf of the TCW Business Unit</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020" w:hanging="638"/>
        <w:spacing w:after="0" w:line="238" w:lineRule="auto"/>
        <w:tabs>
          <w:tab w:leader="none" w:pos="8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20" w:hanging="638"/>
        <w:spacing w:after="0" w:line="238" w:lineRule="auto"/>
        <w:tabs>
          <w:tab w:leader="none" w:pos="80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Nevada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16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5. SOLE VOTING POWER</w:t>
      </w:r>
    </w:p>
    <w:p>
      <w:pPr>
        <w:ind w:left="1280"/>
        <w:spacing w:after="0" w:line="238" w:lineRule="auto"/>
        <w:tabs>
          <w:tab w:leader="none" w:pos="71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-0-</w:t>
      </w:r>
    </w:p>
    <w:p>
      <w:pPr>
        <w:ind w:left="960"/>
        <w:spacing w:after="0"/>
        <w:tabs>
          <w:tab w:leader="none" w:pos="272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w:t>
      </w:r>
    </w:p>
    <w:p>
      <w:pPr>
        <w:sectPr>
          <w:pgSz w:w="11900" w:h="16856" w:orient="portrait"/>
          <w:cols w:equalWidth="0" w:num="1">
            <w:col w:w="10219"/>
          </w:cols>
          <w:pgMar w:left="240" w:top="852" w:right="1440" w:bottom="0" w:gutter="0" w:footer="0" w:header="0"/>
        </w:sectPr>
      </w:pPr>
    </w:p>
    <w:bookmarkStart w:id="1" w:name="page2"/>
    <w:bookmarkEnd w:id="1"/>
    <w:tbl>
      <w:tblPr>
        <w:tblLayout w:type="fixed"/>
        <w:tblInd w:w="1060" w:type="dxa"/>
        <w:tblCellMar>
          <w:top w:w="0" w:type="dxa"/>
          <w:left w:w="0" w:type="dxa"/>
          <w:bottom w:w="0" w:type="dxa"/>
          <w:right w:w="0" w:type="dxa"/>
        </w:tblCellMar>
      </w:tblPr>
      <w:tr>
        <w:trPr>
          <w:trHeight w:val="204"/>
        </w:trPr>
        <w:tc>
          <w:tcPr>
            <w:tcW w:w="1320" w:type="dxa"/>
            <w:vAlign w:val="bottom"/>
          </w:tcPr>
          <w:p>
            <w:pPr>
              <w:jc w:val="center"/>
              <w:ind w:right="192"/>
              <w:spacing w:after="0"/>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rPr>
              <w:t>6.</w:t>
            </w:r>
          </w:p>
        </w:tc>
        <w:tc>
          <w:tcPr>
            <w:tcW w:w="5280" w:type="dxa"/>
            <w:vAlign w:val="bottom"/>
          </w:tcPr>
          <w:p>
            <w:pPr>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680" w:type="dxa"/>
            <w:vAlign w:val="bottom"/>
          </w:tcPr>
          <w:p>
            <w:pPr>
              <w:spacing w:after="0"/>
              <w:rPr>
                <w:sz w:val="17"/>
                <w:szCs w:val="17"/>
                <w:color w:val="auto"/>
              </w:rPr>
            </w:pPr>
          </w:p>
        </w:tc>
        <w:tc>
          <w:tcPr>
            <w:tcW w:w="52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9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680" w:type="dxa"/>
            <w:vAlign w:val="bottom"/>
          </w:tcPr>
          <w:p>
            <w:pPr>
              <w:spacing w:after="0"/>
              <w:rPr>
                <w:sz w:val="17"/>
                <w:szCs w:val="17"/>
                <w:color w:val="auto"/>
              </w:rPr>
            </w:pPr>
          </w:p>
        </w:tc>
        <w:tc>
          <w:tcPr>
            <w:tcW w:w="52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20" w:type="dxa"/>
            <w:vAlign w:val="bottom"/>
          </w:tcPr>
          <w:p>
            <w:pPr>
              <w:spacing w:after="0"/>
              <w:rPr>
                <w:sz w:val="17"/>
                <w:szCs w:val="17"/>
                <w:color w:val="auto"/>
              </w:rPr>
            </w:pPr>
          </w:p>
        </w:tc>
        <w:tc>
          <w:tcPr>
            <w:tcW w:w="59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spacing w:after="0"/>
              <w:rPr>
                <w:sz w:val="17"/>
                <w:szCs w:val="17"/>
                <w:color w:val="auto"/>
              </w:rPr>
            </w:pP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80" w:type="dxa"/>
            <w:vAlign w:val="bottom"/>
          </w:tcPr>
          <w:p>
            <w:pPr>
              <w:jc w:val="right"/>
              <w:ind w:right="7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357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 -0-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(11) EXCLUDES CERTAIN SHARES*</w:t>
      </w:r>
    </w:p>
    <w:p>
      <w:pPr>
        <w:ind w:left="7380" w:hanging="209"/>
        <w:spacing w:after="0" w:line="238" w:lineRule="auto"/>
        <w:tabs>
          <w:tab w:leader="none" w:pos="73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51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 0.0%(see response to Item 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71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HC/CO</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17"/>
                <w:szCs w:val="17"/>
                <w:color w:val="auto"/>
              </w:rPr>
            </w:pPr>
          </w:p>
        </w:tc>
        <w:tc>
          <w:tcPr>
            <w:tcW w:w="3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465741106</w:t>
            </w:r>
          </w:p>
        </w:tc>
        <w:tc>
          <w:tcPr>
            <w:tcW w:w="2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13G/A</w:t>
            </w:r>
          </w:p>
        </w:tc>
        <w:tc>
          <w:tcPr>
            <w:tcW w:w="3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Page 3 of 8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9"/>
              </w:rPr>
              <w:t>--------------------</w:t>
            </w:r>
          </w:p>
        </w:tc>
        <w:tc>
          <w:tcPr>
            <w:tcW w:w="2280" w:type="dxa"/>
            <w:vAlign w:val="bottom"/>
          </w:tcPr>
          <w:p>
            <w:pPr>
              <w:spacing w:after="0"/>
              <w:rPr>
                <w:sz w:val="17"/>
                <w:szCs w:val="17"/>
                <w:color w:val="auto"/>
              </w:rPr>
            </w:pPr>
          </w:p>
        </w:tc>
        <w:tc>
          <w:tcPr>
            <w:tcW w:w="3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Robert A. Day</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7900" w:hanging="623"/>
        <w:spacing w:after="0" w:line="238" w:lineRule="auto"/>
        <w:tabs>
          <w:tab w:leader="none" w:pos="7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900" w:hanging="623"/>
        <w:spacing w:after="0" w:line="238" w:lineRule="auto"/>
        <w:tabs>
          <w:tab w:leader="none" w:pos="79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United States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52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tcPr>
          <w:p>
            <w:pPr>
              <w:ind w:left="260"/>
              <w:spacing w:after="0"/>
              <w:rPr>
                <w:sz w:val="20"/>
                <w:szCs w:val="20"/>
                <w:color w:val="auto"/>
              </w:rPr>
            </w:pPr>
            <w:r>
              <w:rPr>
                <w:rFonts w:ascii="Courier New" w:cs="Courier New" w:eastAsia="Courier New" w:hAnsi="Courier New"/>
                <w:sz w:val="18"/>
                <w:szCs w:val="18"/>
                <w:color w:val="auto"/>
              </w:rPr>
              <w:t>5.</w:t>
            </w:r>
          </w:p>
        </w:tc>
        <w:tc>
          <w:tcPr>
            <w:tcW w:w="51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80" w:type="dxa"/>
            <w:vAlign w:val="bottom"/>
          </w:tcPr>
          <w:p>
            <w:pPr>
              <w:spacing w:after="0"/>
              <w:rPr>
                <w:sz w:val="17"/>
                <w:szCs w:val="17"/>
                <w:color w:val="auto"/>
              </w:rPr>
            </w:pPr>
          </w:p>
        </w:tc>
        <w:tc>
          <w:tcPr>
            <w:tcW w:w="5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580" w:type="dxa"/>
            <w:vAlign w:val="bottom"/>
          </w:tcPr>
          <w:p>
            <w:pPr>
              <w:spacing w:after="0"/>
              <w:rPr>
                <w:sz w:val="17"/>
                <w:szCs w:val="17"/>
                <w:color w:val="auto"/>
              </w:rPr>
            </w:pPr>
          </w:p>
        </w:tc>
        <w:tc>
          <w:tcPr>
            <w:tcW w:w="5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5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WITH</w:t>
            </w:r>
          </w:p>
        </w:tc>
        <w:tc>
          <w:tcPr>
            <w:tcW w:w="580" w:type="dxa"/>
            <w:vAlign w:val="bottom"/>
          </w:tcPr>
          <w:p>
            <w:pPr>
              <w:spacing w:after="0"/>
              <w:rPr>
                <w:sz w:val="17"/>
                <w:szCs w:val="17"/>
                <w:color w:val="auto"/>
              </w:rPr>
            </w:pPr>
          </w:p>
        </w:tc>
        <w:tc>
          <w:tcPr>
            <w:tcW w:w="5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20" w:type="dxa"/>
            <w:vAlign w:val="bottom"/>
          </w:tcPr>
          <w:p>
            <w:pPr>
              <w:spacing w:after="0"/>
              <w:rPr>
                <w:sz w:val="17"/>
                <w:szCs w:val="17"/>
                <w:color w:val="auto"/>
              </w:rPr>
            </w:pPr>
          </w:p>
        </w:tc>
        <w:tc>
          <w:tcPr>
            <w:tcW w:w="57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20" w:type="dxa"/>
            <w:vAlign w:val="bottom"/>
          </w:tcPr>
          <w:p>
            <w:pPr>
              <w:spacing w:after="0"/>
              <w:rPr>
                <w:sz w:val="17"/>
                <w:szCs w:val="17"/>
                <w:color w:val="auto"/>
              </w:rPr>
            </w:pPr>
          </w:p>
        </w:tc>
        <w:tc>
          <w:tcPr>
            <w:tcW w:w="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1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357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 -0-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(11) EXCLUDES CERTAIN SHARES*</w:t>
      </w:r>
    </w:p>
    <w:p>
      <w:pPr>
        <w:ind w:left="6020" w:hanging="218"/>
        <w:spacing w:after="0" w:line="238" w:lineRule="auto"/>
        <w:tabs>
          <w:tab w:leader="none" w:pos="602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right="4519" w:hanging="105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(11) 0.0%(see response to Item 4)</w:t>
      </w:r>
    </w:p>
    <w:p>
      <w:pPr>
        <w:spacing w:after="0" w:line="208"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60" w:right="7159" w:hanging="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HC/IN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 4 of 8 Pages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Itron, Inc.</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2818 N. Sullivan Rd.</w:t>
      </w:r>
    </w:p>
    <w:p>
      <w:pPr>
        <w:ind w:left="1380"/>
        <w:spacing w:after="0" w:line="238" w:lineRule="auto"/>
        <w:rPr>
          <w:sz w:val="20"/>
          <w:szCs w:val="20"/>
          <w:color w:val="auto"/>
        </w:rPr>
      </w:pPr>
      <w:r>
        <w:rPr>
          <w:rFonts w:ascii="Courier New" w:cs="Courier New" w:eastAsia="Courier New" w:hAnsi="Courier New"/>
          <w:sz w:val="18"/>
          <w:szCs w:val="18"/>
          <w:color w:val="auto"/>
        </w:rPr>
        <w:t>Spokane, WA 99216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0"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TCW Group, Inc., on behalf of the TCW Business Unit</w:t>
      </w:r>
    </w:p>
    <w:p>
      <w:pPr>
        <w:ind w:left="1380"/>
        <w:spacing w:after="0" w:line="238" w:lineRule="auto"/>
        <w:rPr>
          <w:sz w:val="20"/>
          <w:szCs w:val="20"/>
          <w:color w:val="auto"/>
        </w:rPr>
      </w:pPr>
      <w:r>
        <w:rPr>
          <w:rFonts w:ascii="Courier New" w:cs="Courier New" w:eastAsia="Courier New" w:hAnsi="Courier New"/>
          <w:sz w:val="18"/>
          <w:szCs w:val="18"/>
          <w:color w:val="auto"/>
        </w:rPr>
        <w:t>865 South Figueroa Street</w:t>
      </w:r>
    </w:p>
    <w:p>
      <w:pPr>
        <w:ind w:left="1380"/>
        <w:spacing w:after="0"/>
        <w:rPr>
          <w:sz w:val="20"/>
          <w:szCs w:val="20"/>
          <w:color w:val="auto"/>
        </w:rPr>
      </w:pPr>
      <w:r>
        <w:rPr>
          <w:rFonts w:ascii="Courier New" w:cs="Courier New" w:eastAsia="Courier New" w:hAnsi="Courier New"/>
          <w:sz w:val="18"/>
          <w:szCs w:val="18"/>
          <w:color w:val="auto"/>
        </w:rPr>
        <w:t>Los Angeles, CA 90017</w:t>
      </w:r>
    </w:p>
    <w:p>
      <w:pPr>
        <w:ind w:left="1380"/>
        <w:spacing w:after="0" w:line="237" w:lineRule="auto"/>
        <w:rPr>
          <w:sz w:val="20"/>
          <w:szCs w:val="20"/>
          <w:color w:val="auto"/>
        </w:rPr>
      </w:pPr>
      <w:r>
        <w:rPr>
          <w:rFonts w:ascii="Courier New" w:cs="Courier New" w:eastAsia="Courier New" w:hAnsi="Courier New"/>
          <w:sz w:val="18"/>
          <w:szCs w:val="18"/>
          <w:color w:val="auto"/>
        </w:rPr>
        <w:t>(Nevada Corporation)</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Robert A. Day</w:t>
      </w:r>
    </w:p>
    <w:p>
      <w:pPr>
        <w:ind w:left="1380"/>
        <w:spacing w:after="0" w:line="238" w:lineRule="auto"/>
        <w:rPr>
          <w:sz w:val="20"/>
          <w:szCs w:val="20"/>
          <w:color w:val="auto"/>
        </w:rPr>
      </w:pPr>
      <w:r>
        <w:rPr>
          <w:rFonts w:ascii="Courier New" w:cs="Courier New" w:eastAsia="Courier New" w:hAnsi="Courier New"/>
          <w:sz w:val="18"/>
          <w:szCs w:val="18"/>
          <w:color w:val="auto"/>
        </w:rPr>
        <w:t>865 South Figueroa Street</w:t>
      </w:r>
    </w:p>
    <w:p>
      <w:pPr>
        <w:ind w:left="1380"/>
        <w:spacing w:after="0"/>
        <w:rPr>
          <w:sz w:val="20"/>
          <w:szCs w:val="20"/>
          <w:color w:val="auto"/>
        </w:rPr>
      </w:pPr>
      <w:r>
        <w:rPr>
          <w:rFonts w:ascii="Courier New" w:cs="Courier New" w:eastAsia="Courier New" w:hAnsi="Courier New"/>
          <w:sz w:val="18"/>
          <w:szCs w:val="18"/>
          <w:color w:val="auto"/>
        </w:rPr>
        <w:t>Los Angeles, CA 90017</w:t>
      </w:r>
    </w:p>
    <w:p>
      <w:pPr>
        <w:ind w:left="1380"/>
        <w:spacing w:after="0" w:line="237" w:lineRule="auto"/>
        <w:rPr>
          <w:sz w:val="20"/>
          <w:szCs w:val="20"/>
          <w:color w:val="auto"/>
        </w:rPr>
      </w:pPr>
      <w:r>
        <w:rPr>
          <w:rFonts w:ascii="Courier New" w:cs="Courier New" w:eastAsia="Courier New" w:hAnsi="Courier New"/>
          <w:sz w:val="18"/>
          <w:szCs w:val="18"/>
          <w:color w:val="auto"/>
        </w:rPr>
        <w:t>(United States Citizen)</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465741106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 5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900" w:right="2939" w:hanging="1049"/>
        <w:spacing w:after="0" w:line="235" w:lineRule="auto"/>
        <w:tabs>
          <w:tab w:leader="none" w:pos="137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 (15 U.S.C. 78o).</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7" w:lineRule="exact"/>
        <w:rPr>
          <w:sz w:val="20"/>
          <w:szCs w:val="20"/>
          <w:color w:val="auto"/>
        </w:rPr>
      </w:pPr>
    </w:p>
    <w:p>
      <w:pPr>
        <w:ind w:left="1900" w:right="2519" w:hanging="1049"/>
        <w:spacing w:after="0" w:line="235" w:lineRule="auto"/>
        <w:tabs>
          <w:tab w:leader="none" w:pos="137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 (15 U.S.C. 78c).</w:t>
      </w:r>
    </w:p>
    <w:p>
      <w:pPr>
        <w:spacing w:after="0" w:line="5" w:lineRule="exact"/>
        <w:rPr>
          <w:rFonts w:ascii="Courier New" w:cs="Courier New" w:eastAsia="Courier New" w:hAnsi="Courier New"/>
          <w:sz w:val="18"/>
          <w:szCs w:val="18"/>
          <w:color w:val="auto"/>
        </w:rPr>
      </w:pPr>
    </w:p>
    <w:p>
      <w:pPr>
        <w:ind w:left="1900" w:right="2839" w:hanging="1049"/>
        <w:spacing w:after="0" w:line="268" w:lineRule="auto"/>
        <w:tabs>
          <w:tab w:leader="none" w:pos="137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380" w:hanging="529"/>
        <w:spacing w:after="0" w:line="238" w:lineRule="auto"/>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w:t>
      </w:r>
    </w:p>
    <w:p>
      <w:pPr>
        <w:spacing w:after="0" w:line="207" w:lineRule="exact"/>
        <w:rPr>
          <w:sz w:val="20"/>
          <w:szCs w:val="20"/>
          <w:color w:val="auto"/>
        </w:rPr>
      </w:pPr>
    </w:p>
    <w:p>
      <w:pPr>
        <w:ind w:left="1900" w:right="3359" w:hanging="1049"/>
        <w:spacing w:after="0" w:line="268" w:lineRule="auto"/>
        <w:tabs>
          <w:tab w:leader="none" w:pos="13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An employee benefit plan or endowment fund in accordance with Section 240.13d-1(b)(1)(ii)(F).</w:t>
      </w:r>
    </w:p>
    <w:p>
      <w:pPr>
        <w:ind w:left="1900" w:right="3359" w:hanging="1049"/>
        <w:spacing w:after="0" w:line="290" w:lineRule="auto"/>
        <w:tabs>
          <w:tab w:leader="none" w:pos="13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 parent holding company or control person in accordance with Section 240.13d-1(b)(1)(ii)(G).</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(SEE Item 7)</w:t>
      </w:r>
    </w:p>
    <w:p>
      <w:pPr>
        <w:spacing w:after="0" w:line="4" w:lineRule="exact"/>
        <w:rPr>
          <w:sz w:val="20"/>
          <w:szCs w:val="20"/>
          <w:color w:val="auto"/>
        </w:rPr>
      </w:pPr>
    </w:p>
    <w:p>
      <w:pPr>
        <w:ind w:left="1900" w:right="2419"/>
        <w:spacing w:after="0" w:line="275" w:lineRule="auto"/>
        <w:rPr>
          <w:sz w:val="20"/>
          <w:szCs w:val="20"/>
          <w:color w:val="auto"/>
        </w:rPr>
      </w:pPr>
      <w:r>
        <w:rPr>
          <w:rFonts w:ascii="Courier New" w:cs="Courier New" w:eastAsia="Courier New" w:hAnsi="Courier New"/>
          <w:sz w:val="16"/>
          <w:szCs w:val="16"/>
          <w:color w:val="auto"/>
        </w:rPr>
        <w:t>The TCW Group, Inc., on behalf of the TCW Business Unit and Robert A. Day (individual who until July 6, 2001 may be deemed to control The TCW Group, Inc. and other entities which hold the Common Stock of the issuer)</w:t>
      </w:r>
    </w:p>
    <w:p>
      <w:pPr>
        <w:spacing w:after="0" w:line="182" w:lineRule="exact"/>
        <w:rPr>
          <w:sz w:val="20"/>
          <w:szCs w:val="20"/>
          <w:color w:val="auto"/>
        </w:rPr>
      </w:pPr>
    </w:p>
    <w:p>
      <w:pPr>
        <w:ind w:left="1900" w:right="2519" w:hanging="1049"/>
        <w:spacing w:after="0" w:line="235" w:lineRule="auto"/>
        <w:tabs>
          <w:tab w:leader="none" w:pos="13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1900" w:right="2099" w:hanging="1049"/>
        <w:spacing w:after="0" w:line="236" w:lineRule="auto"/>
        <w:tabs>
          <w:tab w:leader="none" w:pos="13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 w:lineRule="exact"/>
        <w:rPr>
          <w:rFonts w:ascii="Courier New" w:cs="Courier New" w:eastAsia="Courier New" w:hAnsi="Courier New"/>
          <w:sz w:val="18"/>
          <w:szCs w:val="18"/>
          <w:color w:val="auto"/>
        </w:rPr>
      </w:pPr>
    </w:p>
    <w:p>
      <w:pPr>
        <w:ind w:left="1900" w:right="1879" w:hanging="1049"/>
        <w:spacing w:after="0" w:line="236" w:lineRule="auto"/>
        <w:tabs>
          <w:tab w:leader="none" w:pos="137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240.13d-1(b)(1)(ii)(J).If this statement is filed pursuant to Rule 13d-1(c), check this box. / /</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 6 of 8 Pages</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TCW Group, Inc., on behalf of the Business Unit ***</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none.</w:t>
      </w:r>
    </w:p>
    <w:p>
      <w:pPr>
        <w:ind w:left="1580" w:hanging="519"/>
        <w:spacing w:after="0" w:line="238"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ind w:left="1580" w:hanging="519"/>
        <w:spacing w:after="0" w:line="238"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320" w:hanging="732"/>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2320" w:hanging="732"/>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ind w:left="2320" w:hanging="732"/>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p>
      <w:pPr>
        <w:sectPr>
          <w:pgSz w:w="11900" w:h="16838" w:orient="portrait"/>
          <w:cols w:equalWidth="0" w:num="1">
            <w:col w:w="10219"/>
          </w:cols>
          <w:pgMar w:left="240" w:top="339" w:right="1440" w:bottom="0" w:gutter="0" w:footer="0" w:header="0"/>
        </w:sectPr>
      </w:pPr>
    </w:p>
    <w:bookmarkStart w:id="3" w:name="page4"/>
    <w:bookmarkEnd w:id="3"/>
    <w:p>
      <w:pPr>
        <w:ind w:left="2320"/>
        <w:spacing w:after="0"/>
        <w:rPr>
          <w:sz w:val="20"/>
          <w:szCs w:val="20"/>
          <w:color w:val="auto"/>
        </w:rPr>
      </w:pPr>
      <w:r>
        <w:rPr>
          <w:rFonts w:ascii="Courier New" w:cs="Courier New" w:eastAsia="Courier New" w:hAnsi="Courier New"/>
          <w:sz w:val="18"/>
          <w:szCs w:val="18"/>
          <w:color w:val="auto"/>
        </w:rPr>
        <w:t>of: none.</w:t>
      </w:r>
    </w:p>
    <w:p>
      <w:pPr>
        <w:spacing w:after="0" w:line="4" w:lineRule="exact"/>
        <w:rPr>
          <w:sz w:val="20"/>
          <w:szCs w:val="20"/>
          <w:color w:val="auto"/>
        </w:rPr>
      </w:pPr>
    </w:p>
    <w:p>
      <w:pPr>
        <w:ind w:left="2320" w:right="3679" w:hanging="732"/>
        <w:spacing w:after="0" w:line="235" w:lineRule="auto"/>
        <w:tabs>
          <w:tab w:leader="none" w:pos="23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Robert Day ****</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580" w:hanging="519"/>
        <w:spacing w:after="0"/>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none.</w:t>
      </w:r>
    </w:p>
    <w:p>
      <w:pPr>
        <w:ind w:left="1580" w:hanging="519"/>
        <w:spacing w:after="0" w:line="238"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none.</w:t>
      </w:r>
    </w:p>
    <w:p>
      <w:pPr>
        <w:ind w:left="1580" w:hanging="519"/>
        <w:spacing w:after="0" w:line="238" w:lineRule="auto"/>
        <w:tabs>
          <w:tab w:leader="none" w:pos="15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320" w:hanging="732"/>
        <w:spacing w:after="0" w:line="238" w:lineRule="auto"/>
        <w:tabs>
          <w:tab w:leader="none" w:pos="23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ind w:left="2320" w:hanging="732"/>
        <w:spacing w:after="0" w:line="238" w:lineRule="auto"/>
        <w:tabs>
          <w:tab w:leader="none" w:pos="23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4" w:lineRule="exact"/>
        <w:rPr>
          <w:rFonts w:ascii="Courier New" w:cs="Courier New" w:eastAsia="Courier New" w:hAnsi="Courier New"/>
          <w:sz w:val="18"/>
          <w:szCs w:val="18"/>
          <w:color w:val="auto"/>
        </w:rPr>
      </w:pPr>
    </w:p>
    <w:p>
      <w:pPr>
        <w:ind w:left="2320" w:right="2519" w:hanging="732"/>
        <w:spacing w:after="0" w:line="235" w:lineRule="auto"/>
        <w:tabs>
          <w:tab w:leader="none" w:pos="23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direct the disposition of: none.</w:t>
      </w:r>
    </w:p>
    <w:p>
      <w:pPr>
        <w:spacing w:after="0" w:line="5" w:lineRule="exact"/>
        <w:rPr>
          <w:rFonts w:ascii="Courier New" w:cs="Courier New" w:eastAsia="Courier New" w:hAnsi="Courier New"/>
          <w:sz w:val="18"/>
          <w:szCs w:val="18"/>
          <w:color w:val="auto"/>
        </w:rPr>
      </w:pPr>
    </w:p>
    <w:p>
      <w:pPr>
        <w:ind w:left="2320" w:right="1999" w:hanging="732"/>
        <w:spacing w:after="0" w:line="235" w:lineRule="auto"/>
        <w:tabs>
          <w:tab w:leader="none" w:pos="2320" w:val="left"/>
        </w:tabs>
        <w:numPr>
          <w:ilvl w:val="2"/>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740" w:right="1779" w:hanging="732"/>
        <w:spacing w:after="0" w:line="271"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filing of this Schedule 13G shall not be construed as an admission that the reporting person or any of its affiliates is, for the purposes of Section 13(d) or 13(g) of the Securities Exchange Act of 1934, the beneficial owner of any securities covered by this Schedule 13G.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0" w:lineRule="exact"/>
        <w:rPr>
          <w:rFonts w:ascii="Courier New" w:cs="Courier New" w:eastAsia="Courier New" w:hAnsi="Courier New"/>
          <w:sz w:val="16"/>
          <w:szCs w:val="16"/>
          <w:color w:val="auto"/>
        </w:rPr>
      </w:pPr>
    </w:p>
    <w:p>
      <w:pPr>
        <w:ind w:left="740" w:hanging="732"/>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"A"</w:t>
      </w:r>
    </w:p>
    <w:p>
      <w:pPr>
        <w:spacing w:after="0" w:line="206" w:lineRule="exact"/>
        <w:rPr>
          <w:rFonts w:ascii="Courier New" w:cs="Courier New" w:eastAsia="Courier New" w:hAnsi="Courier New"/>
          <w:sz w:val="18"/>
          <w:szCs w:val="18"/>
          <w:color w:val="auto"/>
        </w:rPr>
      </w:pPr>
    </w:p>
    <w:p>
      <w:pPr>
        <w:ind w:left="740" w:right="2319" w:hanging="732"/>
        <w:spacing w:after="0" w:line="279"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result of the acquisition of control of The TCW Group, Inc. by Societe Generale, S.A. on July 6, 2001, Robert A. Day no longer is deemed to share voting or dispositive power with The TCW Group, Inc.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Page 7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7" w:lineRule="exact"/>
        <w:rPr>
          <w:sz w:val="20"/>
          <w:szCs w:val="20"/>
          <w:color w:val="auto"/>
        </w:rPr>
      </w:pPr>
    </w:p>
    <w:p>
      <w:pPr>
        <w:ind w:left="960" w:right="1879"/>
        <w:spacing w:after="0" w:line="272" w:lineRule="auto"/>
        <w:rPr>
          <w:sz w:val="20"/>
          <w:szCs w:val="20"/>
          <w:color w:val="auto"/>
        </w:rPr>
      </w:pPr>
      <w:r>
        <w:rPr>
          <w:rFonts w:ascii="Courier New" w:cs="Courier New" w:eastAsia="Courier New" w:hAnsi="Courier New"/>
          <w:sz w:val="16"/>
          <w:szCs w:val="16"/>
          <w:color w:val="auto"/>
        </w:rPr>
        <w:t>As a result of the acquisition of control of The TCW Group, Inc. by Societe Generale, S.A. on July 6, 2001, Robert A. Day no longer is deemed to share voting or dispositive power with The TCW Group, Inc., and is therefore no longer the beneficial owner of any shares of the class of securities. The TCW Group, Inc. continues to be the beneficial owner of more than five percent of the class of securities.</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SEE Exhibits A and B.</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Because this statement is filed pursuant to Rule 13d-1(b), the following certification is included:</w:t>
      </w:r>
    </w:p>
    <w:p>
      <w:pPr>
        <w:spacing w:after="0" w:line="208" w:lineRule="exact"/>
        <w:rPr>
          <w:sz w:val="20"/>
          <w:szCs w:val="20"/>
          <w:color w:val="auto"/>
        </w:rPr>
      </w:pPr>
    </w:p>
    <w:p>
      <w:pPr>
        <w:ind w:left="960" w:right="17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 8 of 8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13th day of February,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The TCW Group, Inc., on behalf of the TCW</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Business Unit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Robert A. Day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Under Power of Attorney</w:t>
      </w:r>
    </w:p>
    <w:p>
      <w:pPr>
        <w:ind w:left="4440"/>
        <w:spacing w:after="0" w:line="238" w:lineRule="auto"/>
        <w:rPr>
          <w:sz w:val="20"/>
          <w:szCs w:val="20"/>
          <w:color w:val="auto"/>
        </w:rPr>
      </w:pPr>
      <w:r>
        <w:rPr>
          <w:rFonts w:ascii="Courier New" w:cs="Courier New" w:eastAsia="Courier New" w:hAnsi="Courier New"/>
          <w:sz w:val="18"/>
          <w:szCs w:val="18"/>
          <w:color w:val="auto"/>
        </w:rPr>
        <w:t>dated November 6, 2000,</w:t>
      </w:r>
    </w:p>
    <w:p>
      <w:pPr>
        <w:ind w:left="4440"/>
        <w:spacing w:after="0"/>
        <w:rPr>
          <w:sz w:val="20"/>
          <w:szCs w:val="20"/>
          <w:color w:val="auto"/>
        </w:rPr>
      </w:pPr>
      <w:r>
        <w:rPr>
          <w:rFonts w:ascii="Courier New" w:cs="Courier New" w:eastAsia="Courier New" w:hAnsi="Courier New"/>
          <w:sz w:val="18"/>
          <w:szCs w:val="18"/>
          <w:color w:val="auto"/>
        </w:rPr>
        <w:t>on file with Schedule 13G</w:t>
      </w:r>
    </w:p>
    <w:p>
      <w:pPr>
        <w:ind w:left="4440"/>
        <w:spacing w:after="0" w:line="237" w:lineRule="auto"/>
        <w:rPr>
          <w:sz w:val="20"/>
          <w:szCs w:val="20"/>
          <w:color w:val="auto"/>
        </w:rPr>
      </w:pPr>
      <w:r>
        <w:rPr>
          <w:rFonts w:ascii="Courier New" w:cs="Courier New" w:eastAsia="Courier New" w:hAnsi="Courier New"/>
          <w:sz w:val="18"/>
          <w:szCs w:val="18"/>
          <w:color w:val="auto"/>
        </w:rPr>
        <w:t>for Retek, Inc. dated</w:t>
      </w:r>
    </w:p>
    <w:p>
      <w:pPr>
        <w:ind w:left="4440"/>
        <w:spacing w:after="0"/>
        <w:rPr>
          <w:sz w:val="20"/>
          <w:szCs w:val="20"/>
          <w:color w:val="auto"/>
        </w:rPr>
      </w:pPr>
      <w:r>
        <w:rPr>
          <w:rFonts w:ascii="Courier New" w:cs="Courier New" w:eastAsia="Courier New" w:hAnsi="Courier New"/>
          <w:sz w:val="18"/>
          <w:szCs w:val="18"/>
          <w:color w:val="auto"/>
        </w:rPr>
        <w:t>November 8, 2000.</w:t>
      </w:r>
    </w:p>
    <w:p>
      <w:pPr>
        <w:sectPr>
          <w:pgSz w:w="11900" w:h="16838" w:orient="portrait"/>
          <w:cols w:equalWidth="0" w:num="1">
            <w:col w:w="10219"/>
          </w:cols>
          <w:pgMar w:left="240" w:top="136" w:right="1440" w:bottom="1440" w:gutter="0" w:footer="0" w:header="0"/>
        </w:sectPr>
      </w:pPr>
    </w:p>
    <w:bookmarkStart w:id="5" w:name="page6"/>
    <w:bookmarkEnd w:id="5"/>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RELEVANT SUBSIDIARIES OF PARENT HOLDING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A: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TCW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left="1380" w:right="1879" w:hanging="635"/>
        <w:spacing w:after="0" w:line="290" w:lineRule="auto"/>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Trust Company of the West, a California corporation and a bank as defined in Section 3(a)(6) of the Securities Exchange Act of 1934.</w:t>
      </w:r>
    </w:p>
    <w:p>
      <w:pPr>
        <w:spacing w:after="0" w:line="169" w:lineRule="exact"/>
        <w:rPr>
          <w:rFonts w:ascii="Courier New" w:cs="Courier New" w:eastAsia="Courier New" w:hAnsi="Courier New"/>
          <w:sz w:val="16"/>
          <w:szCs w:val="16"/>
          <w:color w:val="auto"/>
        </w:rPr>
      </w:pPr>
    </w:p>
    <w:p>
      <w:pPr>
        <w:ind w:left="1380" w:right="1999" w:hanging="635"/>
        <w:spacing w:after="0" w:line="236" w:lineRule="auto"/>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Asset Management Company, a California corporation and an 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380" w:right="1879" w:hanging="635"/>
        <w:spacing w:after="0" w:line="236" w:lineRule="auto"/>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TCW Investment Management Company, a California corporation and an Investment Adviser registered under Section 203 of the Investment Advisers Act of 1940.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Schedule 13G is being filed by the TCW Group, Inc., a Nevada corporation ("TCW"), on behalf of itself and its direct and indirect subsidiaries, which collectively constitute The TCW Group, Inc. business unit (the "TCW Business Unit" or the "Reporting Person"). The TCW Business Unit is primarily engaged in the provision of investment management services.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As of July 6, 2001, the ultimate parent company of TCW is Societe Generale, S.A., a corporation formed under the laws of France ("SG"). The principal business of SG is acting as a holding company for a global financial services group, which includes certain distinct specialized business units that are independently operated, including the TCW Business Unit.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SG, for purpose of the federal securities laws, may be deemed ultimately to control TCW and the TCW Business Unit. SG, its executive officers and directors, and its direct and indirect subsidiaries (including all business units except the TCW Business Unit), may beneficially own shares of the securities of the issuer to which this schedule relates (the "Shares") and such shares are not reported in this statement. In accordance with Securities and Exchange Commission ("SEC") Release No. 34-39538 (January 12, 1998), and due to the separate management and independent operation of its business units, SG disclaims beneficial ownership of Shares beneficially owned by the Reporting Person. The Reporting Person disclaims beneficial ownership of Shares beneficially owned by SG and any of SG's other business units.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B: NON TCW ENTITIES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PARENT HOLDING COMPANY:</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ROBERT A. DAY (an individual who may be deemed to control the entities described below which are not subsidiaries of The TCW Group, Inc.)</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RELEVANT SUBSIDIARIES THAT ARE PERSONS DESCRIBED IN RULE 13d-1(b):</w:t>
      </w:r>
    </w:p>
    <w:p>
      <w:pPr>
        <w:spacing w:after="0" w:line="207"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rPr>
        <w:t>Oakmont Corporation, a California corporation and an Investment Adviser registered under Section 203 of the Investment Advisers Act of 1940.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541"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this 13th day of February, 2002.</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The TCW Group, Inc., on behalf of the TCW</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Business Unit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Authorized Signatory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Robert A. Day</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Linda D. Barker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Linda D. Barker</w:t>
      </w:r>
    </w:p>
    <w:p>
      <w:pPr>
        <w:ind w:left="4440"/>
        <w:spacing w:after="0" w:line="237" w:lineRule="auto"/>
        <w:rPr>
          <w:sz w:val="20"/>
          <w:szCs w:val="20"/>
          <w:color w:val="auto"/>
        </w:rPr>
      </w:pPr>
      <w:r>
        <w:rPr>
          <w:rFonts w:ascii="Courier New" w:cs="Courier New" w:eastAsia="Courier New" w:hAnsi="Courier New"/>
          <w:sz w:val="18"/>
          <w:szCs w:val="18"/>
          <w:color w:val="auto"/>
        </w:rPr>
        <w:t>Under Power of Attorney</w:t>
      </w:r>
    </w:p>
    <w:p>
      <w:pPr>
        <w:ind w:left="4440"/>
        <w:spacing w:after="0" w:line="238" w:lineRule="auto"/>
        <w:rPr>
          <w:sz w:val="20"/>
          <w:szCs w:val="20"/>
          <w:color w:val="auto"/>
        </w:rPr>
      </w:pPr>
      <w:r>
        <w:rPr>
          <w:rFonts w:ascii="Courier New" w:cs="Courier New" w:eastAsia="Courier New" w:hAnsi="Courier New"/>
          <w:sz w:val="18"/>
          <w:szCs w:val="18"/>
          <w:color w:val="auto"/>
        </w:rPr>
        <w:t>dated November 6, 2000,</w:t>
      </w:r>
    </w:p>
    <w:p>
      <w:pPr>
        <w:ind w:left="4440"/>
        <w:spacing w:after="0"/>
        <w:rPr>
          <w:sz w:val="20"/>
          <w:szCs w:val="20"/>
          <w:color w:val="auto"/>
        </w:rPr>
      </w:pPr>
      <w:r>
        <w:rPr>
          <w:rFonts w:ascii="Courier New" w:cs="Courier New" w:eastAsia="Courier New" w:hAnsi="Courier New"/>
          <w:sz w:val="18"/>
          <w:szCs w:val="18"/>
          <w:color w:val="auto"/>
        </w:rPr>
        <w:t>on file with Schedule 13G</w:t>
      </w:r>
    </w:p>
    <w:p>
      <w:pPr>
        <w:ind w:left="4440"/>
        <w:spacing w:after="0" w:line="237" w:lineRule="auto"/>
        <w:rPr>
          <w:sz w:val="20"/>
          <w:szCs w:val="20"/>
          <w:color w:val="auto"/>
        </w:rPr>
      </w:pPr>
      <w:r>
        <w:rPr>
          <w:rFonts w:ascii="Courier New" w:cs="Courier New" w:eastAsia="Courier New" w:hAnsi="Courier New"/>
          <w:sz w:val="18"/>
          <w:szCs w:val="18"/>
          <w:color w:val="auto"/>
        </w:rPr>
        <w:t>for Retek, Inc. dated</w:t>
      </w:r>
    </w:p>
    <w:p>
      <w:pPr>
        <w:ind w:left="4440"/>
        <w:spacing w:after="0"/>
        <w:rPr>
          <w:sz w:val="20"/>
          <w:szCs w:val="20"/>
          <w:color w:val="auto"/>
        </w:rPr>
      </w:pPr>
      <w:r>
        <w:rPr>
          <w:rFonts w:ascii="Courier New" w:cs="Courier New" w:eastAsia="Courier New" w:hAnsi="Courier New"/>
          <w:sz w:val="18"/>
          <w:szCs w:val="18"/>
          <w:color w:val="auto"/>
        </w:rPr>
        <w:t>November 8,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lvl w:ilvl="1">
      <w:lvlJc w:val="left"/>
      <w:lvlText w:val="(%2)"/>
      <w:numFmt w:val="lowerLetter"/>
      <w:start w:val="1"/>
    </w:lvl>
  </w:abstractNum>
  <w:abstractNum w:abstractNumId="8">
    <w:nsid w:val="6B68079A"/>
    <w:multiLevelType w:val="hybridMultilevel"/>
    <w:lvl w:ilvl="0">
      <w:lvlJc w:val="left"/>
      <w:lvlText w:val="-"/>
      <w:numFmt w:val="bullet"/>
      <w:start w:val="1"/>
    </w:lvl>
    <w:lvl w:ilvl="1">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lvl w:ilvl="1">
      <w:lvlJc w:val="left"/>
      <w:lvlText w:val="(%2)"/>
      <w:numFmt w:val="lowerLetter"/>
      <w:start w:val="1"/>
    </w:lvl>
  </w:abstractNum>
  <w:abstractNum w:abstractNumId="11">
    <w:nsid w:val="519B500D"/>
    <w:multiLevelType w:val="hybridMultilevel"/>
    <w:lvl w:ilvl="0">
      <w:lvlJc w:val="left"/>
      <w:lvlText w:val="-"/>
      <w:numFmt w:val="bullet"/>
      <w:start w:val="1"/>
    </w:lvl>
    <w:lvl w:ilvl="1">
      <w:lvlJc w:val="left"/>
      <w:lvlText w:val="/"/>
      <w:numFmt w:val="bullet"/>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6"/>
    </w:lvl>
  </w:abstractNum>
  <w:abstractNum w:abstractNumId="15">
    <w:nsid w:val="257130A3"/>
    <w:multiLevelType w:val="hybridMultilevel"/>
    <w:lvl w:ilvl="0">
      <w:lvlJc w:val="left"/>
      <w:lvlText w:val="(%1)"/>
      <w:numFmt w:val="lowerLetter"/>
      <w:start w:val="8"/>
    </w:lvl>
  </w:abstractNum>
  <w:abstractNum w:abstractNumId="16">
    <w:nsid w:val="62BBD95A"/>
    <w:multiLevelType w:val="hybridMultilevel"/>
    <w:lvl w:ilvl="0">
      <w:lvlJc w:val="left"/>
      <w:lvlText w:val="(%1)"/>
      <w:numFmt w:val="lowerLetter"/>
      <w:start w:val="1"/>
    </w:lvl>
    <w:lvl w:ilvl="1">
      <w:lvlJc w:val="left"/>
      <w:lvlText w:val="(%2)"/>
      <w:numFmt w:val="lowerRoman"/>
      <w:start w:val="1"/>
    </w:lvl>
  </w:abstractNum>
  <w:abstractNum w:abstractNumId="17">
    <w:nsid w:val="436C6125"/>
    <w:multiLevelType w:val="hybridMultilevel"/>
    <w:lvl w:ilvl="0">
      <w:lvlJc w:val="left"/>
      <w:lvlText w:val="(%1)"/>
      <w:numFmt w:val="lowerRoman"/>
      <w:start w:val="4"/>
    </w:lvl>
  </w:abstractNum>
  <w:abstractNum w:abstractNumId="18">
    <w:nsid w:val="628C895D"/>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2019-12-13T15:41:20Z</dcterms:created>
  <dcterms:modified xsi:type="dcterms:W3CDTF">2019-12-13T15:41:20Z</dcterms:modified>
</cp:coreProperties>
</file>