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495300</wp:posOffset>
            </wp:positionV>
            <wp:extent cx="70751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415925</wp:posOffset>
            </wp:positionV>
            <wp:extent cx="1046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71" w:lineRule="exact"/>
        <w:rPr>
          <w:sz w:val="24"/>
          <w:szCs w:val="24"/>
          <w:color w:val="auto"/>
        </w:rPr>
      </w:pPr>
    </w:p>
    <w:p>
      <w:pPr>
        <w:ind w:left="660" w:right="1540" w:hanging="625"/>
        <w:spacing w:after="0" w:line="276" w:lineRule="auto"/>
        <w:tabs>
          <w:tab w:leader="none" w:pos="728"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42" w:lineRule="exact"/>
        <w:rPr>
          <w:sz w:val="24"/>
          <w:szCs w:val="24"/>
          <w:color w:val="auto"/>
        </w:rPr>
      </w:pPr>
    </w:p>
    <w:p>
      <w:pPr>
        <w:ind w:left="720" w:hanging="685"/>
        <w:spacing w:after="0"/>
        <w:tabs>
          <w:tab w:leader="none" w:pos="7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20"/>
          </w:cols>
          <w:pgMar w:left="240" w:top="233" w:right="239" w:bottom="1440" w:gutter="0" w:footer="0" w:header="0"/>
        </w:sectPr>
      </w:pPr>
    </w:p>
    <w:p>
      <w:pPr>
        <w:spacing w:after="0" w:line="48" w:lineRule="exact"/>
        <w:rPr>
          <w:sz w:val="24"/>
          <w:szCs w:val="24"/>
          <w:color w:val="auto"/>
        </w:rPr>
      </w:pPr>
    </w:p>
    <w:p>
      <w:pPr>
        <w:ind w:left="660"/>
        <w:spacing w:after="0"/>
        <w:tabs>
          <w:tab w:leader="none" w:pos="35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ectPr>
          <w:pgSz w:w="11900" w:h="16838" w:orient="portrait"/>
          <w:cols w:equalWidth="0" w:num="1">
            <w:col w:w="11420"/>
          </w:cols>
          <w:pgMar w:left="240" w:top="233" w:right="239" w:bottom="1440" w:gutter="0" w:footer="0" w:header="0"/>
          <w:type w:val="continuous"/>
        </w:sectPr>
      </w:pP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000-22418</w:t>
      </w:r>
    </w:p>
    <w:p>
      <w:pPr>
        <w:sectPr>
          <w:pgSz w:w="11900" w:h="16838" w:orient="portrait"/>
          <w:cols w:equalWidth="0" w:num="1">
            <w:col w:w="11420"/>
          </w:cols>
          <w:pgMar w:left="240" w:top="233" w:right="239" w:bottom="1440" w:gutter="0" w:footer="0" w:header="0"/>
          <w:type w:val="continuous"/>
        </w:sectPr>
      </w:pPr>
    </w:p>
    <w:p>
      <w:pPr>
        <w:spacing w:after="0" w:line="7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ITRON,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420"/>
          </w:cols>
          <w:pgMar w:left="240" w:top="233" w:right="239" w:bottom="1440" w:gutter="0" w:footer="0" w:header="0"/>
          <w:type w:val="continuous"/>
        </w:sectPr>
      </w:pPr>
    </w:p>
    <w:p>
      <w:pPr>
        <w:spacing w:after="0" w:line="364" w:lineRule="exact"/>
        <w:rPr>
          <w:sz w:val="24"/>
          <w:szCs w:val="24"/>
          <w:color w:val="auto"/>
        </w:rPr>
      </w:pPr>
    </w:p>
    <w:p>
      <w:pPr>
        <w:ind w:left="2360"/>
        <w:spacing w:after="0"/>
        <w:rPr>
          <w:sz w:val="20"/>
          <w:szCs w:val="20"/>
          <w:color w:val="auto"/>
        </w:rPr>
      </w:pPr>
      <w:r>
        <w:rPr>
          <w:rFonts w:ascii="Arial" w:cs="Arial" w:eastAsia="Arial" w:hAnsi="Arial"/>
          <w:sz w:val="16"/>
          <w:szCs w:val="16"/>
          <w:b w:val="1"/>
          <w:bCs w:val="1"/>
          <w:color w:val="auto"/>
        </w:rPr>
        <w:t>Washington</w:t>
      </w:r>
    </w:p>
    <w:p>
      <w:pPr>
        <w:spacing w:after="0" w:line="20" w:lineRule="exact"/>
        <w:rPr>
          <w:sz w:val="24"/>
          <w:szCs w:val="24"/>
          <w:color w:val="auto"/>
        </w:rPr>
      </w:pPr>
      <w:r>
        <w:rPr>
          <w:sz w:val="24"/>
          <w:szCs w:val="24"/>
          <w:color w:val="auto"/>
        </w:rPr>
        <w:br w:type="column"/>
      </w:r>
    </w:p>
    <w:p>
      <w:pPr>
        <w:spacing w:after="0" w:line="34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91-1011792</w:t>
      </w:r>
    </w:p>
    <w:p>
      <w:pPr>
        <w:spacing w:after="0" w:line="86" w:lineRule="exact"/>
        <w:rPr>
          <w:sz w:val="24"/>
          <w:szCs w:val="24"/>
          <w:color w:val="auto"/>
        </w:rPr>
      </w:pPr>
    </w:p>
    <w:p>
      <w:pPr>
        <w:sectPr>
          <w:pgSz w:w="11900" w:h="16838" w:orient="portrait"/>
          <w:cols w:equalWidth="0" w:num="2">
            <w:col w:w="7580" w:space="720"/>
            <w:col w:w="3120"/>
          </w:cols>
          <w:pgMar w:left="240" w:top="233" w:right="239" w:bottom="1440" w:gutter="0" w:footer="0" w:header="0"/>
          <w:type w:val="continuous"/>
        </w:sectPr>
      </w:pPr>
    </w:p>
    <w:p>
      <w:pPr>
        <w:ind w:left="1900"/>
        <w:spacing w:after="0"/>
        <w:rPr>
          <w:sz w:val="20"/>
          <w:szCs w:val="20"/>
          <w:color w:val="auto"/>
        </w:rPr>
      </w:pPr>
      <w:r>
        <w:rPr>
          <w:rFonts w:ascii="Arial" w:cs="Arial" w:eastAsia="Arial" w:hAnsi="Arial"/>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6460" w:space="720"/>
            <w:col w:w="4240"/>
          </w:cols>
          <w:pgMar w:left="240" w:top="233" w:right="239" w:bottom="1440" w:gutter="0" w:footer="0" w:header="0"/>
          <w:type w:val="continuous"/>
        </w:sectPr>
      </w:pP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2111 N Molter Road, Liberty Lake, Washington 99019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(509) 924-9900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3100705</wp:posOffset>
            </wp:positionH>
            <wp:positionV relativeFrom="paragraph">
              <wp:posOffset>287655</wp:posOffset>
            </wp:positionV>
            <wp:extent cx="1054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30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440" w:type="dxa"/>
            <w:vAlign w:val="bottom"/>
          </w:tcPr>
          <w:p>
            <w:pPr>
              <w:ind w:left="580"/>
              <w:spacing w:after="0"/>
              <w:rPr>
                <w:sz w:val="20"/>
                <w:szCs w:val="20"/>
                <w:color w:val="auto"/>
              </w:rPr>
            </w:pPr>
            <w:r>
              <w:rPr>
                <w:rFonts w:ascii="Arial" w:cs="Arial" w:eastAsia="Arial" w:hAnsi="Arial"/>
                <w:sz w:val="18"/>
                <w:szCs w:val="18"/>
                <w:color w:val="auto"/>
              </w:rPr>
              <w:t>Large accelerated filer</w:t>
            </w:r>
          </w:p>
        </w:tc>
        <w:tc>
          <w:tcPr>
            <w:tcW w:w="380" w:type="dxa"/>
            <w:vAlign w:val="bottom"/>
          </w:tcPr>
          <w:p>
            <w:pPr>
              <w:ind w:left="240"/>
              <w:spacing w:after="0"/>
              <w:rPr>
                <w:sz w:val="20"/>
                <w:szCs w:val="20"/>
                <w:color w:val="auto"/>
              </w:rPr>
            </w:pPr>
            <w:r>
              <w:rPr>
                <w:rFonts w:ascii="Arial" w:cs="Arial" w:eastAsia="Arial" w:hAnsi="Arial"/>
                <w:sz w:val="18"/>
                <w:szCs w:val="18"/>
                <w:color w:val="auto"/>
              </w:rPr>
              <w:t>x</w:t>
            </w:r>
          </w:p>
        </w:tc>
        <w:tc>
          <w:tcPr>
            <w:tcW w:w="3940" w:type="dxa"/>
            <w:vAlign w:val="bottom"/>
          </w:tcPr>
          <w:p>
            <w:pPr>
              <w:spacing w:after="0"/>
              <w:rPr>
                <w:sz w:val="24"/>
                <w:szCs w:val="24"/>
                <w:color w:val="auto"/>
              </w:rPr>
            </w:pPr>
          </w:p>
        </w:tc>
        <w:tc>
          <w:tcPr>
            <w:tcW w:w="2560" w:type="dxa"/>
            <w:vAlign w:val="bottom"/>
          </w:tcPr>
          <w:p>
            <w:pPr>
              <w:jc w:val="right"/>
              <w:ind w:right="730"/>
              <w:spacing w:after="0"/>
              <w:rPr>
                <w:sz w:val="20"/>
                <w:szCs w:val="20"/>
                <w:color w:val="auto"/>
              </w:rPr>
            </w:pPr>
            <w:r>
              <w:rPr>
                <w:rFonts w:ascii="Arial" w:cs="Arial" w:eastAsia="Arial" w:hAnsi="Arial"/>
                <w:sz w:val="18"/>
                <w:szCs w:val="18"/>
                <w:color w:val="auto"/>
              </w:rPr>
              <w:t>Accelerated filer</w:t>
            </w:r>
          </w:p>
        </w:tc>
        <w:tc>
          <w:tcPr>
            <w:tcW w:w="780" w:type="dxa"/>
            <w:vAlign w:val="bottom"/>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85"/>
        </w:trPr>
        <w:tc>
          <w:tcPr>
            <w:tcW w:w="2440" w:type="dxa"/>
            <w:vAlign w:val="bottom"/>
            <w:vMerge w:val="restart"/>
          </w:tcPr>
          <w:p>
            <w:pPr>
              <w:ind w:left="580"/>
              <w:spacing w:after="0"/>
              <w:rPr>
                <w:sz w:val="20"/>
                <w:szCs w:val="20"/>
                <w:color w:val="auto"/>
              </w:rPr>
            </w:pPr>
            <w:r>
              <w:rPr>
                <w:rFonts w:ascii="Arial" w:cs="Arial" w:eastAsia="Arial" w:hAnsi="Arial"/>
                <w:sz w:val="18"/>
                <w:szCs w:val="18"/>
                <w:color w:val="auto"/>
              </w:rPr>
              <w:t>Non-accelerated filer</w:t>
            </w:r>
          </w:p>
        </w:tc>
        <w:tc>
          <w:tcPr>
            <w:tcW w:w="380" w:type="dxa"/>
            <w:vAlign w:val="bottom"/>
          </w:tcPr>
          <w:p>
            <w:pPr>
              <w:ind w:left="240"/>
              <w:spacing w:after="0"/>
              <w:rPr>
                <w:sz w:val="20"/>
                <w:szCs w:val="20"/>
                <w:color w:val="auto"/>
              </w:rPr>
            </w:pPr>
            <w:r>
              <w:rPr>
                <w:rFonts w:ascii="Arial" w:cs="Arial" w:eastAsia="Arial" w:hAnsi="Arial"/>
                <w:sz w:val="18"/>
                <w:szCs w:val="18"/>
                <w:color w:val="auto"/>
              </w:rPr>
              <w:t>o</w:t>
            </w:r>
          </w:p>
        </w:tc>
        <w:tc>
          <w:tcPr>
            <w:tcW w:w="3940" w:type="dxa"/>
            <w:vAlign w:val="bottom"/>
          </w:tcPr>
          <w:p>
            <w:pPr>
              <w:ind w:left="40"/>
              <w:spacing w:after="0"/>
              <w:rPr>
                <w:sz w:val="20"/>
                <w:szCs w:val="20"/>
                <w:color w:val="auto"/>
              </w:rPr>
            </w:pPr>
            <w:r>
              <w:rPr>
                <w:rFonts w:ascii="Arial" w:cs="Arial" w:eastAsia="Arial" w:hAnsi="Arial"/>
                <w:sz w:val="18"/>
                <w:szCs w:val="18"/>
                <w:color w:val="auto"/>
              </w:rPr>
              <w:t>(Do not check if a smaller reporting company)</w:t>
            </w:r>
          </w:p>
        </w:tc>
        <w:tc>
          <w:tcPr>
            <w:tcW w:w="2560" w:type="dxa"/>
            <w:vAlign w:val="bottom"/>
            <w:vMerge w:val="restart"/>
          </w:tcPr>
          <w:p>
            <w:pPr>
              <w:jc w:val="right"/>
              <w:spacing w:after="0"/>
              <w:rPr>
                <w:sz w:val="20"/>
                <w:szCs w:val="20"/>
                <w:color w:val="auto"/>
              </w:rPr>
            </w:pPr>
            <w:r>
              <w:rPr>
                <w:rFonts w:ascii="Arial" w:cs="Arial" w:eastAsia="Arial" w:hAnsi="Arial"/>
                <w:sz w:val="18"/>
                <w:szCs w:val="18"/>
                <w:color w:val="auto"/>
              </w:rPr>
              <w:t>Smaller reporting company</w:t>
            </w:r>
          </w:p>
        </w:tc>
        <w:tc>
          <w:tcPr>
            <w:tcW w:w="780" w:type="dxa"/>
            <w:vAlign w:val="bottom"/>
            <w:vMerge w:val="restart"/>
          </w:tcPr>
          <w:p>
            <w:pPr>
              <w:ind w:left="62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55"/>
        </w:trPr>
        <w:tc>
          <w:tcPr>
            <w:tcW w:w="24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560" w:type="dxa"/>
            <w:vAlign w:val="bottom"/>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05"/>
        </w:trPr>
        <w:tc>
          <w:tcPr>
            <w:tcW w:w="9320" w:type="dxa"/>
            <w:vAlign w:val="bottom"/>
            <w:gridSpan w:val="4"/>
          </w:tcPr>
          <w:p>
            <w:pPr>
              <w:jc w:val="right"/>
              <w:spacing w:after="0" w:line="207" w:lineRule="exact"/>
              <w:rPr>
                <w:sz w:val="20"/>
                <w:szCs w:val="20"/>
                <w:color w:val="auto"/>
              </w:rPr>
            </w:pPr>
            <w:r>
              <w:rPr>
                <w:rFonts w:ascii="Arial" w:cs="Arial" w:eastAsia="Arial" w:hAnsi="Arial"/>
                <w:sz w:val="18"/>
                <w:szCs w:val="18"/>
                <w:color w:val="auto"/>
                <w:w w:val="92"/>
              </w:rPr>
              <w:t xml:space="preserve">Indicate by check mark whether the registrant is a shell company (as defined in Rule 12b-2 of the Exchange Act).  Yes </w:t>
            </w:r>
            <w:r>
              <w:rPr>
                <w:rFonts w:ascii="MS PGothic" w:cs="MS PGothic" w:eastAsia="MS PGothic" w:hAnsi="MS PGothic"/>
                <w:sz w:val="18"/>
                <w:szCs w:val="18"/>
                <w:color w:val="auto"/>
                <w:w w:val="92"/>
              </w:rPr>
              <w:t>☐</w:t>
            </w:r>
            <w:r>
              <w:rPr>
                <w:rFonts w:ascii="Arial" w:cs="Arial" w:eastAsia="Arial" w:hAnsi="Arial"/>
                <w:sz w:val="18"/>
                <w:szCs w:val="18"/>
                <w:color w:val="auto"/>
                <w:w w:val="92"/>
              </w:rPr>
              <w:t xml:space="preserve">  No</w:t>
            </w:r>
          </w:p>
        </w:tc>
        <w:tc>
          <w:tcPr>
            <w:tcW w:w="780" w:type="dxa"/>
            <w:vAlign w:val="bottom"/>
          </w:tcPr>
          <w:p>
            <w:pPr>
              <w:ind w:left="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12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As of June 30, 2011 there were outstanding 40,696,130 shares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left="1660"/>
        <w:spacing w:after="0"/>
        <w:rPr>
          <w:sz w:val="20"/>
          <w:szCs w:val="20"/>
          <w:color w:val="auto"/>
        </w:rPr>
      </w:pPr>
      <w:r>
        <w:rPr>
          <w:rFonts w:ascii="Arial" w:cs="Arial" w:eastAsia="Arial" w:hAnsi="Arial"/>
          <w:sz w:val="18"/>
          <w:szCs w:val="18"/>
          <w:b w:val="1"/>
          <w:bCs w:val="1"/>
          <w:color w:val="auto"/>
        </w:rPr>
        <w:t>Itron, Inc.</w:t>
      </w:r>
    </w:p>
    <w:p>
      <w:pPr>
        <w:spacing w:after="0" w:line="90" w:lineRule="exact"/>
        <w:rPr>
          <w:sz w:val="20"/>
          <w:szCs w:val="20"/>
          <w:color w:val="auto"/>
        </w:rPr>
      </w:pPr>
    </w:p>
    <w:p>
      <w:pPr>
        <w:jc w:val="center"/>
        <w:ind w:left="16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PART I: FINANCIAL INFORMATION</w:t>
        </w:r>
      </w:hyperlink>
    </w:p>
    <w:p>
      <w:pPr>
        <w:spacing w:after="0" w:line="200" w:lineRule="exact"/>
        <w:rPr>
          <w:sz w:val="20"/>
          <w:szCs w:val="20"/>
          <w:color w:val="auto"/>
        </w:rPr>
      </w:pPr>
    </w:p>
    <w:p>
      <w:pPr>
        <w:spacing w:after="0" w:line="245"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3">
        <w:r>
          <w:rPr>
            <w:rFonts w:ascii="Arial" w:cs="Arial" w:eastAsia="Arial" w:hAnsi="Arial"/>
            <w:sz w:val="18"/>
            <w:szCs w:val="18"/>
            <w:u w:val="single" w:color="auto"/>
            <w:color w:val="0000FF"/>
          </w:rPr>
          <w:t>Financial Statements (Unaudited)</w:t>
        </w:r>
      </w:hyperlink>
    </w:p>
    <w:p>
      <w:pPr>
        <w:spacing w:after="0" w:line="200" w:lineRule="exact"/>
        <w:rPr>
          <w:sz w:val="20"/>
          <w:szCs w:val="20"/>
          <w:color w:val="auto"/>
        </w:rPr>
      </w:pPr>
    </w:p>
    <w:p>
      <w:pPr>
        <w:spacing w:after="0" w:line="228" w:lineRule="exact"/>
        <w:rPr>
          <w:sz w:val="20"/>
          <w:szCs w:val="20"/>
          <w:color w:val="auto"/>
        </w:rPr>
      </w:pPr>
    </w:p>
    <w:p>
      <w:pPr>
        <w:ind w:left="10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Consolidated Statements of Operations</w:t>
        </w:r>
      </w:hyperlink>
    </w:p>
    <w:p>
      <w:pPr>
        <w:spacing w:after="0" w:line="293" w:lineRule="exact"/>
        <w:rPr>
          <w:sz w:val="20"/>
          <w:szCs w:val="20"/>
          <w:color w:val="auto"/>
        </w:rPr>
      </w:pPr>
    </w:p>
    <w:p>
      <w:pPr>
        <w:ind w:left="10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Consolidated Balance Sheets</w:t>
        </w:r>
      </w:hyperlink>
    </w:p>
    <w:p>
      <w:pPr>
        <w:spacing w:after="0" w:line="293" w:lineRule="exact"/>
        <w:rPr>
          <w:sz w:val="20"/>
          <w:szCs w:val="20"/>
          <w:color w:val="auto"/>
        </w:rPr>
      </w:pPr>
    </w:p>
    <w:p>
      <w:pPr>
        <w:ind w:left="104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Consolidated Statements of Cash Flows</w:t>
        </w:r>
      </w:hyperlink>
    </w:p>
    <w:p>
      <w:pPr>
        <w:spacing w:after="0" w:line="293" w:lineRule="exact"/>
        <w:rPr>
          <w:sz w:val="20"/>
          <w:szCs w:val="20"/>
          <w:color w:val="auto"/>
        </w:rPr>
      </w:pPr>
    </w:p>
    <w:p>
      <w:pPr>
        <w:ind w:left="104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Notes to Condensed Consolidated Financial Statements</w:t>
        </w:r>
      </w:hyperlink>
    </w:p>
    <w:p>
      <w:pPr>
        <w:spacing w:after="0" w:line="200" w:lineRule="exact"/>
        <w:rPr>
          <w:sz w:val="20"/>
          <w:szCs w:val="20"/>
          <w:color w:val="auto"/>
        </w:rPr>
      </w:pPr>
    </w:p>
    <w:p>
      <w:pPr>
        <w:spacing w:after="0" w:line="228" w:lineRule="exact"/>
        <w:rPr>
          <w:sz w:val="20"/>
          <w:szCs w:val="20"/>
          <w:color w:val="auto"/>
        </w:rPr>
      </w:pPr>
    </w:p>
    <w:p>
      <w:pPr>
        <w:ind w:left="360"/>
        <w:spacing w:after="0"/>
        <w:rPr>
          <w:rFonts w:ascii="Arial" w:cs="Arial" w:eastAsia="Arial" w:hAnsi="Arial"/>
          <w:sz w:val="16"/>
          <w:szCs w:val="16"/>
          <w:color w:val="auto"/>
        </w:rPr>
      </w:pPr>
      <w:r>
        <w:rPr>
          <w:rFonts w:ascii="Arial" w:cs="Arial" w:eastAsia="Arial" w:hAnsi="Arial"/>
          <w:sz w:val="16"/>
          <w:szCs w:val="16"/>
          <w:color w:val="auto"/>
        </w:rPr>
        <w:t xml:space="preserve">Item 2: </w:t>
      </w:r>
      <w:hyperlink w:anchor="page41">
        <w:r>
          <w:rPr>
            <w:rFonts w:ascii="Arial" w:cs="Arial" w:eastAsia="Arial" w:hAnsi="Arial"/>
            <w:sz w:val="16"/>
            <w:szCs w:val="16"/>
            <w:u w:val="single" w:color="auto"/>
            <w:color w:val="0000FF"/>
          </w:rPr>
          <w:t>Management’s Discussion and Analysis of Financial Condition and Results of Operations</w:t>
        </w:r>
      </w:hyperlink>
    </w:p>
    <w:p>
      <w:pPr>
        <w:spacing w:after="0" w:line="200" w:lineRule="exact"/>
        <w:rPr>
          <w:sz w:val="20"/>
          <w:szCs w:val="20"/>
          <w:color w:val="auto"/>
        </w:rPr>
      </w:pPr>
    </w:p>
    <w:p>
      <w:pPr>
        <w:spacing w:after="0" w:line="386"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54">
        <w:r>
          <w:rPr>
            <w:rFonts w:ascii="Arial" w:cs="Arial" w:eastAsia="Arial" w:hAnsi="Arial"/>
            <w:sz w:val="18"/>
            <w:szCs w:val="18"/>
            <w:u w:val="single" w:color="auto"/>
            <w:color w:val="0000FF"/>
          </w:rPr>
          <w:t>Quantitative and Qualitative Disclosures About Market Risk</w:t>
        </w:r>
      </w:hyperlink>
    </w:p>
    <w:p>
      <w:pPr>
        <w:spacing w:after="0" w:line="200" w:lineRule="exact"/>
        <w:rPr>
          <w:sz w:val="20"/>
          <w:szCs w:val="20"/>
          <w:color w:val="auto"/>
        </w:rPr>
      </w:pPr>
    </w:p>
    <w:p>
      <w:pPr>
        <w:spacing w:after="0" w:line="363"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55">
        <w:r>
          <w:rPr>
            <w:rFonts w:ascii="Arial" w:cs="Arial" w:eastAsia="Arial" w:hAnsi="Arial"/>
            <w:sz w:val="18"/>
            <w:szCs w:val="18"/>
            <w:u w:val="single" w:color="auto"/>
            <w:color w:val="0000FF"/>
          </w:rPr>
          <w:t>Controls and Procedures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rPr>
          <w:rFonts w:ascii="Arial" w:cs="Arial" w:eastAsia="Arial" w:hAnsi="Arial"/>
          <w:sz w:val="18"/>
          <w:szCs w:val="18"/>
          <w:b w:val="1"/>
          <w:bCs w:val="1"/>
          <w:u w:val="single" w:color="auto"/>
          <w:color w:val="0000FF"/>
        </w:rPr>
      </w:pPr>
      <w:hyperlink w:anchor="page55">
        <w:r>
          <w:rPr>
            <w:rFonts w:ascii="Arial" w:cs="Arial" w:eastAsia="Arial" w:hAnsi="Arial"/>
            <w:sz w:val="18"/>
            <w:szCs w:val="18"/>
            <w:b w:val="1"/>
            <w:bCs w:val="1"/>
            <w:u w:val="single" w:color="auto"/>
            <w:color w:val="0000FF"/>
          </w:rPr>
          <w:t>PART II: OTHER INFORMATION</w:t>
        </w:r>
      </w:hyperlink>
    </w:p>
    <w:p>
      <w:pPr>
        <w:spacing w:after="0" w:line="200" w:lineRule="exact"/>
        <w:rPr>
          <w:sz w:val="20"/>
          <w:szCs w:val="20"/>
          <w:color w:val="auto"/>
        </w:rPr>
      </w:pPr>
    </w:p>
    <w:p>
      <w:pPr>
        <w:spacing w:after="0" w:line="232"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56">
        <w:r>
          <w:rPr>
            <w:rFonts w:ascii="Arial" w:cs="Arial" w:eastAsia="Arial" w:hAnsi="Arial"/>
            <w:sz w:val="18"/>
            <w:szCs w:val="18"/>
            <w:u w:val="single" w:color="auto"/>
            <w:color w:val="0000FF"/>
          </w:rPr>
          <w:t>Legal Proceedings</w:t>
        </w:r>
      </w:hyperlink>
    </w:p>
    <w:p>
      <w:pPr>
        <w:spacing w:after="0" w:line="200" w:lineRule="exact"/>
        <w:rPr>
          <w:sz w:val="20"/>
          <w:szCs w:val="20"/>
          <w:color w:val="auto"/>
        </w:rPr>
      </w:pPr>
    </w:p>
    <w:p>
      <w:pPr>
        <w:spacing w:after="0" w:line="363"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1A: </w:t>
      </w:r>
      <w:hyperlink w:anchor="page56">
        <w:r>
          <w:rPr>
            <w:rFonts w:ascii="Arial" w:cs="Arial" w:eastAsia="Arial" w:hAnsi="Arial"/>
            <w:sz w:val="18"/>
            <w:szCs w:val="18"/>
            <w:u w:val="single" w:color="auto"/>
            <w:color w:val="0000FF"/>
          </w:rPr>
          <w:t>Risk Factors</w:t>
        </w:r>
      </w:hyperlink>
    </w:p>
    <w:p>
      <w:pPr>
        <w:spacing w:after="0" w:line="200" w:lineRule="exact"/>
        <w:rPr>
          <w:sz w:val="20"/>
          <w:szCs w:val="20"/>
          <w:color w:val="auto"/>
        </w:rPr>
      </w:pPr>
    </w:p>
    <w:p>
      <w:pPr>
        <w:spacing w:after="0" w:line="363"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5: </w:t>
      </w:r>
      <w:hyperlink w:anchor="page56">
        <w:r>
          <w:rPr>
            <w:rFonts w:ascii="Arial" w:cs="Arial" w:eastAsia="Arial" w:hAnsi="Arial"/>
            <w:sz w:val="18"/>
            <w:szCs w:val="18"/>
            <w:u w:val="single" w:color="auto"/>
            <w:color w:val="0000FF"/>
          </w:rPr>
          <w:t>Other Information</w:t>
        </w:r>
      </w:hyperlink>
    </w:p>
    <w:p>
      <w:pPr>
        <w:spacing w:after="0" w:line="200" w:lineRule="exact"/>
        <w:rPr>
          <w:sz w:val="20"/>
          <w:szCs w:val="20"/>
          <w:color w:val="auto"/>
        </w:rPr>
      </w:pPr>
    </w:p>
    <w:p>
      <w:pPr>
        <w:spacing w:after="0" w:line="363"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Item 6: </w:t>
      </w:r>
      <w:hyperlink w:anchor="page57">
        <w:r>
          <w:rPr>
            <w:rFonts w:ascii="Arial" w:cs="Arial" w:eastAsia="Arial" w:hAnsi="Arial"/>
            <w:sz w:val="18"/>
            <w:szCs w:val="18"/>
            <w:u w:val="single" w:color="auto"/>
            <w:color w:val="0000FF"/>
          </w:rPr>
          <w:t>Exhibits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34290</wp:posOffset>
            </wp:positionV>
            <wp:extent cx="4889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8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p>
      <w:pPr>
        <w:spacing w:after="0" w:line="293" w:lineRule="exact"/>
        <w:rPr>
          <w:sz w:val="20"/>
          <w:szCs w:val="20"/>
          <w:color w:val="auto"/>
        </w:rPr>
      </w:pPr>
    </w:p>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p>
      <w:pPr>
        <w:spacing w:after="0" w:line="293" w:lineRule="exact"/>
        <w:rPr>
          <w:sz w:val="20"/>
          <w:szCs w:val="20"/>
          <w:color w:val="auto"/>
        </w:rPr>
      </w:pPr>
    </w:p>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1</w:t>
        </w:r>
      </w:hyperlink>
    </w:p>
    <w:p>
      <w:pPr>
        <w:spacing w:after="0" w:line="293" w:lineRule="exact"/>
        <w:rPr>
          <w:sz w:val="20"/>
          <w:szCs w:val="20"/>
          <w:color w:val="auto"/>
        </w:rPr>
      </w:pPr>
    </w:p>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2</w:t>
        </w:r>
      </w:hyperlink>
    </w:p>
    <w:p>
      <w:pPr>
        <w:spacing w:after="0" w:line="200" w:lineRule="exact"/>
        <w:rPr>
          <w:sz w:val="20"/>
          <w:szCs w:val="20"/>
          <w:color w:val="auto"/>
        </w:rPr>
      </w:pPr>
    </w:p>
    <w:p>
      <w:pPr>
        <w:spacing w:after="0" w:line="363" w:lineRule="exact"/>
        <w:rPr>
          <w:sz w:val="20"/>
          <w:szCs w:val="20"/>
          <w:color w:val="auto"/>
        </w:rPr>
      </w:pPr>
    </w:p>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28</w:t>
        </w:r>
      </w:hyperlink>
    </w:p>
    <w:p>
      <w:pPr>
        <w:spacing w:after="0" w:line="200" w:lineRule="exact"/>
        <w:rPr>
          <w:sz w:val="20"/>
          <w:szCs w:val="20"/>
          <w:color w:val="auto"/>
        </w:rPr>
      </w:pPr>
    </w:p>
    <w:p>
      <w:pPr>
        <w:spacing w:after="0" w:line="363" w:lineRule="exact"/>
        <w:rPr>
          <w:sz w:val="20"/>
          <w:szCs w:val="20"/>
          <w:color w:val="auto"/>
        </w:rPr>
      </w:pPr>
    </w:p>
    <w:p>
      <w:pPr>
        <w:jc w:val="right"/>
        <w:spacing w:after="0"/>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41</w:t>
        </w:r>
      </w:hyperlink>
    </w:p>
    <w:p>
      <w:pPr>
        <w:spacing w:after="0" w:line="200" w:lineRule="exact"/>
        <w:rPr>
          <w:sz w:val="20"/>
          <w:szCs w:val="20"/>
          <w:color w:val="auto"/>
        </w:rPr>
      </w:pPr>
    </w:p>
    <w:p>
      <w:pPr>
        <w:spacing w:after="0" w:line="363" w:lineRule="exact"/>
        <w:rPr>
          <w:sz w:val="20"/>
          <w:szCs w:val="20"/>
          <w:color w:val="auto"/>
        </w:rPr>
      </w:pPr>
    </w:p>
    <w:p>
      <w:pPr>
        <w:jc w:val="right"/>
        <w:spacing w:after="0"/>
        <w:rPr>
          <w:rFonts w:ascii="Arial" w:cs="Arial" w:eastAsia="Arial" w:hAnsi="Arial"/>
          <w:sz w:val="18"/>
          <w:szCs w:val="18"/>
          <w:u w:val="single" w:color="auto"/>
          <w:color w:val="0000FF"/>
        </w:rPr>
      </w:pPr>
      <w:hyperlink w:anchor="page55">
        <w:r>
          <w:rPr>
            <w:rFonts w:ascii="Arial" w:cs="Arial" w:eastAsia="Arial" w:hAnsi="Arial"/>
            <w:sz w:val="18"/>
            <w:szCs w:val="18"/>
            <w:u w:val="single" w:color="auto"/>
            <w:color w:val="0000FF"/>
          </w:rPr>
          <w:t>42</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43</w:t>
        </w:r>
      </w:hyperlink>
    </w:p>
    <w:p>
      <w:pPr>
        <w:spacing w:after="0" w:line="200" w:lineRule="exact"/>
        <w:rPr>
          <w:sz w:val="20"/>
          <w:szCs w:val="20"/>
          <w:color w:val="auto"/>
        </w:rPr>
      </w:pPr>
    </w:p>
    <w:p>
      <w:pPr>
        <w:spacing w:after="0" w:line="363" w:lineRule="exact"/>
        <w:rPr>
          <w:sz w:val="20"/>
          <w:szCs w:val="20"/>
          <w:color w:val="auto"/>
        </w:rPr>
      </w:pPr>
    </w:p>
    <w:p>
      <w:pPr>
        <w:jc w:val="right"/>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43</w:t>
        </w:r>
      </w:hyperlink>
    </w:p>
    <w:p>
      <w:pPr>
        <w:spacing w:after="0" w:line="200" w:lineRule="exact"/>
        <w:rPr>
          <w:sz w:val="20"/>
          <w:szCs w:val="20"/>
          <w:color w:val="auto"/>
        </w:rPr>
      </w:pPr>
    </w:p>
    <w:p>
      <w:pPr>
        <w:spacing w:after="0" w:line="363" w:lineRule="exact"/>
        <w:rPr>
          <w:sz w:val="20"/>
          <w:szCs w:val="20"/>
          <w:color w:val="auto"/>
        </w:rPr>
      </w:pPr>
    </w:p>
    <w:p>
      <w:pPr>
        <w:jc w:val="right"/>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43</w:t>
        </w:r>
      </w:hyperlink>
    </w:p>
    <w:p>
      <w:pPr>
        <w:spacing w:after="0" w:line="200" w:lineRule="exact"/>
        <w:rPr>
          <w:sz w:val="20"/>
          <w:szCs w:val="20"/>
          <w:color w:val="auto"/>
        </w:rPr>
      </w:pPr>
    </w:p>
    <w:p>
      <w:pPr>
        <w:spacing w:after="0" w:line="363" w:lineRule="exact"/>
        <w:rPr>
          <w:sz w:val="20"/>
          <w:szCs w:val="20"/>
          <w:color w:val="auto"/>
        </w:rPr>
      </w:pPr>
    </w:p>
    <w:p>
      <w:pPr>
        <w:jc w:val="right"/>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44</w:t>
        </w:r>
      </w:hyperlink>
    </w:p>
    <w:p>
      <w:pPr>
        <w:spacing w:after="0" w:line="200" w:lineRule="exact"/>
        <w:rPr>
          <w:sz w:val="20"/>
          <w:szCs w:val="20"/>
          <w:color w:val="auto"/>
        </w:rPr>
      </w:pPr>
    </w:p>
    <w:p>
      <w:pPr>
        <w:sectPr>
          <w:pgSz w:w="11900" w:h="16838" w:orient="portrait"/>
          <w:cols w:equalWidth="0" w:num="2">
            <w:col w:w="9780" w:space="720"/>
            <w:col w:w="640"/>
          </w:cols>
          <w:pgMar w:left="240" w:top="125" w:right="519" w:bottom="1440" w:gutter="0" w:footer="0" w:header="0"/>
        </w:sectPr>
      </w:pP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60" w:type="dxa"/>
            <w:vAlign w:val="bottom"/>
          </w:tcPr>
          <w:p>
            <w:pPr>
              <w:spacing w:after="0"/>
              <w:rPr>
                <w:rFonts w:ascii="Arial" w:cs="Arial" w:eastAsia="Arial" w:hAnsi="Arial"/>
                <w:sz w:val="18"/>
                <w:szCs w:val="18"/>
                <w:b w:val="1"/>
                <w:bCs w:val="1"/>
                <w:color w:val="0000FF"/>
                <w:w w:val="98"/>
              </w:rPr>
            </w:pPr>
            <w:hyperlink w:anchor="page57">
              <w:r>
                <w:rPr>
                  <w:rFonts w:ascii="Arial" w:cs="Arial" w:eastAsia="Arial" w:hAnsi="Arial"/>
                  <w:sz w:val="18"/>
                  <w:szCs w:val="18"/>
                  <w:b w:val="1"/>
                  <w:bCs w:val="1"/>
                  <w:color w:val="0000FF"/>
                  <w:w w:val="98"/>
                </w:rPr>
                <w:t>SIGNATURE</w:t>
              </w:r>
            </w:hyperlink>
          </w:p>
        </w:tc>
        <w:tc>
          <w:tcPr>
            <w:tcW w:w="10040" w:type="dxa"/>
            <w:vAlign w:val="bottom"/>
            <w:gridSpan w:val="2"/>
          </w:tcPr>
          <w:p>
            <w:pPr>
              <w:jc w:val="right"/>
              <w:spacing w:after="0"/>
              <w:rPr>
                <w:rFonts w:ascii="Arial" w:cs="Arial" w:eastAsia="Arial" w:hAnsi="Arial"/>
                <w:sz w:val="18"/>
                <w:szCs w:val="18"/>
                <w:color w:val="0000FF"/>
              </w:rPr>
            </w:pPr>
            <w:hyperlink w:anchor="page57">
              <w:r>
                <w:rPr>
                  <w:rFonts w:ascii="Arial" w:cs="Arial" w:eastAsia="Arial" w:hAnsi="Arial"/>
                  <w:sz w:val="18"/>
                  <w:szCs w:val="18"/>
                  <w:color w:val="0000FF"/>
                </w:rPr>
                <w:t>45</w:t>
              </w:r>
            </w:hyperlink>
          </w:p>
        </w:tc>
      </w:tr>
      <w:tr>
        <w:trPr>
          <w:trHeight w:val="20"/>
        </w:trPr>
        <w:tc>
          <w:tcPr>
            <w:tcW w:w="1060" w:type="dxa"/>
            <w:vAlign w:val="bottom"/>
            <w:shd w:val="clear" w:color="auto" w:fill="0000FF"/>
          </w:tcPr>
          <w:p>
            <w:pPr>
              <w:spacing w:after="0" w:line="20" w:lineRule="exact"/>
              <w:rPr>
                <w:sz w:val="1"/>
                <w:szCs w:val="1"/>
                <w:color w:val="auto"/>
              </w:rPr>
            </w:pPr>
          </w:p>
        </w:tc>
        <w:tc>
          <w:tcPr>
            <w:tcW w:w="98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ectPr>
          <w:pgSz w:w="11900" w:h="16838" w:orient="portrait"/>
          <w:cols w:equalWidth="0" w:num="1">
            <w:col w:w="11140"/>
          </w:cols>
          <w:pgMar w:left="240" w:top="125" w:right="519" w:bottom="1440" w:gutter="0" w:footer="0" w:header="0"/>
          <w:type w:val="continuous"/>
        </w:sectPr>
      </w:pPr>
    </w:p>
    <w:bookmarkStart w:id="2" w:name="page3"/>
    <w:bookmarkEnd w:id="2"/>
    <w:p>
      <w:pPr>
        <w:spacing w:after="0" w:line="62" w:lineRule="exact"/>
        <w:rPr>
          <w:sz w:val="20"/>
          <w:szCs w:val="20"/>
          <w:color w:val="auto"/>
        </w:rPr>
      </w:pPr>
    </w:p>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80" w:type="dxa"/>
            <w:vAlign w:val="bottom"/>
            <w:gridSpan w:val="5"/>
          </w:tcPr>
          <w:p>
            <w:pPr>
              <w:jc w:val="right"/>
              <w:ind w:right="450"/>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w w:val="99"/>
              </w:rPr>
              <w:t>Six Months Ended</w:t>
            </w:r>
          </w:p>
        </w:tc>
      </w:tr>
      <w:tr>
        <w:trPr>
          <w:trHeight w:val="234"/>
        </w:trPr>
        <w:tc>
          <w:tcPr>
            <w:tcW w:w="4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80" w:type="dxa"/>
            <w:vAlign w:val="bottom"/>
            <w:gridSpan w:val="5"/>
          </w:tcPr>
          <w:p>
            <w:pPr>
              <w:jc w:val="right"/>
              <w:ind w:right="950"/>
              <w:spacing w:after="0"/>
              <w:rPr>
                <w:sz w:val="20"/>
                <w:szCs w:val="20"/>
                <w:color w:val="auto"/>
              </w:rPr>
            </w:pPr>
            <w:r>
              <w:rPr>
                <w:rFonts w:ascii="Arial" w:cs="Arial" w:eastAsia="Arial" w:hAnsi="Arial"/>
                <w:sz w:val="18"/>
                <w:szCs w:val="18"/>
                <w:b w:val="1"/>
                <w:bCs w:val="1"/>
                <w:color w:val="auto"/>
              </w:rPr>
              <w:t>June 30,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w w:val="99"/>
              </w:rPr>
              <w:t>2011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r>
      <w:tr>
        <w:trPr>
          <w:trHeight w:val="27"/>
        </w:trPr>
        <w:tc>
          <w:tcPr>
            <w:tcW w:w="4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(restated)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230"/>
              <w:spacing w:after="0"/>
              <w:rPr>
                <w:sz w:val="20"/>
                <w:szCs w:val="20"/>
                <w:color w:val="auto"/>
              </w:rPr>
            </w:pPr>
            <w:r>
              <w:rPr>
                <w:rFonts w:ascii="Arial" w:cs="Arial" w:eastAsia="Arial" w:hAnsi="Arial"/>
                <w:sz w:val="18"/>
                <w:szCs w:val="18"/>
                <w:b w:val="1"/>
                <w:bCs w:val="1"/>
                <w:color w:val="auto"/>
                <w:w w:val="87"/>
              </w:rPr>
              <w:t>(restated)</w:t>
            </w:r>
          </w:p>
        </w:tc>
      </w:tr>
      <w:tr>
        <w:trPr>
          <w:trHeight w:val="270"/>
        </w:trPr>
        <w:tc>
          <w:tcPr>
            <w:tcW w:w="4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940" w:type="dxa"/>
            <w:vAlign w:val="bottom"/>
            <w:gridSpan w:val="8"/>
          </w:tcPr>
          <w:p>
            <w:pPr>
              <w:spacing w:after="0"/>
              <w:rPr>
                <w:sz w:val="20"/>
                <w:szCs w:val="20"/>
                <w:color w:val="auto"/>
              </w:rPr>
            </w:pPr>
            <w:r>
              <w:rPr>
                <w:rFonts w:ascii="Arial" w:cs="Arial" w:eastAsia="Arial" w:hAnsi="Arial"/>
                <w:sz w:val="18"/>
                <w:szCs w:val="18"/>
                <w:b w:val="1"/>
                <w:bCs w:val="1"/>
                <w:color w:val="auto"/>
                <w:w w:val="91"/>
              </w:rPr>
              <w:t>(in thousands, except per share data)</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
        </w:trPr>
        <w:tc>
          <w:tcPr>
            <w:tcW w:w="4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612,401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567,339</w:t>
            </w:r>
          </w:p>
        </w:tc>
        <w:tc>
          <w:tcPr>
            <w:tcW w:w="600" w:type="dxa"/>
            <w:vAlign w:val="bottom"/>
            <w:tcBorders>
              <w:bottom w:val="single" w:sz="8" w:color="CCEEFF"/>
            </w:tcBorders>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1,176,092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1,064,962</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1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421,318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393,283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800,899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733,842</w:t>
            </w:r>
          </w:p>
        </w:tc>
      </w:tr>
      <w:tr>
        <w:trPr>
          <w:trHeight w:val="27"/>
        </w:trPr>
        <w:tc>
          <w:tcPr>
            <w:tcW w:w="4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5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191,083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174,056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375,193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331,120</w:t>
            </w:r>
          </w:p>
        </w:tc>
      </w:tr>
      <w:tr>
        <w:trPr>
          <w:trHeight w:val="297"/>
        </w:trPr>
        <w:tc>
          <w:tcPr>
            <w:tcW w:w="4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5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1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48,845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40,974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93,493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82,511</w:t>
            </w:r>
          </w:p>
        </w:tc>
      </w:tr>
      <w:tr>
        <w:trPr>
          <w:trHeight w:val="27"/>
        </w:trPr>
        <w:tc>
          <w:tcPr>
            <w:tcW w:w="4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development</w:t>
            </w:r>
          </w:p>
        </w:tc>
        <w:tc>
          <w:tcPr>
            <w:tcW w:w="15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33,022</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81,376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66,062</w:t>
            </w: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35,118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33,285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68,449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66,342</w:t>
            </w:r>
          </w:p>
        </w:tc>
      </w:tr>
      <w:tr>
        <w:trPr>
          <w:trHeight w:val="27"/>
        </w:trPr>
        <w:tc>
          <w:tcPr>
            <w:tcW w:w="4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15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16,766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31,794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34,577</w:t>
            </w: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Restructuring</w:t>
            </w:r>
          </w:p>
        </w:tc>
        <w:tc>
          <w:tcPr>
            <w:tcW w:w="1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1,907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5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142,998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124,047</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277,019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249,492</w:t>
            </w:r>
          </w:p>
        </w:tc>
      </w:tr>
      <w:tr>
        <w:trPr>
          <w:trHeight w:val="291"/>
        </w:trPr>
        <w:tc>
          <w:tcPr>
            <w:tcW w:w="4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5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98,174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81,628</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1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15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1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(11,420)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(13,965)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(23,534)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(28,888)</w:t>
            </w:r>
          </w:p>
        </w:tc>
      </w:tr>
      <w:tr>
        <w:trPr>
          <w:trHeight w:val="27"/>
        </w:trPr>
        <w:tc>
          <w:tcPr>
            <w:tcW w:w="4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(expense), net</w:t>
            </w:r>
          </w:p>
        </w:tc>
        <w:tc>
          <w:tcPr>
            <w:tcW w:w="15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(4,073)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r>
      <w:tr>
        <w:trPr>
          <w:trHeight w:val="237"/>
        </w:trPr>
        <w:tc>
          <w:tcPr>
            <w:tcW w:w="4120" w:type="dxa"/>
            <w:vAlign w:val="bottom"/>
          </w:tcPr>
          <w:p>
            <w:pPr>
              <w:ind w:left="720"/>
              <w:spacing w:after="0"/>
              <w:rPr>
                <w:sz w:val="20"/>
                <w:szCs w:val="20"/>
                <w:color w:val="auto"/>
              </w:rPr>
            </w:pPr>
            <w:r>
              <w:rPr>
                <w:rFonts w:ascii="Arial" w:cs="Arial" w:eastAsia="Arial" w:hAnsi="Arial"/>
                <w:sz w:val="18"/>
                <w:szCs w:val="18"/>
                <w:color w:val="auto"/>
              </w:rPr>
              <w:t>Total other income (expense)</w:t>
            </w:r>
          </w:p>
        </w:tc>
        <w:tc>
          <w:tcPr>
            <w:tcW w:w="15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(13,729)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(14,279)</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(27,131)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(29,627)</w:t>
            </w:r>
          </w:p>
        </w:tc>
      </w:tr>
      <w:tr>
        <w:trPr>
          <w:trHeight w:val="27"/>
        </w:trPr>
        <w:tc>
          <w:tcPr>
            <w:tcW w:w="4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91"/>
        </w:trPr>
        <w:tc>
          <w:tcPr>
            <w:tcW w:w="41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1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34,356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35,730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71,043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52,001</w:t>
            </w:r>
          </w:p>
        </w:tc>
      </w:tr>
      <w:tr>
        <w:trPr>
          <w:trHeight w:val="27"/>
        </w:trPr>
        <w:tc>
          <w:tcPr>
            <w:tcW w:w="4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15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(10,419)</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(9,487)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w:t>
            </w: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5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34,436</w:t>
            </w:r>
          </w:p>
        </w:tc>
        <w:tc>
          <w:tcPr>
            <w:tcW w:w="12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25,311</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61,556</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50,561</w:t>
            </w:r>
          </w:p>
        </w:tc>
      </w:tr>
      <w:tr>
        <w:trPr>
          <w:trHeight w:val="67"/>
        </w:trPr>
        <w:tc>
          <w:tcPr>
            <w:tcW w:w="4120" w:type="dxa"/>
            <w:vAlign w:val="bottom"/>
            <w:tcBorders>
              <w:bottom w:val="single" w:sz="8" w:color="CCEEFF"/>
            </w:tcBorders>
          </w:tcPr>
          <w:p>
            <w:pPr>
              <w:spacing w:after="0"/>
              <w:rPr>
                <w:sz w:val="5"/>
                <w:szCs w:val="5"/>
                <w:color w:val="auto"/>
              </w:rPr>
            </w:pPr>
          </w:p>
        </w:tc>
        <w:tc>
          <w:tcPr>
            <w:tcW w:w="15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78"/>
        </w:trPr>
        <w:tc>
          <w:tcPr>
            <w:tcW w:w="41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Earnings per common share - Basic</w:t>
            </w:r>
          </w:p>
        </w:tc>
        <w:tc>
          <w:tcPr>
            <w:tcW w:w="18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0.85</w:t>
            </w:r>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0.63</w:t>
            </w:r>
          </w:p>
        </w:tc>
        <w:tc>
          <w:tcPr>
            <w:tcW w:w="600" w:type="dxa"/>
            <w:vAlign w:val="bottom"/>
            <w:gridSpan w:val="3"/>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1.26</w:t>
            </w:r>
          </w:p>
        </w:tc>
      </w:tr>
      <w:tr>
        <w:trPr>
          <w:trHeight w:val="67"/>
        </w:trPr>
        <w:tc>
          <w:tcPr>
            <w:tcW w:w="4120" w:type="dxa"/>
            <w:vAlign w:val="bottom"/>
            <w:tcBorders>
              <w:bottom w:val="single" w:sz="8" w:color="CCEEFF"/>
            </w:tcBorders>
          </w:tcPr>
          <w:p>
            <w:pPr>
              <w:spacing w:after="0"/>
              <w:rPr>
                <w:sz w:val="5"/>
                <w:szCs w:val="5"/>
                <w:color w:val="auto"/>
              </w:rPr>
            </w:pPr>
          </w:p>
        </w:tc>
        <w:tc>
          <w:tcPr>
            <w:tcW w:w="15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56"/>
        </w:trPr>
        <w:tc>
          <w:tcPr>
            <w:tcW w:w="41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common share - Diluted</w:t>
            </w:r>
          </w:p>
        </w:tc>
        <w:tc>
          <w:tcPr>
            <w:tcW w:w="18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600" w:type="dxa"/>
            <w:vAlign w:val="bottom"/>
            <w:tcBorders>
              <w:bottom w:val="single" w:sz="8" w:color="CCEEFF"/>
            </w:tcBorders>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Weighted average common shares outstanding - Basic</w:t>
            </w:r>
          </w:p>
        </w:tc>
        <w:tc>
          <w:tcPr>
            <w:tcW w:w="15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40,329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40,608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40,261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w w:val="90"/>
              </w:rPr>
              <w:t>Weighted average common shares outstanding - Diluted</w:t>
            </w:r>
          </w:p>
        </w:tc>
        <w:tc>
          <w:tcPr>
            <w:tcW w:w="1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41,077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41,161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41,059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41,011</w:t>
            </w:r>
          </w:p>
        </w:tc>
      </w:tr>
      <w:tr>
        <w:trPr>
          <w:trHeight w:val="387"/>
        </w:trPr>
        <w:tc>
          <w:tcPr>
            <w:tcW w:w="10060" w:type="dxa"/>
            <w:vAlign w:val="bottom"/>
            <w:gridSpan w:val="14"/>
          </w:tcPr>
          <w:p>
            <w:pPr>
              <w:jc w:val="center"/>
              <w:ind w:left="1290"/>
              <w:spacing w:after="0"/>
              <w:rPr>
                <w:sz w:val="20"/>
                <w:szCs w:val="20"/>
                <w:color w:val="auto"/>
              </w:rPr>
            </w:pPr>
            <w:r>
              <w:rPr>
                <w:rFonts w:ascii="Arial" w:cs="Arial" w:eastAsia="Arial" w:hAnsi="Arial"/>
                <w:sz w:val="18"/>
                <w:szCs w:val="18"/>
                <w:i w:val="1"/>
                <w:iCs w:val="1"/>
                <w:color w:val="auto"/>
                <w:w w:val="90"/>
              </w:rPr>
              <w:t>The accompanying notes are an integral part of these condensed consolidated financial statements.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4120" w:type="dxa"/>
            <w:vAlign w:val="bottom"/>
          </w:tcPr>
          <w:p>
            <w:pPr>
              <w:spacing w:after="0"/>
              <w:rPr>
                <w:sz w:val="18"/>
                <w:szCs w:val="18"/>
                <w:color w:val="auto"/>
              </w:rPr>
            </w:pPr>
          </w:p>
        </w:tc>
        <w:tc>
          <w:tcPr>
            <w:tcW w:w="3000" w:type="dxa"/>
            <w:vAlign w:val="bottom"/>
            <w:gridSpan w:val="5"/>
          </w:tcPr>
          <w:p>
            <w:pPr>
              <w:jc w:val="center"/>
              <w:ind w:left="90"/>
              <w:spacing w:after="0"/>
              <w:rPr>
                <w:sz w:val="20"/>
                <w:szCs w:val="20"/>
                <w:color w:val="auto"/>
              </w:rPr>
            </w:pPr>
            <w:r>
              <w:rPr>
                <w:rFonts w:ascii="Arial" w:cs="Arial" w:eastAsia="Arial" w:hAnsi="Arial"/>
                <w:sz w:val="18"/>
                <w:szCs w:val="18"/>
                <w:b w:val="1"/>
                <w:bCs w:val="1"/>
                <w:color w:val="auto"/>
              </w:rPr>
              <w:t>ITRON, INC.</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3200" w:type="dxa"/>
            <w:vAlign w:val="bottom"/>
            <w:gridSpan w:val="6"/>
          </w:tcPr>
          <w:p>
            <w:pPr>
              <w:jc w:val="center"/>
              <w:spacing w:after="0"/>
              <w:rPr>
                <w:sz w:val="20"/>
                <w:szCs w:val="20"/>
                <w:color w:val="auto"/>
              </w:rPr>
            </w:pPr>
            <w:r>
              <w:rPr>
                <w:rFonts w:ascii="Arial" w:cs="Arial" w:eastAsia="Arial" w:hAnsi="Arial"/>
                <w:sz w:val="18"/>
                <w:szCs w:val="18"/>
                <w:b w:val="1"/>
                <w:bCs w:val="1"/>
                <w:color w:val="auto"/>
                <w:w w:val="99"/>
              </w:rPr>
              <w:t>CONSOLIDATED BALANCE SHEETS</w:t>
            </w: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4120" w:type="dxa"/>
            <w:vAlign w:val="bottom"/>
          </w:tcPr>
          <w:p>
            <w:pPr>
              <w:spacing w:after="0"/>
              <w:rPr>
                <w:sz w:val="20"/>
                <w:szCs w:val="20"/>
                <w:color w:val="auto"/>
              </w:rPr>
            </w:pPr>
          </w:p>
        </w:tc>
        <w:tc>
          <w:tcPr>
            <w:tcW w:w="3000" w:type="dxa"/>
            <w:vAlign w:val="bottom"/>
            <w:gridSpan w:val="5"/>
          </w:tcPr>
          <w:p>
            <w:pPr>
              <w:jc w:val="center"/>
              <w:ind w:left="90"/>
              <w:spacing w:after="0"/>
              <w:rPr>
                <w:sz w:val="20"/>
                <w:szCs w:val="20"/>
                <w:color w:val="auto"/>
              </w:rPr>
            </w:pPr>
            <w:r>
              <w:rPr>
                <w:rFonts w:ascii="Arial" w:cs="Arial" w:eastAsia="Arial" w:hAnsi="Arial"/>
                <w:sz w:val="18"/>
                <w:szCs w:val="18"/>
                <w:b w:val="1"/>
                <w:bCs w:val="1"/>
                <w:color w:val="auto"/>
                <w:w w:val="88"/>
              </w:rPr>
              <w:t>(in thousands)</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567"/>
        </w:trPr>
        <w:tc>
          <w:tcPr>
            <w:tcW w:w="4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w w:val="90"/>
              </w:rPr>
              <w:t>June 30, 2011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December 31, 2010</w:t>
            </w:r>
          </w:p>
        </w:tc>
      </w:tr>
      <w:tr>
        <w:trPr>
          <w:trHeight w:val="27"/>
        </w:trPr>
        <w:tc>
          <w:tcPr>
            <w:tcW w:w="4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(unaudited)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040"/>
              <w:spacing w:after="0"/>
              <w:rPr>
                <w:sz w:val="20"/>
                <w:szCs w:val="20"/>
                <w:color w:val="auto"/>
              </w:rPr>
            </w:pPr>
            <w:r>
              <w:rPr>
                <w:rFonts w:ascii="Arial" w:cs="Arial" w:eastAsia="Arial" w:hAnsi="Arial"/>
                <w:sz w:val="18"/>
                <w:szCs w:val="18"/>
                <w:b w:val="1"/>
                <w:bCs w:val="1"/>
                <w:color w:val="auto"/>
              </w:rPr>
              <w:t>ASSETS</w:t>
            </w:r>
          </w:p>
        </w:tc>
        <w:tc>
          <w:tcPr>
            <w:tcW w:w="15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5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168,284</w:t>
            </w:r>
          </w:p>
        </w:tc>
        <w:tc>
          <w:tcPr>
            <w:tcW w:w="920" w:type="dxa"/>
            <w:vAlign w:val="bottom"/>
            <w:tcBorders>
              <w:bottom w:val="single" w:sz="8" w:color="CCEEFF"/>
            </w:tcBorders>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169,477</w:t>
            </w: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1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gridSpan w:val="4"/>
          </w:tcPr>
          <w:p>
            <w:pPr>
              <w:jc w:val="right"/>
              <w:ind w:right="10"/>
              <w:spacing w:after="0"/>
              <w:rPr>
                <w:sz w:val="20"/>
                <w:szCs w:val="20"/>
                <w:color w:val="auto"/>
              </w:rPr>
            </w:pPr>
            <w:r>
              <w:rPr>
                <w:rFonts w:ascii="Arial" w:cs="Arial" w:eastAsia="Arial" w:hAnsi="Arial"/>
                <w:sz w:val="18"/>
                <w:szCs w:val="18"/>
                <w:color w:val="auto"/>
              </w:rPr>
              <w:t>377,835</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371,662</w:t>
            </w:r>
          </w:p>
        </w:tc>
      </w:tr>
      <w:tr>
        <w:trPr>
          <w:trHeight w:val="27"/>
        </w:trPr>
        <w:tc>
          <w:tcPr>
            <w:tcW w:w="4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5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253,079</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208,157</w:t>
            </w: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Deferred tax assets current, net</w:t>
            </w:r>
          </w:p>
        </w:tc>
        <w:tc>
          <w:tcPr>
            <w:tcW w:w="1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gridSpan w:val="3"/>
          </w:tcPr>
          <w:p>
            <w:pPr>
              <w:jc w:val="right"/>
              <w:ind w:right="10"/>
              <w:spacing w:after="0"/>
              <w:rPr>
                <w:sz w:val="20"/>
                <w:szCs w:val="20"/>
                <w:color w:val="auto"/>
              </w:rPr>
            </w:pPr>
            <w:r>
              <w:rPr>
                <w:rFonts w:ascii="Arial" w:cs="Arial" w:eastAsia="Arial" w:hAnsi="Arial"/>
                <w:sz w:val="18"/>
                <w:szCs w:val="18"/>
                <w:color w:val="auto"/>
                <w:w w:val="87"/>
              </w:rPr>
              <w:t>55,145</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55,351</w:t>
            </w:r>
          </w:p>
        </w:tc>
      </w:tr>
      <w:tr>
        <w:trPr>
          <w:trHeight w:val="27"/>
        </w:trPr>
        <w:tc>
          <w:tcPr>
            <w:tcW w:w="4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gridSpan w:val="4"/>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15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104,496</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77,570</w:t>
            </w:r>
          </w:p>
        </w:tc>
      </w:tr>
      <w:tr>
        <w:trPr>
          <w:trHeight w:val="237"/>
        </w:trPr>
        <w:tc>
          <w:tcPr>
            <w:tcW w:w="412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958,839</w:t>
            </w: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882,217</w:t>
            </w:r>
          </w:p>
        </w:tc>
      </w:tr>
      <w:tr>
        <w:trPr>
          <w:trHeight w:val="311"/>
        </w:trPr>
        <w:tc>
          <w:tcPr>
            <w:tcW w:w="4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15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301,458</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299,242</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Deferred tax assets noncurrent, net</w:t>
            </w:r>
          </w:p>
        </w:tc>
        <w:tc>
          <w:tcPr>
            <w:tcW w:w="1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0" w:type="dxa"/>
            <w:vAlign w:val="bottom"/>
            <w:gridSpan w:val="3"/>
          </w:tcPr>
          <w:p>
            <w:pPr>
              <w:jc w:val="right"/>
              <w:ind w:right="10"/>
              <w:spacing w:after="0"/>
              <w:rPr>
                <w:sz w:val="20"/>
                <w:szCs w:val="20"/>
                <w:color w:val="auto"/>
              </w:rPr>
            </w:pPr>
            <w:r>
              <w:rPr>
                <w:rFonts w:ascii="Arial" w:cs="Arial" w:eastAsia="Arial" w:hAnsi="Arial"/>
                <w:sz w:val="18"/>
                <w:szCs w:val="18"/>
                <w:color w:val="auto"/>
                <w:w w:val="87"/>
              </w:rPr>
              <w:t>12,714</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35,050</w:t>
            </w:r>
          </w:p>
        </w:tc>
      </w:tr>
      <w:tr>
        <w:trPr>
          <w:trHeight w:val="27"/>
        </w:trPr>
        <w:tc>
          <w:tcPr>
            <w:tcW w:w="4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6"/>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long-term assets</w:t>
            </w:r>
          </w:p>
        </w:tc>
        <w:tc>
          <w:tcPr>
            <w:tcW w:w="15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6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87"/>
              </w:rPr>
              <w:t>68,967</w:t>
            </w: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28,242</w:t>
            </w:r>
          </w:p>
        </w:tc>
      </w:tr>
    </w:tbl>
    <w:p>
      <w:pPr>
        <w:sectPr>
          <w:pgSz w:w="11900" w:h="16900" w:orient="portrait"/>
          <w:cols w:equalWidth="0" w:num="1">
            <w:col w:w="11420"/>
          </w:cols>
          <w:pgMar w:left="240" w:top="125" w:right="239" w:bottom="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1280" w:type="dxa"/>
            <w:vAlign w:val="bottom"/>
          </w:tcPr>
          <w:p>
            <w:pPr>
              <w:spacing w:after="0"/>
              <w:rPr>
                <w:sz w:val="20"/>
                <w:szCs w:val="20"/>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292,930</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291,670</w:t>
            </w:r>
          </w:p>
        </w:tc>
      </w:tr>
      <w:tr>
        <w:trPr>
          <w:trHeight w:val="27"/>
        </w:trPr>
        <w:tc>
          <w:tcPr>
            <w:tcW w:w="67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1,311,771</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1,209,376</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280" w:type="dxa"/>
            <w:vAlign w:val="bottom"/>
            <w:tcBorders>
              <w:top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2,946,679</w:t>
            </w:r>
          </w:p>
        </w:tc>
        <w:tc>
          <w:tcPr>
            <w:tcW w:w="120" w:type="dxa"/>
            <w:vAlign w:val="bottom"/>
          </w:tcPr>
          <w:p>
            <w:pPr>
              <w:spacing w:after="0"/>
              <w:rPr>
                <w:sz w:val="20"/>
                <w:szCs w:val="20"/>
                <w:color w:val="auto"/>
              </w:rPr>
            </w:pPr>
          </w:p>
        </w:tc>
        <w:tc>
          <w:tcPr>
            <w:tcW w:w="8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2,745,797</w:t>
            </w:r>
          </w:p>
        </w:tc>
      </w:tr>
      <w:tr>
        <w:trPr>
          <w:trHeight w:val="27"/>
        </w:trPr>
        <w:tc>
          <w:tcPr>
            <w:tcW w:w="67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64"/>
        </w:trPr>
        <w:tc>
          <w:tcPr>
            <w:tcW w:w="67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LIABILITIES AND SHAREHOLDERS’ EQUITY</w:t>
            </w: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268,462</w:t>
            </w:r>
          </w:p>
        </w:tc>
        <w:tc>
          <w:tcPr>
            <w:tcW w:w="920" w:type="dxa"/>
            <w:vAlign w:val="bottom"/>
            <w:tcBorders>
              <w:bottom w:val="single" w:sz="8" w:color="CCEEFF"/>
            </w:tcBorders>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241,949</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1280" w:type="dxa"/>
            <w:vAlign w:val="bottom"/>
          </w:tcPr>
          <w:p>
            <w:pPr>
              <w:spacing w:after="0"/>
              <w:rPr>
                <w:sz w:val="21"/>
                <w:szCs w:val="21"/>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41,630</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49,690</w:t>
            </w:r>
          </w:p>
        </w:tc>
      </w:tr>
      <w:tr>
        <w:trPr>
          <w:trHeight w:val="27"/>
        </w:trPr>
        <w:tc>
          <w:tcPr>
            <w:tcW w:w="67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Wages and benefits payable</w:t>
            </w:r>
          </w:p>
        </w:tc>
        <w:tc>
          <w:tcPr>
            <w:tcW w:w="1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94,855</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110,479</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Taxes payable</w:t>
            </w:r>
          </w:p>
        </w:tc>
        <w:tc>
          <w:tcPr>
            <w:tcW w:w="1280" w:type="dxa"/>
            <w:vAlign w:val="bottom"/>
          </w:tcPr>
          <w:p>
            <w:pPr>
              <w:spacing w:after="0"/>
              <w:rPr>
                <w:sz w:val="21"/>
                <w:szCs w:val="21"/>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27,976</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19,725</w:t>
            </w:r>
          </w:p>
        </w:tc>
      </w:tr>
      <w:tr>
        <w:trPr>
          <w:trHeight w:val="27"/>
        </w:trPr>
        <w:tc>
          <w:tcPr>
            <w:tcW w:w="67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1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234,449</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228,721</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Current portion of warranty</w:t>
            </w:r>
          </w:p>
        </w:tc>
        <w:tc>
          <w:tcPr>
            <w:tcW w:w="1280" w:type="dxa"/>
            <w:vAlign w:val="bottom"/>
          </w:tcPr>
          <w:p>
            <w:pPr>
              <w:spacing w:after="0"/>
              <w:rPr>
                <w:sz w:val="21"/>
                <w:szCs w:val="21"/>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29,999</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24,912</w:t>
            </w:r>
          </w:p>
        </w:tc>
      </w:tr>
      <w:tr>
        <w:trPr>
          <w:trHeight w:val="27"/>
        </w:trPr>
        <w:tc>
          <w:tcPr>
            <w:tcW w:w="67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Unearned revenue</w:t>
            </w:r>
          </w:p>
        </w:tc>
        <w:tc>
          <w:tcPr>
            <w:tcW w:w="1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49,722</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28,258</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747,093</w:t>
            </w: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703,734</w:t>
            </w:r>
          </w:p>
        </w:tc>
      </w:tr>
      <w:tr>
        <w:trPr>
          <w:trHeight w:val="311"/>
        </w:trPr>
        <w:tc>
          <w:tcPr>
            <w:tcW w:w="6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341,121</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382,220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Long-term warranty</w:t>
            </w:r>
          </w:p>
        </w:tc>
        <w:tc>
          <w:tcPr>
            <w:tcW w:w="1280" w:type="dxa"/>
            <w:vAlign w:val="bottom"/>
          </w:tcPr>
          <w:p>
            <w:pPr>
              <w:spacing w:after="0"/>
              <w:rPr>
                <w:sz w:val="21"/>
                <w:szCs w:val="21"/>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32,839</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26,371</w:t>
            </w:r>
          </w:p>
        </w:tc>
      </w:tr>
      <w:tr>
        <w:trPr>
          <w:trHeight w:val="27"/>
        </w:trPr>
        <w:tc>
          <w:tcPr>
            <w:tcW w:w="67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plan benefit liability</w:t>
            </w:r>
          </w:p>
        </w:tc>
        <w:tc>
          <w:tcPr>
            <w:tcW w:w="1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69,675</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61,450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Deferred tax liabilities noncurrent, net</w:t>
            </w:r>
          </w:p>
        </w:tc>
        <w:tc>
          <w:tcPr>
            <w:tcW w:w="1280" w:type="dxa"/>
            <w:vAlign w:val="bottom"/>
          </w:tcPr>
          <w:p>
            <w:pPr>
              <w:spacing w:after="0"/>
              <w:rPr>
                <w:sz w:val="21"/>
                <w:szCs w:val="21"/>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51,539</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54,412</w:t>
            </w:r>
          </w:p>
        </w:tc>
      </w:tr>
      <w:tr>
        <w:trPr>
          <w:trHeight w:val="27"/>
        </w:trPr>
        <w:tc>
          <w:tcPr>
            <w:tcW w:w="67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obligations</w:t>
            </w:r>
          </w:p>
        </w:tc>
        <w:tc>
          <w:tcPr>
            <w:tcW w:w="1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86,942</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89,315</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1,329,209</w:t>
            </w: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1,317,502</w:t>
            </w:r>
          </w:p>
        </w:tc>
      </w:tr>
      <w:tr>
        <w:trPr>
          <w:trHeight w:val="311"/>
        </w:trPr>
        <w:tc>
          <w:tcPr>
            <w:tcW w:w="6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527"/>
        </w:trPr>
        <w:tc>
          <w:tcPr>
            <w:tcW w:w="674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
        </w:trPr>
        <w:tc>
          <w:tcPr>
            <w:tcW w:w="67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w:t>
            </w: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Common stock</w:t>
            </w:r>
          </w:p>
        </w:tc>
        <w:tc>
          <w:tcPr>
            <w:tcW w:w="1280" w:type="dxa"/>
            <w:vAlign w:val="bottom"/>
          </w:tcPr>
          <w:p>
            <w:pPr>
              <w:spacing w:after="0"/>
              <w:rPr>
                <w:sz w:val="21"/>
                <w:szCs w:val="21"/>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1,339,504</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1,328,249</w:t>
            </w:r>
          </w:p>
        </w:tc>
      </w:tr>
      <w:tr>
        <w:trPr>
          <w:trHeight w:val="27"/>
        </w:trPr>
        <w:tc>
          <w:tcPr>
            <w:tcW w:w="67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 (loss), net</w:t>
            </w:r>
          </w:p>
        </w:tc>
        <w:tc>
          <w:tcPr>
            <w:tcW w:w="1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81,390</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(34,974)</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1280" w:type="dxa"/>
            <w:vAlign w:val="bottom"/>
          </w:tcPr>
          <w:p>
            <w:pPr>
              <w:spacing w:after="0"/>
              <w:rPr>
                <w:sz w:val="21"/>
                <w:szCs w:val="21"/>
                <w:color w:val="auto"/>
              </w:rPr>
            </w:pP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196,576</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135,020</w:t>
            </w:r>
          </w:p>
        </w:tc>
      </w:tr>
      <w:tr>
        <w:trPr>
          <w:trHeight w:val="27"/>
        </w:trPr>
        <w:tc>
          <w:tcPr>
            <w:tcW w:w="67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shareholders’ equity</w:t>
            </w:r>
          </w:p>
        </w:tc>
        <w:tc>
          <w:tcPr>
            <w:tcW w:w="1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1,617,470</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1,428,295</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liabilities and shareholders’ equity</w:t>
            </w:r>
          </w:p>
        </w:tc>
        <w:tc>
          <w:tcPr>
            <w:tcW w:w="1280" w:type="dxa"/>
            <w:vAlign w:val="bottom"/>
            <w:tcBorders>
              <w:top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2,946,679</w:t>
            </w:r>
          </w:p>
        </w:tc>
        <w:tc>
          <w:tcPr>
            <w:tcW w:w="120" w:type="dxa"/>
            <w:vAlign w:val="bottom"/>
          </w:tcPr>
          <w:p>
            <w:pPr>
              <w:spacing w:after="0"/>
              <w:rPr>
                <w:sz w:val="20"/>
                <w:szCs w:val="20"/>
                <w:color w:val="auto"/>
              </w:rPr>
            </w:pPr>
          </w:p>
        </w:tc>
        <w:tc>
          <w:tcPr>
            <w:tcW w:w="8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2,745,797</w:t>
            </w:r>
          </w:p>
        </w:tc>
      </w:tr>
      <w:tr>
        <w:trPr>
          <w:trHeight w:val="27"/>
        </w:trPr>
        <w:tc>
          <w:tcPr>
            <w:tcW w:w="6740" w:type="dxa"/>
            <w:vAlign w:val="bottom"/>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184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340"/>
        </w:trPr>
        <w:tc>
          <w:tcPr>
            <w:tcW w:w="10060" w:type="dxa"/>
            <w:vAlign w:val="bottom"/>
            <w:gridSpan w:val="7"/>
          </w:tcPr>
          <w:p>
            <w:pPr>
              <w:jc w:val="center"/>
              <w:ind w:left="1290"/>
              <w:spacing w:after="0"/>
              <w:rPr>
                <w:sz w:val="20"/>
                <w:szCs w:val="20"/>
                <w:color w:val="auto"/>
              </w:rPr>
            </w:pPr>
            <w:r>
              <w:rPr>
                <w:rFonts w:ascii="Arial" w:cs="Arial" w:eastAsia="Arial" w:hAnsi="Arial"/>
                <w:sz w:val="18"/>
                <w:szCs w:val="18"/>
                <w:i w:val="1"/>
                <w:iCs w:val="1"/>
                <w:color w:val="auto"/>
                <w:w w:val="90"/>
              </w:rPr>
              <w:t>The accompanying notes are an integral part of these condensed consolidated financial statements.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6740" w:type="dxa"/>
            <w:vAlign w:val="bottom"/>
          </w:tcPr>
          <w:p>
            <w:pPr>
              <w:jc w:val="center"/>
              <w:ind w:left="4590"/>
              <w:spacing w:after="0"/>
              <w:rPr>
                <w:sz w:val="20"/>
                <w:szCs w:val="20"/>
                <w:color w:val="auto"/>
              </w:rPr>
            </w:pPr>
            <w:r>
              <w:rPr>
                <w:rFonts w:ascii="Arial" w:cs="Arial" w:eastAsia="Arial" w:hAnsi="Arial"/>
                <w:sz w:val="18"/>
                <w:szCs w:val="18"/>
                <w:b w:val="1"/>
                <w:bCs w:val="1"/>
                <w:color w:val="auto"/>
              </w:rPr>
              <w:t>ITRON, INC.</w:t>
            </w:r>
          </w:p>
        </w:tc>
        <w:tc>
          <w:tcPr>
            <w:tcW w:w="1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8020" w:type="dxa"/>
            <w:vAlign w:val="bottom"/>
            <w:gridSpan w:val="2"/>
          </w:tcPr>
          <w:p>
            <w:pPr>
              <w:jc w:val="center"/>
              <w:ind w:left="331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6740" w:type="dxa"/>
            <w:vAlign w:val="bottom"/>
          </w:tcPr>
          <w:p>
            <w:pPr>
              <w:jc w:val="center"/>
              <w:ind w:left="4590"/>
              <w:spacing w:after="0"/>
              <w:rPr>
                <w:sz w:val="20"/>
                <w:szCs w:val="20"/>
                <w:color w:val="auto"/>
              </w:rPr>
            </w:pPr>
            <w:r>
              <w:rPr>
                <w:rFonts w:ascii="Arial" w:cs="Arial" w:eastAsia="Arial" w:hAnsi="Arial"/>
                <w:sz w:val="18"/>
                <w:szCs w:val="18"/>
                <w:b w:val="1"/>
                <w:bCs w:val="1"/>
                <w:color w:val="auto"/>
              </w:rPr>
              <w:t>(UNAUDITED)</w:t>
            </w:r>
          </w:p>
        </w:tc>
        <w:tc>
          <w:tcPr>
            <w:tcW w:w="1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549"/>
        </w:trPr>
        <w:tc>
          <w:tcPr>
            <w:tcW w:w="67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4"/>
          </w:tcPr>
          <w:p>
            <w:pPr>
              <w:jc w:val="center"/>
              <w:ind w:right="45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67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108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w w:val="99"/>
              </w:rPr>
              <w:t>2011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r>
      <w:tr>
        <w:trPr>
          <w:trHeight w:val="27"/>
        </w:trPr>
        <w:tc>
          <w:tcPr>
            <w:tcW w:w="67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230"/>
              <w:spacing w:after="0"/>
              <w:rPr>
                <w:sz w:val="20"/>
                <w:szCs w:val="20"/>
                <w:color w:val="auto"/>
              </w:rPr>
            </w:pPr>
            <w:r>
              <w:rPr>
                <w:rFonts w:ascii="Arial" w:cs="Arial" w:eastAsia="Arial" w:hAnsi="Arial"/>
                <w:sz w:val="18"/>
                <w:szCs w:val="18"/>
                <w:b w:val="1"/>
                <w:bCs w:val="1"/>
                <w:color w:val="auto"/>
                <w:w w:val="90"/>
              </w:rPr>
              <w:t>(restated)</w:t>
            </w:r>
          </w:p>
        </w:tc>
      </w:tr>
      <w:tr>
        <w:trPr>
          <w:trHeight w:val="270"/>
        </w:trPr>
        <w:tc>
          <w:tcPr>
            <w:tcW w:w="67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80" w:type="dxa"/>
            <w:vAlign w:val="bottom"/>
            <w:gridSpan w:val="4"/>
          </w:tcPr>
          <w:p>
            <w:pPr>
              <w:jc w:val="center"/>
              <w:ind w:right="45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67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280" w:type="dxa"/>
            <w:vAlign w:val="bottom"/>
          </w:tcPr>
          <w:p>
            <w:pPr>
              <w:spacing w:after="0"/>
              <w:rPr>
                <w:sz w:val="21"/>
                <w:szCs w:val="21"/>
                <w:color w:val="auto"/>
              </w:rPr>
            </w:pPr>
          </w:p>
        </w:tc>
        <w:tc>
          <w:tcPr>
            <w:tcW w:w="10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61,556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50,561</w:t>
            </w:r>
          </w:p>
        </w:tc>
      </w:tr>
      <w:tr>
        <w:trPr>
          <w:trHeight w:val="27"/>
        </w:trPr>
        <w:tc>
          <w:tcPr>
            <w:tcW w:w="67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9"/>
              </w:rPr>
              <w:t>Adjustments to reconcile net income to net cash provided by operating activities:</w:t>
            </w: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64,299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65,071</w:t>
            </w:r>
          </w:p>
        </w:tc>
      </w:tr>
      <w:tr>
        <w:trPr>
          <w:trHeight w:val="27"/>
        </w:trPr>
        <w:tc>
          <w:tcPr>
            <w:tcW w:w="67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w:t>
            </w: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9,518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9,121</w:t>
            </w: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Amortization of prepaid debt fees</w:t>
            </w:r>
          </w:p>
        </w:tc>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2,265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2,762</w:t>
            </w:r>
          </w:p>
        </w:tc>
      </w:tr>
      <w:tr>
        <w:trPr>
          <w:trHeight w:val="27"/>
        </w:trPr>
        <w:tc>
          <w:tcPr>
            <w:tcW w:w="67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convertible debt discount</w:t>
            </w: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5,336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4,957</w:t>
            </w:r>
          </w:p>
        </w:tc>
      </w:tr>
      <w:tr>
        <w:trPr>
          <w:trHeight w:val="243"/>
        </w:trPr>
        <w:tc>
          <w:tcPr>
            <w:tcW w:w="6740" w:type="dxa"/>
            <w:vAlign w:val="bottom"/>
          </w:tcPr>
          <w:p>
            <w:pPr>
              <w:ind w:left="720"/>
              <w:spacing w:after="0"/>
              <w:rPr>
                <w:sz w:val="20"/>
                <w:szCs w:val="20"/>
                <w:color w:val="auto"/>
              </w:rPr>
            </w:pPr>
            <w:r>
              <w:rPr>
                <w:rFonts w:ascii="Arial" w:cs="Arial" w:eastAsia="Arial" w:hAnsi="Arial"/>
                <w:sz w:val="18"/>
                <w:szCs w:val="18"/>
                <w:color w:val="auto"/>
              </w:rPr>
              <w:t>Deferred taxes, net</w:t>
            </w:r>
          </w:p>
        </w:tc>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6,081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(8,132)</w:t>
            </w:r>
          </w:p>
        </w:tc>
      </w:tr>
      <w:tr>
        <w:trPr>
          <w:trHeight w:val="27"/>
        </w:trPr>
        <w:tc>
          <w:tcPr>
            <w:tcW w:w="67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adjustments, net</w:t>
            </w: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net of acquisition:</w:t>
            </w:r>
          </w:p>
        </w:tc>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(12,106)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(52,124)</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(36,668)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(40,930)</w:t>
            </w:r>
          </w:p>
        </w:tc>
      </w:tr>
      <w:tr>
        <w:trPr>
          <w:trHeight w:val="27"/>
        </w:trPr>
        <w:tc>
          <w:tcPr>
            <w:tcW w:w="67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(21,268)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8,375</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 long-term assets</w:t>
            </w:r>
          </w:p>
        </w:tc>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(22,993)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(763)</w:t>
            </w:r>
          </w:p>
        </w:tc>
      </w:tr>
      <w:tr>
        <w:trPr>
          <w:trHeight w:val="27"/>
        </w:trPr>
        <w:tc>
          <w:tcPr>
            <w:tcW w:w="67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payables, other current liabilities, and taxes payable</w:t>
            </w: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16,523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42,463</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Wages and benefits payable</w:t>
            </w:r>
          </w:p>
        </w:tc>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(21,531)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19,648</w:t>
            </w:r>
          </w:p>
        </w:tc>
      </w:tr>
      <w:tr>
        <w:trPr>
          <w:trHeight w:val="27"/>
        </w:trPr>
        <w:tc>
          <w:tcPr>
            <w:tcW w:w="67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Unearned revenue</w:t>
            </w: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24,159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2,365</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Warranty</w:t>
            </w:r>
          </w:p>
        </w:tc>
        <w:tc>
          <w:tcPr>
            <w:tcW w:w="1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9,510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14,355</w:t>
            </w:r>
          </w:p>
        </w:tc>
      </w:tr>
      <w:tr>
        <w:trPr>
          <w:trHeight w:val="27"/>
        </w:trPr>
        <w:tc>
          <w:tcPr>
            <w:tcW w:w="67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net</w:t>
            </w:r>
          </w:p>
        </w:tc>
        <w:tc>
          <w:tcPr>
            <w:tcW w:w="1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2,726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(3,949)</w:t>
            </w:r>
          </w:p>
        </w:tc>
      </w:tr>
      <w:tr>
        <w:trPr>
          <w:trHeight w:val="20"/>
        </w:trPr>
        <w:tc>
          <w:tcPr>
            <w:tcW w:w="6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ectPr>
          <w:pgSz w:w="11900" w:h="16838" w:orient="portrait"/>
          <w:cols w:equalWidth="0" w:num="1">
            <w:col w:w="11420"/>
          </w:cols>
          <w:pgMar w:left="240" w:top="166"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80" w:type="dxa"/>
            <w:vAlign w:val="bottom"/>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87,692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117,086</w:t>
            </w:r>
          </w:p>
        </w:tc>
      </w:tr>
      <w:tr>
        <w:trPr>
          <w:trHeight w:val="149"/>
        </w:trPr>
        <w:tc>
          <w:tcPr>
            <w:tcW w:w="8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Acquisitions of property, plant, and equipment</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(28,712)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(27,716)</w:t>
            </w:r>
          </w:p>
        </w:tc>
      </w:tr>
      <w:tr>
        <w:trPr>
          <w:trHeight w:val="27"/>
        </w:trPr>
        <w:tc>
          <w:tcPr>
            <w:tcW w:w="8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Business acquisition, net of cash equivalents acquired</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(14,635)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Other investing, net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4,495</w:t>
            </w:r>
          </w:p>
        </w:tc>
      </w:tr>
      <w:tr>
        <w:trPr>
          <w:trHeight w:val="27"/>
        </w:trPr>
        <w:tc>
          <w:tcPr>
            <w:tcW w:w="85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(42,834)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(23,221)</w:t>
            </w:r>
          </w:p>
        </w:tc>
      </w:tr>
      <w:tr>
        <w:trPr>
          <w:trHeight w:val="365"/>
        </w:trPr>
        <w:tc>
          <w:tcPr>
            <w:tcW w:w="858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
        </w:trPr>
        <w:tc>
          <w:tcPr>
            <w:tcW w:w="8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on debt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(55,630)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(73,881)</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Issuance of common stock</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2,553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6,812</w:t>
            </w:r>
          </w:p>
        </w:tc>
      </w:tr>
      <w:tr>
        <w:trPr>
          <w:trHeight w:val="27"/>
        </w:trPr>
        <w:tc>
          <w:tcPr>
            <w:tcW w:w="8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financing, net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(2,237)</w:t>
            </w: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color w:val="auto"/>
              </w:rPr>
              <w:t>Net cash used in financing activities</w:t>
            </w: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(53,396)</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(69,306)</w:t>
            </w:r>
          </w:p>
        </w:tc>
      </w:tr>
      <w:tr>
        <w:trPr>
          <w:trHeight w:val="149"/>
        </w:trPr>
        <w:tc>
          <w:tcPr>
            <w:tcW w:w="8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7,345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(9,081)</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(1,193)</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15,478</w:t>
            </w:r>
          </w:p>
        </w:tc>
      </w:tr>
      <w:tr>
        <w:trPr>
          <w:trHeight w:val="27"/>
        </w:trPr>
        <w:tc>
          <w:tcPr>
            <w:tcW w:w="8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169,477</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121,893</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168,284</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137,371</w:t>
            </w:r>
          </w:p>
        </w:tc>
      </w:tr>
      <w:tr>
        <w:trPr>
          <w:trHeight w:val="27"/>
        </w:trPr>
        <w:tc>
          <w:tcPr>
            <w:tcW w:w="85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02"/>
        </w:trPr>
        <w:tc>
          <w:tcPr>
            <w:tcW w:w="8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960" w:type="dxa"/>
            <w:vAlign w:val="bottom"/>
          </w:tcPr>
          <w:p>
            <w:pPr>
              <w:spacing w:after="0"/>
              <w:rPr>
                <w:sz w:val="8"/>
                <w:szCs w:val="8"/>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Non-cash transactions:</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Property, plant, and equipment purchased but not yet paid, net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978</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(3,491)</w:t>
            </w:r>
          </w:p>
        </w:tc>
      </w:tr>
      <w:tr>
        <w:trPr>
          <w:trHeight w:val="27"/>
        </w:trPr>
        <w:tc>
          <w:tcPr>
            <w:tcW w:w="8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Fair value of contingent and deferred consideration payable for business acquisition</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365"/>
        </w:trPr>
        <w:tc>
          <w:tcPr>
            <w:tcW w:w="8580" w:type="dxa"/>
            <w:vAlign w:val="bottom"/>
          </w:tcPr>
          <w:p>
            <w:pPr>
              <w:ind w:left="40"/>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
        </w:trPr>
        <w:tc>
          <w:tcPr>
            <w:tcW w:w="8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paid during the period for:</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Income taxes, net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6,842</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9,355</w:t>
            </w:r>
          </w:p>
        </w:tc>
      </w:tr>
      <w:tr>
        <w:trPr>
          <w:trHeight w:val="27"/>
        </w:trPr>
        <w:tc>
          <w:tcPr>
            <w:tcW w:w="8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Interest, net of amounts capitalized</w:t>
            </w: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15,927</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21,178</w:t>
            </w:r>
          </w:p>
        </w:tc>
      </w:tr>
      <w:tr>
        <w:trPr>
          <w:trHeight w:val="27"/>
        </w:trPr>
        <w:tc>
          <w:tcPr>
            <w:tcW w:w="85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w:t>
      </w:r>
    </w:p>
    <w:p>
      <w:pPr>
        <w:spacing w:after="0" w:line="383"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incorporated in the state of Washington in 1977. We provide a portfolio of products and services to utilities for the energy and water markets throughout the world.</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Financial Statement Preparation</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condensed consolidated financial statements presented in this Quarterly Report on Form 10-Q are unaudited and reflect entries necessary for the fair presentation of the Consolidated Statements of Operations for the three and six months ended June 30, 2011 and 2010, the Consolidated Balance Sheets as of June 30, 2011 and December 31, 2010, and the Consolidated Statements of Cash Flows for the six months ended June 30, 2011 and 2010 of Itron, Inc. and its subsidiaries. All entries required for the fair presentation of the financial statements are of a normal recurring nature, except as disclosed.</w:t>
      </w:r>
    </w:p>
    <w:p>
      <w:pPr>
        <w:spacing w:after="0" w:line="16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Certain information and notes normally included in financial statements prepared in accordance with U.S. generally accepted accounting principles (GAAP) have been condensed or omitted pursuant to the rules and regulations of the Securities and Exchange Commission (SEC) regarding interim results. These condensed consolidated financial statements should be read in conjunction with the 2010 audited financial statements and notes included in our Annual Report on Form 10-K for the year ended December 31, 2010, as filed with the SEC on February 25, 2011. The results of operations for the three and six months ended June 30, 2011 are not necessarily indicative of the results expected for the full fiscal year or for any other fiscal period.</w:t>
      </w:r>
    </w:p>
    <w:p>
      <w:pPr>
        <w:spacing w:after="0" w:line="15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Basis of Consolidation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consolidate all entities in which we have a greater than 50% ownership interest or in which we exercise control over the operations. We use the equity method of accounting for entities in which we have a 50% or less investment and exercise significant influence. Entities in which we have less than a 20% investment and where we do not exercise significant influence are accounted for under the cost method. Variable interest entities of which we are the primary beneficiary are consolidated. At June 30, 2011, our investments in variable interest entities and noncontrolling interests were not material. Intercompany transactions and balances have been eliminated upon consolidation.</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Business Acquisition</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 xml:space="preserve">On January 10, 2011, we completed the acquisition of Asais S.A.S. and Asais Conseil S.A.S. (collectively Asais), an energy information management software and consulting services provider, located in France. The acquisition consisted of cash and contingent consideration. The acquisition was immaterial to our financial position, results of operations, and cash flows. (See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policy below.)</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and 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highly liquid instruments with remaining maturities of three months or less at the date of acquisition to be cash equivalents.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Accounts Receivable and Allowance for Doubtful Accounts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Accounts receivable are recorded for invoices issued to customers in accordance with our contractual arrangements. Interest and late payment fees are minimal. Unbilled receivables are recorded when revenues are recognized upon product shipment or service delivery and invoicing occurs at a later date. We record an allowance for doubtful accounts representing our estimate of the probable losses in accounts receivable at the date of the balance sheet based on our historical experience of bad debts and our specific review of outstanding receivables. Accounts receivable are written-off against the allowance when we believe an account, or a portion thereof, is no longer collectible.</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Inventories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Inventories are stated at the lower of cost or market using the first-in, first-out method. Cost includes raw materials and labor, plus applied direct and indirect costs.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 Instruments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All derivative instruments, whether designated in hedging relationships or not, are recorded on the Consolidated Balance Sheets at fair value as either assets or liabilities. The components and fair values of our derivative instruments, which are primarily interest rate swaps, are determined using the fair value measurements of significant other observable inputs (Level 2), as defined by GAAP. The net fair value of our derivative instruments may switch between a net asset and a net liability depending on market circumstances at the end of the period. We include the effect of our counterparty credit risk based on current published credit default swap rates when the net fair value of our derivative instruments are in a net asset position and the effect of our own nonperformance risk when the net fair value of our derivative instruments are in a net liability position.</w:t>
      </w:r>
    </w:p>
    <w:p>
      <w:pPr>
        <w:spacing w:after="0" w:line="1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any derivative designated as a fair value hedge, the changes in the fair value of the derivative and of the hedged item attributable to the hedged risk are recognized in earnings. For any derivative designated as a cash flow hedge, the effective portions of changes in the fair value of the derivative are recorded as a component of other comprehensive income (OCI) and are recognized in earnings when the hedged item affects earnings. For our hedge of a net investment, the effective portion of any unrealized gain or loss from the foreign currency revaluation of the hedging instrument is reported in OCI as a net unrealized gain or loss on derivative instruments. Ineffective portions of fair value changes or the changes in fair value of derivative instruments that do not qualify for hedging activities are recognized in other income (expense) in the Consolidated Statements of Operations. We classify cash flows from our derivative programs as cash flows from operating activities in the Consolidated Statements of Cash Flows.</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Derivatives are not used for trading or speculative purposes. Our derivatives are with major international financial institutions, with whom we have master netting agreements; however, our derivative positions are not disclosed on a net basis. There are no credit-risk-related contingent features within our derivative instruments. Refer to Note 7 and Note 12 for further disclosures of our derivative instruments and their impact on OCI.</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Property, Plant, and Equipment</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Property, plant, and equipment are stated at cost less accumulated depreciation. Depreciation is computed using the straight-line method over the estimated useful lives of the assets, generally thirty years for buildings and improvements and three to 10 years for machinery and equipment, computers and purchased software, and furniture. Leasehold improvements are capitalized and amortized over the term of the applicable lease, including renewable periods if reasonably assured, or over the useful lives, whichever is shorter. Construction in process represents capital expenditures incurred for assets not yet placed in service. Costs related to internally developed software and software purchased for internal uses are capitalized and are amortized over the estimated useful lives of the assets. Repair and maintenance costs are expensed as incurred. We have no major planned maintenance activities.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review long-lived assets for impairment whenever events or circumstances indicate the carrying amount of an asset or asset group may not be recoverable. We have had no significant impairments of long-lived assets. Assets held for sale are classified within other current assets in the Consolidated Balance Sheets, are reported at the lower of the carrying amount or fair value less costs to sell, and are no longer depreciated. We had no assets held for sale at June 30, 2011 and December 31, 2010. Gains and losses from asset disposals and impairment losses are classified within the statement of operations according to the use of the asset.</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Prepaid Debt Fees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Prepaid debt fees represent the capitalized direct costs incurred related to the issuance of debt and are recorded as noncurrent assets. These costs are amortized to interest expense over the lives of the respective borrowings, including contingent maturity or call features, using the effective interest method, or straight-line method when associated with a revolving credit facility. When debt is repaid early, the related portion of unamortized prepaid debt fees is written-off and included in interest expense.</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Business Combinations</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the date of acquisition, the assets acquired, liabilities assumed, and any noncontrolling interests in the acquiree are recorded at their fair values. The acquiree results of operations are also included as of the date of acquisition in our consolidated results. Intangible assets that arise from contractual/legal rights, or are capable of being separated, as well as in-process research and development, are measured and recorded at fair value, and amortized over the estimated useful life. If practicable, assets acquired and liabilities assumed arising from contingencies are measured and recorded at fair value. If not practicable, such assets and liabilities are measured and recorded when it is probable that a gain or loss has occurred and the amount can be reasonably estimated. The residual balance of the purchase price, after fair value allocations to all identified assets and liabilities, represents goodwill. Acquisition-related costs are expensed as incurred. Restructuring costs are generally expensed in periods subsequent to the acquisition date, and changes in deferred tax asset valuation allowances and acquired income tax uncertainties, including penalties and interest, after the measurement period are recognized as a component of the provision for income taxes.</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 and Intangible Assets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Goodwill and intangible assets have resulted from our acquisitions. We use estimates in determining and assigning the fair value of goodwill and intangible assets at acquisition, including estimates of useful lives of intangible assets, the amount and timing of related future cash flows, and fair values of the related operations. Our intangible assets have finite lives, are amortized over their estimated useful lives based on estimated discounted cash flows, and are tested for impairment when events or changes in circumstances indicate the carrying value may not be recoverable.</w:t>
      </w:r>
    </w:p>
    <w:p>
      <w:pPr>
        <w:spacing w:after="0" w:line="1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Goodwill is assigned to our reporting units based on the expected benefit from the synergies arising from each business combination, determined by using certain financial metrics, including the forecasted discounted cash flows associated with each reporting unit. Goodwill is tested for impairment as of October 1 of each year, or more frequently if a significant impairment indicator occurs. 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our reporting units.</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Contingencies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loss contingency is recorded if it is probable that an asset has been impaired or a liability has been incurred and the amount of the loss can be reasonably estimated. We evaluate, among other factors, the degree of probability of an unfavorable outcome and our ability to make a reasonable estimate of the amount of the ultimate loss. Loss contingencies that we determine to be reasonably possible, but not probable, are disclosed. Changes in these factors and related estimates could materially affect our financial position and results of operations.</w:t>
      </w:r>
    </w:p>
    <w:p>
      <w:pPr>
        <w:sectPr>
          <w:pgSz w:w="11900" w:h="16838" w:orient="portrait"/>
          <w:cols w:equalWidth="0" w:num="1">
            <w:col w:w="11420"/>
          </w:cols>
          <w:pgMar w:left="240" w:top="125" w:right="239" w:bottom="0" w:gutter="0" w:footer="0" w:header="0"/>
        </w:sectPr>
      </w:pPr>
    </w:p>
    <w:p>
      <w:pPr>
        <w:spacing w:after="0" w:line="190" w:lineRule="exact"/>
        <w:rPr>
          <w:sz w:val="20"/>
          <w:szCs w:val="20"/>
          <w:color w:val="auto"/>
        </w:rPr>
      </w:pPr>
    </w:p>
    <w:p>
      <w:pPr>
        <w:ind w:left="220"/>
        <w:spacing w:after="0"/>
        <w:rPr>
          <w:sz w:val="20"/>
          <w:szCs w:val="20"/>
          <w:color w:val="auto"/>
        </w:rPr>
      </w:pPr>
      <w:r>
        <w:rPr>
          <w:rFonts w:ascii="Arial" w:cs="Arial" w:eastAsia="Arial" w:hAnsi="Arial"/>
          <w:sz w:val="16"/>
          <w:szCs w:val="16"/>
          <w:i w:val="1"/>
          <w:iCs w:val="1"/>
          <w:color w:val="auto"/>
        </w:rPr>
        <w:t>Bonus and Profit Sharing</w:t>
      </w:r>
    </w:p>
    <w:p>
      <w:pPr>
        <w:sectPr>
          <w:pgSz w:w="11900" w:h="16838" w:orient="portrait"/>
          <w:cols w:equalWidth="0" w:num="1">
            <w:col w:w="11420"/>
          </w:cols>
          <w:pgMar w:left="240" w:top="125" w:right="239" w:bottom="0" w:gutter="0" w:footer="0" w:header="0"/>
          <w:type w:val="continuous"/>
        </w:sectPr>
      </w:pPr>
    </w:p>
    <w:bookmarkStart w:id="7" w:name="page8"/>
    <w:bookmarkEnd w:id="7"/>
    <w:p>
      <w:pPr>
        <w:jc w:val="both"/>
        <w:spacing w:after="0" w:line="257" w:lineRule="auto"/>
        <w:rPr>
          <w:sz w:val="20"/>
          <w:szCs w:val="20"/>
          <w:color w:val="auto"/>
        </w:rPr>
      </w:pPr>
      <w:r>
        <w:rPr>
          <w:rFonts w:ascii="Arial" w:cs="Arial" w:eastAsia="Arial" w:hAnsi="Arial"/>
          <w:sz w:val="18"/>
          <w:szCs w:val="18"/>
          <w:color w:val="auto"/>
        </w:rPr>
        <w:t>We have various employee bonus and profit sharing plans, which provide award amounts for the achievement of annual financial and nonfinancial targets. If management determines it is probable that the targets will be achieved, and the amounts can be reasonably estimated, a compensation accrual is recorded based on the proportional achievement of the financial and nonfinancial targets. Although we monitor and accrue expenses quarterly based on our progress toward the achievement of the annual targets, the actual results at the end of the year may require awards that are significantly greater or less than the estimates made in earlier quarters.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offer standard warranties on our hardware products and large application software products. We accrue the estimated cost of warranty claims based on historical and projected product performance trends and costs. Testing of new products in the development stage helps identify and correct potential warranty issues prior to manufacturing. Continuing quality control efforts during manufacturing reduce our exposure to warranty claims. If our quality control efforts fail to detect a fault in one of our products, we could experience an increase in warranty claims. We track warranty claims to identify potential warranty trends. If an unusual trend is noted, an additional warranty accrual may be assessed and recorded when a failure event is probable and the cost can be reasonably estimated. Management continually evaluates the sufficiency of the warranty provisions and makes adjustments when necessary. The warranty allowances may fluctuate due to changes in estimates for material, labor, and other costs we may incur to repair or replace projected product failures, and we may incur additional warranty and related expenses in the future with respect to new or established products, which could adversely affect our financial position and results of operations. The long-term warranty balance includes estimated warranty claims beyond one year. Warranty expense is classified within cost of revenues.</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Benefit Pension Plans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sponsor both funded and unfunded defined benefit pension plans for our international employees.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OCI, net of tax, the actuarial gains or losses and prior service costs or credits, if any, that arise during the period but that are not recognized as components of net periodic benefit cost.</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consist primarily of hardware sales, software license fees, software implementation, project management services, installation, consulting, and post-sale maintenance support. Revenues are recognized when (1) persuasive evidence of an arrangement exists, (2) delivery has occurred or services have been rendered, (3) the sales price is fixed or determinable, and (4) collectability is reasonably assured.</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majority of our revenue arrangements involve multiple deliverables, which combine two or more of the following: hardware, meter reading system software, installation, and/or project management services. Revenue arrangements with multiple deliverables are divided into separate units of accounting if the delivered item(s) has value to the customer on a standalone basis and delivery/performance of the undelivered item(s) is probable. The total arrangement consideration is allocated among the separate units of accounting based on their relative fair values and the applicable revenue recognition criteria considered for each unit of accounting. The amount allocable to a delivered item is limited to the amount that we are entitled to collect and that is not contingent upon the delivery/performance of additional items. Revenues for each deliverable are then recognized based on the type of deliverable, such as 1) when the products are shipped, 2) services are delivered, 3) percentage-of-completion when implementation services are essential to other deliverables in the arrangements, 4) upon receipt of customer acceptance, or 5) transfer of title. The majority of our revenue is recognized when products are shipped to or received by a customer or when services are provided.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We primarily enter into two types of multiple deliverable arrangements, which include a combination of hardware and associated software and services:</w:t>
      </w:r>
    </w:p>
    <w:p>
      <w:pPr>
        <w:spacing w:after="0" w:line="23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Arrangements that do not include the deployment of our smart metering systems and technology are recognized as follows:</w:t>
      </w:r>
    </w:p>
    <w:p>
      <w:pPr>
        <w:spacing w:after="0" w:line="225" w:lineRule="exact"/>
        <w:rPr>
          <w:rFonts w:ascii="Arial" w:cs="Arial" w:eastAsia="Arial" w:hAnsi="Arial"/>
          <w:sz w:val="18"/>
          <w:szCs w:val="18"/>
          <w:color w:val="auto"/>
        </w:rPr>
      </w:pPr>
    </w:p>
    <w:p>
      <w:pPr>
        <w:ind w:left="980" w:right="20" w:hanging="324"/>
        <w:spacing w:after="0" w:line="258"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Hardware revenues are recognized at the time of shipment, receipt by customer, or, if applicable, upon completion of customer acceptance provisions.</w:t>
      </w:r>
    </w:p>
    <w:p>
      <w:pPr>
        <w:spacing w:after="0" w:line="1"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If implementation services are essential to the functionality of the associated software, software and implementation revenues are recognized using either the percentage-of-completion methodology of contract accounting if project costs can be estimated, or the completed contract methodology if project costs cannot be reliably estimated.</w:t>
      </w:r>
    </w:p>
    <w:p>
      <w:pPr>
        <w:spacing w:after="0" w:line="1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Arrangements to deploy our smart metering systems and technology are recognized as follows:</w:t>
      </w:r>
    </w:p>
    <w:p>
      <w:pPr>
        <w:spacing w:after="0" w:line="225" w:lineRule="exact"/>
        <w:rPr>
          <w:rFonts w:ascii="Arial" w:cs="Arial" w:eastAsia="Arial" w:hAnsi="Arial"/>
          <w:sz w:val="18"/>
          <w:szCs w:val="18"/>
          <w:color w:val="auto"/>
        </w:rPr>
      </w:pPr>
    </w:p>
    <w:p>
      <w:pPr>
        <w:ind w:left="980" w:right="20" w:hanging="324"/>
        <w:spacing w:after="0" w:line="258"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Hardware revenues are recognized at the time of shipment, receipt by customer, or, if applicable, upon completion of customer acceptance provisions.</w:t>
      </w:r>
    </w:p>
    <w:p>
      <w:pPr>
        <w:spacing w:after="0" w:line="1" w:lineRule="exact"/>
        <w:rPr>
          <w:rFonts w:ascii="Arial" w:cs="Arial" w:eastAsia="Arial" w:hAnsi="Arial"/>
          <w:sz w:val="18"/>
          <w:szCs w:val="18"/>
          <w:color w:val="auto"/>
        </w:rPr>
      </w:pPr>
    </w:p>
    <w:p>
      <w:pPr>
        <w:jc w:val="both"/>
        <w:ind w:left="980" w:hanging="324"/>
        <w:spacing w:after="0" w:line="254"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Revenue from associated software and services is recognized using the units-of-delivery method of contract accounting, as the software is essential to the functionality of the related hardware and the implementation services are essential to the functionality of the associated software. This methodology often results in the deferral of costs and revenues as professional services and software implementation typically commence prior to deployment of hardware.</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enter into multiple deliverable software arrangements that do not include hardware. For this type of arrangement, revenue recognition is dependent upon the availability of vendor specific objective evidence (VSOE) of fair value for each of the deliverables. The lack of VSOE, or the existence of extended payment terms or other inherent risks, may affect the timing of revenue recognition for software arrangements.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our revenue arrangements include an extended or noncustomary warranty provision which covers all or a portion of a customer’s replacement or repair costs beyond the standard or customary warranty period. Whether or not the extended warranty is separately priced in the arrangement, a portion of the arrangement’s total consideration is allocated to this extended warranty deliverable. This revenue is deferred and recognized over the extended warranty coverage period. Extended or noncustomary warranties do not represent a significant portion of our revenue.</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allocate consideration to each deliverable in an arrangement based on its relative selling price. We determine selling price using VSOE, if it exists, otherwise we use third-party evidence (TPE). If neither VSOE nor TPE of selling price exists for a unit of accounting, we use estimated selling price (ESP).</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VSOE is generally limited to the price charged when the same or similar product is sold separately or, if applicable, the stated renewal rate in the agreement. If a product or service is seldom sold separately, it is unlikely that we can determine VSOE for the product or service. We define VSOE as a median price of recent standalone transactions that are priced within a narrow range. TPE is determined based on the prices charged by our competitors for a similar deliverable when sold separately.</w:t>
      </w:r>
    </w:p>
    <w:p>
      <w:pPr>
        <w:sectPr>
          <w:pgSz w:w="11900" w:h="16838" w:orient="portrait"/>
          <w:cols w:equalWidth="0" w:num="1">
            <w:col w:w="11420"/>
          </w:cols>
          <w:pgMar w:left="240" w:top="125" w:right="239" w:bottom="129" w:gutter="0" w:footer="0" w:header="0"/>
        </w:sectPr>
      </w:pPr>
    </w:p>
    <w:bookmarkStart w:id="8" w:name="page9"/>
    <w:bookmarkEnd w:id="8"/>
    <w:p>
      <w:pPr>
        <w:jc w:val="both"/>
        <w:spacing w:after="0" w:line="271" w:lineRule="auto"/>
        <w:rPr>
          <w:sz w:val="20"/>
          <w:szCs w:val="20"/>
          <w:color w:val="auto"/>
        </w:rPr>
      </w:pPr>
      <w:r>
        <w:rPr>
          <w:rFonts w:ascii="Arial" w:cs="Arial" w:eastAsia="Arial" w:hAnsi="Arial"/>
          <w:sz w:val="17"/>
          <w:szCs w:val="17"/>
          <w:color w:val="auto"/>
        </w:rPr>
        <w:t>If we are unable to establish selling price using VSOE or TPE, we use ESP in the allocation of arrangement consideration. The objective of ESP is to determine the price at which we would transact if the product or service were regularly sold by us on a standalone basis. Our determination of ESP involves a weighting of several factors based on the specific facts and circumstances of the arrangement. Specifically, we consider the cost to produce the deliverable, the anticipated margin on that deliverable, the selling price and profit margin for similar parts, our ongoing pricing strategy and policies (as evident in the price list established and updated by management on a regular basis), the value of any enhancements that have been built into the deliverable, and the characteristics of the varying markets in which the deliverable is sold. We analyze the selling prices used in our allocation of arrangement consideration on an annual basis. Selling prices are analyzed on a more frequent basis if we experience significant variances in our selling prices or if a significant change in our business necessitates a more timely analysis.</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Unearned revenue is recorded when a customer pays for products or services, but the criteria for revenue recognition have not been met as of the balance sheet date. Unearned revenues of $68.7 million and $42.8 million at June 30, 2011 and December 31, 2010 related primarily to professional services and software associated with our smart metering contracts, extended or noncustomary warranty, and prepaid post-contract support. Deferred cost is recorded for products or services for which ownership (typically defined as title and risk of loss) has transferred to the customer, but the criteria for revenue recognition have not been met as of the balance sheet date. Deferred costs were $16.6 million and $10.0 million at June 30, 2011 and December 31, 2010 and are recorded within other assets in the Consolidated Balance Sheets.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Hardware and software post-sale maintenance support fees are recognized ratably over the life of the related service contract. Shipping and handling costs and incidental expenses billed to customers are recorded as revenue, with the associated cost charged to cost of revenues. We record sales, use, and value added taxes billed to our customers on a net basis.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Product and Software Development Costs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Product and software development costs primarily include employee compensation and third party contracting fees. For software we develop to be marketed or sold, we capitalize development costs after technological feasibility is established. Due to the relatively short period of time between technological feasibility and the completion of product and software development, and the immaterial nature of these costs, we generally do not capitalize product and software development expenses.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measure and recognize compensation expense for all stock-based awards made to employees and directors, including stock options, stock sold pursuant to our Employee Stock Purchase Plan (ESPP), and the issuance of restricted stock units and unrestricted stock awards, based on estimated fair values. The fair value of stock options is estimated at the date of grant using the Black-Scholes option-pricing model, which includes assumptions for the dividend yield, expected volatility, risk-free interest rate, and expected life. For ESPP awards, the fair value is the difference between the market close price of our common stock on the date of purchase and the discounted purchase price. For restricted stock units and unrestricted stock awards, the fair value is the market close price of our common stock on the date of grant. We expense stock-based compensation at the date of grant for unrestricted stock awards. For awards with only a service condition, we expense stock-based compensation, adjusted for estimated forfeitures, using the straight-line method over the requisite service period for the entire award. For awards with both performance and service conditions, we expense the stock-based compensation, adjusted for estimated forfeitures, on a straight-line basis over the requisite service period for each separately vesting portion of the award. Excess tax benefits are credited to common stock when the deduction reduces cash taxes payable. When we have tax deductions in excess of the compensation cost, they are classified as financing cash inflows in the Consolidated Statements of Cash Flows.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Loss on Extinguishment of Debt, Net</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Upon partial or full redemption of our borrowings, we recognize a gain or loss for the difference between the cash paid and the net carrying amount of the debt redeemed. Included in the net carrying amount is any unamortized premium or discount from the original issuance of the debt. Due to the particular characteristics of our convertible notes, we recognize a gain or loss upon conversion or derecognition for the difference between the net carrying amount of the liability component (including any unamortized discount and debt issuance costs) and the fair value of the consideration transferred to the holder that is allocated to the liability component, which is equal to the fair value of the liability component immediately prior to extinguishment. In the case of an induced conversion, a loss is recognized for the amount of the fair value of the securities or other consideration transferred to the holder in excess of fair value of the consideration issuable in accordance with the original conversion terms of the debt.</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compute our interim income tax provision through the use of an estimated annual effective tax rate (ETR) applied to year-to-date operating results and specific events that are discretely recognized as they occur. In determining the estimated annual ETR, we analyze various factors, including projections of our annual earnings, taxing jurisdictions in which the earnings will be generated, the impact of state and local income taxes, our ability to use tax credits and net operating loss carryforwards, and available tax planning alternatives. Discrete items, including the effect of changes in tax laws, tax rates, and certain circumstances with respect to valuation allowances or other unusual or non-recurring tax adjustments, are reflected in the period in which they occur as an addition to, or reduction from, the income tax provision, rather than included in the estimated annual ETR.</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Deferred tax assets and liabilities are recognized based upon anticipated future tax consequences, in each of the jurisdictions in which we operate, attributable to: (1) the differences between the financial statement carrying amounts of existing assets and liabilities and their respective income tax bases; and</w:t>
      </w:r>
    </w:p>
    <w:p>
      <w:pPr>
        <w:jc w:val="both"/>
        <w:ind w:firstLine="8"/>
        <w:spacing w:after="0" w:line="292" w:lineRule="auto"/>
        <w:tabs>
          <w:tab w:leader="none" w:pos="258" w:val="left"/>
        </w:tabs>
        <w:numPr>
          <w:ilvl w:val="0"/>
          <w:numId w:val="4"/>
        </w:numPr>
        <w:rPr>
          <w:rFonts w:ascii="Arial" w:cs="Arial" w:eastAsia="Arial" w:hAnsi="Arial"/>
          <w:sz w:val="16"/>
          <w:szCs w:val="16"/>
          <w:color w:val="auto"/>
        </w:rPr>
      </w:pPr>
      <w:r>
        <w:rPr>
          <w:rFonts w:ascii="Arial" w:cs="Arial" w:eastAsia="Arial" w:hAnsi="Arial"/>
          <w:sz w:val="16"/>
          <w:szCs w:val="16"/>
          <w:color w:val="auto"/>
        </w:rPr>
        <w:t>operating loss and tax credit carryforwards. Deferred tax assets and liabilities are measured using enacted tax rates expected to apply to taxable income in the years in which those temporary differences are expected to be recovered or settled. The calculation of our tax liabilities involves applying complex tax regulations in different tax jurisdictions to our tax positions. The effect on deferred tax assets and liabilities of a change in tax rates is recognized in the period that includes the enactment date. A valuation allowance is recorded to reduce the carrying amounts of deferred tax assets if it is not more likely than not that such assets will be realized. We do not record tax liabilities on undistributed earnings of international subsidiaries that are permanently reinvested.</w:t>
      </w:r>
    </w:p>
    <w:p>
      <w:pPr>
        <w:spacing w:after="0" w:line="1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tax position is first evaluated for recognition based on its technical merits. Tax positions that have a greater than fifty percent likelihood of being realized upon ultimate settlement are then measured to determine amounts to be recognized in the financial statements. This measurement incorporates information about potential settlements with taxing authorities. A previously recognized tax position is derecognized in the first period in which the position no longer meets the more-likely-than-not recognition threshold. We classify interest expense and penalties related to uncertain tax positions and interest income on tax overpayments as part of income tax expense.</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Exchange</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Our consolidated financial statements are reported in U.S. dollars. Assets and liabilities of international subsidiaries with a non-U.S. dollar functional currency are translated to U.S. dollars at the exchange rates in effect on the balance sheet date, or the last business day of the period, if applicable. Revenues and expenses for these subsidiaries are translated to U.S. dollars using a weighted average rate for the relevant reporting period. Translation adjustments resulting from this process are included, net of tax, in OCI. Gains and losses that arise from exchange rate fluctuations for monetary asset and liability balances that are not denominated in an entity’s functional currency are included within other income (expense), net in the Consolidated Statements of</w:t>
      </w:r>
    </w:p>
    <w:p>
      <w:pPr>
        <w:sectPr>
          <w:pgSz w:w="11900" w:h="16838" w:orient="portrait"/>
          <w:cols w:equalWidth="0" w:num="1">
            <w:col w:w="11420"/>
          </w:cols>
          <w:pgMar w:left="240" w:top="125" w:right="239" w:bottom="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color w:val="auto"/>
        </w:rPr>
        <w:t>Operations. Currency gains and losses of intercompany balances deemed to be long-term in nature or designated as a hedge of the net investment in international subsidiaries are included, net of tax, in OCI.</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Measurements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assets and liabilities measured at fair value, the GAAP fair value hierarchy prioritizes the inputs used in different valuation methodologies, assigning the highest priority to unadjusted quoted prices for identical assets and liabilities in actively traded markets (Level 1) and the lowest priority to unobservable inputs (Level 3). Level 2 inputs consist of quoted prices for similar assets and liabilities in active markets; quoted prices for identical or similar assets and liabilities in non-active markets; and model-derived valuations in which significant inputs are corroborated by observable market data either directly or indirectly through correlation or other means (inputs may include yield curves, volatility, credit risks, and default rates). We hold no assets or liabilities measured using Level 1 fair value inputs.</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Use of Estimates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These estimates and assumptions affect the reported amounts of assets and liabilities at the date of the financial statements and the reported amounts of revenues and expenses during the reporting period. Due to various factors affecting future costs and operations, actual results could differ materially from these estimates.</w:t>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Restatement</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unaudited quarterly financial information for the first three quarters of 2010 was restated in the fourth quarter of 2010. The restatement was made primarily to defer revenue previously recognized on one contract due to a misinterpretation of an extended warranty provision. While the restatement was not deemed material to the first three quarters of 2010, we concluded that the aggregate correction of such amounts would be material to the fourth quarter of 2010. Accordingly, although not material to our financial statements for the first and second quarters of 2010, the results of operations for the three and six months ended June 30, 2010 and cash flows for the six months ended June 30, 2010 have been restated, as well as certain balance sheet components as of June 30, 2010. The consolidated statement of operations, consolidated balance sheet, and consolidated statement of cash flows have been restated,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80" w:type="dxa"/>
            <w:vAlign w:val="bottom"/>
          </w:tcPr>
          <w:p>
            <w:pPr>
              <w:ind w:left="40"/>
              <w:spacing w:after="0"/>
              <w:rPr>
                <w:sz w:val="20"/>
                <w:szCs w:val="20"/>
                <w:color w:val="auto"/>
              </w:rPr>
            </w:pPr>
            <w:r>
              <w:rPr>
                <w:rFonts w:ascii="Arial" w:cs="Arial" w:eastAsia="Arial" w:hAnsi="Arial"/>
                <w:sz w:val="16"/>
                <w:szCs w:val="16"/>
                <w:b w:val="1"/>
                <w:bCs w:val="1"/>
                <w:color w:val="auto"/>
              </w:rPr>
              <w:t>Consolidated statement of operations</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80" w:type="dxa"/>
            <w:vAlign w:val="bottom"/>
            <w:gridSpan w:val="5"/>
          </w:tcPr>
          <w:p>
            <w:pPr>
              <w:jc w:val="right"/>
              <w:ind w:right="600"/>
              <w:spacing w:after="0"/>
              <w:rPr>
                <w:sz w:val="20"/>
                <w:szCs w:val="20"/>
                <w:color w:val="auto"/>
              </w:rPr>
            </w:pPr>
            <w:r>
              <w:rPr>
                <w:rFonts w:ascii="Arial" w:cs="Arial" w:eastAsia="Arial" w:hAnsi="Arial"/>
                <w:sz w:val="16"/>
                <w:szCs w:val="16"/>
                <w:b w:val="1"/>
                <w:bCs w:val="1"/>
                <w:color w:val="auto"/>
              </w:rPr>
              <w:t>Three Months Ended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gridSpan w:val="4"/>
          </w:tcPr>
          <w:p>
            <w:pPr>
              <w:jc w:val="right"/>
              <w:ind w:right="580"/>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4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80" w:type="dxa"/>
            <w:vAlign w:val="bottom"/>
            <w:gridSpan w:val="5"/>
          </w:tcPr>
          <w:p>
            <w:pPr>
              <w:jc w:val="right"/>
              <w:ind w:right="860"/>
              <w:spacing w:after="0"/>
              <w:rPr>
                <w:sz w:val="20"/>
                <w:szCs w:val="20"/>
                <w:color w:val="auto"/>
              </w:rPr>
            </w:pPr>
            <w:r>
              <w:rPr>
                <w:rFonts w:ascii="Arial" w:cs="Arial" w:eastAsia="Arial" w:hAnsi="Arial"/>
                <w:sz w:val="16"/>
                <w:szCs w:val="16"/>
                <w:b w:val="1"/>
                <w:bCs w:val="1"/>
                <w:color w:val="auto"/>
              </w:rPr>
              <w:t>June 30, 2010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60" w:type="dxa"/>
            <w:vAlign w:val="bottom"/>
            <w:gridSpan w:val="4"/>
          </w:tcPr>
          <w:p>
            <w:pPr>
              <w:jc w:val="right"/>
              <w:ind w:right="760"/>
              <w:spacing w:after="0"/>
              <w:rPr>
                <w:sz w:val="20"/>
                <w:szCs w:val="20"/>
                <w:color w:val="auto"/>
              </w:rPr>
            </w:pPr>
            <w:r>
              <w:rPr>
                <w:rFonts w:ascii="Arial" w:cs="Arial" w:eastAsia="Arial" w:hAnsi="Arial"/>
                <w:sz w:val="16"/>
                <w:szCs w:val="16"/>
                <w:b w:val="1"/>
                <w:bCs w:val="1"/>
                <w:color w:val="auto"/>
              </w:rPr>
              <w:t>June 30, 2010</w:t>
            </w:r>
          </w:p>
        </w:tc>
      </w:tr>
      <w:tr>
        <w:trPr>
          <w:trHeight w:val="33"/>
        </w:trPr>
        <w:tc>
          <w:tcPr>
            <w:tcW w:w="40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9"/>
        </w:trPr>
        <w:tc>
          <w:tcPr>
            <w:tcW w:w="4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87"/>
              </w:rPr>
              <w:t>As previously</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35"/>
              <w:spacing w:after="0"/>
              <w:rPr>
                <w:sz w:val="20"/>
                <w:szCs w:val="20"/>
                <w:color w:val="auto"/>
              </w:rPr>
            </w:pPr>
            <w:r>
              <w:rPr>
                <w:rFonts w:ascii="Arial" w:cs="Arial" w:eastAsia="Arial" w:hAnsi="Arial"/>
                <w:sz w:val="16"/>
                <w:szCs w:val="16"/>
                <w:b w:val="1"/>
                <w:bCs w:val="1"/>
                <w:color w:val="auto"/>
                <w:w w:val="87"/>
              </w:rPr>
              <w:t>As previously</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0"/>
        </w:trPr>
        <w:tc>
          <w:tcPr>
            <w:tcW w:w="4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reported</w:t>
            </w:r>
          </w:p>
        </w:tc>
        <w:tc>
          <w:tcPr>
            <w:tcW w:w="2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1"/>
              </w:rPr>
              <w:t>As restated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295"/>
              <w:spacing w:after="0"/>
              <w:rPr>
                <w:sz w:val="20"/>
                <w:szCs w:val="20"/>
                <w:color w:val="auto"/>
              </w:rPr>
            </w:pPr>
            <w:r>
              <w:rPr>
                <w:rFonts w:ascii="Arial" w:cs="Arial" w:eastAsia="Arial" w:hAnsi="Arial"/>
                <w:sz w:val="16"/>
                <w:szCs w:val="16"/>
                <w:b w:val="1"/>
                <w:bCs w:val="1"/>
                <w:color w:val="auto"/>
              </w:rPr>
              <w:t>reported</w:t>
            </w: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1"/>
              </w:rPr>
              <w:t>As restated</w:t>
            </w:r>
          </w:p>
        </w:tc>
      </w:tr>
      <w:tr>
        <w:trPr>
          <w:trHeight w:val="33"/>
        </w:trPr>
        <w:tc>
          <w:tcPr>
            <w:tcW w:w="408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4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gridSpan w:val="6"/>
          </w:tcPr>
          <w:p>
            <w:pPr>
              <w:jc w:val="right"/>
              <w:spacing w:after="0"/>
              <w:rPr>
                <w:sz w:val="20"/>
                <w:szCs w:val="20"/>
                <w:color w:val="auto"/>
              </w:rPr>
            </w:pPr>
            <w:r>
              <w:rPr>
                <w:rFonts w:ascii="Arial" w:cs="Arial" w:eastAsia="Arial" w:hAnsi="Arial"/>
                <w:sz w:val="16"/>
                <w:szCs w:val="16"/>
                <w:b w:val="1"/>
                <w:bCs w:val="1"/>
                <w:color w:val="auto"/>
                <w:w w:val="91"/>
              </w:rPr>
              <w:t>(in thousands, except per share data)</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70"/>
        </w:trPr>
        <w:tc>
          <w:tcPr>
            <w:tcW w:w="4080" w:type="dxa"/>
            <w:vAlign w:val="bottom"/>
          </w:tcPr>
          <w:p>
            <w:pPr>
              <w:ind w:left="40"/>
              <w:spacing w:after="0"/>
              <w:rPr>
                <w:sz w:val="20"/>
                <w:szCs w:val="20"/>
                <w:color w:val="auto"/>
              </w:rPr>
            </w:pPr>
            <w:r>
              <w:rPr>
                <w:rFonts w:ascii="Arial" w:cs="Arial" w:eastAsia="Arial" w:hAnsi="Arial"/>
                <w:sz w:val="16"/>
                <w:szCs w:val="16"/>
                <w:color w:val="auto"/>
              </w:rPr>
              <w:t>Revenues</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569,460</w:t>
            </w:r>
          </w:p>
        </w:tc>
        <w:tc>
          <w:tcPr>
            <w:tcW w:w="240" w:type="dxa"/>
            <w:vAlign w:val="bottom"/>
          </w:tcPr>
          <w:p>
            <w:pPr>
              <w:ind w:lef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567,339</w:t>
            </w:r>
          </w:p>
        </w:tc>
        <w:tc>
          <w:tcPr>
            <w:tcW w:w="100" w:type="dxa"/>
            <w:vAlign w:val="bottom"/>
          </w:tcPr>
          <w:p>
            <w:pPr>
              <w:spacing w:after="0"/>
              <w:rPr>
                <w:sz w:val="23"/>
                <w:szCs w:val="23"/>
                <w:color w:val="auto"/>
              </w:rPr>
            </w:pPr>
          </w:p>
        </w:tc>
        <w:tc>
          <w:tcPr>
            <w:tcW w:w="120" w:type="dxa"/>
            <w:vAlign w:val="bottom"/>
            <w:gridSpan w:val="2"/>
          </w:tcPr>
          <w:p>
            <w:pPr>
              <w:ind w:left="20"/>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95"/>
              <w:spacing w:after="0"/>
              <w:rPr>
                <w:sz w:val="20"/>
                <w:szCs w:val="20"/>
                <w:color w:val="auto"/>
              </w:rPr>
            </w:pPr>
            <w:r>
              <w:rPr>
                <w:rFonts w:ascii="Arial" w:cs="Arial" w:eastAsia="Arial" w:hAnsi="Arial"/>
                <w:sz w:val="16"/>
                <w:szCs w:val="16"/>
                <w:color w:val="auto"/>
              </w:rPr>
              <w:t>1,068,740</w:t>
            </w: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1,064,962</w:t>
            </w:r>
          </w:p>
        </w:tc>
      </w:tr>
      <w:tr>
        <w:trPr>
          <w:trHeight w:val="33"/>
        </w:trPr>
        <w:tc>
          <w:tcPr>
            <w:tcW w:w="4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393,136</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393,283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6"/>
                <w:szCs w:val="16"/>
                <w:color w:val="auto"/>
              </w:rPr>
              <w:t>733,521</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733,842</w:t>
            </w:r>
          </w:p>
        </w:tc>
      </w:tr>
      <w:tr>
        <w:trPr>
          <w:trHeight w:val="237"/>
        </w:trPr>
        <w:tc>
          <w:tcPr>
            <w:tcW w:w="408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176,324</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174,056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95"/>
              <w:spacing w:after="0"/>
              <w:rPr>
                <w:sz w:val="20"/>
                <w:szCs w:val="20"/>
                <w:color w:val="auto"/>
              </w:rPr>
            </w:pPr>
            <w:r>
              <w:rPr>
                <w:rFonts w:ascii="Arial" w:cs="Arial" w:eastAsia="Arial" w:hAnsi="Arial"/>
                <w:sz w:val="16"/>
                <w:szCs w:val="16"/>
                <w:color w:val="auto"/>
              </w:rPr>
              <w:t>335,219</w:t>
            </w:r>
          </w:p>
        </w:tc>
        <w:tc>
          <w:tcPr>
            <w:tcW w:w="18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331,120</w:t>
            </w:r>
          </w:p>
        </w:tc>
      </w:tr>
      <w:tr>
        <w:trPr>
          <w:trHeight w:val="33"/>
        </w:trPr>
        <w:tc>
          <w:tcPr>
            <w:tcW w:w="4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52,277</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6"/>
                <w:szCs w:val="16"/>
                <w:color w:val="auto"/>
              </w:rPr>
              <w:t>85,727</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81,628</w:t>
            </w:r>
          </w:p>
        </w:tc>
      </w:tr>
      <w:tr>
        <w:trPr>
          <w:trHeight w:val="237"/>
        </w:trPr>
        <w:tc>
          <w:tcPr>
            <w:tcW w:w="408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37,998</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35,730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95"/>
              <w:spacing w:after="0"/>
              <w:rPr>
                <w:sz w:val="20"/>
                <w:szCs w:val="20"/>
                <w:color w:val="auto"/>
              </w:rPr>
            </w:pPr>
            <w:r>
              <w:rPr>
                <w:rFonts w:ascii="Arial" w:cs="Arial" w:eastAsia="Arial" w:hAnsi="Arial"/>
                <w:sz w:val="16"/>
                <w:szCs w:val="16"/>
                <w:color w:val="auto"/>
              </w:rPr>
              <w:t>56,100</w:t>
            </w:r>
          </w:p>
        </w:tc>
        <w:tc>
          <w:tcPr>
            <w:tcW w:w="18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52,001</w:t>
            </w:r>
          </w:p>
        </w:tc>
      </w:tr>
      <w:tr>
        <w:trPr>
          <w:trHeight w:val="33"/>
        </w:trPr>
        <w:tc>
          <w:tcPr>
            <w:tcW w:w="4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(provision) benefit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(11,098)</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(10,419)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6"/>
                <w:szCs w:val="16"/>
                <w:color w:val="auto"/>
              </w:rPr>
              <w:t>(2,413)</w:t>
            </w: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(1,440)</w:t>
            </w:r>
          </w:p>
        </w:tc>
      </w:tr>
      <w:tr>
        <w:trPr>
          <w:trHeight w:val="237"/>
        </w:trPr>
        <w:tc>
          <w:tcPr>
            <w:tcW w:w="40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26,900</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25,311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95"/>
              <w:spacing w:after="0"/>
              <w:rPr>
                <w:sz w:val="20"/>
                <w:szCs w:val="20"/>
                <w:color w:val="auto"/>
              </w:rPr>
            </w:pPr>
            <w:r>
              <w:rPr>
                <w:rFonts w:ascii="Arial" w:cs="Arial" w:eastAsia="Arial" w:hAnsi="Arial"/>
                <w:sz w:val="16"/>
                <w:szCs w:val="16"/>
                <w:color w:val="auto"/>
              </w:rPr>
              <w:t>53,687</w:t>
            </w:r>
          </w:p>
        </w:tc>
        <w:tc>
          <w:tcPr>
            <w:tcW w:w="18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50,561</w:t>
            </w:r>
          </w:p>
        </w:tc>
      </w:tr>
      <w:tr>
        <w:trPr>
          <w:trHeight w:val="33"/>
        </w:trPr>
        <w:tc>
          <w:tcPr>
            <w:tcW w:w="4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0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6"/>
                <w:szCs w:val="16"/>
                <w:color w:val="auto"/>
              </w:rPr>
              <w:t>Earnings per common share - Basic</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0.67</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1"/>
                <w:szCs w:val="21"/>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95"/>
              <w:spacing w:after="0"/>
              <w:rPr>
                <w:sz w:val="20"/>
                <w:szCs w:val="20"/>
                <w:color w:val="auto"/>
              </w:rPr>
            </w:pPr>
            <w:r>
              <w:rPr>
                <w:rFonts w:ascii="Arial" w:cs="Arial" w:eastAsia="Arial" w:hAnsi="Arial"/>
                <w:sz w:val="18"/>
                <w:szCs w:val="18"/>
                <w:color w:val="auto"/>
              </w:rPr>
              <w:t>1.33</w:t>
            </w: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1.26</w:t>
            </w:r>
          </w:p>
        </w:tc>
      </w:tr>
      <w:tr>
        <w:trPr>
          <w:trHeight w:val="27"/>
        </w:trPr>
        <w:tc>
          <w:tcPr>
            <w:tcW w:w="4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per common share - Diluted</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0.65</w:t>
            </w:r>
          </w:p>
        </w:tc>
        <w:tc>
          <w:tcPr>
            <w:tcW w:w="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1.31</w:t>
            </w: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w:t>
            </w:r>
          </w:p>
        </w:tc>
      </w:tr>
      <w:tr>
        <w:trPr>
          <w:trHeight w:val="548"/>
        </w:trPr>
        <w:tc>
          <w:tcPr>
            <w:tcW w:w="4080" w:type="dxa"/>
            <w:vAlign w:val="bottom"/>
          </w:tcPr>
          <w:p>
            <w:pPr>
              <w:ind w:left="80"/>
              <w:spacing w:after="0"/>
              <w:rPr>
                <w:sz w:val="20"/>
                <w:szCs w:val="20"/>
                <w:color w:val="auto"/>
              </w:rPr>
            </w:pPr>
            <w:r>
              <w:rPr>
                <w:rFonts w:ascii="Arial" w:cs="Arial" w:eastAsia="Arial" w:hAnsi="Arial"/>
                <w:sz w:val="16"/>
                <w:szCs w:val="16"/>
                <w:b w:val="1"/>
                <w:bCs w:val="1"/>
                <w:color w:val="auto"/>
              </w:rPr>
              <w:t>Consolidated balance sheet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jc w:val="right"/>
              <w:ind w:right="655"/>
              <w:spacing w:after="0"/>
              <w:rPr>
                <w:sz w:val="20"/>
                <w:szCs w:val="20"/>
                <w:color w:val="auto"/>
              </w:rPr>
            </w:pPr>
            <w:r>
              <w:rPr>
                <w:rFonts w:ascii="Arial" w:cs="Arial" w:eastAsia="Arial" w:hAnsi="Arial"/>
                <w:sz w:val="16"/>
                <w:szCs w:val="16"/>
                <w:b w:val="1"/>
                <w:bCs w:val="1"/>
                <w:color w:val="auto"/>
              </w:rPr>
              <w:t>June 30, 2010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
        </w:trPr>
        <w:tc>
          <w:tcPr>
            <w:tcW w:w="4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Pr>
          <w:p>
            <w:pPr>
              <w:spacing w:after="0"/>
              <w:rPr>
                <w:sz w:val="2"/>
                <w:szCs w:val="2"/>
                <w:color w:val="auto"/>
              </w:rPr>
            </w:pPr>
          </w:p>
        </w:tc>
      </w:tr>
      <w:tr>
        <w:trPr>
          <w:trHeight w:val="209"/>
        </w:trPr>
        <w:tc>
          <w:tcPr>
            <w:tcW w:w="4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rPr>
              <w:t>As previously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0"/>
        </w:trPr>
        <w:tc>
          <w:tcPr>
            <w:tcW w:w="4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reported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As restated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4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Pr>
          <w:p>
            <w:pPr>
              <w:spacing w:after="0"/>
              <w:rPr>
                <w:sz w:val="2"/>
                <w:szCs w:val="2"/>
                <w:color w:val="auto"/>
              </w:rPr>
            </w:pPr>
          </w:p>
        </w:tc>
      </w:tr>
      <w:tr>
        <w:trPr>
          <w:trHeight w:val="217"/>
        </w:trPr>
        <w:tc>
          <w:tcPr>
            <w:tcW w:w="4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right"/>
              <w:ind w:right="635"/>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4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 net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366,476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366,240</w:t>
            </w:r>
          </w:p>
        </w:tc>
        <w:tc>
          <w:tcPr>
            <w:tcW w:w="880" w:type="dxa"/>
            <w:vAlign w:val="bottom"/>
          </w:tcPr>
          <w:p>
            <w:pPr>
              <w:spacing w:after="0"/>
              <w:rPr>
                <w:sz w:val="21"/>
                <w:szCs w:val="2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6"/>
                <w:szCs w:val="16"/>
                <w:color w:val="auto"/>
              </w:rPr>
              <w:t>Deferred tax assets noncurrent, net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67,684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68,657</w:t>
            </w:r>
          </w:p>
        </w:tc>
        <w:tc>
          <w:tcPr>
            <w:tcW w:w="880" w:type="dxa"/>
            <w:vAlign w:val="bottom"/>
          </w:tcPr>
          <w:p>
            <w:pPr>
              <w:spacing w:after="0"/>
              <w:rPr>
                <w:sz w:val="21"/>
                <w:szCs w:val="21"/>
                <w:color w:val="auto"/>
              </w:rPr>
            </w:pPr>
          </w:p>
        </w:tc>
      </w:tr>
      <w:tr>
        <w:trPr>
          <w:trHeight w:val="27"/>
        </w:trPr>
        <w:tc>
          <w:tcPr>
            <w:tcW w:w="4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warranty</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22,953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23,274</w:t>
            </w:r>
          </w:p>
        </w:tc>
        <w:tc>
          <w:tcPr>
            <w:tcW w:w="880" w:type="dxa"/>
            <w:vAlign w:val="bottom"/>
          </w:tcPr>
          <w:p>
            <w:pPr>
              <w:spacing w:after="0"/>
              <w:rPr>
                <w:sz w:val="21"/>
                <w:szCs w:val="2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6"/>
                <w:szCs w:val="16"/>
                <w:color w:val="auto"/>
              </w:rPr>
              <w:t>Other long-term obligations</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67,908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71,478</w:t>
            </w:r>
          </w:p>
        </w:tc>
        <w:tc>
          <w:tcPr>
            <w:tcW w:w="880" w:type="dxa"/>
            <w:vAlign w:val="bottom"/>
          </w:tcPr>
          <w:p>
            <w:pPr>
              <w:spacing w:after="0"/>
              <w:rPr>
                <w:sz w:val="21"/>
                <w:szCs w:val="21"/>
                <w:color w:val="auto"/>
              </w:rPr>
            </w:pPr>
          </w:p>
        </w:tc>
      </w:tr>
      <w:tr>
        <w:trPr>
          <w:trHeight w:val="27"/>
        </w:trPr>
        <w:tc>
          <w:tcPr>
            <w:tcW w:w="4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loss, net</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(116,019)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(116,047)</w:t>
            </w:r>
          </w:p>
        </w:tc>
        <w:tc>
          <w:tcPr>
            <w:tcW w:w="880" w:type="dxa"/>
            <w:vAlign w:val="bottom"/>
          </w:tcPr>
          <w:p>
            <w:pPr>
              <w:spacing w:after="0"/>
              <w:rPr>
                <w:sz w:val="21"/>
                <w:szCs w:val="2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6"/>
                <w:szCs w:val="16"/>
                <w:color w:val="auto"/>
              </w:rPr>
              <w:t>Retained earnings</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83,937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80,811</w:t>
            </w:r>
          </w:p>
        </w:tc>
        <w:tc>
          <w:tcPr>
            <w:tcW w:w="880" w:type="dxa"/>
            <w:vAlign w:val="bottom"/>
          </w:tcPr>
          <w:p>
            <w:pPr>
              <w:spacing w:after="0"/>
              <w:rPr>
                <w:sz w:val="21"/>
                <w:szCs w:val="21"/>
                <w:color w:val="auto"/>
              </w:rPr>
            </w:pPr>
          </w:p>
        </w:tc>
      </w:tr>
      <w:tr>
        <w:trPr>
          <w:trHeight w:val="594"/>
        </w:trPr>
        <w:tc>
          <w:tcPr>
            <w:tcW w:w="4080" w:type="dxa"/>
            <w:vAlign w:val="bottom"/>
          </w:tcPr>
          <w:p>
            <w:pPr>
              <w:ind w:left="80"/>
              <w:spacing w:after="0"/>
              <w:rPr>
                <w:sz w:val="20"/>
                <w:szCs w:val="20"/>
                <w:color w:val="auto"/>
              </w:rPr>
            </w:pPr>
            <w:r>
              <w:rPr>
                <w:rFonts w:ascii="Arial" w:cs="Arial" w:eastAsia="Arial" w:hAnsi="Arial"/>
                <w:sz w:val="16"/>
                <w:szCs w:val="16"/>
                <w:b w:val="1"/>
                <w:bCs w:val="1"/>
                <w:color w:val="auto"/>
              </w:rPr>
              <w:t>Consolidated statement of cash flow</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80" w:type="dxa"/>
            <w:vAlign w:val="bottom"/>
            <w:gridSpan w:val="5"/>
          </w:tcPr>
          <w:p>
            <w:pPr>
              <w:jc w:val="right"/>
              <w:ind w:right="600"/>
              <w:spacing w:after="0"/>
              <w:rPr>
                <w:sz w:val="20"/>
                <w:szCs w:val="20"/>
                <w:color w:val="auto"/>
              </w:rPr>
            </w:pPr>
            <w:r>
              <w:rPr>
                <w:rFonts w:ascii="Arial" w:cs="Arial" w:eastAsia="Arial" w:hAnsi="Arial"/>
                <w:sz w:val="16"/>
                <w:szCs w:val="16"/>
                <w:b w:val="1"/>
                <w:bCs w:val="1"/>
                <w:color w:val="auto"/>
              </w:rPr>
              <w:t>Six Months Ended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0"/>
        </w:trPr>
        <w:tc>
          <w:tcPr>
            <w:tcW w:w="4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80" w:type="dxa"/>
            <w:vAlign w:val="bottom"/>
            <w:gridSpan w:val="5"/>
          </w:tcPr>
          <w:p>
            <w:pPr>
              <w:jc w:val="right"/>
              <w:ind w:right="780"/>
              <w:spacing w:after="0"/>
              <w:rPr>
                <w:sz w:val="20"/>
                <w:szCs w:val="20"/>
                <w:color w:val="auto"/>
              </w:rPr>
            </w:pPr>
            <w:r>
              <w:rPr>
                <w:rFonts w:ascii="Arial" w:cs="Arial" w:eastAsia="Arial" w:hAnsi="Arial"/>
                <w:sz w:val="16"/>
                <w:szCs w:val="16"/>
                <w:b w:val="1"/>
                <w:bCs w:val="1"/>
                <w:color w:val="auto"/>
              </w:rPr>
              <w:t>June 30, 2010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33"/>
        </w:trPr>
        <w:tc>
          <w:tcPr>
            <w:tcW w:w="40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9"/>
        </w:trPr>
        <w:tc>
          <w:tcPr>
            <w:tcW w:w="4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w w:val="95"/>
              </w:rPr>
              <w:t>As previously</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0"/>
        </w:trPr>
        <w:tc>
          <w:tcPr>
            <w:tcW w:w="4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reported</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As restated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20955</wp:posOffset>
            </wp:positionV>
            <wp:extent cx="16294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9410" cy="8890"/>
                    </a:xfrm>
                    <a:prstGeom prst="rect">
                      <a:avLst/>
                    </a:prstGeom>
                    <a:noFill/>
                  </pic:spPr>
                </pic:pic>
              </a:graphicData>
            </a:graphic>
          </wp:anchor>
        </w:drawing>
      </w:r>
    </w:p>
    <w:p>
      <w:pPr>
        <w:sectPr>
          <w:pgSz w:w="11900" w:h="16838" w:orient="portrait"/>
          <w:cols w:equalWidth="0" w:num="1">
            <w:col w:w="11420"/>
          </w:cols>
          <w:pgMar w:left="240" w:top="125" w:right="239" w:bottom="118" w:gutter="0" w:footer="0" w:header="0"/>
        </w:sectPr>
      </w:pPr>
    </w:p>
    <w:p>
      <w:pPr>
        <w:spacing w:after="0" w:line="320"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425386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53865" cy="171450"/>
                    </a:xfrm>
                    <a:prstGeom prst="rect">
                      <a:avLst/>
                    </a:prstGeom>
                    <a:noFill/>
                  </pic:spPr>
                </pic:pic>
              </a:graphicData>
            </a:graphic>
          </wp:anchor>
        </w:drawing>
      </w:r>
    </w:p>
    <w:p>
      <w:pPr>
        <w:spacing w:after="0" w:line="66" w:lineRule="exact"/>
        <w:rPr>
          <w:sz w:val="20"/>
          <w:szCs w:val="20"/>
          <w:color w:val="auto"/>
        </w:rPr>
      </w:pPr>
    </w:p>
    <w:p>
      <w:pPr>
        <w:ind w:left="380"/>
        <w:spacing w:after="0"/>
        <w:tabs>
          <w:tab w:leader="none" w:pos="4140" w:val="left"/>
        </w:tabs>
        <w:rPr>
          <w:sz w:val="20"/>
          <w:szCs w:val="20"/>
          <w:color w:val="auto"/>
        </w:rPr>
      </w:pPr>
      <w:r>
        <w:rPr>
          <w:rFonts w:ascii="Arial" w:cs="Arial" w:eastAsia="Arial" w:hAnsi="Arial"/>
          <w:sz w:val="16"/>
          <w:szCs w:val="16"/>
          <w:color w:val="auto"/>
        </w:rPr>
        <w:t>Net income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4253865" cy="291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53865" cy="291465"/>
                    </a:xfrm>
                    <a:prstGeom prst="rect">
                      <a:avLst/>
                    </a:prstGeom>
                    <a:noFill/>
                  </pic:spPr>
                </pic:pic>
              </a:graphicData>
            </a:graphic>
          </wp:anchor>
        </w:drawing>
      </w:r>
    </w:p>
    <w:p>
      <w:pPr>
        <w:spacing w:after="0" w:line="66" w:lineRule="exact"/>
        <w:rPr>
          <w:sz w:val="20"/>
          <w:szCs w:val="20"/>
          <w:color w:val="auto"/>
        </w:rPr>
      </w:pPr>
    </w:p>
    <w:p>
      <w:pPr>
        <w:ind w:left="540" w:right="120" w:hanging="161"/>
        <w:spacing w:after="0" w:line="293" w:lineRule="auto"/>
        <w:rPr>
          <w:sz w:val="20"/>
          <w:szCs w:val="20"/>
          <w:color w:val="auto"/>
        </w:rPr>
      </w:pPr>
      <w:r>
        <w:rPr>
          <w:rFonts w:ascii="Arial" w:cs="Arial" w:eastAsia="Arial" w:hAnsi="Arial"/>
          <w:sz w:val="16"/>
          <w:szCs w:val="16"/>
          <w:color w:val="auto"/>
        </w:rPr>
        <w:t>Adjustments to reconcile net income to net cash provided by operating activities:</w:t>
      </w:r>
    </w:p>
    <w:p>
      <w:pPr>
        <w:spacing w:after="0" w:line="1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Deferred taxes,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425386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5386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5"/>
          <w:szCs w:val="15"/>
          <w:color w:val="auto"/>
        </w:rPr>
        <w:t>Changes in operating assets and liabilities, net of acquisition:</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425386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53865"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Unearned revenue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Warranty</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(in thousands)</w:t>
      </w:r>
    </w:p>
    <w:p>
      <w:pPr>
        <w:spacing w:after="0" w:line="360" w:lineRule="exact"/>
        <w:rPr>
          <w:sz w:val="20"/>
          <w:szCs w:val="20"/>
          <w:color w:val="auto"/>
        </w:rPr>
      </w:pPr>
    </w:p>
    <w:p>
      <w:pPr>
        <w:ind w:left="60"/>
        <w:spacing w:after="0"/>
        <w:tabs>
          <w:tab w:leader="none" w:pos="700" w:val="left"/>
          <w:tab w:leader="none" w:pos="1380" w:val="left"/>
        </w:tabs>
        <w:rPr>
          <w:sz w:val="20"/>
          <w:szCs w:val="20"/>
          <w:color w:val="auto"/>
        </w:rPr>
      </w:pPr>
      <w:r>
        <w:rPr>
          <w:rFonts w:ascii="Arial" w:cs="Arial" w:eastAsia="Arial" w:hAnsi="Arial"/>
          <w:sz w:val="16"/>
          <w:szCs w:val="16"/>
          <w:color w:val="auto"/>
        </w:rPr>
        <w:t>53,687</w:t>
        <w:tab/>
        <w:t>$</w:t>
      </w:r>
      <w:r>
        <w:rPr>
          <w:sz w:val="20"/>
          <w:szCs w:val="20"/>
          <w:color w:val="auto"/>
        </w:rPr>
        <w:tab/>
      </w:r>
      <w:r>
        <w:rPr>
          <w:rFonts w:ascii="Arial" w:cs="Arial" w:eastAsia="Arial" w:hAnsi="Arial"/>
          <w:sz w:val="14"/>
          <w:szCs w:val="14"/>
          <w:color w:val="auto"/>
        </w:rPr>
        <w:t>50,561</w:t>
      </w:r>
    </w:p>
    <w:p>
      <w:pPr>
        <w:spacing w:after="0" w:line="200" w:lineRule="exact"/>
        <w:rPr>
          <w:sz w:val="20"/>
          <w:szCs w:val="20"/>
          <w:color w:val="auto"/>
        </w:rPr>
      </w:pPr>
    </w:p>
    <w:p>
      <w:pPr>
        <w:spacing w:after="0" w:line="345" w:lineRule="exact"/>
        <w:rPr>
          <w:sz w:val="20"/>
          <w:szCs w:val="20"/>
          <w:color w:val="auto"/>
        </w:rPr>
      </w:pPr>
    </w:p>
    <w:p>
      <w:pPr>
        <w:ind w:left="100"/>
        <w:spacing w:after="0"/>
        <w:tabs>
          <w:tab w:leader="none" w:pos="1400" w:val="left"/>
        </w:tabs>
        <w:rPr>
          <w:sz w:val="20"/>
          <w:szCs w:val="20"/>
          <w:color w:val="auto"/>
        </w:rPr>
      </w:pPr>
      <w:r>
        <w:rPr>
          <w:rFonts w:ascii="Arial" w:cs="Arial" w:eastAsia="Arial" w:hAnsi="Arial"/>
          <w:sz w:val="15"/>
          <w:szCs w:val="15"/>
          <w:color w:val="auto"/>
        </w:rPr>
        <w:t>(7,159)</w:t>
      </w:r>
      <w:r>
        <w:rPr>
          <w:sz w:val="20"/>
          <w:szCs w:val="20"/>
          <w:color w:val="auto"/>
        </w:rPr>
        <w:tab/>
      </w:r>
      <w:r>
        <w:rPr>
          <w:rFonts w:ascii="Arial" w:cs="Arial" w:eastAsia="Arial" w:hAnsi="Arial"/>
          <w:sz w:val="15"/>
          <w:szCs w:val="15"/>
          <w:color w:val="auto"/>
        </w:rPr>
        <w:t>(8,132)</w:t>
      </w:r>
    </w:p>
    <w:p>
      <w:pPr>
        <w:spacing w:after="0" w:line="368" w:lineRule="exact"/>
        <w:rPr>
          <w:sz w:val="20"/>
          <w:szCs w:val="20"/>
          <w:color w:val="auto"/>
        </w:rPr>
      </w:pPr>
    </w:p>
    <w:p>
      <w:pPr>
        <w:spacing w:after="0"/>
        <w:tabs>
          <w:tab w:leader="none" w:pos="1320" w:val="left"/>
        </w:tabs>
        <w:rPr>
          <w:sz w:val="20"/>
          <w:szCs w:val="20"/>
          <w:color w:val="auto"/>
        </w:rPr>
      </w:pPr>
      <w:r>
        <w:rPr>
          <w:rFonts w:ascii="Arial" w:cs="Arial" w:eastAsia="Arial" w:hAnsi="Arial"/>
          <w:sz w:val="15"/>
          <w:szCs w:val="15"/>
          <w:color w:val="auto"/>
        </w:rPr>
        <w:t>(52,332)</w:t>
      </w:r>
      <w:r>
        <w:rPr>
          <w:sz w:val="20"/>
          <w:szCs w:val="20"/>
          <w:color w:val="auto"/>
        </w:rPr>
        <w:tab/>
      </w:r>
      <w:r>
        <w:rPr>
          <w:rFonts w:ascii="Arial" w:cs="Arial" w:eastAsia="Arial" w:hAnsi="Arial"/>
          <w:sz w:val="15"/>
          <w:szCs w:val="15"/>
          <w:color w:val="auto"/>
        </w:rPr>
        <w:t>(52,124)</w:t>
      </w:r>
    </w:p>
    <w:p>
      <w:pPr>
        <w:spacing w:after="0" w:line="98" w:lineRule="exact"/>
        <w:rPr>
          <w:sz w:val="20"/>
          <w:szCs w:val="20"/>
          <w:color w:val="auto"/>
        </w:rPr>
      </w:pPr>
    </w:p>
    <w:p>
      <w:pPr>
        <w:ind w:left="100"/>
        <w:spacing w:after="0"/>
        <w:tabs>
          <w:tab w:leader="none" w:pos="1460" w:val="left"/>
        </w:tabs>
        <w:rPr>
          <w:sz w:val="20"/>
          <w:szCs w:val="20"/>
          <w:color w:val="auto"/>
        </w:rPr>
      </w:pPr>
      <w:r>
        <w:rPr>
          <w:rFonts w:ascii="Arial" w:cs="Arial" w:eastAsia="Arial" w:hAnsi="Arial"/>
          <w:sz w:val="16"/>
          <w:szCs w:val="16"/>
          <w:color w:val="auto"/>
        </w:rPr>
        <w:t>(1,205)</w:t>
      </w:r>
      <w:r>
        <w:rPr>
          <w:sz w:val="20"/>
          <w:szCs w:val="20"/>
          <w:color w:val="auto"/>
        </w:rPr>
        <w:tab/>
      </w:r>
      <w:r>
        <w:rPr>
          <w:rFonts w:ascii="Arial" w:cs="Arial" w:eastAsia="Arial" w:hAnsi="Arial"/>
          <w:sz w:val="16"/>
          <w:szCs w:val="16"/>
          <w:color w:val="auto"/>
        </w:rPr>
        <w:t>2,365</w:t>
      </w:r>
    </w:p>
    <w:p>
      <w:pPr>
        <w:spacing w:after="0" w:line="86" w:lineRule="exact"/>
        <w:rPr>
          <w:sz w:val="20"/>
          <w:szCs w:val="20"/>
          <w:color w:val="auto"/>
        </w:rPr>
      </w:pPr>
    </w:p>
    <w:p>
      <w:pPr>
        <w:ind w:left="60"/>
        <w:spacing w:after="0"/>
        <w:tabs>
          <w:tab w:leader="none" w:pos="1380" w:val="left"/>
        </w:tabs>
        <w:rPr>
          <w:sz w:val="20"/>
          <w:szCs w:val="20"/>
          <w:color w:val="auto"/>
        </w:rPr>
      </w:pPr>
      <w:r>
        <w:rPr>
          <w:rFonts w:ascii="Arial" w:cs="Arial" w:eastAsia="Arial" w:hAnsi="Arial"/>
          <w:sz w:val="16"/>
          <w:szCs w:val="16"/>
          <w:color w:val="auto"/>
        </w:rPr>
        <w:t>14,034</w:t>
      </w:r>
      <w:r>
        <w:rPr>
          <w:sz w:val="20"/>
          <w:szCs w:val="20"/>
          <w:color w:val="auto"/>
        </w:rPr>
        <w:tab/>
      </w:r>
      <w:r>
        <w:rPr>
          <w:rFonts w:ascii="Arial" w:cs="Arial" w:eastAsia="Arial" w:hAnsi="Arial"/>
          <w:sz w:val="16"/>
          <w:szCs w:val="16"/>
          <w:color w:val="auto"/>
        </w:rPr>
        <w:t>14,355</w:t>
      </w:r>
    </w:p>
    <w:p>
      <w:pPr>
        <w:sectPr>
          <w:pgSz w:w="11900" w:h="16838" w:orient="portrait"/>
          <w:cols w:equalWidth="0" w:num="2">
            <w:col w:w="4240" w:space="540"/>
            <w:col w:w="6640"/>
          </w:cols>
          <w:pgMar w:left="240" w:top="125" w:right="239" w:bottom="118"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19"/>
          </w:cols>
          <w:pgMar w:left="1440" w:top="125" w:right="1440"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Earnings Per Share and Capital Structure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 (EPS):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254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8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20" w:type="dxa"/>
            <w:vAlign w:val="bottom"/>
            <w:gridSpan w:val="3"/>
          </w:tcPr>
          <w:p>
            <w:pPr>
              <w:jc w:val="right"/>
              <w:ind w:right="599"/>
              <w:spacing w:after="0"/>
              <w:rPr>
                <w:sz w:val="20"/>
                <w:szCs w:val="20"/>
                <w:color w:val="auto"/>
              </w:rPr>
            </w:pPr>
            <w:r>
              <w:rPr>
                <w:rFonts w:ascii="Arial" w:cs="Arial" w:eastAsia="Arial" w:hAnsi="Arial"/>
                <w:sz w:val="16"/>
                <w:szCs w:val="16"/>
                <w:b w:val="1"/>
                <w:bCs w:val="1"/>
                <w:color w:val="auto"/>
              </w:rPr>
              <w:t>June 30,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2010</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479"/>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6"/>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6"/>
          </w:tcPr>
          <w:p>
            <w:pPr>
              <w:ind w:left="240"/>
              <w:spacing w:after="0"/>
              <w:rPr>
                <w:sz w:val="20"/>
                <w:szCs w:val="20"/>
                <w:color w:val="auto"/>
              </w:rPr>
            </w:pPr>
            <w:r>
              <w:rPr>
                <w:rFonts w:ascii="Arial" w:cs="Arial" w:eastAsia="Arial" w:hAnsi="Arial"/>
                <w:sz w:val="16"/>
                <w:szCs w:val="16"/>
                <w:b w:val="1"/>
                <w:bCs w:val="1"/>
                <w:color w:val="auto"/>
              </w:rPr>
              <w:t>(in thousands, except per share data)</w:t>
            </w: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available to common shareholders</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34,436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25,311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61,556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50,561</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Basic</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40,670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40,329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40,608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40,261</w:t>
            </w:r>
          </w:p>
        </w:tc>
        <w:tc>
          <w:tcPr>
            <w:tcW w:w="0" w:type="dxa"/>
            <w:vAlign w:val="bottom"/>
          </w:tcPr>
          <w:p>
            <w:pPr>
              <w:spacing w:after="0"/>
              <w:rPr>
                <w:sz w:val="1"/>
                <w:szCs w:val="1"/>
                <w:color w:val="auto"/>
              </w:rPr>
            </w:pPr>
          </w:p>
        </w:tc>
      </w:tr>
      <w:tr>
        <w:trPr>
          <w:trHeight w:val="237"/>
        </w:trPr>
        <w:tc>
          <w:tcPr>
            <w:tcW w:w="5160" w:type="dxa"/>
            <w:vAlign w:val="bottom"/>
          </w:tcPr>
          <w:p>
            <w:pPr>
              <w:ind w:left="380"/>
              <w:spacing w:after="0"/>
              <w:rPr>
                <w:sz w:val="20"/>
                <w:szCs w:val="20"/>
                <w:color w:val="auto"/>
              </w:rPr>
            </w:pPr>
            <w:r>
              <w:rPr>
                <w:rFonts w:ascii="Arial" w:cs="Arial" w:eastAsia="Arial" w:hAnsi="Arial"/>
                <w:sz w:val="16"/>
                <w:szCs w:val="16"/>
                <w:color w:val="auto"/>
              </w:rPr>
              <w:t>Dilutive effect of convertible notes</w:t>
            </w:r>
          </w:p>
        </w:tc>
        <w:tc>
          <w:tcPr>
            <w:tcW w:w="920" w:type="dxa"/>
            <w:vAlign w:val="bottom"/>
          </w:tcPr>
          <w:p>
            <w:pPr>
              <w:spacing w:after="0"/>
              <w:rPr>
                <w:sz w:val="20"/>
                <w:szCs w:val="20"/>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283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Dilutive effect of stock-based awards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407</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544</w:t>
            </w:r>
          </w:p>
        </w:tc>
        <w:tc>
          <w:tcPr>
            <w:tcW w:w="0" w:type="dxa"/>
            <w:vAlign w:val="bottom"/>
          </w:tcPr>
          <w:p>
            <w:pPr>
              <w:spacing w:after="0"/>
              <w:rPr>
                <w:sz w:val="1"/>
                <w:szCs w:val="1"/>
                <w:color w:val="auto"/>
              </w:rPr>
            </w:pPr>
          </w:p>
        </w:tc>
      </w:tr>
      <w:tr>
        <w:trPr>
          <w:trHeight w:val="217"/>
        </w:trPr>
        <w:tc>
          <w:tcPr>
            <w:tcW w:w="5160" w:type="dxa"/>
            <w:vAlign w:val="bottom"/>
          </w:tcPr>
          <w:p>
            <w:pPr>
              <w:ind w:left="40"/>
              <w:spacing w:after="0"/>
              <w:rPr>
                <w:sz w:val="20"/>
                <w:szCs w:val="20"/>
                <w:color w:val="auto"/>
              </w:rPr>
            </w:pPr>
            <w:r>
              <w:rPr>
                <w:rFonts w:ascii="Arial" w:cs="Arial" w:eastAsia="Arial" w:hAnsi="Arial"/>
                <w:sz w:val="16"/>
                <w:szCs w:val="16"/>
                <w:color w:val="auto"/>
              </w:rPr>
              <w:t>Weighted average common shares outstanding - Diluted</w:t>
            </w: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41,077</w:t>
            </w:r>
          </w:p>
        </w:tc>
        <w:tc>
          <w:tcPr>
            <w:tcW w:w="1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41,161</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41,059</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41,011</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per common share - Basic</w:t>
            </w: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0.85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Earnings per common share - Diluted</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60" w:type="dxa"/>
            <w:vAlign w:val="bottom"/>
            <w:vMerge w:val="continue"/>
          </w:tcPr>
          <w:p>
            <w:pPr>
              <w:spacing w:after="0"/>
              <w:rPr>
                <w:sz w:val="17"/>
                <w:szCs w:val="17"/>
                <w:color w:val="auto"/>
              </w:rPr>
            </w:pP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0.84</w:t>
            </w:r>
          </w:p>
        </w:tc>
        <w:tc>
          <w:tcPr>
            <w:tcW w:w="120" w:type="dxa"/>
            <w:vAlign w:val="bottom"/>
          </w:tcPr>
          <w:p>
            <w:pPr>
              <w:spacing w:after="0"/>
              <w:rPr>
                <w:sz w:val="17"/>
                <w:szCs w:val="17"/>
                <w:color w:val="auto"/>
              </w:rPr>
            </w:pP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0.61</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7"/>
                <w:szCs w:val="17"/>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Convertible Notes</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required, pursuant to the indenture for the convertible notes, to settle the principal amount of the convertible notes in cash and may elect to settle the remaining conversion obligation (stock price in excess of conversion price) in cash, shares, or a combination. We include in the EPS calculation the amount of shares it would take to satisfy the conversion obligation, assuming that all of the convertible notes are converted. The average quarterly closing prices of our common stock were used as the basis for determining the dilutive effect on EPS. The average price of our common stock for the three and six months ended June 30, 2011 did not exceed the conversion price of $65.16 and, therefore, did not have an effect on diluted EPS. The average price of our common stock for the three and six months ended June 30, 2010 exceeded the conversion price of $65.16 and, therefore, approximately 283,000 and 206,000 shares have been included in the diluted EPS calculation for those respective periods.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Awards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common stock at the average market price during the period. Related proceeds include the amount the employee must pay upon exercise, future compensation cost associated with the stock award, and the amount of excess tax benefits, if any. Approximately 672,000 and 664,000 stock-based awards were excluded from the calculation of diluted EPS for the three and six months ended June 30, 2011, and approximately 308,000 and 385,000 stock-based awards were excluded from the calculation of diluted EPS for the three and six months ended June 30, 2010, respectively, because they were anti-dilutive. These stock-based awards could be dilutive in future periods.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Preferred Stock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will be entitled to be paid a preferential amount per share to be determined by the Board of Directors prior to any payment to holders of common stock. Shares of preferred stock may be converted into common stock based on terms, conditions, and rates as defined in the Rights Agreement, which may be adjusted by the Board of Directors. There was no preferred stock sold or outstanding at June 30, 2011 and December 31, 2010.</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Certain Balance Sheet Components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r>
              <w:rPr>
                <w:rFonts w:ascii="Arial" w:cs="Arial" w:eastAsia="Arial" w:hAnsi="Arial"/>
                <w:sz w:val="18"/>
                <w:szCs w:val="18"/>
                <w:i w:val="1"/>
                <w:iCs w:val="1"/>
                <w:color w:val="auto"/>
              </w:rPr>
              <w:t>Accounts receivable, net</w:t>
            </w:r>
          </w:p>
        </w:tc>
        <w:tc>
          <w:tcPr>
            <w:tcW w:w="400" w:type="dxa"/>
            <w:vAlign w:val="bottom"/>
          </w:tcPr>
          <w:p>
            <w:pPr>
              <w:spacing w:after="0"/>
              <w:rPr>
                <w:sz w:val="20"/>
                <w:szCs w:val="20"/>
                <w:color w:val="auto"/>
              </w:rPr>
            </w:pPr>
          </w:p>
        </w:tc>
        <w:tc>
          <w:tcPr>
            <w:tcW w:w="2020" w:type="dxa"/>
            <w:vAlign w:val="bottom"/>
            <w:gridSpan w:val="2"/>
          </w:tcPr>
          <w:p>
            <w:pPr>
              <w:ind w:left="280"/>
              <w:spacing w:after="0"/>
              <w:rPr>
                <w:sz w:val="20"/>
                <w:szCs w:val="20"/>
                <w:color w:val="auto"/>
              </w:rPr>
            </w:pPr>
            <w:r>
              <w:rPr>
                <w:rFonts w:ascii="Arial" w:cs="Arial" w:eastAsia="Arial" w:hAnsi="Arial"/>
                <w:sz w:val="16"/>
                <w:szCs w:val="16"/>
                <w:b w:val="1"/>
                <w:bCs w:val="1"/>
                <w:color w:val="auto"/>
              </w:rPr>
              <w:t>June 30, 2011</w:t>
            </w:r>
          </w:p>
        </w:tc>
        <w:tc>
          <w:tcPr>
            <w:tcW w:w="460" w:type="dxa"/>
            <w:vAlign w:val="bottom"/>
          </w:tcPr>
          <w:p>
            <w:pPr>
              <w:spacing w:after="0"/>
              <w:rPr>
                <w:sz w:val="20"/>
                <w:szCs w:val="20"/>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2010</w:t>
            </w:r>
          </w:p>
        </w:tc>
      </w:tr>
      <w:tr>
        <w:trPr>
          <w:trHeight w:val="27"/>
        </w:trPr>
        <w:tc>
          <w:tcPr>
            <w:tcW w:w="67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Trade receivables (net of allowance of $8,980 and $9,045)</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348,736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328,811</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Unbilled receivables</w:t>
            </w:r>
          </w:p>
        </w:tc>
        <w:tc>
          <w:tcPr>
            <w:tcW w:w="400" w:type="dxa"/>
            <w:vAlign w:val="bottom"/>
          </w:tcPr>
          <w:p>
            <w:pPr>
              <w:spacing w:after="0"/>
              <w:rPr>
                <w:sz w:val="20"/>
                <w:szCs w:val="20"/>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29,099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42,851</w:t>
            </w:r>
          </w:p>
        </w:tc>
      </w:tr>
      <w:tr>
        <w:trPr>
          <w:trHeight w:val="33"/>
        </w:trPr>
        <w:tc>
          <w:tcPr>
            <w:tcW w:w="67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accounts receivable, net</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377,835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371,662</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2011 and December 31, 2010, $134,000 and $12.5 million were recorded within trade receivables as billed but not yet paid by customers in accordance with contract retainage provisions. At June 30, 2011 and December 31, 2010, contract retainage amounts that were unbilled and classified as unbilled receivables were $4.5 million and $2.1 million. These contract retainage amounts within trade receivables and unbilled receivables are expected to be collected within the following 12 months.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June 30, 2011 and December 31, 2010, long-term unbilled receivables and long-term retainage contract receivables were $36.5 million and $5.9 million. The increase in long-term receivables from December 31, 2010 to June 30, 2011 includes $12.5 million of retainage contract receivables and $12.0 million of unbilled receivables, which were reclassified to long-term at June 30, 2011 due to a delay in reaching certain contract milestones required for payment. These long-term unbilled receivables and retainage contract receivables are classified within other long-term assets as collection is not anticipated within the following 12 months. However, collection is expected within the following 18 months.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Pr>
          <w:p>
            <w:pPr>
              <w:ind w:left="40"/>
              <w:spacing w:after="0"/>
              <w:rPr>
                <w:sz w:val="20"/>
                <w:szCs w:val="20"/>
                <w:color w:val="auto"/>
              </w:rPr>
            </w:pPr>
            <w:r>
              <w:rPr>
                <w:rFonts w:ascii="Arial" w:cs="Arial" w:eastAsia="Arial" w:hAnsi="Arial"/>
                <w:sz w:val="18"/>
                <w:szCs w:val="18"/>
                <w:i w:val="1"/>
                <w:iCs w:val="1"/>
                <w:color w:val="auto"/>
              </w:rPr>
              <w:t>Allowance for doubtful account activity</w:t>
            </w:r>
          </w:p>
        </w:tc>
        <w:tc>
          <w:tcPr>
            <w:tcW w:w="278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Six Months Ended</w:t>
            </w:r>
          </w:p>
        </w:tc>
        <w:tc>
          <w:tcPr>
            <w:tcW w:w="960" w:type="dxa"/>
            <w:vAlign w:val="bottom"/>
          </w:tcPr>
          <w:p>
            <w:pPr>
              <w:spacing w:after="0"/>
              <w:rPr>
                <w:sz w:val="17"/>
                <w:szCs w:val="17"/>
                <w:color w:val="auto"/>
              </w:rPr>
            </w:pPr>
          </w:p>
        </w:tc>
      </w:tr>
      <w:tr>
        <w:trPr>
          <w:trHeight w:val="210"/>
        </w:trPr>
        <w:tc>
          <w:tcPr>
            <w:tcW w:w="4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740" w:type="dxa"/>
            <w:vAlign w:val="bottom"/>
            <w:gridSpan w:val="3"/>
          </w:tcPr>
          <w:p>
            <w:pPr>
              <w:jc w:val="right"/>
              <w:ind w:right="719"/>
              <w:spacing w:after="0"/>
              <w:rPr>
                <w:sz w:val="20"/>
                <w:szCs w:val="20"/>
                <w:color w:val="auto"/>
              </w:rPr>
            </w:pPr>
            <w:r>
              <w:rPr>
                <w:rFonts w:ascii="Arial" w:cs="Arial" w:eastAsia="Arial" w:hAnsi="Arial"/>
                <w:sz w:val="16"/>
                <w:szCs w:val="16"/>
                <w:b w:val="1"/>
                <w:bCs w:val="1"/>
                <w:color w:val="auto"/>
              </w:rPr>
              <w:t>June 30,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gridSpan w:val="2"/>
          </w:tcPr>
          <w:p>
            <w:pPr>
              <w:jc w:val="right"/>
              <w:ind w:right="299"/>
              <w:spacing w:after="0"/>
              <w:rPr>
                <w:sz w:val="20"/>
                <w:szCs w:val="20"/>
                <w:color w:val="auto"/>
              </w:rPr>
            </w:pPr>
            <w:r>
              <w:rPr>
                <w:rFonts w:ascii="Arial" w:cs="Arial" w:eastAsia="Arial" w:hAnsi="Arial"/>
                <w:sz w:val="16"/>
                <w:szCs w:val="16"/>
                <w:b w:val="1"/>
                <w:bCs w:val="1"/>
                <w:color w:val="auto"/>
              </w:rPr>
              <w:t>June 30,</w:t>
            </w:r>
          </w:p>
        </w:tc>
        <w:tc>
          <w:tcPr>
            <w:tcW w:w="9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2010</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0" w:type="dxa"/>
            <w:vAlign w:val="bottom"/>
          </w:tcPr>
          <w:p>
            <w:pPr>
              <w:jc w:val="right"/>
              <w:ind w:right="539"/>
              <w:spacing w:after="0"/>
              <w:rPr>
                <w:sz w:val="20"/>
                <w:szCs w:val="20"/>
                <w:color w:val="auto"/>
              </w:rPr>
            </w:pPr>
            <w:r>
              <w:rPr>
                <w:rFonts w:ascii="Arial" w:cs="Arial" w:eastAsia="Arial" w:hAnsi="Arial"/>
                <w:sz w:val="16"/>
                <w:szCs w:val="16"/>
                <w:b w:val="1"/>
                <w:bCs w:val="1"/>
                <w:color w:val="auto"/>
                <w:w w:val="89"/>
              </w:rPr>
              <w:t>2010</w:t>
            </w:r>
          </w:p>
        </w:tc>
      </w:tr>
      <w:tr>
        <w:trPr>
          <w:trHeight w:val="33"/>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40" w:type="dxa"/>
            <w:vAlign w:val="bottom"/>
            <w:gridSpan w:val="3"/>
          </w:tcPr>
          <w:p>
            <w:pPr>
              <w:jc w:val="right"/>
              <w:ind w:right="479"/>
              <w:spacing w:after="0"/>
              <w:rPr>
                <w:sz w:val="20"/>
                <w:szCs w:val="20"/>
                <w:color w:val="auto"/>
              </w:rPr>
            </w:pPr>
            <w:r>
              <w:rPr>
                <w:rFonts w:ascii="Arial" w:cs="Arial" w:eastAsia="Arial" w:hAnsi="Arial"/>
                <w:sz w:val="16"/>
                <w:szCs w:val="16"/>
                <w:b w:val="1"/>
                <w:bCs w:val="1"/>
                <w:color w:val="auto"/>
                <w:w w:val="96"/>
              </w:rPr>
              <w:t>(in thousands)</w:t>
            </w: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9,030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5,870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9,045</w:t>
            </w:r>
          </w:p>
        </w:tc>
        <w:tc>
          <w:tcPr>
            <w:tcW w:w="68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6,339</w:t>
            </w: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Provision (release) of doubtful accounts, net</w:t>
            </w:r>
          </w:p>
        </w:tc>
        <w:tc>
          <w:tcPr>
            <w:tcW w:w="10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298</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6"/>
                <w:szCs w:val="16"/>
                <w:color w:val="auto"/>
              </w:rPr>
              <w:t>742</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(48)</w:t>
            </w:r>
          </w:p>
        </w:tc>
        <w:tc>
          <w:tcPr>
            <w:tcW w:w="6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662</w:t>
            </w: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written-off</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(552)</w:t>
            </w:r>
          </w:p>
        </w:tc>
        <w:tc>
          <w:tcPr>
            <w:tcW w:w="6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w:t>
            </w: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Effects of change in exchange rates</w:t>
            </w:r>
          </w:p>
        </w:tc>
        <w:tc>
          <w:tcPr>
            <w:tcW w:w="10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535</w:t>
            </w:r>
          </w:p>
        </w:tc>
        <w:tc>
          <w:tcPr>
            <w:tcW w:w="6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(530)</w:t>
            </w:r>
          </w:p>
        </w:tc>
      </w:tr>
      <w:tr>
        <w:trPr>
          <w:trHeight w:val="33"/>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8,980</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6,298</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8,980</w:t>
            </w:r>
          </w:p>
        </w:tc>
        <w:tc>
          <w:tcPr>
            <w:tcW w:w="68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6,298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40"/>
              <w:spacing w:after="0"/>
              <w:rPr>
                <w:sz w:val="20"/>
                <w:szCs w:val="20"/>
                <w:color w:val="auto"/>
              </w:rPr>
            </w:pPr>
            <w:r>
              <w:rPr>
                <w:rFonts w:ascii="Arial" w:cs="Arial" w:eastAsia="Arial" w:hAnsi="Arial"/>
                <w:sz w:val="18"/>
                <w:szCs w:val="18"/>
                <w:i w:val="1"/>
                <w:iCs w:val="1"/>
                <w:color w:val="auto"/>
              </w:rPr>
              <w:t>Inventories</w:t>
            </w:r>
          </w:p>
        </w:tc>
        <w:tc>
          <w:tcPr>
            <w:tcW w:w="400" w:type="dxa"/>
            <w:vAlign w:val="bottom"/>
          </w:tcPr>
          <w:p>
            <w:pPr>
              <w:spacing w:after="0"/>
              <w:rPr>
                <w:sz w:val="20"/>
                <w:szCs w:val="20"/>
                <w:color w:val="auto"/>
              </w:rPr>
            </w:pPr>
          </w:p>
        </w:tc>
        <w:tc>
          <w:tcPr>
            <w:tcW w:w="2020" w:type="dxa"/>
            <w:vAlign w:val="bottom"/>
            <w:gridSpan w:val="2"/>
          </w:tcPr>
          <w:p>
            <w:pPr>
              <w:ind w:left="280"/>
              <w:spacing w:after="0"/>
              <w:rPr>
                <w:sz w:val="20"/>
                <w:szCs w:val="20"/>
                <w:color w:val="auto"/>
              </w:rPr>
            </w:pPr>
            <w:r>
              <w:rPr>
                <w:rFonts w:ascii="Arial" w:cs="Arial" w:eastAsia="Arial" w:hAnsi="Arial"/>
                <w:sz w:val="16"/>
                <w:szCs w:val="16"/>
                <w:b w:val="1"/>
                <w:bCs w:val="1"/>
                <w:color w:val="auto"/>
              </w:rPr>
              <w:t>June 30, 2011</w:t>
            </w:r>
          </w:p>
        </w:tc>
        <w:tc>
          <w:tcPr>
            <w:tcW w:w="460" w:type="dxa"/>
            <w:vAlign w:val="bottom"/>
          </w:tcPr>
          <w:p>
            <w:pPr>
              <w:spacing w:after="0"/>
              <w:rPr>
                <w:sz w:val="20"/>
                <w:szCs w:val="20"/>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2010</w:t>
            </w:r>
          </w:p>
        </w:tc>
      </w:tr>
      <w:tr>
        <w:trPr>
          <w:trHeight w:val="27"/>
        </w:trPr>
        <w:tc>
          <w:tcPr>
            <w:tcW w:w="67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gridSpan w:val="3"/>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8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Materials</w:t>
            </w: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132,303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106,021</w:t>
            </w:r>
          </w:p>
        </w:tc>
      </w:tr>
      <w:tr>
        <w:trPr>
          <w:trHeight w:val="237"/>
        </w:trPr>
        <w:tc>
          <w:tcPr>
            <w:tcW w:w="6740" w:type="dxa"/>
            <w:vAlign w:val="bottom"/>
          </w:tcPr>
          <w:p>
            <w:pPr>
              <w:ind w:left="360"/>
              <w:spacing w:after="0"/>
              <w:rPr>
                <w:sz w:val="20"/>
                <w:szCs w:val="20"/>
                <w:color w:val="auto"/>
              </w:rPr>
            </w:pPr>
            <w:r>
              <w:rPr>
                <w:rFonts w:ascii="Arial" w:cs="Arial" w:eastAsia="Arial" w:hAnsi="Arial"/>
                <w:sz w:val="16"/>
                <w:szCs w:val="16"/>
                <w:color w:val="auto"/>
              </w:rPr>
              <w:t>Work in process</w:t>
            </w:r>
          </w:p>
        </w:tc>
        <w:tc>
          <w:tcPr>
            <w:tcW w:w="400" w:type="dxa"/>
            <w:vAlign w:val="bottom"/>
          </w:tcPr>
          <w:p>
            <w:pPr>
              <w:spacing w:after="0"/>
              <w:rPr>
                <w:sz w:val="20"/>
                <w:szCs w:val="20"/>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color w:val="auto"/>
              </w:rPr>
              <w:t>26,058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18,389</w:t>
            </w:r>
          </w:p>
        </w:tc>
      </w:tr>
      <w:tr>
        <w:trPr>
          <w:trHeight w:val="33"/>
        </w:trPr>
        <w:tc>
          <w:tcPr>
            <w:tcW w:w="6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Finished goods</w:t>
            </w:r>
          </w:p>
        </w:tc>
        <w:tc>
          <w:tcPr>
            <w:tcW w:w="4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94,718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83,747</w:t>
            </w:r>
          </w:p>
        </w:tc>
      </w:tr>
      <w:tr>
        <w:trPr>
          <w:trHeight w:val="217"/>
        </w:trPr>
        <w:tc>
          <w:tcPr>
            <w:tcW w:w="6740" w:type="dxa"/>
            <w:vAlign w:val="bottom"/>
          </w:tcPr>
          <w:p>
            <w:pPr>
              <w:ind w:left="720"/>
              <w:spacing w:after="0"/>
              <w:rPr>
                <w:sz w:val="20"/>
                <w:szCs w:val="20"/>
                <w:color w:val="auto"/>
              </w:rPr>
            </w:pPr>
            <w:r>
              <w:rPr>
                <w:rFonts w:ascii="Arial" w:cs="Arial" w:eastAsia="Arial" w:hAnsi="Arial"/>
                <w:sz w:val="16"/>
                <w:szCs w:val="16"/>
                <w:color w:val="auto"/>
              </w:rPr>
              <w:t>Total inventories</w:t>
            </w: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253,079</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208,157</w:t>
            </w:r>
          </w:p>
        </w:tc>
      </w:tr>
      <w:tr>
        <w:trPr>
          <w:trHeight w:val="33"/>
        </w:trPr>
        <w:tc>
          <w:tcPr>
            <w:tcW w:w="67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inventory levels may vary period to period as a result of our factory scheduling and the timing of contract fulfillments, which may include the buildup of finished goods for shipment.</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Consigned inventory is held at third-party locations; however, we retain title to the inventory until purchased by the third-party. Consigned inventory, consisting of raw materials and finished goods, was $15.1 million and $17.6 million at June 30, 2011 and December 31, 2010, respectively.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470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700" w:type="dxa"/>
            <w:vAlign w:val="bottom"/>
            <w:gridSpan w:val="2"/>
          </w:tcPr>
          <w:p>
            <w:pPr>
              <w:ind w:left="40"/>
              <w:spacing w:after="0"/>
              <w:rPr>
                <w:sz w:val="20"/>
                <w:szCs w:val="20"/>
                <w:color w:val="auto"/>
              </w:rPr>
            </w:pPr>
            <w:r>
              <w:rPr>
                <w:rFonts w:ascii="Arial" w:cs="Arial" w:eastAsia="Arial" w:hAnsi="Arial"/>
                <w:sz w:val="18"/>
                <w:szCs w:val="18"/>
                <w:i w:val="1"/>
                <w:iCs w:val="1"/>
                <w:color w:val="auto"/>
              </w:rPr>
              <w:t>Property, plant, and equipment, net</w:t>
            </w: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40" w:type="dxa"/>
            <w:vAlign w:val="bottom"/>
            <w:gridSpan w:val="4"/>
          </w:tcPr>
          <w:p>
            <w:pPr>
              <w:jc w:val="right"/>
              <w:ind w:right="800"/>
              <w:spacing w:after="0"/>
              <w:rPr>
                <w:sz w:val="20"/>
                <w:szCs w:val="20"/>
                <w:color w:val="auto"/>
              </w:rPr>
            </w:pPr>
            <w:r>
              <w:rPr>
                <w:rFonts w:ascii="Arial" w:cs="Arial" w:eastAsia="Arial" w:hAnsi="Arial"/>
                <w:sz w:val="16"/>
                <w:szCs w:val="16"/>
                <w:b w:val="1"/>
                <w:bCs w:val="1"/>
                <w:color w:val="auto"/>
                <w:w w:val="88"/>
              </w:rPr>
              <w:t>June 30, 2011</w:t>
            </w:r>
          </w:p>
        </w:tc>
        <w:tc>
          <w:tcPr>
            <w:tcW w:w="460" w:type="dxa"/>
            <w:vAlign w:val="bottom"/>
          </w:tcPr>
          <w:p>
            <w:pPr>
              <w:spacing w:after="0"/>
              <w:rPr>
                <w:sz w:val="24"/>
                <w:szCs w:val="24"/>
                <w:color w:val="auto"/>
              </w:rPr>
            </w:pPr>
          </w:p>
        </w:tc>
        <w:tc>
          <w:tcPr>
            <w:tcW w:w="1800" w:type="dxa"/>
            <w:vAlign w:val="bottom"/>
            <w:gridSpan w:val="2"/>
          </w:tcPr>
          <w:p>
            <w:pPr>
              <w:jc w:val="right"/>
              <w:ind w:right="399"/>
              <w:spacing w:after="0"/>
              <w:rPr>
                <w:sz w:val="20"/>
                <w:szCs w:val="20"/>
                <w:color w:val="auto"/>
              </w:rPr>
            </w:pPr>
            <w:r>
              <w:rPr>
                <w:rFonts w:ascii="Arial" w:cs="Arial" w:eastAsia="Arial" w:hAnsi="Arial"/>
                <w:sz w:val="16"/>
                <w:szCs w:val="16"/>
                <w:b w:val="1"/>
                <w:bCs w:val="1"/>
                <w:color w:val="auto"/>
                <w:w w:val="90"/>
              </w:rPr>
              <w:t>December 31, 2010</w:t>
            </w:r>
          </w:p>
        </w:tc>
        <w:tc>
          <w:tcPr>
            <w:tcW w:w="0" w:type="dxa"/>
            <w:vAlign w:val="bottom"/>
          </w:tcPr>
          <w:p>
            <w:pPr>
              <w:spacing w:after="0"/>
              <w:rPr>
                <w:sz w:val="1"/>
                <w:szCs w:val="1"/>
                <w:color w:val="auto"/>
              </w:rPr>
            </w:pPr>
          </w:p>
        </w:tc>
      </w:tr>
      <w:tr>
        <w:trPr>
          <w:trHeight w:val="27"/>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2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ind w:left="440"/>
              <w:spacing w:after="0"/>
              <w:rPr>
                <w:sz w:val="20"/>
                <w:szCs w:val="20"/>
                <w:color w:val="auto"/>
              </w:rPr>
            </w:pPr>
            <w:r>
              <w:rPr>
                <w:rFonts w:ascii="Arial" w:cs="Arial" w:eastAsia="Arial" w:hAnsi="Arial"/>
                <w:sz w:val="16"/>
                <w:szCs w:val="16"/>
                <w:b w:val="1"/>
                <w:bCs w:val="1"/>
                <w:color w:val="auto"/>
                <w:w w:val="90"/>
              </w:rPr>
              <w:t>(in thousands)</w:t>
            </w: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Machinery and equipment</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284,431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265,113</w:t>
            </w:r>
          </w:p>
        </w:tc>
        <w:tc>
          <w:tcPr>
            <w:tcW w:w="0" w:type="dxa"/>
            <w:vAlign w:val="bottom"/>
          </w:tcPr>
          <w:p>
            <w:pPr>
              <w:spacing w:after="0"/>
              <w:rPr>
                <w:sz w:val="1"/>
                <w:szCs w:val="1"/>
                <w:color w:val="auto"/>
              </w:rPr>
            </w:pPr>
          </w:p>
        </w:tc>
      </w:tr>
      <w:tr>
        <w:trPr>
          <w:trHeight w:val="237"/>
        </w:trPr>
        <w:tc>
          <w:tcPr>
            <w:tcW w:w="4700" w:type="dxa"/>
            <w:vAlign w:val="bottom"/>
            <w:gridSpan w:val="2"/>
          </w:tcPr>
          <w:p>
            <w:pPr>
              <w:ind w:left="360"/>
              <w:spacing w:after="0"/>
              <w:rPr>
                <w:sz w:val="20"/>
                <w:szCs w:val="20"/>
                <w:color w:val="auto"/>
              </w:rPr>
            </w:pPr>
            <w:r>
              <w:rPr>
                <w:rFonts w:ascii="Arial" w:cs="Arial" w:eastAsia="Arial" w:hAnsi="Arial"/>
                <w:sz w:val="16"/>
                <w:szCs w:val="16"/>
                <w:color w:val="auto"/>
              </w:rPr>
              <w:t>Computers and purchased software</w:t>
            </w: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69,894</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63,077</w:t>
            </w:r>
          </w:p>
        </w:tc>
        <w:tc>
          <w:tcPr>
            <w:tcW w:w="0" w:type="dxa"/>
            <w:vAlign w:val="bottom"/>
          </w:tcPr>
          <w:p>
            <w:pPr>
              <w:spacing w:after="0"/>
              <w:rPr>
                <w:sz w:val="1"/>
                <w:szCs w:val="1"/>
                <w:color w:val="auto"/>
              </w:rPr>
            </w:pPr>
          </w:p>
        </w:tc>
      </w:tr>
      <w:tr>
        <w:trPr>
          <w:trHeight w:val="33"/>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Buildings, furniture, and improvements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150,987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146,661</w:t>
            </w:r>
          </w:p>
        </w:tc>
        <w:tc>
          <w:tcPr>
            <w:tcW w:w="0" w:type="dxa"/>
            <w:vAlign w:val="bottom"/>
          </w:tcPr>
          <w:p>
            <w:pPr>
              <w:spacing w:after="0"/>
              <w:rPr>
                <w:sz w:val="1"/>
                <w:szCs w:val="1"/>
                <w:color w:val="auto"/>
              </w:rPr>
            </w:pPr>
          </w:p>
        </w:tc>
      </w:tr>
      <w:tr>
        <w:trPr>
          <w:trHeight w:val="237"/>
        </w:trPr>
        <w:tc>
          <w:tcPr>
            <w:tcW w:w="4700" w:type="dxa"/>
            <w:vAlign w:val="bottom"/>
            <w:gridSpan w:val="2"/>
          </w:tcPr>
          <w:p>
            <w:pPr>
              <w:ind w:left="360"/>
              <w:spacing w:after="0"/>
              <w:rPr>
                <w:sz w:val="20"/>
                <w:szCs w:val="20"/>
                <w:color w:val="auto"/>
              </w:rPr>
            </w:pPr>
            <w:r>
              <w:rPr>
                <w:rFonts w:ascii="Arial" w:cs="Arial" w:eastAsia="Arial" w:hAnsi="Arial"/>
                <w:sz w:val="16"/>
                <w:szCs w:val="16"/>
                <w:color w:val="auto"/>
              </w:rPr>
              <w:t>Land</w:t>
            </w: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33,879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35,968</w:t>
            </w:r>
          </w:p>
        </w:tc>
        <w:tc>
          <w:tcPr>
            <w:tcW w:w="0" w:type="dxa"/>
            <w:vAlign w:val="bottom"/>
          </w:tcPr>
          <w:p>
            <w:pPr>
              <w:spacing w:after="0"/>
              <w:rPr>
                <w:sz w:val="1"/>
                <w:szCs w:val="1"/>
                <w:color w:val="auto"/>
              </w:rPr>
            </w:pPr>
          </w:p>
        </w:tc>
      </w:tr>
      <w:tr>
        <w:trPr>
          <w:trHeight w:val="33"/>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Construction in progress, including purchased equipment</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24,600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20,531</w:t>
            </w:r>
          </w:p>
        </w:tc>
        <w:tc>
          <w:tcPr>
            <w:tcW w:w="0" w:type="dxa"/>
            <w:vAlign w:val="bottom"/>
          </w:tcPr>
          <w:p>
            <w:pPr>
              <w:spacing w:after="0"/>
              <w:rPr>
                <w:sz w:val="1"/>
                <w:szCs w:val="1"/>
                <w:color w:val="auto"/>
              </w:rPr>
            </w:pPr>
          </w:p>
        </w:tc>
      </w:tr>
      <w:tr>
        <w:trPr>
          <w:trHeight w:val="217"/>
        </w:trPr>
        <w:tc>
          <w:tcPr>
            <w:tcW w:w="4700" w:type="dxa"/>
            <w:vAlign w:val="bottom"/>
            <w:gridSpan w:val="2"/>
          </w:tcPr>
          <w:p>
            <w:pPr>
              <w:ind w:left="720"/>
              <w:spacing w:after="0"/>
              <w:rPr>
                <w:sz w:val="20"/>
                <w:szCs w:val="20"/>
                <w:color w:val="auto"/>
              </w:rPr>
            </w:pPr>
            <w:r>
              <w:rPr>
                <w:rFonts w:ascii="Arial" w:cs="Arial" w:eastAsia="Arial" w:hAnsi="Arial"/>
                <w:sz w:val="16"/>
                <w:szCs w:val="16"/>
                <w:color w:val="auto"/>
              </w:rPr>
              <w:t>Total cost</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563,791</w:t>
            </w: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531,350</w:t>
            </w:r>
          </w:p>
        </w:tc>
        <w:tc>
          <w:tcPr>
            <w:tcW w:w="0" w:type="dxa"/>
            <w:vAlign w:val="bottom"/>
          </w:tcPr>
          <w:p>
            <w:pPr>
              <w:spacing w:after="0"/>
              <w:rPr>
                <w:sz w:val="1"/>
                <w:szCs w:val="1"/>
                <w:color w:val="auto"/>
              </w:rPr>
            </w:pPr>
          </w:p>
        </w:tc>
      </w:tr>
      <w:tr>
        <w:trPr>
          <w:trHeight w:val="33"/>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Accumulated depreciation</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(262,333)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(232,108)</w:t>
            </w:r>
          </w:p>
        </w:tc>
        <w:tc>
          <w:tcPr>
            <w:tcW w:w="0" w:type="dxa"/>
            <w:vAlign w:val="bottom"/>
          </w:tcPr>
          <w:p>
            <w:pPr>
              <w:spacing w:after="0"/>
              <w:rPr>
                <w:sz w:val="1"/>
                <w:szCs w:val="1"/>
                <w:color w:val="auto"/>
              </w:rPr>
            </w:pPr>
          </w:p>
        </w:tc>
      </w:tr>
      <w:tr>
        <w:trPr>
          <w:trHeight w:val="217"/>
        </w:trPr>
        <w:tc>
          <w:tcPr>
            <w:tcW w:w="4700" w:type="dxa"/>
            <w:vAlign w:val="bottom"/>
            <w:gridSpan w:val="2"/>
          </w:tcPr>
          <w:p>
            <w:pPr>
              <w:ind w:left="1040"/>
              <w:spacing w:after="0"/>
              <w:rPr>
                <w:sz w:val="20"/>
                <w:szCs w:val="20"/>
                <w:color w:val="auto"/>
              </w:rPr>
            </w:pPr>
            <w:r>
              <w:rPr>
                <w:rFonts w:ascii="Arial" w:cs="Arial" w:eastAsia="Arial" w:hAnsi="Arial"/>
                <w:sz w:val="16"/>
                <w:szCs w:val="16"/>
                <w:color w:val="auto"/>
              </w:rPr>
              <w:t>Property, plant, and equipment, net</w:t>
            </w: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301,458</w:t>
            </w:r>
          </w:p>
        </w:tc>
        <w:tc>
          <w:tcPr>
            <w:tcW w:w="120" w:type="dxa"/>
            <w:vAlign w:val="bottom"/>
          </w:tcPr>
          <w:p>
            <w:pPr>
              <w:spacing w:after="0"/>
              <w:rPr>
                <w:sz w:val="18"/>
                <w:szCs w:val="18"/>
                <w:color w:val="auto"/>
              </w:rPr>
            </w:pPr>
          </w:p>
        </w:tc>
        <w:tc>
          <w:tcPr>
            <w:tcW w:w="4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299,242</w:t>
            </w:r>
          </w:p>
        </w:tc>
        <w:tc>
          <w:tcPr>
            <w:tcW w:w="0" w:type="dxa"/>
            <w:vAlign w:val="bottom"/>
          </w:tcPr>
          <w:p>
            <w:pPr>
              <w:spacing w:after="0"/>
              <w:rPr>
                <w:sz w:val="1"/>
                <w:szCs w:val="1"/>
                <w:color w:val="auto"/>
              </w:rPr>
            </w:pPr>
          </w:p>
        </w:tc>
      </w:tr>
      <w:tr>
        <w:trPr>
          <w:trHeight w:val="33"/>
        </w:trPr>
        <w:tc>
          <w:tcPr>
            <w:tcW w:w="4700" w:type="dxa"/>
            <w:vAlign w:val="bottom"/>
            <w:gridSpan w:val="2"/>
            <w:vMerge w:val="restart"/>
          </w:tcPr>
          <w:p>
            <w:pPr>
              <w:ind w:left="40"/>
              <w:spacing w:after="0"/>
              <w:rPr>
                <w:sz w:val="20"/>
                <w:szCs w:val="20"/>
                <w:color w:val="auto"/>
              </w:rPr>
            </w:pPr>
            <w:r>
              <w:rPr>
                <w:rFonts w:ascii="Arial" w:cs="Arial" w:eastAsia="Arial" w:hAnsi="Arial"/>
                <w:sz w:val="18"/>
                <w:szCs w:val="18"/>
                <w:i w:val="1"/>
                <w:iCs w:val="1"/>
                <w:color w:val="auto"/>
              </w:rPr>
              <w:t>Depreciation expense</w:t>
            </w:r>
          </w:p>
        </w:tc>
        <w:tc>
          <w:tcPr>
            <w:tcW w:w="2040" w:type="dxa"/>
            <w:vAlign w:val="bottom"/>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continue"/>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4700" w:type="dxa"/>
            <w:vAlign w:val="bottom"/>
            <w:gridSpan w:val="2"/>
            <w:vMerge w:val="continue"/>
          </w:tcPr>
          <w:p>
            <w:pPr>
              <w:spacing w:after="0"/>
              <w:rPr>
                <w:sz w:val="24"/>
                <w:szCs w:val="24"/>
                <w:color w:val="auto"/>
              </w:rPr>
            </w:pPr>
          </w:p>
        </w:tc>
        <w:tc>
          <w:tcPr>
            <w:tcW w:w="272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Three Months Ended</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Six Months Ended</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20" w:type="dxa"/>
            <w:vAlign w:val="bottom"/>
            <w:gridSpan w:val="3"/>
          </w:tcPr>
          <w:p>
            <w:pPr>
              <w:jc w:val="right"/>
              <w:ind w:right="659"/>
              <w:spacing w:after="0"/>
              <w:rPr>
                <w:sz w:val="20"/>
                <w:szCs w:val="20"/>
                <w:color w:val="auto"/>
              </w:rPr>
            </w:pPr>
            <w:r>
              <w:rPr>
                <w:rFonts w:ascii="Arial" w:cs="Arial" w:eastAsia="Arial" w:hAnsi="Arial"/>
                <w:sz w:val="16"/>
                <w:szCs w:val="16"/>
                <w:b w:val="1"/>
                <w:bCs w:val="1"/>
                <w:color w:val="auto"/>
              </w:rPr>
              <w:t>June 30,</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Arial" w:cs="Arial" w:eastAsia="Arial" w:hAnsi="Arial"/>
                <w:sz w:val="16"/>
                <w:szCs w:val="16"/>
                <w:b w:val="1"/>
                <w:bCs w:val="1"/>
                <w:color w:val="auto"/>
                <w:w w:val="87"/>
              </w:rPr>
              <w:t>June 30,</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2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6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2010</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2011</w:t>
            </w: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60" w:type="dxa"/>
            <w:vAlign w:val="bottom"/>
          </w:tcPr>
          <w:p>
            <w:pPr>
              <w:jc w:val="right"/>
              <w:ind w:right="539"/>
              <w:spacing w:after="0"/>
              <w:rPr>
                <w:sz w:val="20"/>
                <w:szCs w:val="20"/>
                <w:color w:val="auto"/>
              </w:rPr>
            </w:pPr>
            <w:r>
              <w:rPr>
                <w:rFonts w:ascii="Arial" w:cs="Arial" w:eastAsia="Arial" w:hAnsi="Arial"/>
                <w:sz w:val="16"/>
                <w:szCs w:val="16"/>
                <w:b w:val="1"/>
                <w:bCs w:val="1"/>
                <w:color w:val="auto"/>
                <w:w w:val="89"/>
              </w:rPr>
              <w:t>2010</w:t>
            </w:r>
          </w:p>
        </w:tc>
        <w:tc>
          <w:tcPr>
            <w:tcW w:w="0" w:type="dxa"/>
            <w:vAlign w:val="bottom"/>
          </w:tcPr>
          <w:p>
            <w:pPr>
              <w:spacing w:after="0"/>
              <w:rPr>
                <w:sz w:val="1"/>
                <w:szCs w:val="1"/>
                <w:color w:val="auto"/>
              </w:rPr>
            </w:pPr>
          </w:p>
        </w:tc>
      </w:tr>
      <w:tr>
        <w:trPr>
          <w:trHeight w:val="33"/>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2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740" w:type="dxa"/>
            <w:vAlign w:val="bottom"/>
            <w:gridSpan w:val="4"/>
          </w:tcPr>
          <w:p>
            <w:pPr>
              <w:jc w:val="right"/>
              <w:ind w:right="600"/>
              <w:spacing w:after="0"/>
              <w:rPr>
                <w:sz w:val="20"/>
                <w:szCs w:val="20"/>
                <w:color w:val="auto"/>
              </w:rPr>
            </w:pPr>
            <w:r>
              <w:rPr>
                <w:rFonts w:ascii="Arial" w:cs="Arial" w:eastAsia="Arial" w:hAnsi="Arial"/>
                <w:sz w:val="16"/>
                <w:szCs w:val="16"/>
                <w:b w:val="1"/>
                <w:bCs w:val="1"/>
                <w:color w:val="auto"/>
              </w:rPr>
              <w:t>(in thousands)</w:t>
            </w: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Depreciation expense</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8"/>
              </w:rPr>
              <w:t>16,571</w:t>
            </w:r>
          </w:p>
        </w:tc>
        <w:tc>
          <w:tcPr>
            <w:tcW w:w="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14,994</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w w:val="85"/>
              </w:rPr>
              <w:t>32,505</w:t>
            </w:r>
          </w:p>
        </w:tc>
        <w:tc>
          <w:tcPr>
            <w:tcW w:w="8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30,494</w:t>
            </w:r>
          </w:p>
        </w:tc>
        <w:tc>
          <w:tcPr>
            <w:tcW w:w="0" w:type="dxa"/>
            <w:vAlign w:val="bottom"/>
          </w:tcPr>
          <w:p>
            <w:pPr>
              <w:spacing w:after="0"/>
              <w:rPr>
                <w:sz w:val="1"/>
                <w:szCs w:val="1"/>
                <w:color w:val="auto"/>
              </w:rPr>
            </w:pPr>
          </w:p>
        </w:tc>
      </w:tr>
      <w:tr>
        <w:trPr>
          <w:trHeight w:val="33"/>
        </w:trPr>
        <w:tc>
          <w:tcPr>
            <w:tcW w:w="1280" w:type="dxa"/>
            <w:vAlign w:val="bottom"/>
            <w:shd w:val="clear" w:color="auto" w:fill="CCEEFF"/>
          </w:tcPr>
          <w:p>
            <w:pPr>
              <w:spacing w:after="0"/>
              <w:rPr>
                <w:sz w:val="2"/>
                <w:szCs w:val="2"/>
                <w:color w:val="auto"/>
              </w:rPr>
            </w:pPr>
          </w:p>
        </w:tc>
        <w:tc>
          <w:tcPr>
            <w:tcW w:w="34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our intangible assets, other than goodwill,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 2011</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gridSpan w:val="4"/>
          </w:tcPr>
          <w:p>
            <w:pPr>
              <w:ind w:left="80"/>
              <w:spacing w:after="0"/>
              <w:rPr>
                <w:sz w:val="20"/>
                <w:szCs w:val="20"/>
                <w:color w:val="auto"/>
              </w:rPr>
            </w:pPr>
            <w:r>
              <w:rPr>
                <w:rFonts w:ascii="Arial" w:cs="Arial" w:eastAsia="Arial" w:hAnsi="Arial"/>
                <w:sz w:val="16"/>
                <w:szCs w:val="16"/>
                <w:b w:val="1"/>
                <w:bCs w:val="1"/>
                <w:color w:val="auto"/>
              </w:rPr>
              <w:t>December 31, 2010</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6"/>
                <w:szCs w:val="16"/>
                <w:b w:val="1"/>
                <w:bCs w:val="1"/>
                <w:color w:val="auto"/>
              </w:rPr>
              <w:t>Accumulated</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Arial" w:cs="Arial" w:eastAsia="Arial" w:hAnsi="Arial"/>
                <w:sz w:val="16"/>
                <w:szCs w:val="16"/>
                <w:b w:val="1"/>
                <w:bCs w:val="1"/>
                <w:color w:val="auto"/>
              </w:rPr>
              <w:t>Gross Assets</w:t>
            </w:r>
          </w:p>
        </w:tc>
        <w:tc>
          <w:tcPr>
            <w:tcW w:w="14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6"/>
                <w:szCs w:val="16"/>
                <w:b w:val="1"/>
                <w:bCs w:val="1"/>
                <w:color w:val="auto"/>
              </w:rPr>
              <w:t>Amortization</w:t>
            </w:r>
          </w:p>
        </w:tc>
        <w:tc>
          <w:tcPr>
            <w:tcW w:w="28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6"/>
                <w:szCs w:val="16"/>
                <w:b w:val="1"/>
                <w:bCs w:val="1"/>
                <w:color w:val="auto"/>
              </w:rPr>
              <w:t>Net</w:t>
            </w:r>
          </w:p>
        </w:tc>
        <w:tc>
          <w:tcPr>
            <w:tcW w:w="1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b w:val="1"/>
                <w:bCs w:val="1"/>
                <w:color w:val="auto"/>
                <w:w w:val="85"/>
              </w:rPr>
              <w:t>Gross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280" w:type="dxa"/>
            <w:vAlign w:val="bottom"/>
          </w:tcPr>
          <w:p>
            <w:pPr>
              <w:spacing w:after="0"/>
              <w:rPr>
                <w:sz w:val="18"/>
                <w:szCs w:val="18"/>
                <w:color w:val="auto"/>
              </w:rPr>
            </w:pPr>
          </w:p>
        </w:tc>
        <w:tc>
          <w:tcPr>
            <w:tcW w:w="840" w:type="dxa"/>
            <w:vAlign w:val="bottom"/>
          </w:tcPr>
          <w:p>
            <w:pPr>
              <w:jc w:val="right"/>
              <w:ind w:right="359"/>
              <w:spacing w:after="0"/>
              <w:rPr>
                <w:sz w:val="20"/>
                <w:szCs w:val="20"/>
                <w:color w:val="auto"/>
              </w:rPr>
            </w:pPr>
            <w:r>
              <w:rPr>
                <w:rFonts w:ascii="Arial" w:cs="Arial" w:eastAsia="Arial" w:hAnsi="Arial"/>
                <w:sz w:val="16"/>
                <w:szCs w:val="16"/>
                <w:b w:val="1"/>
                <w:bCs w:val="1"/>
                <w:color w:val="auto"/>
              </w:rPr>
              <w:t>Net</w:t>
            </w:r>
          </w:p>
        </w:tc>
      </w:tr>
      <w:tr>
        <w:trPr>
          <w:trHeight w:val="33"/>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Core-developed technology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406,570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(302,669)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103,901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378,705</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(274,198)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104,507</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Customer contracts and relationships</w:t>
            </w: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307,223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(131,606)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175,617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282,997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(110,539)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172,458</w:t>
            </w:r>
          </w:p>
        </w:tc>
      </w:tr>
      <w:tr>
        <w:trPr>
          <w:trHeight w:val="33"/>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Trademarks and trade names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77,078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(64,196)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73,194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(59,235)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13,959</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11,177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(10,647)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24,256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(23,510)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746</w:t>
            </w:r>
          </w:p>
        </w:tc>
      </w:tr>
      <w:tr>
        <w:trPr>
          <w:trHeight w:val="33"/>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5"/>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intangible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802,048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(509,118)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292,930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759,152</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(467,482)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291,670</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intangible asset account activity is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Arial" w:cs="Arial" w:eastAsia="Arial" w:hAnsi="Arial"/>
                <w:sz w:val="16"/>
                <w:szCs w:val="16"/>
                <w:b w:val="1"/>
                <w:bCs w:val="1"/>
                <w:color w:val="auto"/>
                <w:w w:val="92"/>
              </w:rPr>
              <w:t>Six Months Ended June 30,</w:t>
            </w:r>
          </w:p>
        </w:tc>
        <w:tc>
          <w:tcPr>
            <w:tcW w:w="134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40" w:type="dxa"/>
            <w:vAlign w:val="bottom"/>
          </w:tcPr>
          <w:p>
            <w:pPr>
              <w:jc w:val="right"/>
              <w:ind w:right="899"/>
              <w:spacing w:after="0"/>
              <w:rPr>
                <w:sz w:val="20"/>
                <w:szCs w:val="20"/>
                <w:color w:val="auto"/>
              </w:rPr>
            </w:pPr>
            <w:r>
              <w:rPr>
                <w:rFonts w:ascii="Arial" w:cs="Arial" w:eastAsia="Arial" w:hAnsi="Arial"/>
                <w:sz w:val="16"/>
                <w:szCs w:val="16"/>
                <w:b w:val="1"/>
                <w:bCs w:val="1"/>
                <w:color w:val="auto"/>
                <w:w w:val="95"/>
              </w:rPr>
              <w:t>2010</w:t>
            </w:r>
          </w:p>
        </w:tc>
      </w:tr>
      <w:tr>
        <w:trPr>
          <w:trHeight w:val="33"/>
        </w:trPr>
        <w:tc>
          <w:tcPr>
            <w:tcW w:w="67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8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(in thousands)</w:t>
            </w:r>
          </w:p>
        </w:tc>
        <w:tc>
          <w:tcPr>
            <w:tcW w:w="134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intangible assets, gross</w:t>
            </w:r>
          </w:p>
        </w:tc>
        <w:tc>
          <w:tcPr>
            <w:tcW w:w="1360" w:type="dxa"/>
            <w:vAlign w:val="bottom"/>
            <w:tcBorders>
              <w:bottom w:val="single" w:sz="8" w:color="CCEEFF"/>
            </w:tcBorders>
            <w:shd w:val="clear" w:color="auto" w:fill="CCEEFF"/>
          </w:tcPr>
          <w:p>
            <w:pPr>
              <w:jc w:val="right"/>
              <w:ind w:right="1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759,152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806,256</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Intangible assets acquired</w:t>
            </w:r>
          </w:p>
        </w:tc>
        <w:tc>
          <w:tcPr>
            <w:tcW w:w="13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10,297</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Assets no longer in use written-off</w:t>
            </w:r>
          </w:p>
        </w:tc>
        <w:tc>
          <w:tcPr>
            <w:tcW w:w="1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(8,369)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13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40,968</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(78,155)</w:t>
            </w:r>
          </w:p>
        </w:tc>
      </w:tr>
      <w:tr>
        <w:trPr>
          <w:trHeight w:val="33"/>
        </w:trPr>
        <w:tc>
          <w:tcPr>
            <w:tcW w:w="67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 intangible assets, gross</w:t>
            </w:r>
          </w:p>
        </w:tc>
        <w:tc>
          <w:tcPr>
            <w:tcW w:w="1360" w:type="dxa"/>
            <w:vAlign w:val="bottom"/>
            <w:tcBorders>
              <w:bottom w:val="single" w:sz="8" w:color="CCEEFF"/>
            </w:tcBorders>
            <w:shd w:val="clear" w:color="auto" w:fill="CCEEFF"/>
          </w:tcPr>
          <w:p>
            <w:pPr>
              <w:jc w:val="right"/>
              <w:ind w:right="1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802,048</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728,101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Intangible assets that were written-off had been fully amortized and were no longer in use. Intangible assets of our international subsidiaries are recorded in their respective functional currency; therefore, the carrying amounts of intangible assets increase or decrease, with a corresponding change in accumulated OCI, due to changes in foreign currency exchange rates.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08"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annual amortization expense is as follows: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20" w:type="dxa"/>
            <w:vAlign w:val="bottom"/>
          </w:tcPr>
          <w:p>
            <w:pPr>
              <w:jc w:val="center"/>
              <w:ind w:right="199"/>
              <w:spacing w:after="0"/>
              <w:rPr>
                <w:sz w:val="20"/>
                <w:szCs w:val="20"/>
                <w:color w:val="auto"/>
              </w:rPr>
            </w:pPr>
            <w:r>
              <w:rPr>
                <w:rFonts w:ascii="Arial" w:cs="Arial" w:eastAsia="Arial" w:hAnsi="Arial"/>
                <w:sz w:val="16"/>
                <w:szCs w:val="16"/>
                <w:b w:val="1"/>
                <w:bCs w:val="1"/>
                <w:color w:val="auto"/>
                <w:w w:val="91"/>
              </w:rPr>
              <w:t>Estimated Annual</w:t>
            </w:r>
          </w:p>
        </w:tc>
      </w:tr>
      <w:tr>
        <w:trPr>
          <w:trHeight w:val="210"/>
        </w:trPr>
        <w:tc>
          <w:tcPr>
            <w:tcW w:w="8900" w:type="dxa"/>
            <w:vAlign w:val="bottom"/>
          </w:tcPr>
          <w:p>
            <w:pPr>
              <w:ind w:left="40"/>
              <w:spacing w:after="0"/>
              <w:rPr>
                <w:sz w:val="20"/>
                <w:szCs w:val="20"/>
                <w:color w:val="auto"/>
              </w:rPr>
            </w:pPr>
            <w:r>
              <w:rPr>
                <w:rFonts w:ascii="Arial" w:cs="Arial" w:eastAsia="Arial" w:hAnsi="Arial"/>
                <w:sz w:val="16"/>
                <w:szCs w:val="16"/>
                <w:b w:val="1"/>
                <w:bCs w:val="1"/>
                <w:color w:val="auto"/>
              </w:rPr>
              <w:t>Years ending December 31,</w:t>
            </w:r>
          </w:p>
        </w:tc>
        <w:tc>
          <w:tcPr>
            <w:tcW w:w="300" w:type="dxa"/>
            <w:vAlign w:val="bottom"/>
          </w:tcPr>
          <w:p>
            <w:pPr>
              <w:spacing w:after="0"/>
              <w:rPr>
                <w:sz w:val="18"/>
                <w:szCs w:val="18"/>
                <w:color w:val="auto"/>
              </w:rPr>
            </w:pPr>
          </w:p>
        </w:tc>
        <w:tc>
          <w:tcPr>
            <w:tcW w:w="1920" w:type="dxa"/>
            <w:vAlign w:val="bottom"/>
          </w:tcPr>
          <w:p>
            <w:pPr>
              <w:jc w:val="center"/>
              <w:ind w:right="199"/>
              <w:spacing w:after="0"/>
              <w:rPr>
                <w:sz w:val="20"/>
                <w:szCs w:val="20"/>
                <w:color w:val="auto"/>
              </w:rPr>
            </w:pPr>
            <w:r>
              <w:rPr>
                <w:rFonts w:ascii="Arial" w:cs="Arial" w:eastAsia="Arial" w:hAnsi="Arial"/>
                <w:sz w:val="16"/>
                <w:szCs w:val="16"/>
                <w:b w:val="1"/>
                <w:bCs w:val="1"/>
                <w:color w:val="auto"/>
                <w:w w:val="94"/>
              </w:rPr>
              <w:t>Amortization</w:t>
            </w:r>
          </w:p>
        </w:tc>
      </w:tr>
      <w:tr>
        <w:trPr>
          <w:trHeight w:val="33"/>
        </w:trPr>
        <w:tc>
          <w:tcPr>
            <w:tcW w:w="8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17"/>
        </w:trPr>
        <w:tc>
          <w:tcPr>
            <w:tcW w:w="8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jc w:val="center"/>
              <w:ind w:right="219"/>
              <w:spacing w:after="0"/>
              <w:rPr>
                <w:sz w:val="20"/>
                <w:szCs w:val="20"/>
                <w:color w:val="auto"/>
              </w:rPr>
            </w:pPr>
            <w:r>
              <w:rPr>
                <w:rFonts w:ascii="Arial" w:cs="Arial" w:eastAsia="Arial" w:hAnsi="Arial"/>
                <w:sz w:val="16"/>
                <w:szCs w:val="16"/>
                <w:b w:val="1"/>
                <w:bCs w:val="1"/>
                <w:color w:val="auto"/>
                <w:w w:val="88"/>
              </w:rPr>
              <w:t>(in thousands)</w:t>
            </w:r>
          </w:p>
        </w:tc>
      </w:tr>
      <w:tr>
        <w:trPr>
          <w:trHeight w:val="257"/>
        </w:trPr>
        <w:tc>
          <w:tcPr>
            <w:tcW w:w="8900" w:type="dxa"/>
            <w:vAlign w:val="bottom"/>
          </w:tcPr>
          <w:p>
            <w:pPr>
              <w:ind w:left="40"/>
              <w:spacing w:after="0"/>
              <w:rPr>
                <w:sz w:val="20"/>
                <w:szCs w:val="20"/>
                <w:color w:val="auto"/>
              </w:rPr>
            </w:pPr>
            <w:r>
              <w:rPr>
                <w:rFonts w:ascii="Arial" w:cs="Arial" w:eastAsia="Arial" w:hAnsi="Arial"/>
                <w:sz w:val="16"/>
                <w:szCs w:val="16"/>
                <w:color w:val="auto"/>
              </w:rPr>
              <w:t>2011 (amount remaining at June 30, 2011)</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32,306</w:t>
            </w:r>
          </w:p>
        </w:tc>
      </w:tr>
      <w:tr>
        <w:trPr>
          <w:trHeight w:val="33"/>
        </w:trPr>
        <w:tc>
          <w:tcPr>
            <w:tcW w:w="8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2012</w:t>
            </w:r>
          </w:p>
        </w:tc>
        <w:tc>
          <w:tcPr>
            <w:tcW w:w="30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50,234</w:t>
            </w:r>
          </w:p>
        </w:tc>
      </w:tr>
      <w:tr>
        <w:trPr>
          <w:trHeight w:val="224"/>
        </w:trPr>
        <w:tc>
          <w:tcPr>
            <w:tcW w:w="8900" w:type="dxa"/>
            <w:vAlign w:val="bottom"/>
          </w:tcPr>
          <w:p>
            <w:pPr>
              <w:ind w:left="40"/>
              <w:spacing w:after="0"/>
              <w:rPr>
                <w:sz w:val="20"/>
                <w:szCs w:val="20"/>
                <w:color w:val="auto"/>
              </w:rPr>
            </w:pPr>
            <w:r>
              <w:rPr>
                <w:rFonts w:ascii="Arial" w:cs="Arial" w:eastAsia="Arial" w:hAnsi="Arial"/>
                <w:sz w:val="16"/>
                <w:szCs w:val="16"/>
                <w:color w:val="auto"/>
              </w:rPr>
              <w:t>2013</w:t>
            </w:r>
          </w:p>
        </w:tc>
        <w:tc>
          <w:tcPr>
            <w:tcW w:w="300" w:type="dxa"/>
            <w:vAlign w:val="bottom"/>
          </w:tcPr>
          <w:p>
            <w:pPr>
              <w:spacing w:after="0"/>
              <w:rPr>
                <w:sz w:val="19"/>
                <w:szCs w:val="19"/>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41,442</w:t>
            </w:r>
          </w:p>
        </w:tc>
      </w:tr>
      <w:tr>
        <w:trPr>
          <w:trHeight w:val="33"/>
        </w:trPr>
        <w:tc>
          <w:tcPr>
            <w:tcW w:w="8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37"/>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2014</w:t>
            </w:r>
          </w:p>
        </w:tc>
        <w:tc>
          <w:tcPr>
            <w:tcW w:w="30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34,082</w:t>
            </w:r>
          </w:p>
        </w:tc>
      </w:tr>
      <w:tr>
        <w:trPr>
          <w:trHeight w:val="224"/>
        </w:trPr>
        <w:tc>
          <w:tcPr>
            <w:tcW w:w="8900" w:type="dxa"/>
            <w:vAlign w:val="bottom"/>
          </w:tcPr>
          <w:p>
            <w:pPr>
              <w:ind w:left="40"/>
              <w:spacing w:after="0"/>
              <w:rPr>
                <w:sz w:val="20"/>
                <w:szCs w:val="20"/>
                <w:color w:val="auto"/>
              </w:rPr>
            </w:pPr>
            <w:r>
              <w:rPr>
                <w:rFonts w:ascii="Arial" w:cs="Arial" w:eastAsia="Arial" w:hAnsi="Arial"/>
                <w:sz w:val="16"/>
                <w:szCs w:val="16"/>
                <w:color w:val="auto"/>
              </w:rPr>
              <w:t>2015</w:t>
            </w:r>
          </w:p>
        </w:tc>
        <w:tc>
          <w:tcPr>
            <w:tcW w:w="300" w:type="dxa"/>
            <w:vAlign w:val="bottom"/>
          </w:tcPr>
          <w:p>
            <w:pPr>
              <w:spacing w:after="0"/>
              <w:rPr>
                <w:sz w:val="19"/>
                <w:szCs w:val="19"/>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27,997</w:t>
            </w:r>
          </w:p>
        </w:tc>
      </w:tr>
      <w:tr>
        <w:trPr>
          <w:trHeight w:val="33"/>
        </w:trPr>
        <w:tc>
          <w:tcPr>
            <w:tcW w:w="8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7"/>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Beyond 2015</w:t>
            </w:r>
          </w:p>
        </w:tc>
        <w:tc>
          <w:tcPr>
            <w:tcW w:w="30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106,869</w:t>
            </w:r>
          </w:p>
        </w:tc>
      </w:tr>
      <w:tr>
        <w:trPr>
          <w:trHeight w:val="217"/>
        </w:trPr>
        <w:tc>
          <w:tcPr>
            <w:tcW w:w="8900" w:type="dxa"/>
            <w:vAlign w:val="bottom"/>
          </w:tcPr>
          <w:p>
            <w:pPr>
              <w:ind w:left="380"/>
              <w:spacing w:after="0"/>
              <w:rPr>
                <w:sz w:val="20"/>
                <w:szCs w:val="20"/>
                <w:color w:val="auto"/>
              </w:rPr>
            </w:pPr>
            <w:r>
              <w:rPr>
                <w:rFonts w:ascii="Arial" w:cs="Arial" w:eastAsia="Arial" w:hAnsi="Arial"/>
                <w:sz w:val="16"/>
                <w:szCs w:val="16"/>
                <w:color w:val="auto"/>
              </w:rPr>
              <w:t>Total intangible assets, net</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292,930</w:t>
            </w:r>
          </w:p>
        </w:tc>
      </w:tr>
      <w:tr>
        <w:trPr>
          <w:trHeight w:val="33"/>
        </w:trPr>
        <w:tc>
          <w:tcPr>
            <w:tcW w:w="8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
        </w:trPr>
        <w:tc>
          <w:tcPr>
            <w:tcW w:w="8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Arial" w:cs="Arial" w:eastAsia="Arial" w:hAnsi="Arial"/>
                <w:sz w:val="18"/>
                <w:szCs w:val="18"/>
                <w:b w:val="1"/>
                <w:bCs w:val="1"/>
                <w:color w:val="auto"/>
              </w:rPr>
              <w:t>Note 5:</w:t>
            </w:r>
          </w:p>
        </w:tc>
        <w:tc>
          <w:tcPr>
            <w:tcW w:w="3700" w:type="dxa"/>
            <w:vAlign w:val="bottom"/>
          </w:tcPr>
          <w:p>
            <w:pPr>
              <w:ind w:left="80"/>
              <w:spacing w:after="0"/>
              <w:rPr>
                <w:sz w:val="20"/>
                <w:szCs w:val="20"/>
                <w:color w:val="auto"/>
              </w:rPr>
            </w:pPr>
            <w:r>
              <w:rPr>
                <w:rFonts w:ascii="Arial" w:cs="Arial" w:eastAsia="Arial" w:hAnsi="Arial"/>
                <w:sz w:val="18"/>
                <w:szCs w:val="18"/>
                <w:b w:val="1"/>
                <w:bCs w:val="1"/>
                <w:color w:val="auto"/>
              </w:rPr>
              <w:t>Goodwill</w:t>
            </w:r>
          </w:p>
        </w:tc>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gridSpan w:val="7"/>
          </w:tcPr>
          <w:p>
            <w:pPr>
              <w:spacing w:after="0"/>
              <w:rPr>
                <w:sz w:val="20"/>
                <w:szCs w:val="20"/>
                <w:color w:val="auto"/>
              </w:rPr>
            </w:pPr>
            <w:r>
              <w:rPr>
                <w:rFonts w:ascii="Arial" w:cs="Arial" w:eastAsia="Arial" w:hAnsi="Arial"/>
                <w:sz w:val="18"/>
                <w:szCs w:val="18"/>
                <w:color w:val="auto"/>
                <w:w w:val="91"/>
              </w:rPr>
              <w:t>The following table reflects goodwill allocated to each reporting segment at June 30, 2011 and 2010:</w:t>
            </w: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99"/>
              </w:rPr>
              <w:t>Itron North</w:t>
            </w:r>
          </w:p>
        </w:tc>
        <w:tc>
          <w:tcPr>
            <w:tcW w:w="540" w:type="dxa"/>
            <w:vAlign w:val="bottom"/>
          </w:tcPr>
          <w:p>
            <w:pPr>
              <w:spacing w:after="0"/>
              <w:rPr>
                <w:sz w:val="24"/>
                <w:szCs w:val="24"/>
                <w:color w:val="auto"/>
              </w:rPr>
            </w:pPr>
          </w:p>
        </w:tc>
        <w:tc>
          <w:tcPr>
            <w:tcW w:w="1840" w:type="dxa"/>
            <w:vAlign w:val="bottom"/>
            <w:gridSpan w:val="4"/>
          </w:tcPr>
          <w:p>
            <w:pPr>
              <w:jc w:val="center"/>
              <w:ind w:right="660"/>
              <w:spacing w:after="0"/>
              <w:rPr>
                <w:sz w:val="20"/>
                <w:szCs w:val="20"/>
                <w:color w:val="auto"/>
              </w:rPr>
            </w:pPr>
            <w:r>
              <w:rPr>
                <w:rFonts w:ascii="Arial" w:cs="Arial" w:eastAsia="Arial" w:hAnsi="Arial"/>
                <w:sz w:val="16"/>
                <w:szCs w:val="16"/>
                <w:b w:val="1"/>
                <w:bCs w:val="1"/>
                <w:color w:val="auto"/>
                <w:w w:val="95"/>
              </w:rPr>
              <w:t>Itron</w:t>
            </w: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91"/>
              </w:rPr>
              <w:t>America</w:t>
            </w:r>
          </w:p>
        </w:tc>
        <w:tc>
          <w:tcPr>
            <w:tcW w:w="540" w:type="dxa"/>
            <w:vAlign w:val="bottom"/>
          </w:tcPr>
          <w:p>
            <w:pPr>
              <w:spacing w:after="0"/>
              <w:rPr>
                <w:sz w:val="18"/>
                <w:szCs w:val="18"/>
                <w:color w:val="auto"/>
              </w:rPr>
            </w:pPr>
          </w:p>
        </w:tc>
        <w:tc>
          <w:tcPr>
            <w:tcW w:w="1840" w:type="dxa"/>
            <w:vAlign w:val="bottom"/>
            <w:gridSpan w:val="4"/>
          </w:tcPr>
          <w:p>
            <w:pPr>
              <w:jc w:val="center"/>
              <w:ind w:right="680"/>
              <w:spacing w:after="0"/>
              <w:rPr>
                <w:sz w:val="20"/>
                <w:szCs w:val="20"/>
                <w:color w:val="auto"/>
              </w:rPr>
            </w:pPr>
            <w:r>
              <w:rPr>
                <w:rFonts w:ascii="Arial" w:cs="Arial" w:eastAsia="Arial" w:hAnsi="Arial"/>
                <w:sz w:val="16"/>
                <w:szCs w:val="16"/>
                <w:b w:val="1"/>
                <w:bCs w:val="1"/>
                <w:color w:val="auto"/>
                <w:w w:val="95"/>
              </w:rPr>
              <w:t>International</w:t>
            </w:r>
          </w:p>
        </w:tc>
        <w:tc>
          <w:tcPr>
            <w:tcW w:w="240" w:type="dxa"/>
            <w:vAlign w:val="bottom"/>
          </w:tcPr>
          <w:p>
            <w:pPr>
              <w:spacing w:after="0"/>
              <w:rPr>
                <w:sz w:val="18"/>
                <w:szCs w:val="18"/>
                <w:color w:val="auto"/>
              </w:rPr>
            </w:pPr>
          </w:p>
        </w:tc>
        <w:tc>
          <w:tcPr>
            <w:tcW w:w="2020" w:type="dxa"/>
            <w:vAlign w:val="bottom"/>
          </w:tcPr>
          <w:p>
            <w:pPr>
              <w:jc w:val="right"/>
              <w:ind w:right="515"/>
              <w:spacing w:after="0"/>
              <w:rPr>
                <w:sz w:val="20"/>
                <w:szCs w:val="20"/>
                <w:color w:val="auto"/>
              </w:rPr>
            </w:pPr>
            <w:r>
              <w:rPr>
                <w:rFonts w:ascii="Arial" w:cs="Arial" w:eastAsia="Arial" w:hAnsi="Arial"/>
                <w:sz w:val="16"/>
                <w:szCs w:val="16"/>
                <w:b w:val="1"/>
                <w:bCs w:val="1"/>
                <w:color w:val="auto"/>
              </w:rPr>
              <w:t>Total Company</w:t>
            </w: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40" w:type="dxa"/>
            <w:vAlign w:val="bottom"/>
            <w:gridSpan w:val="4"/>
          </w:tcPr>
          <w:p>
            <w:pPr>
              <w:jc w:val="center"/>
              <w:ind w:right="680"/>
              <w:spacing w:after="0"/>
              <w:rPr>
                <w:sz w:val="20"/>
                <w:szCs w:val="20"/>
                <w:color w:val="auto"/>
              </w:rPr>
            </w:pPr>
            <w:r>
              <w:rPr>
                <w:rFonts w:ascii="Arial" w:cs="Arial" w:eastAsia="Arial" w:hAnsi="Arial"/>
                <w:sz w:val="16"/>
                <w:szCs w:val="16"/>
                <w:b w:val="1"/>
                <w:bCs w:val="1"/>
                <w:color w:val="auto"/>
                <w:w w:val="90"/>
              </w:rPr>
              <w:t>(in thousands)</w:t>
            </w:r>
          </w:p>
        </w:tc>
        <w:tc>
          <w:tcPr>
            <w:tcW w:w="2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3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Goodwill balance at January 1, 2010</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197,515</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61"/>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1,108,084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6"/>
                <w:szCs w:val="16"/>
                <w:color w:val="auto"/>
              </w:rPr>
              <w:t>1,305,599</w:t>
            </w:r>
          </w:p>
        </w:tc>
        <w:tc>
          <w:tcPr>
            <w:tcW w:w="0" w:type="dxa"/>
            <w:vAlign w:val="bottom"/>
          </w:tcPr>
          <w:p>
            <w:pPr>
              <w:spacing w:after="0"/>
              <w:rPr>
                <w:sz w:val="1"/>
                <w:szCs w:val="1"/>
                <w:color w:val="auto"/>
              </w:rPr>
            </w:pPr>
          </w:p>
        </w:tc>
      </w:tr>
      <w:tr>
        <w:trPr>
          <w:trHeight w:val="237"/>
        </w:trPr>
        <w:tc>
          <w:tcPr>
            <w:tcW w:w="4360" w:type="dxa"/>
            <w:vAlign w:val="bottom"/>
            <w:gridSpan w:val="2"/>
          </w:tcPr>
          <w:p>
            <w:pPr>
              <w:ind w:left="380"/>
              <w:spacing w:after="0"/>
              <w:rPr>
                <w:sz w:val="20"/>
                <w:szCs w:val="20"/>
                <w:color w:val="auto"/>
              </w:rPr>
            </w:pPr>
            <w:r>
              <w:rPr>
                <w:rFonts w:ascii="Arial" w:cs="Arial" w:eastAsia="Arial" w:hAnsi="Arial"/>
                <w:sz w:val="16"/>
                <w:szCs w:val="16"/>
                <w:color w:val="auto"/>
              </w:rPr>
              <w:t>Effect of change in exchange rates</w:t>
            </w:r>
          </w:p>
        </w:tc>
        <w:tc>
          <w:tcPr>
            <w:tcW w:w="420" w:type="dxa"/>
            <w:vAlign w:val="bottom"/>
          </w:tcPr>
          <w:p>
            <w:pPr>
              <w:spacing w:after="0"/>
              <w:rPr>
                <w:sz w:val="20"/>
                <w:szCs w:val="20"/>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89</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(159,606)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(159,517)</w:t>
            </w:r>
          </w:p>
        </w:tc>
        <w:tc>
          <w:tcPr>
            <w:tcW w:w="0" w:type="dxa"/>
            <w:vAlign w:val="bottom"/>
          </w:tcPr>
          <w:p>
            <w:pPr>
              <w:spacing w:after="0"/>
              <w:rPr>
                <w:sz w:val="1"/>
                <w:szCs w:val="1"/>
                <w:color w:val="auto"/>
              </w:rPr>
            </w:pPr>
          </w:p>
        </w:tc>
      </w:tr>
      <w:tr>
        <w:trPr>
          <w:trHeight w:val="33"/>
        </w:trPr>
        <w:tc>
          <w:tcPr>
            <w:tcW w:w="4360" w:type="dxa"/>
            <w:vAlign w:val="bottom"/>
            <w:tcBorders>
              <w:bottom w:val="single" w:sz="8" w:color="CCEEFF"/>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Goodwill balance at June 30, 2010</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197,604</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61"/>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948,478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6"/>
                <w:szCs w:val="16"/>
                <w:color w:val="auto"/>
              </w:rPr>
              <w:t>1,146,082</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6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Goodwill balance at January 1, 2011</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198,048</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61"/>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1,011,328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6"/>
                <w:szCs w:val="16"/>
                <w:color w:val="auto"/>
              </w:rPr>
              <w:t>1,209,376</w:t>
            </w:r>
          </w:p>
        </w:tc>
        <w:tc>
          <w:tcPr>
            <w:tcW w:w="0" w:type="dxa"/>
            <w:vAlign w:val="bottom"/>
          </w:tcPr>
          <w:p>
            <w:pPr>
              <w:spacing w:after="0"/>
              <w:rPr>
                <w:sz w:val="1"/>
                <w:szCs w:val="1"/>
                <w:color w:val="auto"/>
              </w:rPr>
            </w:pPr>
          </w:p>
        </w:tc>
      </w:tr>
      <w:tr>
        <w:trPr>
          <w:trHeight w:val="237"/>
        </w:trPr>
        <w:tc>
          <w:tcPr>
            <w:tcW w:w="4360" w:type="dxa"/>
            <w:vAlign w:val="bottom"/>
            <w:gridSpan w:val="2"/>
          </w:tcPr>
          <w:p>
            <w:pPr>
              <w:ind w:left="380"/>
              <w:spacing w:after="0"/>
              <w:rPr>
                <w:sz w:val="20"/>
                <w:szCs w:val="20"/>
                <w:color w:val="auto"/>
              </w:rPr>
            </w:pPr>
            <w:r>
              <w:rPr>
                <w:rFonts w:ascii="Arial" w:cs="Arial" w:eastAsia="Arial" w:hAnsi="Arial"/>
                <w:sz w:val="16"/>
                <w:szCs w:val="16"/>
                <w:color w:val="auto"/>
              </w:rPr>
              <w:t>Goodwill acquired</w:t>
            </w:r>
          </w:p>
        </w:tc>
        <w:tc>
          <w:tcPr>
            <w:tcW w:w="420" w:type="dxa"/>
            <w:vAlign w:val="bottom"/>
          </w:tcPr>
          <w:p>
            <w:pPr>
              <w:spacing w:after="0"/>
              <w:rPr>
                <w:sz w:val="20"/>
                <w:szCs w:val="20"/>
                <w:color w:val="auto"/>
              </w:rPr>
            </w:pPr>
          </w:p>
        </w:tc>
        <w:tc>
          <w:tcPr>
            <w:tcW w:w="20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10,251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20" w:type="dxa"/>
            <w:vAlign w:val="bottom"/>
          </w:tcPr>
          <w:p>
            <w:pPr>
              <w:jc w:val="right"/>
              <w:ind w:right="15"/>
              <w:spacing w:after="0"/>
              <w:rPr>
                <w:sz w:val="20"/>
                <w:szCs w:val="20"/>
                <w:color w:val="auto"/>
              </w:rPr>
            </w:pPr>
            <w:r>
              <w:rPr>
                <w:rFonts w:ascii="Arial" w:cs="Arial" w:eastAsia="Arial" w:hAnsi="Arial"/>
                <w:sz w:val="16"/>
                <w:szCs w:val="16"/>
                <w:color w:val="auto"/>
              </w:rPr>
              <w:t>10,251</w:t>
            </w:r>
          </w:p>
        </w:tc>
        <w:tc>
          <w:tcPr>
            <w:tcW w:w="0" w:type="dxa"/>
            <w:vAlign w:val="bottom"/>
          </w:tcPr>
          <w:p>
            <w:pPr>
              <w:spacing w:after="0"/>
              <w:rPr>
                <w:sz w:val="1"/>
                <w:szCs w:val="1"/>
                <w:color w:val="auto"/>
              </w:rPr>
            </w:pPr>
          </w:p>
        </w:tc>
      </w:tr>
      <w:tr>
        <w:trPr>
          <w:trHeight w:val="33"/>
        </w:trPr>
        <w:tc>
          <w:tcPr>
            <w:tcW w:w="43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Effect of change in exchange rates</w:t>
            </w:r>
          </w:p>
        </w:tc>
        <w:tc>
          <w:tcPr>
            <w:tcW w:w="42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91,939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6"/>
                <w:szCs w:val="16"/>
                <w:color w:val="auto"/>
              </w:rPr>
              <w:t>92,144</w:t>
            </w:r>
          </w:p>
        </w:tc>
        <w:tc>
          <w:tcPr>
            <w:tcW w:w="0" w:type="dxa"/>
            <w:vAlign w:val="bottom"/>
          </w:tcPr>
          <w:p>
            <w:pPr>
              <w:spacing w:after="0"/>
              <w:rPr>
                <w:sz w:val="1"/>
                <w:szCs w:val="1"/>
                <w:color w:val="auto"/>
              </w:rPr>
            </w:pPr>
          </w:p>
        </w:tc>
      </w:tr>
      <w:tr>
        <w:trPr>
          <w:trHeight w:val="21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Goodwill balance at June 30, 2011</w:t>
            </w: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198,253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Borders>
              <w:top w:val="single" w:sz="8" w:color="auto"/>
            </w:tcBorders>
          </w:tcPr>
          <w:p>
            <w:pPr>
              <w:jc w:val="right"/>
              <w:ind w:right="361"/>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1,113,518</w:t>
            </w:r>
          </w:p>
        </w:tc>
        <w:tc>
          <w:tcPr>
            <w:tcW w:w="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jc w:val="right"/>
              <w:ind w:right="56"/>
              <w:spacing w:after="0"/>
              <w:rPr>
                <w:sz w:val="20"/>
                <w:szCs w:val="20"/>
                <w:color w:val="auto"/>
              </w:rPr>
            </w:pPr>
            <w:r>
              <w:rPr>
                <w:rFonts w:ascii="Arial" w:cs="Arial" w:eastAsia="Arial" w:hAnsi="Arial"/>
                <w:sz w:val="16"/>
                <w:szCs w:val="16"/>
                <w:color w:val="auto"/>
                <w:w w:val="89"/>
              </w:rPr>
              <w:t>$</w:t>
            </w:r>
          </w:p>
        </w:tc>
        <w:tc>
          <w:tcPr>
            <w:tcW w:w="2020" w:type="dxa"/>
            <w:vAlign w:val="bottom"/>
            <w:tcBorders>
              <w:top w:val="single" w:sz="8" w:color="auto"/>
            </w:tcBorders>
          </w:tcPr>
          <w:p>
            <w:pPr>
              <w:jc w:val="right"/>
              <w:ind w:right="15"/>
              <w:spacing w:after="0"/>
              <w:rPr>
                <w:sz w:val="20"/>
                <w:szCs w:val="20"/>
                <w:color w:val="auto"/>
              </w:rPr>
            </w:pPr>
            <w:r>
              <w:rPr>
                <w:rFonts w:ascii="Arial" w:cs="Arial" w:eastAsia="Arial" w:hAnsi="Arial"/>
                <w:sz w:val="16"/>
                <w:szCs w:val="16"/>
                <w:color w:val="auto"/>
              </w:rPr>
              <w:t>1,311,771</w:t>
            </w:r>
          </w:p>
        </w:tc>
        <w:tc>
          <w:tcPr>
            <w:tcW w:w="0" w:type="dxa"/>
            <w:vAlign w:val="bottom"/>
          </w:tcPr>
          <w:p>
            <w:pPr>
              <w:spacing w:after="0"/>
              <w:rPr>
                <w:sz w:val="1"/>
                <w:szCs w:val="1"/>
                <w:color w:val="auto"/>
              </w:rPr>
            </w:pPr>
          </w:p>
        </w:tc>
      </w:tr>
      <w:tr>
        <w:trPr>
          <w:trHeight w:val="33"/>
        </w:trPr>
        <w:tc>
          <w:tcPr>
            <w:tcW w:w="660" w:type="dxa"/>
            <w:vAlign w:val="bottom"/>
            <w:vMerge w:val="restart"/>
          </w:tcPr>
          <w:p>
            <w:pPr>
              <w:spacing w:after="0"/>
              <w:rPr>
                <w:sz w:val="20"/>
                <w:szCs w:val="20"/>
                <w:color w:val="auto"/>
              </w:rPr>
            </w:pPr>
            <w:r>
              <w:rPr>
                <w:rFonts w:ascii="Arial" w:cs="Arial" w:eastAsia="Arial" w:hAnsi="Arial"/>
                <w:sz w:val="18"/>
                <w:szCs w:val="18"/>
                <w:b w:val="1"/>
                <w:bCs w:val="1"/>
                <w:color w:val="auto"/>
              </w:rPr>
              <w:t>Note 6:</w:t>
            </w:r>
          </w:p>
        </w:tc>
        <w:tc>
          <w:tcPr>
            <w:tcW w:w="37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Debt</w:t>
            </w:r>
          </w:p>
        </w:tc>
        <w:tc>
          <w:tcPr>
            <w:tcW w:w="4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0" w:type="dxa"/>
            <w:vAlign w:val="bottom"/>
            <w:vMerge w:val="continue"/>
          </w:tcPr>
          <w:p>
            <w:pPr>
              <w:spacing w:after="0" w:line="20" w:lineRule="exact"/>
              <w:rPr>
                <w:sz w:val="1"/>
                <w:szCs w:val="1"/>
                <w:color w:val="auto"/>
              </w:rPr>
            </w:pPr>
          </w:p>
        </w:tc>
        <w:tc>
          <w:tcPr>
            <w:tcW w:w="3700" w:type="dxa"/>
            <w:vAlign w:val="bottom"/>
            <w:vMerge w:val="continue"/>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660" w:type="dxa"/>
            <w:vAlign w:val="bottom"/>
            <w:vMerge w:val="continue"/>
          </w:tcPr>
          <w:p>
            <w:pPr>
              <w:spacing w:after="0"/>
              <w:rPr>
                <w:sz w:val="24"/>
                <w:szCs w:val="24"/>
                <w:color w:val="auto"/>
              </w:rPr>
            </w:pPr>
          </w:p>
        </w:tc>
        <w:tc>
          <w:tcPr>
            <w:tcW w:w="37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60" w:type="dxa"/>
            <w:vAlign w:val="bottom"/>
            <w:gridSpan w:val="2"/>
          </w:tcPr>
          <w:p>
            <w:pPr>
              <w:spacing w:after="0"/>
              <w:rPr>
                <w:sz w:val="20"/>
                <w:szCs w:val="20"/>
                <w:color w:val="auto"/>
              </w:rPr>
            </w:pPr>
            <w:r>
              <w:rPr>
                <w:rFonts w:ascii="Arial" w:cs="Arial" w:eastAsia="Arial" w:hAnsi="Arial"/>
                <w:sz w:val="18"/>
                <w:szCs w:val="18"/>
                <w:color w:val="auto"/>
              </w:rPr>
              <w:t>The components of our borrowings are as follows:</w:t>
            </w: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40" w:type="dxa"/>
            <w:vAlign w:val="bottom"/>
            <w:gridSpan w:val="4"/>
          </w:tcPr>
          <w:p>
            <w:pPr>
              <w:jc w:val="center"/>
              <w:ind w:right="700"/>
              <w:spacing w:after="0"/>
              <w:rPr>
                <w:sz w:val="20"/>
                <w:szCs w:val="20"/>
                <w:color w:val="auto"/>
              </w:rPr>
            </w:pPr>
            <w:r>
              <w:rPr>
                <w:rFonts w:ascii="Arial" w:cs="Arial" w:eastAsia="Arial" w:hAnsi="Arial"/>
                <w:sz w:val="18"/>
                <w:szCs w:val="18"/>
                <w:b w:val="1"/>
                <w:bCs w:val="1"/>
                <w:color w:val="auto"/>
                <w:w w:val="87"/>
              </w:rPr>
              <w:t>June 30, 2011</w:t>
            </w:r>
          </w:p>
        </w:tc>
        <w:tc>
          <w:tcPr>
            <w:tcW w:w="240" w:type="dxa"/>
            <w:vAlign w:val="bottom"/>
          </w:tcPr>
          <w:p>
            <w:pPr>
              <w:spacing w:after="0"/>
              <w:rPr>
                <w:sz w:val="24"/>
                <w:szCs w:val="24"/>
                <w:color w:val="auto"/>
              </w:rPr>
            </w:pPr>
          </w:p>
        </w:tc>
        <w:tc>
          <w:tcPr>
            <w:tcW w:w="2020" w:type="dxa"/>
            <w:vAlign w:val="bottom"/>
          </w:tcPr>
          <w:p>
            <w:pPr>
              <w:jc w:val="right"/>
              <w:ind w:right="335"/>
              <w:spacing w:after="0"/>
              <w:rPr>
                <w:sz w:val="20"/>
                <w:szCs w:val="20"/>
                <w:color w:val="auto"/>
              </w:rPr>
            </w:pPr>
            <w:r>
              <w:rPr>
                <w:rFonts w:ascii="Arial" w:cs="Arial" w:eastAsia="Arial" w:hAnsi="Arial"/>
                <w:sz w:val="18"/>
                <w:szCs w:val="18"/>
                <w:b w:val="1"/>
                <w:bCs w:val="1"/>
                <w:color w:val="auto"/>
                <w:w w:val="97"/>
              </w:rPr>
              <w:t>December 31, 2010</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3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gridSpan w:val="6"/>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100" w:type="dxa"/>
            <w:vAlign w:val="bottom"/>
            <w:gridSpan w:val="6"/>
          </w:tcPr>
          <w:p>
            <w:pPr>
              <w:jc w:val="right"/>
              <w:ind w:right="1695"/>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7"/>
        </w:trPr>
        <w:tc>
          <w:tcPr>
            <w:tcW w:w="43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Term loans</w:t>
            </w:r>
          </w:p>
        </w:tc>
        <w:tc>
          <w:tcPr>
            <w:tcW w:w="4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60" w:type="dxa"/>
            <w:vAlign w:val="bottom"/>
            <w:gridSpan w:val="2"/>
          </w:tcPr>
          <w:p>
            <w:pPr>
              <w:ind w:left="380"/>
              <w:spacing w:after="0"/>
              <w:rPr>
                <w:sz w:val="20"/>
                <w:szCs w:val="20"/>
                <w:color w:val="auto"/>
              </w:rPr>
            </w:pPr>
            <w:r>
              <w:rPr>
                <w:rFonts w:ascii="Arial" w:cs="Arial" w:eastAsia="Arial" w:hAnsi="Arial"/>
                <w:sz w:val="18"/>
                <w:szCs w:val="18"/>
                <w:color w:val="auto"/>
              </w:rPr>
              <w:t>USD denominated term loan</w:t>
            </w:r>
          </w:p>
        </w:tc>
        <w:tc>
          <w:tcPr>
            <w:tcW w:w="4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jc w:val="right"/>
              <w:ind w:right="381"/>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ind w:right="15"/>
              <w:spacing w:after="0"/>
              <w:rPr>
                <w:sz w:val="20"/>
                <w:szCs w:val="20"/>
                <w:color w:val="auto"/>
              </w:rPr>
            </w:pPr>
            <w:r>
              <w:rPr>
                <w:rFonts w:ascii="Arial" w:cs="Arial" w:eastAsia="Arial" w:hAnsi="Arial"/>
                <w:sz w:val="18"/>
                <w:szCs w:val="18"/>
                <w:color w:val="auto"/>
              </w:rPr>
              <w:t>200,616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2020" w:type="dxa"/>
            <w:vAlign w:val="bottom"/>
          </w:tcPr>
          <w:p>
            <w:pPr>
              <w:jc w:val="right"/>
              <w:ind w:right="15"/>
              <w:spacing w:after="0"/>
              <w:rPr>
                <w:sz w:val="20"/>
                <w:szCs w:val="20"/>
                <w:color w:val="auto"/>
              </w:rPr>
            </w:pPr>
            <w:r>
              <w:rPr>
                <w:rFonts w:ascii="Arial" w:cs="Arial" w:eastAsia="Arial" w:hAnsi="Arial"/>
                <w:sz w:val="18"/>
                <w:szCs w:val="18"/>
                <w:color w:val="auto"/>
              </w:rPr>
              <w:t>218,642</w:t>
            </w:r>
          </w:p>
        </w:tc>
        <w:tc>
          <w:tcPr>
            <w:tcW w:w="0" w:type="dxa"/>
            <w:vAlign w:val="bottom"/>
          </w:tcPr>
          <w:p>
            <w:pPr>
              <w:spacing w:after="0"/>
              <w:rPr>
                <w:sz w:val="1"/>
                <w:szCs w:val="1"/>
                <w:color w:val="auto"/>
              </w:rPr>
            </w:pPr>
          </w:p>
        </w:tc>
      </w:tr>
      <w:tr>
        <w:trPr>
          <w:trHeight w:val="27"/>
        </w:trPr>
        <w:tc>
          <w:tcPr>
            <w:tcW w:w="4360" w:type="dxa"/>
            <w:vAlign w:val="bottom"/>
            <w:gridSpan w:val="2"/>
          </w:tcPr>
          <w:p>
            <w:pPr>
              <w:spacing w:after="0"/>
              <w:rPr>
                <w:sz w:val="2"/>
                <w:szCs w:val="2"/>
                <w:color w:val="auto"/>
              </w:rPr>
            </w:pPr>
          </w:p>
        </w:tc>
        <w:tc>
          <w:tcPr>
            <w:tcW w:w="4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EUR denominated term loan</w:t>
            </w:r>
          </w:p>
        </w:tc>
        <w:tc>
          <w:tcPr>
            <w:tcW w:w="4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151,350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174,031</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Convertible senior subordinated notes</w:t>
            </w:r>
          </w:p>
        </w:tc>
        <w:tc>
          <w:tcPr>
            <w:tcW w:w="4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00" w:type="dxa"/>
            <w:vAlign w:val="bottom"/>
          </w:tcPr>
          <w:p>
            <w:pPr>
              <w:jc w:val="right"/>
              <w:ind w:right="15"/>
              <w:spacing w:after="0"/>
              <w:rPr>
                <w:sz w:val="20"/>
                <w:szCs w:val="20"/>
                <w:color w:val="auto"/>
              </w:rPr>
            </w:pPr>
            <w:r>
              <w:rPr>
                <w:rFonts w:ascii="Arial" w:cs="Arial" w:eastAsia="Arial" w:hAnsi="Arial"/>
                <w:sz w:val="18"/>
                <w:szCs w:val="18"/>
                <w:color w:val="auto"/>
              </w:rPr>
              <w:t>223,604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20" w:type="dxa"/>
            <w:vAlign w:val="bottom"/>
          </w:tcPr>
          <w:p>
            <w:pPr>
              <w:jc w:val="right"/>
              <w:ind w:right="15"/>
              <w:spacing w:after="0"/>
              <w:rPr>
                <w:sz w:val="20"/>
                <w:szCs w:val="20"/>
                <w:color w:val="auto"/>
              </w:rPr>
            </w:pPr>
            <w:r>
              <w:rPr>
                <w:rFonts w:ascii="Arial" w:cs="Arial" w:eastAsia="Arial" w:hAnsi="Arial"/>
                <w:sz w:val="18"/>
                <w:szCs w:val="18"/>
                <w:color w:val="auto"/>
              </w:rPr>
              <w:t>218,268</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gridSpan w:val="2"/>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debt</w:t>
            </w:r>
          </w:p>
        </w:tc>
        <w:tc>
          <w:tcPr>
            <w:tcW w:w="4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575,570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610,941</w:t>
            </w:r>
          </w:p>
        </w:tc>
        <w:tc>
          <w:tcPr>
            <w:tcW w:w="0" w:type="dxa"/>
            <w:vAlign w:val="bottom"/>
          </w:tcPr>
          <w:p>
            <w:pPr>
              <w:spacing w:after="0"/>
              <w:rPr>
                <w:sz w:val="1"/>
                <w:szCs w:val="1"/>
                <w:color w:val="auto"/>
              </w:rPr>
            </w:pP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Current portion of long-term debt</w:t>
            </w:r>
          </w:p>
        </w:tc>
        <w:tc>
          <w:tcPr>
            <w:tcW w:w="4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(234,449)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(228,721)</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gridSpan w:val="2"/>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Long-term debt</w:t>
            </w:r>
          </w:p>
        </w:tc>
        <w:tc>
          <w:tcPr>
            <w:tcW w:w="42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81"/>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341,121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382,220</w:t>
            </w:r>
          </w:p>
        </w:tc>
        <w:tc>
          <w:tcPr>
            <w:tcW w:w="0" w:type="dxa"/>
            <w:vAlign w:val="bottom"/>
          </w:tcPr>
          <w:p>
            <w:pPr>
              <w:spacing w:after="0"/>
              <w:rPr>
                <w:sz w:val="1"/>
                <w:szCs w:val="1"/>
                <w:color w:val="auto"/>
              </w:rPr>
            </w:pP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Credit Facility</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credit facility is dated April 18, 2007 and includes two amendments dated April 24, 2009 and February 10, 2010. The principal balance of our euro denominated term loan at June 30, 2011 and December 31, 2010 was €105.8 million and €132.4 million, respectively. Interest rates on the credit facility are based on the respective borrowing's denominated London Interbank Offered Rate (LIBOR) or the Wells Fargo Bank, National Association's prime rate, plus an additional margin subject to our consolidated leverage ratio. The additional interest rate margin was 3.50% at June 30, 2011. Our interest rates were 3.70% for the U.S. dollar denominated and 4.72% for the euro denominated term loans at June 30, 2011. Scheduled amortization of principal payments is 1% per year (0.25% quarterly) with an excess cash flow provision for additional annual principal repayment requirements. The amount of the excess cash flow provision payment varies according to our consolidated leverage ratio. Maturities of the term loans and the multicurrency revolving line of credit are in April 2014 and 2013, respectively. The credit facility is secured by substantially all of the assets of Itron, Inc. and our U.S. domestic operating subsidiaries and includes covenants, which contain certain financial ratios and place restrictions on the incurrence of debt, the payment of dividends, certain investments, incurrence of capital</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expenditures above a set limit, and mergers.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credit facility includes a multicurrency revolving line of credit, which was increased from $240 million to $315 million on January 20, 2011. The increase was completed under the terms of the credit facility. Prepaid debt fees of $379,000 were capitalized associated with the increase in the credit line. There were no other changes to the credit facility.</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June 30, 2011, there were no borrowings outstanding under the revolving line of credit, and $40.0 million was utilized by outstanding standby letters of credit, resulting in $275.0 million being available for additional borrowings.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repaid $2.7 million and $55.6 million of the term loans during the three and six months ended June 30, 2011, respectively. Repayments of $21.1 million and $73.9 million were made during the three and six months ended June 30, 2010, respectively. These term loan repayments were made with cash flows from operations and cash on hand. We were in compliance with the debt covenants under the credit facility at June 30, 2011.</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Convertible Senior Subordinated Notes</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August 4, 2006, we issued $345 million of 2.50% convertible notes due August 2026. Fixed interest payments are required every six months, in February and August of each year. For each six month period beginning August 2011, contingent interest payments of approximately 0.19% of the average trading price of the convertible notes will be made if certain thresholds are met or events occur, as outlined in the indenture. The convertible notes are registered with the SEC and are generally transferable. Our convertible notes are not considered conventional convertible debt as the number of shares, or cash, to be received by the holders was not fixed at the inception of the obligation. We have concluded that the conversion feature of our convertible notes does not need to be bifurcated from the host contract and accounted for as a freestanding derivative, as the conversion feature is indexed to our own stock and would be classified within stockholders’ equity if it were a freestanding instrument.</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convertible notes may be converted at the option of the holder at a conversion rate of 15.3478 shares of our common stock for each $1,000 principal amount of the convertible notes, under the following circumstances, as defined in the indenture:</w:t>
      </w:r>
    </w:p>
    <w:p>
      <w:pPr>
        <w:spacing w:after="0" w:line="62" w:lineRule="exact"/>
        <w:rPr>
          <w:sz w:val="20"/>
          <w:szCs w:val="20"/>
          <w:color w:val="auto"/>
        </w:rPr>
      </w:pPr>
    </w:p>
    <w:p>
      <w:pPr>
        <w:ind w:left="340" w:right="20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closing sale price per share of our common stock exceeds $78.19, which is 120% of the conversion price of $65.16, for at least 20 trading days in the 30 consecutive trading day period ending on the last trading day of the preceding fiscal quarter;</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between July 1, 2011 and August 1, 2011, and any time after August 1, 2024;</w:t>
      </w:r>
    </w:p>
    <w:p>
      <w:pPr>
        <w:spacing w:after="0" w:line="117" w:lineRule="exact"/>
        <w:rPr>
          <w:rFonts w:ascii="Arial" w:cs="Arial" w:eastAsia="Arial" w:hAnsi="Arial"/>
          <w:sz w:val="18"/>
          <w:szCs w:val="18"/>
          <w:color w:val="auto"/>
        </w:rPr>
      </w:pPr>
    </w:p>
    <w:p>
      <w:pPr>
        <w:ind w:left="340" w:right="18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five business days after any five consecutive trading day period in which the trading price of the convertible notes for each day was less than 98% of the average conversion value of the convertible notes;</w:t>
      </w:r>
    </w:p>
    <w:p>
      <w:pPr>
        <w:spacing w:after="0" w:line="62"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convertible notes are called for redemption;</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 fundamental change occurs; or</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the occurrence of defined corporate events.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amount payable upon conversion is the result of a formula based on the closing prices of our common stock for 20 consecutive trading days following the date of the conversion notice. Based on the conversion ratio of 15.3478 shares per $1,000 principal amount of the convertible notes, if our stock price is lower than the conversion price of $65.16, the amount payable will be less than the $1,000 principal amount and will be settled in cash. Our closing stock price at June 30, 2011 was $48.16 per share.</w:t>
      </w:r>
    </w:p>
    <w:p>
      <w:pPr>
        <w:spacing w:after="0" w:line="13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Upon conversion, the principal amount of the convertible notes will be settled in cash and, at our option, the remaining conversion obligation (stock price in excess of conversion price) may be settled in cash, shares, or a combination. The conversion rate for the convertible notes is subject to adjustment upon the occurrence of certain corporate events, as defined in the indenture, to ensure that the economic rights of the convertible note holders are preserved.</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convertible notes also contain purchase options, at the option of the holders, which if exercised would require us to repurchase all or a portion of the convertible notes on August 1, 2011, August 1, 2016, and August 1, 2021 at 100% of the principal amount, plus accrued and unpaid interest. If we are required to purchase the convertible notes at 100% of the principal amount, no gain or loss would be recognized upon derecognition as the fair value of the consideration transferred to the holder would equal the fair value of the liability component.</w:t>
      </w:r>
    </w:p>
    <w:p>
      <w:pPr>
        <w:spacing w:after="0" w:line="13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or after August 1, 2011, we have the option to redeem all or a portion of the convertible notes at a redemption price equal to 100% of the principal amount plus accrued and unpaid interest. If we elect to redeem all or a portion of the convertible notes at 100% of the principal amount, no gain or loss would be recognized upon derecognition as the fair value of the consideration transferred to the holder would equal the fair value of the liability component.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convertible notes are unsecured, subordinated to our credit facility (senior secured borrowings), and are guaranteed by 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U.S. subsidiary, which is 100% owned. The convertible notes contain covenants, which place restrictions on the incurrence of debt and certain mergers. We were in compliance with these debt covenants at June 30, 2011.</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convertible notes are classified as current on the Consolidated Balance Sheet due to the combination of put, call, and conversion options occurring in 2011.</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convertible notes are separated between the liability and equity components using our estimated non-convertible debt borrowing rate at the time our convertible notes were issued, which was determined to be 7.38%. This rate also reflects the effective interest rate on the liability component. The equity component would be retained as a permanent component of our shareholders' equity in the event the convertible notes are either purchased or redeemed at 100% of the principal amount. At June 30, 2011, the discount on the liability component was fully amortized. The carrying amounts of the debt and equity components are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20" w:type="dxa"/>
            <w:vAlign w:val="bottom"/>
            <w:gridSpan w:val="2"/>
          </w:tcPr>
          <w:p>
            <w:pPr>
              <w:ind w:left="260"/>
              <w:spacing w:after="0"/>
              <w:rPr>
                <w:sz w:val="20"/>
                <w:szCs w:val="20"/>
                <w:color w:val="auto"/>
              </w:rPr>
            </w:pPr>
            <w:r>
              <w:rPr>
                <w:rFonts w:ascii="Arial" w:cs="Arial" w:eastAsia="Arial" w:hAnsi="Arial"/>
                <w:sz w:val="18"/>
                <w:szCs w:val="18"/>
                <w:b w:val="1"/>
                <w:bCs w:val="1"/>
                <w:color w:val="auto"/>
              </w:rPr>
              <w:t>June 30, 2011</w:t>
            </w:r>
          </w:p>
        </w:tc>
        <w:tc>
          <w:tcPr>
            <w:tcW w:w="260" w:type="dxa"/>
            <w:vAlign w:val="bottom"/>
          </w:tcPr>
          <w:p>
            <w:pPr>
              <w:spacing w:after="0"/>
              <w:rPr>
                <w:sz w:val="20"/>
                <w:szCs w:val="20"/>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2010</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gridSpan w:val="4"/>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300" w:type="dxa"/>
            <w:vAlign w:val="bottom"/>
            <w:gridSpan w:val="4"/>
          </w:tcPr>
          <w:p>
            <w:pPr>
              <w:jc w:val="right"/>
              <w:ind w:right="169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Face value of convertible notes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223,604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223,604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Unamortized discount</w:t>
            </w:r>
          </w:p>
        </w:tc>
        <w:tc>
          <w:tcPr>
            <w:tcW w:w="380" w:type="dxa"/>
            <w:vAlign w:val="bottom"/>
          </w:tcPr>
          <w:p>
            <w:pPr>
              <w:spacing w:after="0"/>
              <w:rPr>
                <w:sz w:val="21"/>
                <w:szCs w:val="21"/>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(5,336)</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carrying amount of debt component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223,604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218,268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6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27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amount of equity component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31,831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31,831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interest expense relating to both the contractual interest coupon and amortization of the discount on the liability component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8"/>
                <w:szCs w:val="18"/>
                <w:color w:val="auto"/>
              </w:rPr>
            </w:pPr>
          </w:p>
        </w:tc>
        <w:tc>
          <w:tcPr>
            <w:tcW w:w="23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2010</w:t>
            </w:r>
          </w:p>
        </w:tc>
      </w:tr>
      <w:tr>
        <w:trPr>
          <w:trHeight w:val="27"/>
        </w:trPr>
        <w:tc>
          <w:tcPr>
            <w:tcW w:w="6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60" w:type="dxa"/>
            <w:vAlign w:val="bottom"/>
            <w:gridSpan w:val="5"/>
          </w:tcPr>
          <w:p>
            <w:pPr>
              <w:ind w:left="400"/>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interest coupon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Amortization of the discount on the liability component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2,693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5,336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4,957</w:t>
            </w:r>
          </w:p>
        </w:tc>
      </w:tr>
      <w:tr>
        <w:trPr>
          <w:trHeight w:val="27"/>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interest expense on convertible notes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3,898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8,131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7,752</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 Financial Instruments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part of our risk management strategy, we use derivative instruments to hedge certain foreign currency and interest rate exposures. Refer to Note 1, Note 12, and Note 13 for additional disclosures on our derivative instruments.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fair values of our derivative instruments are determined using the income approach and significant other observable inputs (also known as “Level 2”), as defined by FASB Accounting Standards Codification (ASC) 820-10-20,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We have used observable market inputs based on the type of derivative and the nature of the underlying instrument. The key inputs used at June 30, 2011 included interest rate yield curves (swap rates and futures) and foreign exchange spot and forward rates, all of which are available in an active market. We have utilized the mid-market pricing convention for these inputs at June 30, 2011. We include the effect of our counterparty credit risk based on current published credit default swap rates when the net fair value of our derivative instruments is in a net asset position. We consider our own nonperformance risk when the net fair value of our derivative instruments is in a net liability position by discounting our derivative liabilities to reflect the potential credit risk to our counterparty through applying a current market indicative credit spread to all cash flows.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7" w:name="page18"/>
    <w:bookmarkEnd w:id="17"/>
    <w:p>
      <w:pPr>
        <w:spacing w:after="0" w:line="70" w:lineRule="exact"/>
        <w:rPr>
          <w:sz w:val="20"/>
          <w:szCs w:val="20"/>
          <w:color w:val="auto"/>
        </w:rPr>
      </w:pPr>
    </w:p>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values of our derivative instruments determined using the fair value measurement of significant other observable inputs (Level 2) at June 30, 2011 and December 31, 2010 are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gridSpan w:val="4"/>
          </w:tcPr>
          <w:p>
            <w:pPr>
              <w:jc w:val="right"/>
              <w:ind w:right="113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45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8"/>
        </w:trPr>
        <w:tc>
          <w:tcPr>
            <w:tcW w:w="45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4580" w:type="dxa"/>
            <w:vAlign w:val="bottom"/>
          </w:tcPr>
          <w:p>
            <w:pPr>
              <w:spacing w:after="0"/>
              <w:rPr>
                <w:sz w:val="20"/>
                <w:szCs w:val="20"/>
                <w:color w:val="auto"/>
              </w:rPr>
            </w:pPr>
          </w:p>
        </w:tc>
        <w:tc>
          <w:tcPr>
            <w:tcW w:w="354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Sheet Location</w:t>
            </w:r>
          </w:p>
        </w:tc>
        <w:tc>
          <w:tcPr>
            <w:tcW w:w="30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2010</w:t>
            </w:r>
          </w:p>
        </w:tc>
      </w:tr>
      <w:tr>
        <w:trPr>
          <w:trHeight w:val="27"/>
        </w:trPr>
        <w:tc>
          <w:tcPr>
            <w:tcW w:w="4580" w:type="dxa"/>
            <w:vAlign w:val="bottom"/>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4"/>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gridSpan w:val="4"/>
          </w:tcPr>
          <w:p>
            <w:pPr>
              <w:jc w:val="right"/>
              <w:ind w:right="990"/>
              <w:spacing w:after="0"/>
              <w:rPr>
                <w:sz w:val="20"/>
                <w:szCs w:val="20"/>
                <w:color w:val="auto"/>
              </w:rPr>
            </w:pPr>
            <w:r>
              <w:rPr>
                <w:rFonts w:ascii="Arial" w:cs="Arial" w:eastAsia="Arial" w:hAnsi="Arial"/>
                <w:sz w:val="18"/>
                <w:szCs w:val="18"/>
                <w:b w:val="1"/>
                <w:bCs w:val="1"/>
                <w:color w:val="auto"/>
              </w:rPr>
              <w:t>(in thousands)</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Asset Derivatives</w:t>
            </w:r>
          </w:p>
        </w:tc>
        <w:tc>
          <w:tcPr>
            <w:tcW w:w="3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
        </w:trPr>
        <w:tc>
          <w:tcPr>
            <w:tcW w:w="80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 under ASC 815-20</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64"/>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0"/>
        </w:trPr>
        <w:tc>
          <w:tcPr>
            <w:tcW w:w="4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84"/>
        </w:trPr>
        <w:tc>
          <w:tcPr>
            <w:tcW w:w="45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Liability Derivatives</w:t>
            </w:r>
          </w:p>
        </w:tc>
        <w:tc>
          <w:tcPr>
            <w:tcW w:w="3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r>
      <w:tr>
        <w:trPr>
          <w:trHeight w:val="237"/>
        </w:trPr>
        <w:tc>
          <w:tcPr>
            <w:tcW w:w="80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Derivatives designated as hedging instruments under ASC 815-20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swap contracts</w:t>
            </w:r>
          </w:p>
        </w:tc>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5,845</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Interest rate swap contracts</w:t>
            </w:r>
          </w:p>
        </w:tc>
        <w:tc>
          <w:tcPr>
            <w:tcW w:w="3540" w:type="dxa"/>
            <w:vAlign w:val="bottom"/>
            <w:gridSpan w:val="2"/>
          </w:tcPr>
          <w:p>
            <w:pPr>
              <w:ind w:left="40"/>
              <w:spacing w:after="0"/>
              <w:rPr>
                <w:sz w:val="20"/>
                <w:szCs w:val="20"/>
                <w:color w:val="auto"/>
              </w:rPr>
            </w:pPr>
            <w:r>
              <w:rPr>
                <w:rFonts w:ascii="Arial" w:cs="Arial" w:eastAsia="Arial" w:hAnsi="Arial"/>
                <w:sz w:val="18"/>
                <w:szCs w:val="18"/>
                <w:color w:val="auto"/>
              </w:rPr>
              <w:t>Other long-term obligations</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975</w:t>
            </w:r>
          </w:p>
        </w:tc>
      </w:tr>
      <w:tr>
        <w:trPr>
          <w:trHeight w:val="27"/>
        </w:trPr>
        <w:tc>
          <w:tcPr>
            <w:tcW w:w="45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 denominated term loan *</w:t>
            </w:r>
          </w:p>
        </w:tc>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portion of debt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4,402</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Euro denominated term loan *</w:t>
            </w:r>
          </w:p>
        </w:tc>
        <w:tc>
          <w:tcPr>
            <w:tcW w:w="354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146,556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169,629</w:t>
            </w:r>
          </w:p>
        </w:tc>
      </w:tr>
      <w:tr>
        <w:trPr>
          <w:trHeight w:val="27"/>
        </w:trPr>
        <w:tc>
          <w:tcPr>
            <w:tcW w:w="802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Total derivatives designated as hedging instruments under ASC 815-20</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153,927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180,851</w:t>
            </w:r>
          </w:p>
        </w:tc>
      </w:tr>
      <w:tr>
        <w:trPr>
          <w:trHeight w:val="291"/>
        </w:trPr>
        <w:tc>
          <w:tcPr>
            <w:tcW w:w="45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 under ASC 815-20</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Foreign exchange forward contracts</w:t>
            </w:r>
          </w:p>
        </w:tc>
        <w:tc>
          <w:tcPr>
            <w:tcW w:w="354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457</w:t>
            </w:r>
          </w:p>
        </w:tc>
      </w:tr>
      <w:tr>
        <w:trPr>
          <w:trHeight w:val="27"/>
        </w:trPr>
        <w:tc>
          <w:tcPr>
            <w:tcW w:w="458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91"/>
        </w:trPr>
        <w:tc>
          <w:tcPr>
            <w:tcW w:w="4580" w:type="dxa"/>
            <w:vAlign w:val="bottom"/>
            <w:shd w:val="clear" w:color="auto" w:fill="CCEEFF"/>
          </w:tcPr>
          <w:p>
            <w:pPr>
              <w:spacing w:after="0"/>
              <w:rPr>
                <w:sz w:val="24"/>
                <w:szCs w:val="24"/>
                <w:color w:val="auto"/>
              </w:rPr>
            </w:pPr>
          </w:p>
        </w:tc>
        <w:tc>
          <w:tcPr>
            <w:tcW w:w="3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4580" w:type="dxa"/>
            <w:vAlign w:val="bottom"/>
          </w:tcPr>
          <w:p>
            <w:pPr>
              <w:ind w:left="380"/>
              <w:spacing w:after="0"/>
              <w:rPr>
                <w:sz w:val="20"/>
                <w:szCs w:val="20"/>
                <w:color w:val="auto"/>
              </w:rPr>
            </w:pPr>
            <w:r>
              <w:rPr>
                <w:rFonts w:ascii="Arial" w:cs="Arial" w:eastAsia="Arial" w:hAnsi="Arial"/>
                <w:sz w:val="18"/>
                <w:szCs w:val="18"/>
                <w:b w:val="1"/>
                <w:bCs w:val="1"/>
                <w:color w:val="auto"/>
              </w:rPr>
              <w:t>Total liability derivatives</w:t>
            </w:r>
          </w:p>
        </w:tc>
        <w:tc>
          <w:tcPr>
            <w:tcW w:w="3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154,127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181,308</w:t>
            </w:r>
          </w:p>
        </w:tc>
      </w:tr>
      <w:tr>
        <w:trPr>
          <w:trHeight w:val="27"/>
        </w:trPr>
        <w:tc>
          <w:tcPr>
            <w:tcW w:w="45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4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8"/>
        <w:spacing w:after="0" w:line="277" w:lineRule="auto"/>
        <w:tabs>
          <w:tab w:leader="none" w:pos="16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euro denominated term loan is a nonderivative financial instrument designated as a hedge of our net investment in international operations. It is recorded at its carrying value in the Consolidated Balance Sheets and is not recorded at fair value.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OCI during the reporting period for our derivative and nonderivative instruments designated as hedging instruments (collectively, hedging instruments), net of tax, was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2010</w:t>
            </w:r>
          </w:p>
        </w:tc>
      </w:tr>
      <w:tr>
        <w:trPr>
          <w:trHeight w:val="27"/>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04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loss on hedging instruments at January 1,</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(30,300)</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Unrealized gain (loss) on derivative instruments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(2,542)</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(loss) on a nonderivative net investment hedging instrument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24,352</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Realized (gains) losses reclassified into net income (loss)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2,774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4,197</w:t>
            </w: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loss on hedging instruments at June 30,</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(16,686)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(4,293)</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 Hedges</w:t>
      </w:r>
    </w:p>
    <w:p>
      <w:pPr>
        <w:spacing w:after="0" w:line="23"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color w:val="auto"/>
        </w:rPr>
        <w:t>We are exposed to interest rate risk through our credit facility. We enter into swaps to achieve a fixed rate of interest on the hedged portion of debt in order to increase our ability to forecast interest expense. The objective of these swaps is to protect us from increases in the LIBOR base borrowing rates on our floating rate credit facility. The swaps do not protect us from changes to the applicable margin under our credit facility.</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2007, we entered into a pay fixed 6.59% receive three-month Euro Interbank Offered Rate (EURIBOR), plus 2%, amortizing interest rate swap to convert a significant portion of our euro denominated variable-rate term loan to fixed-rate debt, plus or minus the variance in the applicable margin from 2%, through December 31, 2012. The cash flow hedge is currently, and is expected to be, highly effective in achieving offsetting cash flows attributable to the hedged risk through the term of the hedge. Consequently, effective changes in the fair value of the interest rate swap are recorded as a component of OCI and are recognized in earnings when the hedged item affects earnings. The amounts paid or received on the hedge are recognized as adjustments to interest expense. The notional amount of the swap is reduced each quarter and was $115.6 million (€80.8 million) and $147.7 million (€112.4 million) as of June 30, 2011 and December 31, 2010, respectively. The amount of net losses expected to be reclassified into earnings in the next 12 months is approximately $2.2 million (€1.5 million), which was based on the Reuters euro swap yield curve as of June 30, 2011.</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two one-year pay-fixed receive one-month LIBOR interest rate swaps, which each converted $100 million of our U.S. dollar term loan from a floating LIBOR interest rate to fixed interest rates of 2.11% and 2.15%, respectively, expired on June 30, 2011. These swaps did not include the additional interest rate margin applicable to our term debt.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continue to monitor and assess our interest rate risk and may institute additional interest rate swaps or other derivative instruments to manage such risk in the future.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before tax effect of our cash flow derivative instruments on the Consolidated Balance Sheets and the Consolidated Statements of Operations for the three and six months ended June 30 are as follows:</w:t>
      </w:r>
    </w:p>
    <w:p>
      <w:pPr>
        <w:sectPr>
          <w:pgSz w:w="11900" w:h="16908" w:orient="portrait"/>
          <w:cols w:equalWidth="0" w:num="1">
            <w:col w:w="11420"/>
          </w:cols>
          <w:pgMar w:left="240" w:top="125" w:right="239" w:bottom="0" w:gutter="0" w:footer="0" w:header="0"/>
        </w:sectPr>
      </w:pPr>
    </w:p>
    <w:p>
      <w:pPr>
        <w:spacing w:after="0" w:line="314" w:lineRule="exact"/>
        <w:rPr>
          <w:sz w:val="20"/>
          <w:szCs w:val="20"/>
          <w:color w:val="auto"/>
        </w:rPr>
      </w:pPr>
    </w:p>
    <w:tbl>
      <w:tblPr>
        <w:tblLayout w:type="fixed"/>
        <w:tblInd w:w="480" w:type="dxa"/>
        <w:tblCellMar>
          <w:top w:w="0" w:type="dxa"/>
          <w:left w:w="0" w:type="dxa"/>
          <w:bottom w:w="0" w:type="dxa"/>
          <w:right w:w="0" w:type="dxa"/>
        </w:tblCellMar>
      </w:tblPr>
      <w:tr>
        <w:trPr>
          <w:trHeight w:val="149"/>
        </w:trPr>
        <w:tc>
          <w:tcPr>
            <w:tcW w:w="1920" w:type="dxa"/>
            <w:vAlign w:val="bottom"/>
          </w:tcPr>
          <w:p>
            <w:pPr>
              <w:jc w:val="center"/>
              <w:ind w:right="437"/>
              <w:spacing w:after="0"/>
              <w:rPr>
                <w:sz w:val="20"/>
                <w:szCs w:val="20"/>
                <w:color w:val="auto"/>
              </w:rPr>
            </w:pPr>
            <w:r>
              <w:rPr>
                <w:rFonts w:ascii="Arial" w:cs="Arial" w:eastAsia="Arial" w:hAnsi="Arial"/>
                <w:sz w:val="13"/>
                <w:szCs w:val="13"/>
                <w:b w:val="1"/>
                <w:bCs w:val="1"/>
                <w:color w:val="auto"/>
                <w:w w:val="88"/>
              </w:rPr>
              <w:t>Derivatives in ASC 815-20</w:t>
            </w:r>
          </w:p>
        </w:tc>
        <w:tc>
          <w:tcPr>
            <w:tcW w:w="1740" w:type="dxa"/>
            <w:vAlign w:val="bottom"/>
          </w:tcPr>
          <w:p>
            <w:pPr>
              <w:jc w:val="center"/>
              <w:ind w:left="437"/>
              <w:spacing w:after="0"/>
              <w:rPr>
                <w:sz w:val="20"/>
                <w:szCs w:val="20"/>
                <w:color w:val="auto"/>
              </w:rPr>
            </w:pPr>
            <w:r>
              <w:rPr>
                <w:rFonts w:ascii="Arial" w:cs="Arial" w:eastAsia="Arial" w:hAnsi="Arial"/>
                <w:sz w:val="13"/>
                <w:szCs w:val="13"/>
                <w:b w:val="1"/>
                <w:bCs w:val="1"/>
                <w:color w:val="auto"/>
                <w:w w:val="88"/>
              </w:rPr>
              <w:t>Amount of Gain (Loss)</w:t>
            </w:r>
          </w:p>
        </w:tc>
      </w:tr>
      <w:tr>
        <w:trPr>
          <w:trHeight w:val="135"/>
        </w:trPr>
        <w:tc>
          <w:tcPr>
            <w:tcW w:w="1920" w:type="dxa"/>
            <w:vAlign w:val="bottom"/>
          </w:tcPr>
          <w:p>
            <w:pPr>
              <w:jc w:val="center"/>
              <w:ind w:right="417"/>
              <w:spacing w:after="0" w:line="135" w:lineRule="exact"/>
              <w:rPr>
                <w:sz w:val="20"/>
                <w:szCs w:val="20"/>
                <w:color w:val="auto"/>
              </w:rPr>
            </w:pPr>
            <w:r>
              <w:rPr>
                <w:rFonts w:ascii="Arial" w:cs="Arial" w:eastAsia="Arial" w:hAnsi="Arial"/>
                <w:sz w:val="13"/>
                <w:szCs w:val="13"/>
                <w:b w:val="1"/>
                <w:bCs w:val="1"/>
                <w:color w:val="auto"/>
                <w:w w:val="86"/>
              </w:rPr>
              <w:t>Cash Flow</w:t>
            </w:r>
          </w:p>
        </w:tc>
        <w:tc>
          <w:tcPr>
            <w:tcW w:w="1740" w:type="dxa"/>
            <w:vAlign w:val="bottom"/>
          </w:tcPr>
          <w:p>
            <w:pPr>
              <w:jc w:val="center"/>
              <w:ind w:left="417"/>
              <w:spacing w:after="0" w:line="135" w:lineRule="exact"/>
              <w:rPr>
                <w:sz w:val="20"/>
                <w:szCs w:val="20"/>
                <w:color w:val="auto"/>
              </w:rPr>
            </w:pPr>
            <w:r>
              <w:rPr>
                <w:rFonts w:ascii="Arial" w:cs="Arial" w:eastAsia="Arial" w:hAnsi="Arial"/>
                <w:sz w:val="13"/>
                <w:szCs w:val="13"/>
                <w:b w:val="1"/>
                <w:bCs w:val="1"/>
                <w:color w:val="auto"/>
                <w:w w:val="87"/>
              </w:rPr>
              <w:t>Recognized in OCI on</w:t>
            </w:r>
          </w:p>
        </w:tc>
      </w:tr>
      <w:tr>
        <w:trPr>
          <w:trHeight w:val="135"/>
        </w:trPr>
        <w:tc>
          <w:tcPr>
            <w:tcW w:w="1920" w:type="dxa"/>
            <w:vAlign w:val="bottom"/>
          </w:tcPr>
          <w:p>
            <w:pPr>
              <w:jc w:val="center"/>
              <w:ind w:right="437"/>
              <w:spacing w:after="0" w:line="135" w:lineRule="exact"/>
              <w:rPr>
                <w:sz w:val="20"/>
                <w:szCs w:val="20"/>
                <w:color w:val="auto"/>
              </w:rPr>
            </w:pPr>
            <w:r>
              <w:rPr>
                <w:rFonts w:ascii="Arial" w:cs="Arial" w:eastAsia="Arial" w:hAnsi="Arial"/>
                <w:sz w:val="13"/>
                <w:szCs w:val="13"/>
                <w:b w:val="1"/>
                <w:bCs w:val="1"/>
                <w:color w:val="auto"/>
                <w:w w:val="86"/>
              </w:rPr>
              <w:t>Hedging Relationships</w:t>
            </w:r>
          </w:p>
        </w:tc>
        <w:tc>
          <w:tcPr>
            <w:tcW w:w="1740" w:type="dxa"/>
            <w:vAlign w:val="bottom"/>
          </w:tcPr>
          <w:p>
            <w:pPr>
              <w:jc w:val="center"/>
              <w:ind w:left="417"/>
              <w:spacing w:after="0" w:line="135" w:lineRule="exact"/>
              <w:rPr>
                <w:sz w:val="20"/>
                <w:szCs w:val="20"/>
                <w:color w:val="auto"/>
              </w:rPr>
            </w:pPr>
            <w:r>
              <w:rPr>
                <w:rFonts w:ascii="Arial" w:cs="Arial" w:eastAsia="Arial" w:hAnsi="Arial"/>
                <w:sz w:val="13"/>
                <w:szCs w:val="13"/>
                <w:b w:val="1"/>
                <w:bCs w:val="1"/>
                <w:color w:val="auto"/>
                <w:w w:val="91"/>
              </w:rPr>
              <w:t>Derivative (Effective</w:t>
            </w:r>
          </w:p>
        </w:tc>
      </w:tr>
      <w:tr>
        <w:trPr>
          <w:trHeight w:val="164"/>
        </w:trPr>
        <w:tc>
          <w:tcPr>
            <w:tcW w:w="1920" w:type="dxa"/>
            <w:vAlign w:val="bottom"/>
          </w:tcPr>
          <w:p>
            <w:pPr>
              <w:spacing w:after="0"/>
              <w:rPr>
                <w:sz w:val="14"/>
                <w:szCs w:val="14"/>
                <w:color w:val="auto"/>
              </w:rPr>
            </w:pPr>
          </w:p>
        </w:tc>
        <w:tc>
          <w:tcPr>
            <w:tcW w:w="1740" w:type="dxa"/>
            <w:vAlign w:val="bottom"/>
          </w:tcPr>
          <w:p>
            <w:pPr>
              <w:jc w:val="center"/>
              <w:ind w:left="417"/>
              <w:spacing w:after="0"/>
              <w:rPr>
                <w:sz w:val="20"/>
                <w:szCs w:val="20"/>
                <w:color w:val="auto"/>
              </w:rPr>
            </w:pPr>
            <w:r>
              <w:rPr>
                <w:rFonts w:ascii="Arial" w:cs="Arial" w:eastAsia="Arial" w:hAnsi="Arial"/>
                <w:sz w:val="13"/>
                <w:szCs w:val="13"/>
                <w:b w:val="1"/>
                <w:bCs w:val="1"/>
                <w:color w:val="auto"/>
                <w:w w:val="92"/>
              </w:rPr>
              <w:t>Portion)</w:t>
            </w:r>
          </w:p>
        </w:tc>
      </w:tr>
    </w:tbl>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5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6"/>
              </w:rPr>
              <w:t>Gain (Loss) Reclassified from Accumulated</w:t>
            </w:r>
          </w:p>
        </w:tc>
        <w:tc>
          <w:tcPr>
            <w:tcW w:w="3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Gain (Loss) Recognized in Income on</w:t>
            </w:r>
          </w:p>
        </w:tc>
      </w:tr>
      <w:tr>
        <w:trPr>
          <w:trHeight w:val="174"/>
        </w:trPr>
        <w:tc>
          <w:tcPr>
            <w:tcW w:w="34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OCI into Income (Effective Portion)</w:t>
            </w:r>
          </w:p>
        </w:tc>
        <w:tc>
          <w:tcPr>
            <w:tcW w:w="100" w:type="dxa"/>
            <w:vAlign w:val="bottom"/>
          </w:tcPr>
          <w:p>
            <w:pPr>
              <w:spacing w:after="0"/>
              <w:rPr>
                <w:sz w:val="15"/>
                <w:szCs w:val="15"/>
                <w:color w:val="auto"/>
              </w:rPr>
            </w:pPr>
          </w:p>
        </w:tc>
        <w:tc>
          <w:tcPr>
            <w:tcW w:w="31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9"/>
              </w:rPr>
              <w:t>Derivative (Ineffective Portion)</w:t>
            </w:r>
          </w:p>
        </w:tc>
      </w:tr>
      <w:tr>
        <w:trPr>
          <w:trHeight w:val="173"/>
        </w:trPr>
        <w:tc>
          <w:tcPr>
            <w:tcW w:w="1640" w:type="dxa"/>
            <w:vAlign w:val="bottom"/>
          </w:tcPr>
          <w:p>
            <w:pPr>
              <w:ind w:left="500"/>
              <w:spacing w:after="0"/>
              <w:rPr>
                <w:sz w:val="20"/>
                <w:szCs w:val="20"/>
                <w:color w:val="auto"/>
              </w:rPr>
            </w:pPr>
            <w:r>
              <w:rPr>
                <w:rFonts w:ascii="Arial" w:cs="Arial" w:eastAsia="Arial" w:hAnsi="Arial"/>
                <w:sz w:val="13"/>
                <w:szCs w:val="13"/>
                <w:b w:val="1"/>
                <w:bCs w:val="1"/>
                <w:color w:val="auto"/>
              </w:rPr>
              <w:t>Location</w:t>
            </w:r>
          </w:p>
        </w:tc>
        <w:tc>
          <w:tcPr>
            <w:tcW w:w="1940" w:type="dxa"/>
            <w:vAlign w:val="bottom"/>
            <w:gridSpan w:val="2"/>
          </w:tcPr>
          <w:p>
            <w:pPr>
              <w:ind w:left="680"/>
              <w:spacing w:after="0"/>
              <w:rPr>
                <w:sz w:val="20"/>
                <w:szCs w:val="20"/>
                <w:color w:val="auto"/>
              </w:rPr>
            </w:pPr>
            <w:r>
              <w:rPr>
                <w:rFonts w:ascii="Arial" w:cs="Arial" w:eastAsia="Arial" w:hAnsi="Arial"/>
                <w:sz w:val="13"/>
                <w:szCs w:val="13"/>
                <w:b w:val="1"/>
                <w:bCs w:val="1"/>
                <w:color w:val="auto"/>
              </w:rPr>
              <w:t>Amount</w:t>
            </w:r>
          </w:p>
        </w:tc>
        <w:tc>
          <w:tcPr>
            <w:tcW w:w="1380" w:type="dxa"/>
            <w:vAlign w:val="bottom"/>
          </w:tcPr>
          <w:p>
            <w:pPr>
              <w:ind w:left="320"/>
              <w:spacing w:after="0"/>
              <w:rPr>
                <w:sz w:val="20"/>
                <w:szCs w:val="20"/>
                <w:color w:val="auto"/>
              </w:rPr>
            </w:pPr>
            <w:r>
              <w:rPr>
                <w:rFonts w:ascii="Arial" w:cs="Arial" w:eastAsia="Arial" w:hAnsi="Arial"/>
                <w:sz w:val="13"/>
                <w:szCs w:val="13"/>
                <w:b w:val="1"/>
                <w:bCs w:val="1"/>
                <w:color w:val="auto"/>
              </w:rPr>
              <w:t>Location</w:t>
            </w:r>
          </w:p>
        </w:tc>
        <w:tc>
          <w:tcPr>
            <w:tcW w:w="1740" w:type="dxa"/>
            <w:vAlign w:val="bottom"/>
          </w:tcPr>
          <w:p>
            <w:pPr>
              <w:ind w:left="600"/>
              <w:spacing w:after="0"/>
              <w:rPr>
                <w:sz w:val="20"/>
                <w:szCs w:val="20"/>
                <w:color w:val="auto"/>
              </w:rPr>
            </w:pPr>
            <w:r>
              <w:rPr>
                <w:rFonts w:ascii="Arial" w:cs="Arial" w:eastAsia="Arial" w:hAnsi="Arial"/>
                <w:sz w:val="13"/>
                <w:szCs w:val="13"/>
                <w:b w:val="1"/>
                <w:bCs w:val="1"/>
                <w:color w:val="auto"/>
              </w:rPr>
              <w:t>Amount</w:t>
            </w:r>
          </w:p>
        </w:tc>
      </w:tr>
    </w:tbl>
    <w:p>
      <w:pPr>
        <w:sectPr>
          <w:pgSz w:w="11900" w:h="16908" w:orient="portrait"/>
          <w:cols w:equalWidth="0" w:num="2">
            <w:col w:w="4140" w:space="480"/>
            <w:col w:w="6800"/>
          </w:cols>
          <w:pgMar w:left="240" w:top="125" w:right="239" w:bottom="0" w:gutter="0" w:footer="0" w:header="0"/>
          <w:type w:val="continuous"/>
        </w:sectPr>
      </w:pPr>
    </w:p>
    <w:bookmarkStart w:id="18" w:name="page19"/>
    <w:bookmarkEnd w:id="1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106045</wp:posOffset>
            </wp:positionV>
            <wp:extent cx="71862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25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2011</w:t>
            </w:r>
          </w:p>
        </w:tc>
        <w:tc>
          <w:tcPr>
            <w:tcW w:w="4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w w:val="82"/>
              </w:rPr>
              <w:t>2010</w:t>
            </w:r>
          </w:p>
        </w:tc>
        <w:tc>
          <w:tcPr>
            <w:tcW w:w="17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2011</w:t>
            </w: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2010</w:t>
            </w:r>
          </w:p>
        </w:tc>
        <w:tc>
          <w:tcPr>
            <w:tcW w:w="1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2011</w:t>
            </w:r>
          </w:p>
        </w:tc>
        <w:tc>
          <w:tcPr>
            <w:tcW w:w="2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2010</w:t>
            </w:r>
          </w:p>
        </w:tc>
        <w:tc>
          <w:tcPr>
            <w:tcW w:w="0" w:type="dxa"/>
            <w:vAlign w:val="bottom"/>
          </w:tcPr>
          <w:p>
            <w:pPr>
              <w:spacing w:after="0"/>
              <w:rPr>
                <w:sz w:val="1"/>
                <w:szCs w:val="1"/>
                <w:color w:val="auto"/>
              </w:rPr>
            </w:pPr>
          </w:p>
        </w:tc>
      </w:tr>
      <w:tr>
        <w:trPr>
          <w:trHeight w:val="249"/>
        </w:trPr>
        <w:tc>
          <w:tcPr>
            <w:tcW w:w="2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3"/>
                <w:szCs w:val="13"/>
                <w:b w:val="1"/>
                <w:bCs w:val="1"/>
                <w:color w:val="auto"/>
              </w:rPr>
              <w:t>(in thousands)</w:t>
            </w:r>
          </w:p>
        </w:tc>
        <w:tc>
          <w:tcPr>
            <w:tcW w:w="6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gridSpan w:val="3"/>
          </w:tcPr>
          <w:p>
            <w:pPr>
              <w:jc w:val="right"/>
              <w:ind w:right="497"/>
              <w:spacing w:after="0"/>
              <w:rPr>
                <w:sz w:val="20"/>
                <w:szCs w:val="20"/>
                <w:color w:val="auto"/>
              </w:rPr>
            </w:pPr>
            <w:r>
              <w:rPr>
                <w:rFonts w:ascii="Arial" w:cs="Arial" w:eastAsia="Arial" w:hAnsi="Arial"/>
                <w:sz w:val="13"/>
                <w:szCs w:val="13"/>
                <w:b w:val="1"/>
                <w:bCs w:val="1"/>
                <w:color w:val="auto"/>
              </w:rPr>
              <w:t>(in thousands)</w:t>
            </w: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gridSpan w:val="3"/>
          </w:tcPr>
          <w:p>
            <w:pPr>
              <w:jc w:val="right"/>
              <w:ind w:right="477"/>
              <w:spacing w:after="0"/>
              <w:rPr>
                <w:sz w:val="20"/>
                <w:szCs w:val="20"/>
                <w:color w:val="auto"/>
              </w:rPr>
            </w:pPr>
            <w:r>
              <w:rPr>
                <w:rFonts w:ascii="Arial" w:cs="Arial" w:eastAsia="Arial" w:hAnsi="Arial"/>
                <w:sz w:val="13"/>
                <w:szCs w:val="13"/>
                <w:b w:val="1"/>
                <w:bCs w:val="1"/>
                <w:color w:val="auto"/>
              </w:rPr>
              <w:t>(in thousands)</w:t>
            </w:r>
          </w:p>
        </w:tc>
        <w:tc>
          <w:tcPr>
            <w:tcW w:w="0" w:type="dxa"/>
            <w:vAlign w:val="bottom"/>
          </w:tcPr>
          <w:p>
            <w:pPr>
              <w:spacing w:after="0"/>
              <w:rPr>
                <w:sz w:val="1"/>
                <w:szCs w:val="1"/>
                <w:color w:val="auto"/>
              </w:rPr>
            </w:pPr>
          </w:p>
        </w:tc>
      </w:tr>
      <w:tr>
        <w:trPr>
          <w:trHeight w:val="181"/>
        </w:trPr>
        <w:tc>
          <w:tcPr>
            <w:tcW w:w="25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Three Months Ended June 30,</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5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7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500" w:type="dxa"/>
            <w:vAlign w:val="bottom"/>
          </w:tcPr>
          <w:p>
            <w:pPr>
              <w:ind w:left="380"/>
              <w:spacing w:after="0"/>
              <w:rPr>
                <w:sz w:val="20"/>
                <w:szCs w:val="20"/>
                <w:color w:val="auto"/>
              </w:rPr>
            </w:pPr>
            <w:r>
              <w:rPr>
                <w:rFonts w:ascii="Arial" w:cs="Arial" w:eastAsia="Arial" w:hAnsi="Arial"/>
                <w:sz w:val="13"/>
                <w:szCs w:val="13"/>
                <w:color w:val="auto"/>
              </w:rPr>
              <w:t>Interest rate swap contracts</w:t>
            </w:r>
          </w:p>
        </w:tc>
        <w:tc>
          <w:tcPr>
            <w:tcW w:w="2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ind w:right="57"/>
              <w:spacing w:after="0"/>
              <w:rPr>
                <w:sz w:val="20"/>
                <w:szCs w:val="20"/>
                <w:color w:val="auto"/>
              </w:rPr>
            </w:pPr>
            <w:r>
              <w:rPr>
                <w:rFonts w:ascii="Arial" w:cs="Arial" w:eastAsia="Arial" w:hAnsi="Arial"/>
                <w:sz w:val="13"/>
                <w:szCs w:val="13"/>
                <w:color w:val="auto"/>
              </w:rPr>
              <w:t>(2,149)</w:t>
            </w:r>
          </w:p>
        </w:tc>
        <w:tc>
          <w:tcPr>
            <w:tcW w:w="420" w:type="dxa"/>
            <w:vAlign w:val="bottom"/>
            <w:vMerge w:val="restart"/>
          </w:tcPr>
          <w:p>
            <w:pPr>
              <w:jc w:val="right"/>
              <w:ind w:right="177"/>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ind w:right="17"/>
              <w:spacing w:after="0"/>
              <w:rPr>
                <w:sz w:val="20"/>
                <w:szCs w:val="20"/>
                <w:color w:val="auto"/>
              </w:rPr>
            </w:pPr>
            <w:r>
              <w:rPr>
                <w:rFonts w:ascii="Arial" w:cs="Arial" w:eastAsia="Arial" w:hAnsi="Arial"/>
                <w:sz w:val="13"/>
                <w:szCs w:val="13"/>
                <w:color w:val="auto"/>
              </w:rPr>
              <w:t>(839)</w:t>
            </w:r>
          </w:p>
        </w:tc>
        <w:tc>
          <w:tcPr>
            <w:tcW w:w="1700" w:type="dxa"/>
            <w:vAlign w:val="bottom"/>
            <w:vMerge w:val="restart"/>
          </w:tcPr>
          <w:p>
            <w:pPr>
              <w:ind w:left="740"/>
              <w:spacing w:after="0"/>
              <w:rPr>
                <w:sz w:val="20"/>
                <w:szCs w:val="20"/>
                <w:color w:val="auto"/>
              </w:rPr>
            </w:pPr>
            <w:r>
              <w:rPr>
                <w:rFonts w:ascii="Arial" w:cs="Arial" w:eastAsia="Arial" w:hAnsi="Arial"/>
                <w:sz w:val="13"/>
                <w:szCs w:val="13"/>
                <w:color w:val="auto"/>
                <w:w w:val="97"/>
              </w:rPr>
              <w:t>Interest expense</w:t>
            </w:r>
          </w:p>
        </w:tc>
        <w:tc>
          <w:tcPr>
            <w:tcW w:w="2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ind w:right="37"/>
              <w:spacing w:after="0"/>
              <w:rPr>
                <w:sz w:val="20"/>
                <w:szCs w:val="20"/>
                <w:color w:val="auto"/>
              </w:rPr>
            </w:pPr>
            <w:r>
              <w:rPr>
                <w:rFonts w:ascii="Arial" w:cs="Arial" w:eastAsia="Arial" w:hAnsi="Arial"/>
                <w:sz w:val="13"/>
                <w:szCs w:val="13"/>
                <w:color w:val="auto"/>
              </w:rPr>
              <w:t>(1,788)</w:t>
            </w:r>
          </w:p>
        </w:tc>
        <w:tc>
          <w:tcPr>
            <w:tcW w:w="28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(3,238)</w:t>
            </w:r>
          </w:p>
        </w:tc>
        <w:tc>
          <w:tcPr>
            <w:tcW w:w="1340" w:type="dxa"/>
            <w:vAlign w:val="bottom"/>
            <w:vMerge w:val="restart"/>
          </w:tcPr>
          <w:p>
            <w:pPr>
              <w:ind w:left="380"/>
              <w:spacing w:after="0"/>
              <w:rPr>
                <w:sz w:val="20"/>
                <w:szCs w:val="20"/>
                <w:color w:val="auto"/>
              </w:rPr>
            </w:pPr>
            <w:r>
              <w:rPr>
                <w:rFonts w:ascii="Arial" w:cs="Arial" w:eastAsia="Arial" w:hAnsi="Arial"/>
                <w:sz w:val="13"/>
                <w:szCs w:val="13"/>
                <w:color w:val="auto"/>
                <w:w w:val="97"/>
              </w:rPr>
              <w:t>Interest expense</w:t>
            </w:r>
          </w:p>
        </w:tc>
        <w:tc>
          <w:tcPr>
            <w:tcW w:w="200" w:type="dxa"/>
            <w:vAlign w:val="bottom"/>
            <w:vMerge w:val="restart"/>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vMerge w:val="restart"/>
          </w:tcPr>
          <w:p>
            <w:pPr>
              <w:jc w:val="right"/>
              <w:ind w:right="37"/>
              <w:spacing w:after="0"/>
              <w:rPr>
                <w:sz w:val="20"/>
                <w:szCs w:val="20"/>
                <w:color w:val="auto"/>
              </w:rPr>
            </w:pPr>
            <w:r>
              <w:rPr>
                <w:rFonts w:ascii="Arial" w:cs="Arial" w:eastAsia="Arial" w:hAnsi="Arial"/>
                <w:sz w:val="13"/>
                <w:szCs w:val="13"/>
                <w:color w:val="auto"/>
              </w:rPr>
              <w:t>(31)</w:t>
            </w:r>
          </w:p>
        </w:tc>
        <w:tc>
          <w:tcPr>
            <w:tcW w:w="28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89"/>
        </w:trPr>
        <w:tc>
          <w:tcPr>
            <w:tcW w:w="250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7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8"/>
        </w:trPr>
        <w:tc>
          <w:tcPr>
            <w:tcW w:w="25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500" w:type="dxa"/>
            <w:vAlign w:val="bottom"/>
          </w:tcPr>
          <w:p>
            <w:pPr>
              <w:ind w:left="40"/>
              <w:spacing w:after="0"/>
              <w:rPr>
                <w:sz w:val="20"/>
                <w:szCs w:val="20"/>
                <w:color w:val="auto"/>
              </w:rPr>
            </w:pPr>
            <w:r>
              <w:rPr>
                <w:rFonts w:ascii="Arial" w:cs="Arial" w:eastAsia="Arial" w:hAnsi="Arial"/>
                <w:sz w:val="13"/>
                <w:szCs w:val="13"/>
                <w:b w:val="1"/>
                <w:bCs w:val="1"/>
                <w:color w:val="auto"/>
              </w:rPr>
              <w:t>Six Months Ended June 30,</w:t>
            </w: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25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Interest rate swap contracts</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(4,477)</w:t>
            </w:r>
          </w:p>
        </w:tc>
        <w:tc>
          <w:tcPr>
            <w:tcW w:w="4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(4,122)</w:t>
            </w:r>
          </w:p>
        </w:tc>
        <w:tc>
          <w:tcPr>
            <w:tcW w:w="1700" w:type="dxa"/>
            <w:vAlign w:val="bottom"/>
            <w:shd w:val="clear" w:color="auto" w:fill="CCEEFF"/>
          </w:tcPr>
          <w:p>
            <w:pPr>
              <w:ind w:left="740"/>
              <w:spacing w:after="0"/>
              <w:rPr>
                <w:sz w:val="20"/>
                <w:szCs w:val="20"/>
                <w:color w:val="auto"/>
              </w:rPr>
            </w:pPr>
            <w:r>
              <w:rPr>
                <w:rFonts w:ascii="Arial" w:cs="Arial" w:eastAsia="Arial" w:hAnsi="Arial"/>
                <w:sz w:val="13"/>
                <w:szCs w:val="13"/>
                <w:color w:val="auto"/>
                <w:w w:val="97"/>
              </w:rPr>
              <w:t>Interest expense</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(4,171)</w:t>
            </w:r>
          </w:p>
        </w:tc>
        <w:tc>
          <w:tcPr>
            <w:tcW w:w="2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(6,810)</w:t>
            </w:r>
          </w:p>
        </w:tc>
        <w:tc>
          <w:tcPr>
            <w:tcW w:w="1340" w:type="dxa"/>
            <w:vAlign w:val="bottom"/>
            <w:shd w:val="clear" w:color="auto" w:fill="CCEEFF"/>
          </w:tcPr>
          <w:p>
            <w:pPr>
              <w:ind w:left="380"/>
              <w:spacing w:after="0"/>
              <w:rPr>
                <w:sz w:val="20"/>
                <w:szCs w:val="20"/>
                <w:color w:val="auto"/>
              </w:rPr>
            </w:pPr>
            <w:r>
              <w:rPr>
                <w:rFonts w:ascii="Arial" w:cs="Arial" w:eastAsia="Arial" w:hAnsi="Arial"/>
                <w:sz w:val="13"/>
                <w:szCs w:val="13"/>
                <w:color w:val="auto"/>
                <w:w w:val="97"/>
              </w:rPr>
              <w:t>Interest expense</w:t>
            </w: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(80)</w:t>
            </w:r>
          </w:p>
        </w:tc>
        <w:tc>
          <w:tcPr>
            <w:tcW w:w="2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Investment Hedge</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exposed to foreign exchange risk through our international subsidiaries. As a result of our acquisition of an international company in 2007, we entered into a euro denominated term loan, which exposes us to fluctuations in the euro foreign exchange rate. Therefore, we have designated this foreign currency denominated term loan as a hedge of our net investment in international operations. The non-functional currency term loan is revalued into U.S. dollars at each balance sheet date, and the changes in value associated with currency fluctuations are recorded as adjustments to long-term debt with offsetting gains and losses recorded in OCI. The notional amount of the term loan declines each quarter due to repayments and was $151.4 million (€105.8 million) and $174.0 million (€132.4 million) as of June 30, 2011 and December 31, 2010, respectively. We had no hedge ineffectiveness.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before tax and net of tax effects of our net investment hedge nonderivative financial instrument on OCI for the three and six months ended June 30 are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Nonderivative Financial Instruments in ASC 815-20</w:t>
            </w:r>
          </w:p>
        </w:tc>
        <w:tc>
          <w:tcPr>
            <w:tcW w:w="920" w:type="dxa"/>
            <w:vAlign w:val="bottom"/>
          </w:tcPr>
          <w:p>
            <w:pPr>
              <w:spacing w:after="0"/>
              <w:rPr>
                <w:sz w:val="17"/>
                <w:szCs w:val="17"/>
                <w:color w:val="auto"/>
              </w:rPr>
            </w:pPr>
          </w:p>
        </w:tc>
        <w:tc>
          <w:tcPr>
            <w:tcW w:w="4280" w:type="dxa"/>
            <w:vAlign w:val="bottom"/>
            <w:gridSpan w:val="7"/>
          </w:tcPr>
          <w:p>
            <w:pPr>
              <w:ind w:left="360"/>
              <w:spacing w:after="0"/>
              <w:rPr>
                <w:sz w:val="20"/>
                <w:szCs w:val="20"/>
                <w:color w:val="auto"/>
              </w:rPr>
            </w:pPr>
            <w:r>
              <w:rPr>
                <w:rFonts w:ascii="Arial" w:cs="Arial" w:eastAsia="Arial" w:hAnsi="Arial"/>
                <w:sz w:val="16"/>
                <w:szCs w:val="16"/>
                <w:b w:val="1"/>
                <w:bCs w:val="1"/>
                <w:color w:val="auto"/>
                <w:w w:val="95"/>
              </w:rPr>
              <w:t>Euro Denominated Term Loan Designated as a Hedge</w:t>
            </w:r>
          </w:p>
        </w:tc>
        <w:tc>
          <w:tcPr>
            <w:tcW w:w="1060" w:type="dxa"/>
            <w:vAlign w:val="bottom"/>
          </w:tcPr>
          <w:p>
            <w:pPr>
              <w:spacing w:after="0"/>
              <w:rPr>
                <w:sz w:val="17"/>
                <w:szCs w:val="17"/>
                <w:color w:val="auto"/>
              </w:rPr>
            </w:pPr>
          </w:p>
        </w:tc>
      </w:tr>
      <w:tr>
        <w:trPr>
          <w:trHeight w:val="210"/>
        </w:trPr>
        <w:tc>
          <w:tcPr>
            <w:tcW w:w="5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Net Investment Hedging Relationships</w:t>
            </w:r>
          </w:p>
        </w:tc>
        <w:tc>
          <w:tcPr>
            <w:tcW w:w="920" w:type="dxa"/>
            <w:vAlign w:val="bottom"/>
          </w:tcPr>
          <w:p>
            <w:pPr>
              <w:spacing w:after="0"/>
              <w:rPr>
                <w:sz w:val="18"/>
                <w:szCs w:val="18"/>
                <w:color w:val="auto"/>
              </w:rPr>
            </w:pPr>
          </w:p>
        </w:tc>
        <w:tc>
          <w:tcPr>
            <w:tcW w:w="4280" w:type="dxa"/>
            <w:vAlign w:val="bottom"/>
            <w:gridSpan w:val="7"/>
          </w:tcPr>
          <w:p>
            <w:pPr>
              <w:jc w:val="right"/>
              <w:ind w:right="199"/>
              <w:spacing w:after="0"/>
              <w:rPr>
                <w:sz w:val="20"/>
                <w:szCs w:val="20"/>
                <w:color w:val="auto"/>
              </w:rPr>
            </w:pPr>
            <w:r>
              <w:rPr>
                <w:rFonts w:ascii="Arial" w:cs="Arial" w:eastAsia="Arial" w:hAnsi="Arial"/>
                <w:sz w:val="16"/>
                <w:szCs w:val="16"/>
                <w:b w:val="1"/>
                <w:bCs w:val="1"/>
                <w:color w:val="auto"/>
              </w:rPr>
              <w:t>of Our Net Investment in International Operations</w:t>
            </w:r>
          </w:p>
        </w:tc>
        <w:tc>
          <w:tcPr>
            <w:tcW w:w="1060" w:type="dxa"/>
            <w:vAlign w:val="bottom"/>
          </w:tcPr>
          <w:p>
            <w:pPr>
              <w:spacing w:after="0"/>
              <w:rPr>
                <w:sz w:val="18"/>
                <w:szCs w:val="18"/>
                <w:color w:val="auto"/>
              </w:rPr>
            </w:pPr>
          </w:p>
        </w:tc>
      </w:tr>
      <w:tr>
        <w:trPr>
          <w:trHeight w:val="33"/>
        </w:trPr>
        <w:tc>
          <w:tcPr>
            <w:tcW w:w="5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3"/>
          </w:tcPr>
          <w:p>
            <w:pPr>
              <w:spacing w:after="0"/>
              <w:rPr>
                <w:sz w:val="2"/>
                <w:szCs w:val="2"/>
                <w:color w:val="auto"/>
              </w:rPr>
            </w:pPr>
          </w:p>
        </w:tc>
      </w:tr>
      <w:tr>
        <w:trPr>
          <w:trHeight w:val="209"/>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540" w:type="dxa"/>
            <w:vAlign w:val="bottom"/>
            <w:gridSpan w:val="3"/>
          </w:tcPr>
          <w:p>
            <w:pPr>
              <w:jc w:val="right"/>
              <w:ind w:right="77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20" w:type="dxa"/>
            <w:vAlign w:val="bottom"/>
            <w:gridSpan w:val="2"/>
          </w:tcPr>
          <w:p>
            <w:pPr>
              <w:ind w:left="360"/>
              <w:spacing w:after="0"/>
              <w:rPr>
                <w:sz w:val="20"/>
                <w:szCs w:val="20"/>
                <w:color w:val="auto"/>
              </w:rPr>
            </w:pPr>
            <w:r>
              <w:rPr>
                <w:rFonts w:ascii="Arial" w:cs="Arial" w:eastAsia="Arial" w:hAnsi="Arial"/>
                <w:sz w:val="16"/>
                <w:szCs w:val="16"/>
                <w:b w:val="1"/>
                <w:bCs w:val="1"/>
                <w:color w:val="auto"/>
              </w:rPr>
              <w:t>June 30,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8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060" w:type="dxa"/>
            <w:vAlign w:val="bottom"/>
          </w:tcPr>
          <w:p>
            <w:pPr>
              <w:spacing w:after="0"/>
              <w:rPr>
                <w:sz w:val="18"/>
                <w:szCs w:val="18"/>
                <w:color w:val="auto"/>
              </w:rPr>
            </w:pP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6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2010</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2011</w:t>
            </w:r>
          </w:p>
        </w:tc>
        <w:tc>
          <w:tcPr>
            <w:tcW w:w="460" w:type="dxa"/>
            <w:vAlign w:val="bottom"/>
          </w:tcPr>
          <w:p>
            <w:pPr>
              <w:spacing w:after="0"/>
              <w:rPr>
                <w:sz w:val="20"/>
                <w:szCs w:val="20"/>
                <w:color w:val="auto"/>
              </w:rPr>
            </w:pPr>
          </w:p>
        </w:tc>
        <w:tc>
          <w:tcPr>
            <w:tcW w:w="1060" w:type="dxa"/>
            <w:vAlign w:val="bottom"/>
          </w:tcPr>
          <w:p>
            <w:pPr>
              <w:jc w:val="right"/>
              <w:ind w:right="479"/>
              <w:spacing w:after="0"/>
              <w:rPr>
                <w:sz w:val="20"/>
                <w:szCs w:val="20"/>
                <w:color w:val="auto"/>
              </w:rPr>
            </w:pPr>
            <w:r>
              <w:rPr>
                <w:rFonts w:ascii="Arial" w:cs="Arial" w:eastAsia="Arial" w:hAnsi="Arial"/>
                <w:sz w:val="16"/>
                <w:szCs w:val="16"/>
                <w:b w:val="1"/>
                <w:bCs w:val="1"/>
                <w:color w:val="auto"/>
              </w:rPr>
              <w:t>2010</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6"/>
                <w:szCs w:val="16"/>
                <w:b w:val="1"/>
                <w:bCs w:val="1"/>
                <w:color w:val="auto"/>
                <w:w w:val="97"/>
              </w:rPr>
              <w:t>(in thousands)</w:t>
            </w: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0"/>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Gain (loss) recognized in OCI on derivative</w:t>
            </w:r>
          </w:p>
        </w:tc>
        <w:tc>
          <w:tcPr>
            <w:tcW w:w="9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9"/>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(Effective Portion)</w:t>
            </w:r>
          </w:p>
        </w:tc>
        <w:tc>
          <w:tcPr>
            <w:tcW w:w="9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r>
      <w:tr>
        <w:trPr>
          <w:trHeight w:val="237"/>
        </w:trPr>
        <w:tc>
          <w:tcPr>
            <w:tcW w:w="5160" w:type="dxa"/>
            <w:vAlign w:val="bottom"/>
            <w:gridSpan w:val="2"/>
          </w:tcPr>
          <w:p>
            <w:pPr>
              <w:ind w:left="180"/>
              <w:spacing w:after="0"/>
              <w:rPr>
                <w:sz w:val="20"/>
                <w:szCs w:val="20"/>
                <w:color w:val="auto"/>
              </w:rPr>
            </w:pPr>
            <w:r>
              <w:rPr>
                <w:rFonts w:ascii="Arial" w:cs="Arial" w:eastAsia="Arial" w:hAnsi="Arial"/>
                <w:sz w:val="16"/>
                <w:szCs w:val="16"/>
                <w:color w:val="auto"/>
              </w:rPr>
              <w:t>Before tax</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94"/>
              </w:rPr>
              <w:t>(2,343)</w:t>
            </w:r>
          </w:p>
        </w:tc>
        <w:tc>
          <w:tcPr>
            <w:tcW w:w="100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20,943</w:t>
            </w:r>
          </w:p>
        </w:tc>
        <w:tc>
          <w:tcPr>
            <w:tcW w:w="120" w:type="dxa"/>
            <w:vAlign w:val="bottom"/>
          </w:tcPr>
          <w:p>
            <w:pPr>
              <w:spacing w:after="0"/>
              <w:rPr>
                <w:sz w:val="20"/>
                <w:szCs w:val="20"/>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(14,923)</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39,498</w:t>
            </w:r>
          </w:p>
        </w:tc>
      </w:tr>
      <w:tr>
        <w:trPr>
          <w:trHeight w:val="33"/>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Net of tax</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4"/>
              </w:rPr>
              <w:t>(1,452)</w:t>
            </w:r>
          </w:p>
        </w:tc>
        <w:tc>
          <w:tcPr>
            <w:tcW w:w="100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12,908</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(9,262)</w:t>
            </w:r>
          </w:p>
        </w:tc>
        <w:tc>
          <w:tcPr>
            <w:tcW w:w="4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24,352</w:t>
            </w:r>
          </w:p>
        </w:tc>
      </w:tr>
      <w:tr>
        <w:trPr>
          <w:trHeight w:val="33"/>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Derivatives Not Designated as Hedging Relationships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are also exposed to foreign exchange risk when we enter into non-functional currency transactions, both intercompany and third-party. At each period-end, foreign currency monetary assets and liabilities are revalued with the change recorded to other income and expense. We enter into monthly foreign exchange forward contracts (a total of 257 contracts were entered into during the six months ended June 30, 2011), not designated for hedge accounting, with the intent to reduce earnings volatility associated with certain of these balances. The notional amounts of the contracts ranged from $50,000 to $72 million, offsetting our exposures from the euro, British pound, Canadian dollar, Czech koruna, Hungarian forint, and various other currencies.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0"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 of our foreign exchange forward derivative instruments on the Consolidated Statements of Operations for the three and six months ended June 30 is as follows: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720" w:type="dxa"/>
            <w:vAlign w:val="bottom"/>
            <w:gridSpan w:val="7"/>
          </w:tcPr>
          <w:p>
            <w:pPr>
              <w:ind w:left="40"/>
              <w:spacing w:after="0"/>
              <w:rPr>
                <w:sz w:val="20"/>
                <w:szCs w:val="20"/>
                <w:color w:val="auto"/>
              </w:rPr>
            </w:pPr>
            <w:r>
              <w:rPr>
                <w:rFonts w:ascii="Arial" w:cs="Arial" w:eastAsia="Arial" w:hAnsi="Arial"/>
                <w:sz w:val="16"/>
                <w:szCs w:val="16"/>
                <w:b w:val="1"/>
                <w:bCs w:val="1"/>
                <w:color w:val="auto"/>
                <w:w w:val="92"/>
              </w:rPr>
              <w:t>Gain (Loss) Recognized on Derivatives in Other Income (Expense)</w:t>
            </w:r>
          </w:p>
        </w:tc>
        <w:tc>
          <w:tcPr>
            <w:tcW w:w="9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280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Derivatives Not Designated as</w:t>
            </w:r>
          </w:p>
        </w:tc>
        <w:tc>
          <w:tcPr>
            <w:tcW w:w="2800" w:type="dxa"/>
            <w:vAlign w:val="bottom"/>
            <w:gridSpan w:val="3"/>
          </w:tcPr>
          <w:p>
            <w:pPr>
              <w:jc w:val="center"/>
              <w:ind w:left="499"/>
              <w:spacing w:after="0"/>
              <w:rPr>
                <w:sz w:val="20"/>
                <w:szCs w:val="20"/>
                <w:color w:val="auto"/>
              </w:rPr>
            </w:pPr>
            <w:r>
              <w:rPr>
                <w:rFonts w:ascii="Arial" w:cs="Arial" w:eastAsia="Arial" w:hAnsi="Arial"/>
                <w:sz w:val="16"/>
                <w:szCs w:val="16"/>
                <w:b w:val="1"/>
                <w:bCs w:val="1"/>
                <w:color w:val="auto"/>
                <w:w w:val="92"/>
              </w:rPr>
              <w:t>Three Months Ended</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80" w:type="dxa"/>
            <w:vAlign w:val="bottom"/>
            <w:gridSpan w:val="2"/>
          </w:tcPr>
          <w:p>
            <w:pPr>
              <w:jc w:val="center"/>
              <w:ind w:left="379"/>
              <w:spacing w:after="0"/>
              <w:rPr>
                <w:sz w:val="20"/>
                <w:szCs w:val="20"/>
                <w:color w:val="auto"/>
              </w:rPr>
            </w:pPr>
            <w:r>
              <w:rPr>
                <w:rFonts w:ascii="Arial" w:cs="Arial" w:eastAsia="Arial" w:hAnsi="Arial"/>
                <w:sz w:val="16"/>
                <w:szCs w:val="16"/>
                <w:b w:val="1"/>
                <w:bCs w:val="1"/>
                <w:color w:val="auto"/>
                <w:w w:val="92"/>
              </w:rPr>
              <w:t>Six Months Ended</w:t>
            </w:r>
          </w:p>
        </w:tc>
        <w:tc>
          <w:tcPr>
            <w:tcW w:w="960" w:type="dxa"/>
            <w:vAlign w:val="bottom"/>
          </w:tcPr>
          <w:p>
            <w:pPr>
              <w:spacing w:after="0"/>
              <w:rPr>
                <w:sz w:val="18"/>
                <w:szCs w:val="18"/>
                <w:color w:val="auto"/>
              </w:rPr>
            </w:pPr>
          </w:p>
        </w:tc>
      </w:tr>
      <w:tr>
        <w:trPr>
          <w:trHeight w:val="210"/>
        </w:trPr>
        <w:tc>
          <w:tcPr>
            <w:tcW w:w="4700" w:type="dxa"/>
            <w:vAlign w:val="bottom"/>
          </w:tcPr>
          <w:p>
            <w:pPr>
              <w:jc w:val="center"/>
              <w:ind w:right="19"/>
              <w:spacing w:after="0"/>
              <w:rPr>
                <w:sz w:val="20"/>
                <w:szCs w:val="20"/>
                <w:color w:val="auto"/>
              </w:rPr>
            </w:pPr>
            <w:r>
              <w:rPr>
                <w:rFonts w:ascii="Arial" w:cs="Arial" w:eastAsia="Arial" w:hAnsi="Arial"/>
                <w:sz w:val="16"/>
                <w:szCs w:val="16"/>
                <w:b w:val="1"/>
                <w:bCs w:val="1"/>
                <w:color w:val="auto"/>
                <w:w w:val="92"/>
              </w:rPr>
              <w:t>Hedging Instrument under ASC 815-20</w:t>
            </w:r>
          </w:p>
        </w:tc>
        <w:tc>
          <w:tcPr>
            <w:tcW w:w="1040" w:type="dxa"/>
            <w:vAlign w:val="bottom"/>
          </w:tcPr>
          <w:p>
            <w:pPr>
              <w:spacing w:after="0"/>
              <w:rPr>
                <w:sz w:val="18"/>
                <w:szCs w:val="18"/>
                <w:color w:val="auto"/>
              </w:rPr>
            </w:pPr>
          </w:p>
        </w:tc>
        <w:tc>
          <w:tcPr>
            <w:tcW w:w="1760" w:type="dxa"/>
            <w:vAlign w:val="bottom"/>
            <w:gridSpan w:val="2"/>
          </w:tcPr>
          <w:p>
            <w:pPr>
              <w:jc w:val="center"/>
              <w:ind w:right="379"/>
              <w:spacing w:after="0"/>
              <w:rPr>
                <w:sz w:val="20"/>
                <w:szCs w:val="20"/>
                <w:color w:val="auto"/>
              </w:rPr>
            </w:pPr>
            <w:r>
              <w:rPr>
                <w:rFonts w:ascii="Arial" w:cs="Arial" w:eastAsia="Arial" w:hAnsi="Arial"/>
                <w:sz w:val="16"/>
                <w:szCs w:val="16"/>
                <w:b w:val="1"/>
                <w:bCs w:val="1"/>
                <w:color w:val="auto"/>
                <w:w w:val="90"/>
              </w:rPr>
              <w:t>June 30,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80" w:type="dxa"/>
            <w:vAlign w:val="bottom"/>
            <w:gridSpan w:val="2"/>
          </w:tcPr>
          <w:p>
            <w:pPr>
              <w:jc w:val="center"/>
              <w:ind w:left="379"/>
              <w:spacing w:after="0"/>
              <w:rPr>
                <w:sz w:val="20"/>
                <w:szCs w:val="20"/>
                <w:color w:val="auto"/>
              </w:rPr>
            </w:pPr>
            <w:r>
              <w:rPr>
                <w:rFonts w:ascii="Arial" w:cs="Arial" w:eastAsia="Arial" w:hAnsi="Arial"/>
                <w:sz w:val="16"/>
                <w:szCs w:val="16"/>
                <w:b w:val="1"/>
                <w:bCs w:val="1"/>
                <w:color w:val="auto"/>
                <w:w w:val="87"/>
              </w:rPr>
              <w:t>June 30,</w:t>
            </w:r>
          </w:p>
        </w:tc>
        <w:tc>
          <w:tcPr>
            <w:tcW w:w="9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62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b w:val="1"/>
                <w:bCs w:val="1"/>
                <w:color w:val="auto"/>
              </w:rPr>
              <w:t>2010</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2011</w:t>
            </w:r>
          </w:p>
        </w:tc>
        <w:tc>
          <w:tcPr>
            <w:tcW w:w="680" w:type="dxa"/>
            <w:vAlign w:val="bottom"/>
          </w:tcPr>
          <w:p>
            <w:pPr>
              <w:spacing w:after="0"/>
              <w:rPr>
                <w:sz w:val="20"/>
                <w:szCs w:val="20"/>
                <w:color w:val="auto"/>
              </w:rPr>
            </w:pPr>
          </w:p>
        </w:tc>
        <w:tc>
          <w:tcPr>
            <w:tcW w:w="960" w:type="dxa"/>
            <w:vAlign w:val="bottom"/>
          </w:tcPr>
          <w:p>
            <w:pPr>
              <w:jc w:val="right"/>
              <w:ind w:right="539"/>
              <w:spacing w:after="0"/>
              <w:rPr>
                <w:sz w:val="20"/>
                <w:szCs w:val="20"/>
                <w:color w:val="auto"/>
              </w:rPr>
            </w:pPr>
            <w:r>
              <w:rPr>
                <w:rFonts w:ascii="Arial" w:cs="Arial" w:eastAsia="Arial" w:hAnsi="Arial"/>
                <w:sz w:val="16"/>
                <w:szCs w:val="16"/>
                <w:b w:val="1"/>
                <w:bCs w:val="1"/>
                <w:color w:val="auto"/>
                <w:w w:val="89"/>
              </w:rPr>
              <w:t>2010</w:t>
            </w:r>
          </w:p>
        </w:tc>
      </w:tr>
      <w:tr>
        <w:trPr>
          <w:trHeight w:val="33"/>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80" w:type="dxa"/>
            <w:vAlign w:val="bottom"/>
            <w:gridSpan w:val="3"/>
          </w:tcPr>
          <w:p>
            <w:pPr>
              <w:ind w:left="80"/>
              <w:spacing w:after="0"/>
              <w:rPr>
                <w:sz w:val="20"/>
                <w:szCs w:val="20"/>
                <w:color w:val="auto"/>
              </w:rPr>
            </w:pPr>
            <w:r>
              <w:rPr>
                <w:rFonts w:ascii="Arial" w:cs="Arial" w:eastAsia="Arial" w:hAnsi="Arial"/>
                <w:sz w:val="16"/>
                <w:szCs w:val="16"/>
                <w:b w:val="1"/>
                <w:bCs w:val="1"/>
                <w:color w:val="auto"/>
                <w:w w:val="97"/>
              </w:rPr>
              <w:t>(in thousands)</w:t>
            </w: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7"/>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Foreign exchange forward contracts</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(1,259)</w:t>
            </w:r>
          </w:p>
        </w:tc>
        <w:tc>
          <w:tcPr>
            <w:tcW w:w="11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3,316</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(3,341)</w:t>
            </w:r>
          </w:p>
        </w:tc>
        <w:tc>
          <w:tcPr>
            <w:tcW w:w="68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3,047</w:t>
            </w:r>
          </w:p>
        </w:tc>
      </w:tr>
      <w:tr>
        <w:trPr>
          <w:trHeight w:val="33"/>
        </w:trPr>
        <w:tc>
          <w:tcPr>
            <w:tcW w:w="47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Defined Benefit Pension Plans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sponsor both funded and unfunded defined benefit pension plans for our international employees, primarily in Germany, France, Italy, Indonesia, and Spain, offering death and disability, retirement, and special termination benefits. The defined benefit obligation is calculated annually by using the projected unit credit method. The measurement date for the pension plans was December 31, 2010.</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defined benefit pension plans are denominated in the functional currencies of the respective countries in which the plans are sponsored; therefore, the balances increase or decrease, with a corresponding change in OCI, due to changes in foreign currency exchange rates. Amounts recognized on the Consolidated Balance Sheets consist of:</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 2011</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2010</w:t>
            </w:r>
          </w:p>
        </w:tc>
      </w:tr>
      <w:tr>
        <w:trPr>
          <w:trHeight w:val="27"/>
        </w:trPr>
        <w:tc>
          <w:tcPr>
            <w:tcW w:w="7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gridSpan w:val="4"/>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900" w:type="dxa"/>
            <w:vAlign w:val="bottom"/>
            <w:gridSpan w:val="4"/>
          </w:tcPr>
          <w:p>
            <w:pPr>
              <w:jc w:val="right"/>
              <w:ind w:right="145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 assets in other long term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Current portion of pension plan liability in wages and benefits payable</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2,910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2,656</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portion of pension plan liability</w:t>
            </w:r>
          </w:p>
        </w:tc>
        <w:tc>
          <w:tcPr>
            <w:tcW w:w="3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69,675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61,450</w:t>
            </w:r>
          </w:p>
        </w:tc>
      </w:tr>
      <w:tr>
        <w:trPr>
          <w:trHeight w:val="237"/>
        </w:trPr>
        <w:tc>
          <w:tcPr>
            <w:tcW w:w="7200" w:type="dxa"/>
            <w:vAlign w:val="bottom"/>
          </w:tcPr>
          <w:p>
            <w:pPr>
              <w:ind w:left="380"/>
              <w:spacing w:after="0"/>
              <w:rPr>
                <w:sz w:val="20"/>
                <w:szCs w:val="20"/>
                <w:color w:val="auto"/>
              </w:rPr>
            </w:pPr>
            <w:r>
              <w:rPr>
                <w:rFonts w:ascii="Arial" w:cs="Arial" w:eastAsia="Arial" w:hAnsi="Arial"/>
                <w:sz w:val="18"/>
                <w:szCs w:val="18"/>
                <w:color w:val="auto"/>
              </w:rPr>
              <w:t>Net pension plan benefit liability</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72,117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63,694</w:t>
            </w:r>
          </w:p>
        </w:tc>
      </w:tr>
      <w:tr>
        <w:trPr>
          <w:trHeight w:val="27"/>
        </w:trPr>
        <w:tc>
          <w:tcPr>
            <w:tcW w:w="7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asset investment strategy focuses on maintaining a portfolio using primarily insurance funds, which are accounted for as investments and measured at fair value, in order to achieve our long-term investment objectives on a risk adjusted basis. Our general funding policy for these qualified pension plans is to contribute amounts sufficient to satisfy regulatory funding standards of the respective countries for each plan. We contributed $37,000 and $391,000 to the defined benefit pension plans for the three and six months ended June 30, 2011, and $313,000 and $338,000 for the three and six months ended June 30, 2010, respectively. The timing of when contributions are made can vary by plan and from year to year. For 2011, assuming that actual plan asset returns are consistent with our expected rate of return, and that interest rates remain constant, we expect to contribute approximately $500,000 to our defined benefit pension plans. We contributed $519,000 to the defined benefit pension plans for the year ended December 31, 2010.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benefit costs for our plans include the following components: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96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92"/>
              </w:rPr>
              <w:t>Three Months Ended</w:t>
            </w:r>
          </w:p>
        </w:tc>
        <w:tc>
          <w:tcPr>
            <w:tcW w:w="500" w:type="dxa"/>
            <w:vAlign w:val="bottom"/>
          </w:tcPr>
          <w:p>
            <w:pPr>
              <w:spacing w:after="0"/>
              <w:rPr>
                <w:sz w:val="18"/>
                <w:szCs w:val="18"/>
                <w:color w:val="auto"/>
              </w:rPr>
            </w:pPr>
          </w:p>
        </w:tc>
        <w:tc>
          <w:tcPr>
            <w:tcW w:w="23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88"/>
              </w:rPr>
              <w:t>June 30,</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36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ind w:right="410"/>
              <w:spacing w:after="0"/>
              <w:rPr>
                <w:sz w:val="20"/>
                <w:szCs w:val="20"/>
                <w:color w:val="auto"/>
              </w:rPr>
            </w:pPr>
            <w:r>
              <w:rPr>
                <w:rFonts w:ascii="Arial" w:cs="Arial" w:eastAsia="Arial" w:hAnsi="Arial"/>
                <w:sz w:val="18"/>
                <w:szCs w:val="18"/>
                <w:b w:val="1"/>
                <w:bCs w:val="1"/>
                <w:color w:val="auto"/>
                <w:w w:val="84"/>
              </w:rPr>
              <w:t>2011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r>
      <w:tr>
        <w:trPr>
          <w:trHeight w:val="27"/>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969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1,886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1,750</w:t>
            </w: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Amortization of actuarial net loss (gain)</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unrecognized prior service costs</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Net periodic benefit cost</w:t>
            </w:r>
          </w:p>
        </w:tc>
        <w:tc>
          <w:tcPr>
            <w:tcW w:w="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1,520</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1,242</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3,006</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2,589</w:t>
            </w:r>
          </w:p>
        </w:tc>
      </w:tr>
      <w:tr>
        <w:trPr>
          <w:trHeight w:val="27"/>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40"/>
        </w:trPr>
        <w:tc>
          <w:tcPr>
            <w:tcW w:w="56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line="32" w:lineRule="exact"/>
        <w:rPr>
          <w:sz w:val="20"/>
          <w:szCs w:val="20"/>
          <w:color w:val="auto"/>
        </w:rPr>
      </w:pPr>
    </w:p>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record stock-based compensation expense for awards of stock options, stock sold pursuant to our ESPP, and the issuance of restricted stock units and unrestricted stock awards. We expense stock-based compensation primarily using the straight-line method over the vesting requirement period. For the three and six months ended June 30, stock-based compensation expense and the related tax benefit were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56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4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June 30,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2010</w:t>
            </w:r>
          </w:p>
        </w:tc>
      </w:tr>
      <w:tr>
        <w:trPr>
          <w:trHeight w:val="27"/>
        </w:trPr>
        <w:tc>
          <w:tcPr>
            <w:tcW w:w="5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b w:val="1"/>
                <w:bCs w:val="1"/>
                <w:color w:val="auto"/>
                <w:w w:val="88"/>
              </w:rPr>
              <w:t>(in thousands)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Restricted stock units</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3,853</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3,441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7,404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6,382</w:t>
            </w:r>
          </w:p>
        </w:tc>
      </w:tr>
      <w:tr>
        <w:trPr>
          <w:trHeight w:val="27"/>
        </w:trPr>
        <w:tc>
          <w:tcPr>
            <w:tcW w:w="5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Unrestricted stock awards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ESPP</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255</w:t>
            </w:r>
          </w:p>
        </w:tc>
      </w:tr>
      <w:tr>
        <w:trPr>
          <w:trHeight w:val="27"/>
        </w:trPr>
        <w:tc>
          <w:tcPr>
            <w:tcW w:w="5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stock-based compensation</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4,543</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4,545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9,518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9,121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5"/>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Related tax benefit</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1,257</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1,324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2,732</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We issue new shares of common stock upon the exercise of stock options or when vesting conditions on restricted stock units are fully satisfied.</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of stock options granted were estimated at the date of grant using the Black-Scholes option-pricing model with the following weighted average assumptions: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gridSpan w:val="6"/>
          </w:tcPr>
          <w:p>
            <w:pPr>
              <w:ind w:left="680"/>
              <w:spacing w:after="0"/>
              <w:rPr>
                <w:sz w:val="20"/>
                <w:szCs w:val="20"/>
                <w:color w:val="auto"/>
              </w:rPr>
            </w:pPr>
            <w:r>
              <w:rPr>
                <w:rFonts w:ascii="Arial" w:cs="Arial" w:eastAsia="Arial" w:hAnsi="Arial"/>
                <w:sz w:val="18"/>
                <w:szCs w:val="18"/>
                <w:b w:val="1"/>
                <w:bCs w:val="1"/>
                <w:color w:val="auto"/>
              </w:rPr>
              <w:t>Employee Stock Options</w:t>
            </w:r>
          </w:p>
        </w:tc>
        <w:tc>
          <w:tcPr>
            <w:tcW w:w="1120" w:type="dxa"/>
            <w:vAlign w:val="bottom"/>
          </w:tcPr>
          <w:p>
            <w:pPr>
              <w:spacing w:after="0"/>
              <w:rPr>
                <w:sz w:val="20"/>
                <w:szCs w:val="20"/>
                <w:color w:val="auto"/>
              </w:rPr>
            </w:pPr>
          </w:p>
        </w:tc>
      </w:tr>
      <w:tr>
        <w:trPr>
          <w:trHeight w:val="27"/>
        </w:trPr>
        <w:tc>
          <w:tcPr>
            <w:tcW w:w="5060" w:type="dxa"/>
            <w:vAlign w:val="bottom"/>
          </w:tcPr>
          <w:p>
            <w:pPr>
              <w:spacing w:after="0"/>
              <w:rPr>
                <w:sz w:val="2"/>
                <w:szCs w:val="2"/>
                <w:color w:val="auto"/>
              </w:rPr>
            </w:pPr>
          </w:p>
        </w:tc>
        <w:tc>
          <w:tcPr>
            <w:tcW w:w="2660" w:type="dxa"/>
            <w:vAlign w:val="bottom"/>
            <w:tcBorders>
              <w:bottom w:val="single" w:sz="8" w:color="auto"/>
            </w:tcBorders>
            <w:gridSpan w:val="4"/>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gridSpan w:val="4"/>
          </w:tcPr>
          <w:p>
            <w:pPr>
              <w:spacing w:after="0"/>
              <w:rPr>
                <w:sz w:val="2"/>
                <w:szCs w:val="2"/>
                <w:color w:val="auto"/>
              </w:rPr>
            </w:pPr>
          </w:p>
        </w:tc>
      </w:tr>
      <w:tr>
        <w:trPr>
          <w:trHeight w:val="218"/>
        </w:trPr>
        <w:tc>
          <w:tcPr>
            <w:tcW w:w="5060" w:type="dxa"/>
            <w:vAlign w:val="bottom"/>
          </w:tcPr>
          <w:p>
            <w:pPr>
              <w:spacing w:after="0"/>
              <w:rPr>
                <w:sz w:val="18"/>
                <w:szCs w:val="18"/>
                <w:color w:val="auto"/>
              </w:rPr>
            </w:pPr>
          </w:p>
        </w:tc>
        <w:tc>
          <w:tcPr>
            <w:tcW w:w="266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50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80" w:type="dxa"/>
            <w:vAlign w:val="bottom"/>
            <w:gridSpan w:val="3"/>
          </w:tcPr>
          <w:p>
            <w:pPr>
              <w:ind w:left="140"/>
              <w:spacing w:after="0"/>
              <w:rPr>
                <w:sz w:val="20"/>
                <w:szCs w:val="20"/>
                <w:color w:val="auto"/>
              </w:rPr>
            </w:pPr>
            <w:r>
              <w:rPr>
                <w:rFonts w:ascii="Arial" w:cs="Arial" w:eastAsia="Arial" w:hAnsi="Arial"/>
                <w:sz w:val="18"/>
                <w:szCs w:val="18"/>
                <w:b w:val="1"/>
                <w:bCs w:val="1"/>
                <w:color w:val="auto"/>
              </w:rPr>
              <w:t>June 30,</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gridSpan w:val="3"/>
          </w:tcPr>
          <w:p>
            <w:pPr>
              <w:jc w:val="center"/>
              <w:ind w:left="1050"/>
              <w:spacing w:after="0"/>
              <w:rPr>
                <w:sz w:val="20"/>
                <w:szCs w:val="20"/>
                <w:color w:val="auto"/>
              </w:rPr>
            </w:pPr>
            <w:r>
              <w:rPr>
                <w:rFonts w:ascii="Arial" w:cs="Arial" w:eastAsia="Arial" w:hAnsi="Arial"/>
                <w:sz w:val="18"/>
                <w:szCs w:val="18"/>
                <w:b w:val="1"/>
                <w:bCs w:val="1"/>
                <w:color w:val="auto"/>
                <w:w w:val="88"/>
              </w:rPr>
              <w:t>June 30,</w:t>
            </w:r>
          </w:p>
        </w:tc>
        <w:tc>
          <w:tcPr>
            <w:tcW w:w="1120" w:type="dxa"/>
            <w:vAlign w:val="bottom"/>
          </w:tcPr>
          <w:p>
            <w:pPr>
              <w:spacing w:after="0"/>
              <w:rPr>
                <w:sz w:val="20"/>
                <w:szCs w:val="20"/>
                <w:color w:val="auto"/>
              </w:rPr>
            </w:pPr>
          </w:p>
        </w:tc>
      </w:tr>
      <w:tr>
        <w:trPr>
          <w:trHeight w:val="27"/>
        </w:trPr>
        <w:tc>
          <w:tcPr>
            <w:tcW w:w="50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06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10"/>
              <w:spacing w:after="0" w:line="264" w:lineRule="exact"/>
              <w:rPr>
                <w:sz w:val="20"/>
                <w:szCs w:val="20"/>
                <w:color w:val="auto"/>
              </w:rPr>
            </w:pPr>
            <w:r>
              <w:rPr>
                <w:rFonts w:ascii="Arial" w:cs="Arial" w:eastAsia="Arial" w:hAnsi="Arial"/>
                <w:sz w:val="18"/>
                <w:szCs w:val="18"/>
                <w:b w:val="1"/>
                <w:bCs w:val="1"/>
                <w:color w:val="auto"/>
              </w:rPr>
              <w:t>2011</w:t>
            </w:r>
            <w:r>
              <w:rPr>
                <w:rFonts w:ascii="Arial" w:cs="Arial" w:eastAsia="Arial" w:hAnsi="Arial"/>
                <w:sz w:val="25"/>
                <w:szCs w:val="25"/>
                <w:b w:val="1"/>
                <w:bCs w:val="1"/>
                <w:color w:val="auto"/>
                <w:vertAlign w:val="superscript"/>
              </w:rPr>
              <w:t>(1)</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10"/>
              <w:spacing w:after="0" w:line="264" w:lineRule="exact"/>
              <w:rPr>
                <w:sz w:val="20"/>
                <w:szCs w:val="20"/>
                <w:color w:val="auto"/>
              </w:rPr>
            </w:pPr>
            <w:r>
              <w:rPr>
                <w:rFonts w:ascii="Arial" w:cs="Arial" w:eastAsia="Arial" w:hAnsi="Arial"/>
                <w:sz w:val="18"/>
                <w:szCs w:val="18"/>
                <w:b w:val="1"/>
                <w:bCs w:val="1"/>
                <w:color w:val="auto"/>
              </w:rPr>
              <w:t>2010</w:t>
            </w:r>
            <w:r>
              <w:rPr>
                <w:rFonts w:ascii="Arial" w:cs="Arial" w:eastAsia="Arial" w:hAnsi="Arial"/>
                <w:sz w:val="25"/>
                <w:szCs w:val="25"/>
                <w:b w:val="1"/>
                <w:bCs w:val="1"/>
                <w:color w:val="auto"/>
                <w:vertAlign w:val="superscript"/>
              </w:rPr>
              <w:t>(1)</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2010</w:t>
            </w: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0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6140" w:type="dxa"/>
            <w:vAlign w:val="bottom"/>
            <w:gridSpan w:val="2"/>
          </w:tcPr>
          <w:p>
            <w:pPr>
              <w:ind w:left="40"/>
              <w:spacing w:after="0"/>
              <w:rPr>
                <w:sz w:val="20"/>
                <w:szCs w:val="20"/>
                <w:color w:val="auto"/>
              </w:rPr>
            </w:pPr>
            <w:r>
              <w:rPr>
                <w:rFonts w:ascii="Arial" w:cs="Arial" w:eastAsia="Arial" w:hAnsi="Arial"/>
                <w:sz w:val="18"/>
                <w:szCs w:val="18"/>
                <w:color w:val="auto"/>
              </w:rPr>
              <w:t>Expected volatility</w:t>
            </w:r>
          </w:p>
        </w:tc>
        <w:tc>
          <w:tcPr>
            <w:tcW w:w="158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48.7%</w:t>
            </w:r>
          </w:p>
        </w:tc>
      </w:tr>
      <w:tr>
        <w:trPr>
          <w:trHeight w:val="27"/>
        </w:trPr>
        <w:tc>
          <w:tcPr>
            <w:tcW w:w="5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58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6140" w:type="dxa"/>
            <w:vAlign w:val="bottom"/>
            <w:gridSpan w:val="2"/>
          </w:tcPr>
          <w:p>
            <w:pPr>
              <w:ind w:left="40"/>
              <w:spacing w:after="0"/>
              <w:rPr>
                <w:sz w:val="20"/>
                <w:szCs w:val="20"/>
                <w:color w:val="auto"/>
              </w:rPr>
            </w:pPr>
            <w:r>
              <w:rPr>
                <w:rFonts w:ascii="Arial" w:cs="Arial" w:eastAsia="Arial" w:hAnsi="Arial"/>
                <w:sz w:val="18"/>
                <w:szCs w:val="18"/>
                <w:color w:val="auto"/>
              </w:rPr>
              <w:t>Expected life (years)</w:t>
            </w:r>
          </w:p>
        </w:tc>
        <w:tc>
          <w:tcPr>
            <w:tcW w:w="1580" w:type="dxa"/>
            <w:vAlign w:val="bottom"/>
            <w:gridSpan w:val="3"/>
          </w:tcPr>
          <w:p>
            <w:pPr>
              <w:ind w:left="8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4.61</w:t>
            </w:r>
          </w:p>
        </w:tc>
      </w:tr>
    </w:tbl>
    <w:p>
      <w:pPr>
        <w:spacing w:after="0" w:line="206" w:lineRule="exact"/>
        <w:rPr>
          <w:sz w:val="20"/>
          <w:szCs w:val="20"/>
          <w:color w:val="auto"/>
        </w:rPr>
      </w:pPr>
    </w:p>
    <w:p>
      <w:pPr>
        <w:ind w:left="200" w:hanging="151"/>
        <w:spacing w:after="0"/>
        <w:tabs>
          <w:tab w:leader="none" w:pos="20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There were no employee stock options granted for the three months ended June 30, 2011 and 2010.</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Expected volatility is based on a combination of historical volatility of our common stock and the implied volatility of our traded options for the related expected life period. We believe this combined approach is reflective of current and historical market conditions and an appropriate indicator of expected volatility. The risk-free interest rate is the rate available as of the award date on zero-coupon U.S. government issues with a term equal to the expected life of the award. The expected life is the weighted average expected life of an award based on the period of time between the date the award is granted and the date an estimate of the award is fully exercised. Factors considered in estimating the expected life include historical experience of similar awards, contractual terms, vesting schedules, and expectations of future employee behavior. We have not paid dividends in the past and do not plan to pay dividends in the foreseeable future.</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Subject to stock splits, dividends, and other similar events, 3,500,000 shares of common stock are reserved and authorized for issuance under our 2010 Stock Incentive Plan (Stock Incentive Plan). Awards consist of stock options, restricted stock units, and unrestricted stock awards. At June 30, 2011, 2,178,243 shares were available for grant under the Stock Incentive Plan.</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Options to purchase our common stock are granted to employees and the Board of Directors with an exercise price equal to the market close price of the stock on the date the Board of Directors approves the grant. Options generally become exercisable in three equal annual installments beginning one year from the date of grant and generally expire 10 years from the date of grant. Compensation expense is recognized only for those options expected to vest, with forfeitures estimated based on our historical experience and future expectations.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stock option activity for the six months ended June 30 is as follows: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3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Average Exercise</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40" w:type="dxa"/>
            <w:vAlign w:val="bottom"/>
          </w:tcPr>
          <w:p>
            <w:pPr>
              <w:spacing w:after="0"/>
              <w:rPr>
                <w:sz w:val="17"/>
                <w:szCs w:val="17"/>
                <w:color w:val="auto"/>
              </w:rPr>
            </w:pPr>
          </w:p>
        </w:tc>
        <w:tc>
          <w:tcPr>
            <w:tcW w:w="172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0"/>
              </w:rPr>
              <w:t>Aggregate</w:t>
            </w:r>
          </w:p>
        </w:tc>
        <w:tc>
          <w:tcPr>
            <w:tcW w:w="1400" w:type="dxa"/>
            <w:vAlign w:val="bottom"/>
          </w:tcPr>
          <w:p>
            <w:pPr>
              <w:jc w:val="center"/>
              <w:ind w:right="99"/>
              <w:spacing w:after="0"/>
              <w:rPr>
                <w:sz w:val="20"/>
                <w:szCs w:val="20"/>
                <w:color w:val="auto"/>
              </w:rPr>
            </w:pPr>
            <w:r>
              <w:rPr>
                <w:rFonts w:ascii="Arial" w:cs="Arial" w:eastAsia="Arial" w:hAnsi="Arial"/>
                <w:sz w:val="16"/>
                <w:szCs w:val="16"/>
                <w:b w:val="1"/>
                <w:bCs w:val="1"/>
                <w:color w:val="auto"/>
                <w:w w:val="92"/>
              </w:rPr>
              <w:t>Average Grant</w:t>
            </w:r>
          </w:p>
        </w:tc>
      </w:tr>
      <w:tr>
        <w:trPr>
          <w:trHeight w:val="243"/>
        </w:trPr>
        <w:tc>
          <w:tcPr>
            <w:tcW w:w="310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Shares</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0"/>
              </w:rPr>
              <w:t>Price per Share</w:t>
            </w:r>
          </w:p>
        </w:tc>
        <w:tc>
          <w:tcPr>
            <w:tcW w:w="120" w:type="dxa"/>
            <w:vAlign w:val="bottom"/>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Contractual Life</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1"/>
              </w:rPr>
              <w:t xml:space="preserve">Intrinsic Value </w:t>
            </w:r>
            <w:r>
              <w:rPr>
                <w:rFonts w:ascii="Arial" w:cs="Arial" w:eastAsia="Arial" w:hAnsi="Arial"/>
                <w:sz w:val="21"/>
                <w:szCs w:val="21"/>
                <w:b w:val="1"/>
                <w:bCs w:val="1"/>
                <w:color w:val="auto"/>
                <w:w w:val="91"/>
                <w:vertAlign w:val="superscript"/>
              </w:rPr>
              <w:t>(1)</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5"/>
              </w:rPr>
              <w:t>Date Fair Value</w:t>
            </w:r>
          </w:p>
        </w:tc>
      </w:tr>
      <w:tr>
        <w:trPr>
          <w:trHeight w:val="217"/>
        </w:trPr>
        <w:tc>
          <w:tcPr>
            <w:tcW w:w="310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(in thousands)</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(years)</w:t>
            </w:r>
          </w:p>
        </w:tc>
        <w:tc>
          <w:tcPr>
            <w:tcW w:w="140" w:type="dxa"/>
            <w:vAlign w:val="bottom"/>
          </w:tcPr>
          <w:p>
            <w:pPr>
              <w:spacing w:after="0"/>
              <w:rPr>
                <w:sz w:val="18"/>
                <w:szCs w:val="18"/>
                <w:color w:val="auto"/>
              </w:rPr>
            </w:pPr>
          </w:p>
        </w:tc>
        <w:tc>
          <w:tcPr>
            <w:tcW w:w="172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0"/>
              </w:rPr>
              <w:t>(in thousands)</w:t>
            </w:r>
          </w:p>
        </w:tc>
        <w:tc>
          <w:tcPr>
            <w:tcW w:w="1400" w:type="dxa"/>
            <w:vAlign w:val="bottom"/>
          </w:tcPr>
          <w:p>
            <w:pPr>
              <w:spacing w:after="0"/>
              <w:rPr>
                <w:sz w:val="18"/>
                <w:szCs w:val="18"/>
                <w:color w:val="auto"/>
              </w:rPr>
            </w:pPr>
          </w:p>
        </w:tc>
      </w:tr>
      <w:tr>
        <w:trPr>
          <w:trHeight w:val="33"/>
        </w:trPr>
        <w:tc>
          <w:tcPr>
            <w:tcW w:w="3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Outstanding, January 1, 2010</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52.93</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22,863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3100" w:type="dxa"/>
            <w:vAlign w:val="bottom"/>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61.97</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27.18</w:t>
            </w:r>
          </w:p>
        </w:tc>
      </w:tr>
      <w:tr>
        <w:trPr>
          <w:trHeight w:val="33"/>
        </w:trPr>
        <w:tc>
          <w:tcPr>
            <w:tcW w:w="3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41.51</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r>
      <w:tr>
        <w:trPr>
          <w:trHeight w:val="217"/>
        </w:trPr>
        <w:tc>
          <w:tcPr>
            <w:tcW w:w="3100" w:type="dxa"/>
            <w:vAlign w:val="bottom"/>
          </w:tcPr>
          <w:p>
            <w:pPr>
              <w:ind w:left="40"/>
              <w:spacing w:after="0"/>
              <w:rPr>
                <w:sz w:val="20"/>
                <w:szCs w:val="20"/>
                <w:color w:val="auto"/>
              </w:rPr>
            </w:pPr>
            <w:r>
              <w:rPr>
                <w:rFonts w:ascii="Arial" w:cs="Arial" w:eastAsia="Arial" w:hAnsi="Arial"/>
                <w:sz w:val="16"/>
                <w:szCs w:val="16"/>
                <w:color w:val="auto"/>
              </w:rPr>
              <w:t>Outstanding, June 30, 2010</w:t>
            </w: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1,117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54.89</w:t>
            </w:r>
          </w:p>
        </w:tc>
        <w:tc>
          <w:tcPr>
            <w:tcW w:w="120" w:type="dxa"/>
            <w:vAlign w:val="bottom"/>
          </w:tcPr>
          <w:p>
            <w:pPr>
              <w:spacing w:after="0"/>
              <w:rPr>
                <w:sz w:val="18"/>
                <w:szCs w:val="18"/>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6.04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15,391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1400" w:type="dxa"/>
            <w:vAlign w:val="bottom"/>
            <w:tcBorders>
              <w:bottom w:val="single" w:sz="8" w:color="CCEEFF"/>
            </w:tcBorders>
          </w:tcPr>
          <w:p>
            <w:pPr>
              <w:spacing w:after="0"/>
              <w:rPr>
                <w:sz w:val="6"/>
                <w:szCs w:val="6"/>
                <w:color w:val="auto"/>
              </w:rPr>
            </w:pPr>
          </w:p>
        </w:tc>
      </w:tr>
      <w:tr>
        <w:trPr>
          <w:trHeight w:val="251"/>
        </w:trPr>
        <w:tc>
          <w:tcPr>
            <w:tcW w:w="3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bl>
    <w:p>
      <w:pPr>
        <w:sectPr>
          <w:pgSz w:w="11900" w:h="16870" w:orient="portrait"/>
          <w:cols w:equalWidth="0" w:num="1">
            <w:col w:w="11420"/>
          </w:cols>
          <w:pgMar w:left="240" w:top="125" w:right="239" w:bottom="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ind w:left="40"/>
              <w:spacing w:after="0"/>
              <w:rPr>
                <w:sz w:val="20"/>
                <w:szCs w:val="20"/>
                <w:color w:val="auto"/>
              </w:rPr>
            </w:pPr>
            <w:r>
              <w:rPr>
                <w:rFonts w:ascii="Arial" w:cs="Arial" w:eastAsia="Arial" w:hAnsi="Arial"/>
                <w:sz w:val="16"/>
                <w:szCs w:val="16"/>
                <w:color w:val="auto"/>
                <w:w w:val="99"/>
              </w:rPr>
              <w:t>Exercisable and expected to vest, June 30,</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1,104</w:t>
            </w:r>
          </w:p>
        </w:tc>
        <w:tc>
          <w:tcPr>
            <w:tcW w:w="120" w:type="dxa"/>
            <w:vAlign w:val="bottom"/>
          </w:tcPr>
          <w:p>
            <w:pPr>
              <w:spacing w:after="0"/>
              <w:rPr>
                <w:sz w:val="17"/>
                <w:szCs w:val="17"/>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54.73</w:t>
            </w:r>
          </w:p>
        </w:tc>
        <w:tc>
          <w:tcPr>
            <w:tcW w:w="120" w:type="dxa"/>
            <w:vAlign w:val="bottom"/>
          </w:tcPr>
          <w:p>
            <w:pPr>
              <w:spacing w:after="0"/>
              <w:rPr>
                <w:sz w:val="17"/>
                <w:szCs w:val="17"/>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6.01</w:t>
            </w:r>
          </w:p>
        </w:tc>
        <w:tc>
          <w:tcPr>
            <w:tcW w:w="120" w:type="dxa"/>
            <w:vAlign w:val="bottom"/>
          </w:tcPr>
          <w:p>
            <w:pPr>
              <w:spacing w:after="0"/>
              <w:rPr>
                <w:sz w:val="17"/>
                <w:szCs w:val="17"/>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15,379</w:t>
            </w: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31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2010</w:t>
            </w:r>
          </w:p>
        </w:tc>
        <w:tc>
          <w:tcPr>
            <w:tcW w:w="13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100" w:type="dxa"/>
            <w:vAlign w:val="bottom"/>
          </w:tcPr>
          <w:p>
            <w:pPr>
              <w:ind w:left="40"/>
              <w:spacing w:after="0"/>
              <w:rPr>
                <w:sz w:val="20"/>
                <w:szCs w:val="20"/>
                <w:color w:val="auto"/>
              </w:rPr>
            </w:pPr>
            <w:r>
              <w:rPr>
                <w:rFonts w:ascii="Arial" w:cs="Arial" w:eastAsia="Arial" w:hAnsi="Arial"/>
                <w:sz w:val="16"/>
                <w:szCs w:val="16"/>
                <w:color w:val="auto"/>
              </w:rPr>
              <w:t>Exercisable, June 30, 2010</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963</w:t>
            </w:r>
          </w:p>
        </w:tc>
        <w:tc>
          <w:tcPr>
            <w:tcW w:w="120" w:type="dxa"/>
            <w:vAlign w:val="bottom"/>
          </w:tcPr>
          <w:p>
            <w:pPr>
              <w:spacing w:after="0"/>
              <w:rPr>
                <w:sz w:val="19"/>
                <w:szCs w:val="19"/>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52.03</w:t>
            </w:r>
          </w:p>
        </w:tc>
        <w:tc>
          <w:tcPr>
            <w:tcW w:w="120" w:type="dxa"/>
            <w:vAlign w:val="bottom"/>
          </w:tcPr>
          <w:p>
            <w:pPr>
              <w:spacing w:after="0"/>
              <w:rPr>
                <w:sz w:val="19"/>
                <w:szCs w:val="19"/>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5.61</w:t>
            </w:r>
          </w:p>
        </w:tc>
        <w:tc>
          <w:tcPr>
            <w:tcW w:w="120" w:type="dxa"/>
            <w:vAlign w:val="bottom"/>
          </w:tcPr>
          <w:p>
            <w:pPr>
              <w:spacing w:after="0"/>
              <w:rPr>
                <w:sz w:val="19"/>
                <w:szCs w:val="19"/>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15,241</w:t>
            </w:r>
          </w:p>
        </w:tc>
        <w:tc>
          <w:tcPr>
            <w:tcW w:w="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700" w:type="dxa"/>
            <w:vAlign w:val="bottom"/>
            <w:tcBorders>
              <w:bottom w:val="single" w:sz="8" w:color="CCEEFF"/>
            </w:tcBorders>
          </w:tcPr>
          <w:p>
            <w:pPr>
              <w:spacing w:after="0"/>
              <w:rPr>
                <w:sz w:val="6"/>
                <w:szCs w:val="6"/>
                <w:color w:val="auto"/>
              </w:rPr>
            </w:pPr>
          </w:p>
        </w:tc>
        <w:tc>
          <w:tcPr>
            <w:tcW w:w="98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3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6"/>
                <w:szCs w:val="16"/>
                <w:color w:val="auto"/>
              </w:rPr>
              <w:t>Outstanding, January 1, 2011</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1,102</w:t>
            </w:r>
          </w:p>
        </w:tc>
        <w:tc>
          <w:tcPr>
            <w:tcW w:w="120" w:type="dxa"/>
            <w:vAlign w:val="bottom"/>
          </w:tcPr>
          <w:p>
            <w:pPr>
              <w:spacing w:after="0"/>
              <w:rPr>
                <w:sz w:val="20"/>
                <w:szCs w:val="20"/>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55.21</w:t>
            </w:r>
          </w:p>
        </w:tc>
        <w:tc>
          <w:tcPr>
            <w:tcW w:w="12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5.58</w:t>
            </w:r>
          </w:p>
        </w:tc>
        <w:tc>
          <w:tcPr>
            <w:tcW w:w="120" w:type="dxa"/>
            <w:vAlign w:val="bottom"/>
          </w:tcPr>
          <w:p>
            <w:pPr>
              <w:spacing w:after="0"/>
              <w:rPr>
                <w:sz w:val="20"/>
                <w:szCs w:val="20"/>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10,883</w:t>
            </w: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Granted</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56.64</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23.93</w:t>
            </w:r>
          </w:p>
        </w:tc>
        <w:tc>
          <w:tcPr>
            <w:tcW w:w="0" w:type="dxa"/>
            <w:vAlign w:val="bottom"/>
          </w:tcPr>
          <w:p>
            <w:pPr>
              <w:spacing w:after="0"/>
              <w:rPr>
                <w:sz w:val="1"/>
                <w:szCs w:val="1"/>
                <w:color w:val="auto"/>
              </w:rPr>
            </w:pPr>
          </w:p>
        </w:tc>
      </w:tr>
      <w:tr>
        <w:trPr>
          <w:trHeight w:val="237"/>
        </w:trPr>
        <w:tc>
          <w:tcPr>
            <w:tcW w:w="3100" w:type="dxa"/>
            <w:vAlign w:val="bottom"/>
          </w:tcPr>
          <w:p>
            <w:pPr>
              <w:ind w:left="380"/>
              <w:spacing w:after="0"/>
              <w:rPr>
                <w:sz w:val="20"/>
                <w:szCs w:val="20"/>
                <w:color w:val="auto"/>
              </w:rPr>
            </w:pPr>
            <w:r>
              <w:rPr>
                <w:rFonts w:ascii="Arial" w:cs="Arial" w:eastAsia="Arial" w:hAnsi="Arial"/>
                <w:sz w:val="16"/>
                <w:szCs w:val="16"/>
                <w:color w:val="auto"/>
              </w:rPr>
              <w:t>Exercised</w:t>
            </w:r>
          </w:p>
        </w:tc>
        <w:tc>
          <w:tcPr>
            <w:tcW w:w="138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19.91</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989</w:t>
            </w:r>
          </w:p>
        </w:tc>
        <w:tc>
          <w:tcPr>
            <w:tcW w:w="7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Expired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7.00</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3100" w:type="dxa"/>
            <w:vAlign w:val="bottom"/>
          </w:tcPr>
          <w:p>
            <w:pPr>
              <w:ind w:left="40"/>
              <w:spacing w:after="0"/>
              <w:rPr>
                <w:sz w:val="20"/>
                <w:szCs w:val="20"/>
                <w:color w:val="auto"/>
              </w:rPr>
            </w:pPr>
            <w:r>
              <w:rPr>
                <w:rFonts w:ascii="Arial" w:cs="Arial" w:eastAsia="Arial" w:hAnsi="Arial"/>
                <w:sz w:val="16"/>
                <w:szCs w:val="16"/>
                <w:color w:val="auto"/>
              </w:rPr>
              <w:t>Outstanding, June 30, 2011</w:t>
            </w: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1,153</w:t>
            </w:r>
          </w:p>
        </w:tc>
        <w:tc>
          <w:tcPr>
            <w:tcW w:w="120" w:type="dxa"/>
            <w:vAlign w:val="bottom"/>
          </w:tcPr>
          <w:p>
            <w:pPr>
              <w:spacing w:after="0"/>
              <w:rPr>
                <w:sz w:val="18"/>
                <w:szCs w:val="18"/>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56.13</w:t>
            </w:r>
          </w:p>
        </w:tc>
        <w:tc>
          <w:tcPr>
            <w:tcW w:w="120" w:type="dxa"/>
            <w:vAlign w:val="bottom"/>
          </w:tcPr>
          <w:p>
            <w:pPr>
              <w:spacing w:after="0"/>
              <w:rPr>
                <w:sz w:val="18"/>
                <w:szCs w:val="18"/>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5.48</w:t>
            </w:r>
          </w:p>
        </w:tc>
        <w:tc>
          <w:tcPr>
            <w:tcW w:w="12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5,903</w:t>
            </w: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3100" w:type="dxa"/>
            <w:vAlign w:val="bottom"/>
            <w:tcBorders>
              <w:bottom w:val="single" w:sz="8" w:color="CCEEFF"/>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700" w:type="dxa"/>
            <w:vAlign w:val="bottom"/>
            <w:tcBorders>
              <w:bottom w:val="single" w:sz="8" w:color="CCEEFF"/>
            </w:tcBorders>
          </w:tcPr>
          <w:p>
            <w:pPr>
              <w:spacing w:after="0"/>
              <w:rPr>
                <w:sz w:val="6"/>
                <w:szCs w:val="6"/>
                <w:color w:val="auto"/>
              </w:rPr>
            </w:pPr>
          </w:p>
        </w:tc>
        <w:tc>
          <w:tcPr>
            <w:tcW w:w="98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3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100" w:type="dxa"/>
            <w:vAlign w:val="bottom"/>
          </w:tcPr>
          <w:p>
            <w:pPr>
              <w:ind w:left="40"/>
              <w:spacing w:after="0"/>
              <w:rPr>
                <w:sz w:val="20"/>
                <w:szCs w:val="20"/>
                <w:color w:val="auto"/>
              </w:rPr>
            </w:pPr>
            <w:r>
              <w:rPr>
                <w:rFonts w:ascii="Arial" w:cs="Arial" w:eastAsia="Arial" w:hAnsi="Arial"/>
                <w:sz w:val="16"/>
                <w:szCs w:val="16"/>
                <w:color w:val="auto"/>
                <w:w w:val="99"/>
              </w:rPr>
              <w:t>Exercisable and expected to vest, June 30,</w:t>
            </w:r>
          </w:p>
        </w:tc>
        <w:tc>
          <w:tcPr>
            <w:tcW w:w="1380" w:type="dxa"/>
            <w:vAlign w:val="bottom"/>
            <w:vMerge w:val="restart"/>
          </w:tcPr>
          <w:p>
            <w:pPr>
              <w:jc w:val="right"/>
              <w:ind w:right="39"/>
              <w:spacing w:after="0"/>
              <w:rPr>
                <w:sz w:val="20"/>
                <w:szCs w:val="20"/>
                <w:color w:val="auto"/>
              </w:rPr>
            </w:pPr>
            <w:r>
              <w:rPr>
                <w:rFonts w:ascii="Arial" w:cs="Arial" w:eastAsia="Arial" w:hAnsi="Arial"/>
                <w:sz w:val="16"/>
                <w:szCs w:val="16"/>
                <w:color w:val="auto"/>
              </w:rPr>
              <w:t>1,145</w:t>
            </w:r>
          </w:p>
        </w:tc>
        <w:tc>
          <w:tcPr>
            <w:tcW w:w="120" w:type="dxa"/>
            <w:vAlign w:val="bottom"/>
          </w:tcPr>
          <w:p>
            <w:pPr>
              <w:spacing w:after="0"/>
              <w:rPr>
                <w:sz w:val="19"/>
                <w:szCs w:val="19"/>
                <w:color w:val="auto"/>
              </w:rPr>
            </w:pPr>
          </w:p>
        </w:tc>
        <w:tc>
          <w:tcPr>
            <w:tcW w:w="620" w:type="dxa"/>
            <w:vAlign w:val="bottom"/>
            <w:vMerge w:val="restart"/>
          </w:tcPr>
          <w:p>
            <w:pPr>
              <w:jc w:val="right"/>
              <w:ind w:right="439"/>
              <w:spacing w:after="0"/>
              <w:rPr>
                <w:sz w:val="20"/>
                <w:szCs w:val="20"/>
                <w:color w:val="auto"/>
              </w:rPr>
            </w:pPr>
            <w:r>
              <w:rPr>
                <w:rFonts w:ascii="Arial" w:cs="Arial" w:eastAsia="Arial" w:hAnsi="Arial"/>
                <w:sz w:val="16"/>
                <w:szCs w:val="16"/>
                <w:color w:val="auto"/>
                <w:w w:val="89"/>
              </w:rPr>
              <w:t>$</w:t>
            </w:r>
          </w:p>
        </w:tc>
        <w:tc>
          <w:tcPr>
            <w:tcW w:w="1000" w:type="dxa"/>
            <w:vAlign w:val="bottom"/>
            <w:vMerge w:val="restart"/>
          </w:tcPr>
          <w:p>
            <w:pPr>
              <w:jc w:val="right"/>
              <w:ind w:right="39"/>
              <w:spacing w:after="0"/>
              <w:rPr>
                <w:sz w:val="20"/>
                <w:szCs w:val="20"/>
                <w:color w:val="auto"/>
              </w:rPr>
            </w:pPr>
            <w:r>
              <w:rPr>
                <w:rFonts w:ascii="Arial" w:cs="Arial" w:eastAsia="Arial" w:hAnsi="Arial"/>
                <w:sz w:val="16"/>
                <w:szCs w:val="16"/>
                <w:color w:val="auto"/>
              </w:rPr>
              <w:t>56.12</w:t>
            </w:r>
          </w:p>
        </w:tc>
        <w:tc>
          <w:tcPr>
            <w:tcW w:w="120" w:type="dxa"/>
            <w:vAlign w:val="bottom"/>
          </w:tcPr>
          <w:p>
            <w:pPr>
              <w:spacing w:after="0"/>
              <w:rPr>
                <w:sz w:val="19"/>
                <w:szCs w:val="19"/>
                <w:color w:val="auto"/>
              </w:rPr>
            </w:pPr>
          </w:p>
        </w:tc>
        <w:tc>
          <w:tcPr>
            <w:tcW w:w="1700" w:type="dxa"/>
            <w:vAlign w:val="bottom"/>
            <w:vMerge w:val="restart"/>
          </w:tcPr>
          <w:p>
            <w:pPr>
              <w:jc w:val="right"/>
              <w:ind w:right="19"/>
              <w:spacing w:after="0"/>
              <w:rPr>
                <w:sz w:val="20"/>
                <w:szCs w:val="20"/>
                <w:color w:val="auto"/>
              </w:rPr>
            </w:pPr>
            <w:r>
              <w:rPr>
                <w:rFonts w:ascii="Arial" w:cs="Arial" w:eastAsia="Arial" w:hAnsi="Arial"/>
                <w:sz w:val="16"/>
                <w:szCs w:val="16"/>
                <w:color w:val="auto"/>
              </w:rPr>
              <w:t>5.45</w:t>
            </w:r>
          </w:p>
        </w:tc>
        <w:tc>
          <w:tcPr>
            <w:tcW w:w="120" w:type="dxa"/>
            <w:vAlign w:val="bottom"/>
          </w:tcPr>
          <w:p>
            <w:pPr>
              <w:spacing w:after="0"/>
              <w:rPr>
                <w:sz w:val="19"/>
                <w:szCs w:val="19"/>
                <w:color w:val="auto"/>
              </w:rPr>
            </w:pPr>
          </w:p>
        </w:tc>
        <w:tc>
          <w:tcPr>
            <w:tcW w:w="560" w:type="dxa"/>
            <w:vAlign w:val="bottom"/>
            <w:vMerge w:val="restart"/>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vMerge w:val="restart"/>
          </w:tcPr>
          <w:p>
            <w:pPr>
              <w:jc w:val="right"/>
              <w:ind w:right="39"/>
              <w:spacing w:after="0"/>
              <w:rPr>
                <w:sz w:val="20"/>
                <w:szCs w:val="20"/>
                <w:color w:val="auto"/>
              </w:rPr>
            </w:pPr>
            <w:r>
              <w:rPr>
                <w:rFonts w:ascii="Arial" w:cs="Arial" w:eastAsia="Arial" w:hAnsi="Arial"/>
                <w:sz w:val="16"/>
                <w:szCs w:val="16"/>
                <w:color w:val="auto"/>
              </w:rPr>
              <w:t>5,903</w:t>
            </w:r>
          </w:p>
        </w:tc>
        <w:tc>
          <w:tcPr>
            <w:tcW w:w="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31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2011</w:t>
            </w:r>
          </w:p>
        </w:tc>
        <w:tc>
          <w:tcPr>
            <w:tcW w:w="138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vMerge w:val="continue"/>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7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vMerge w:val="continue"/>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100" w:type="dxa"/>
            <w:vAlign w:val="bottom"/>
          </w:tcPr>
          <w:p>
            <w:pPr>
              <w:ind w:left="40"/>
              <w:spacing w:after="0"/>
              <w:rPr>
                <w:sz w:val="20"/>
                <w:szCs w:val="20"/>
                <w:color w:val="auto"/>
              </w:rPr>
            </w:pPr>
            <w:r>
              <w:rPr>
                <w:rFonts w:ascii="Arial" w:cs="Arial" w:eastAsia="Arial" w:hAnsi="Arial"/>
                <w:sz w:val="16"/>
                <w:szCs w:val="16"/>
                <w:color w:val="auto"/>
              </w:rPr>
              <w:t>Exercisable, June 30, 2011</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1,029</w:t>
            </w:r>
          </w:p>
        </w:tc>
        <w:tc>
          <w:tcPr>
            <w:tcW w:w="120" w:type="dxa"/>
            <w:vAlign w:val="bottom"/>
          </w:tcPr>
          <w:p>
            <w:pPr>
              <w:spacing w:after="0"/>
              <w:rPr>
                <w:sz w:val="19"/>
                <w:szCs w:val="19"/>
                <w:color w:val="auto"/>
              </w:rPr>
            </w:pPr>
          </w:p>
        </w:tc>
        <w:tc>
          <w:tcPr>
            <w:tcW w:w="620" w:type="dxa"/>
            <w:vAlign w:val="bottom"/>
          </w:tcPr>
          <w:p>
            <w:pPr>
              <w:jc w:val="right"/>
              <w:ind w:right="4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55.85</w:t>
            </w:r>
          </w:p>
        </w:tc>
        <w:tc>
          <w:tcPr>
            <w:tcW w:w="120" w:type="dxa"/>
            <w:vAlign w:val="bottom"/>
          </w:tcPr>
          <w:p>
            <w:pPr>
              <w:spacing w:after="0"/>
              <w:rPr>
                <w:sz w:val="19"/>
                <w:szCs w:val="19"/>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5.05</w:t>
            </w:r>
          </w:p>
        </w:tc>
        <w:tc>
          <w:tcPr>
            <w:tcW w:w="120" w:type="dxa"/>
            <w:vAlign w:val="bottom"/>
          </w:tcPr>
          <w:p>
            <w:pPr>
              <w:spacing w:after="0"/>
              <w:rPr>
                <w:sz w:val="19"/>
                <w:szCs w:val="19"/>
                <w:color w:val="auto"/>
              </w:rPr>
            </w:pP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5,903</w:t>
            </w:r>
          </w:p>
        </w:tc>
        <w:tc>
          <w:tcPr>
            <w:tcW w:w="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left="340" w:hanging="332"/>
        <w:spacing w:after="0" w:line="232"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6"/>
          <w:szCs w:val="16"/>
          <w:color w:val="auto"/>
        </w:rPr>
        <w:t>The aggregate intrinsic value of outstanding stock options represents amounts that would have been received by the optionees had all in- the-money options been exercised on that date. Specifically, it is the amount by which the market value of Itron’s stock exceeded the exercise price of the outstanding in-the-money options before applicable income taxes, based on our closing stock price on the last business day of the period. The aggregate intrinsic value of stock options exercised during the period is calculated based on our stock price at the date of exercise.</w:t>
      </w: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2011, total unrecognized stock-based compensation expense related to nonvested stock options was approximately $2.4 million, which is expected to be recognized over a weighted average period of approximately 1.1 years.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 Units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employees and senior management receive restricted stock units as a component of their total compensation. The fair value of a restricted stock unit is the market close price of our common stock on the date of grant. Restricted stock units generally vest over a three year period. Compensation expense, net of forfeitures, is recognized over the vesting period.</w:t>
      </w:r>
    </w:p>
    <w:p>
      <w:pPr>
        <w:spacing w:after="0" w:line="1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Subsequent to vesting, the restricted stock units are converted into shares of our common stock on a one-for-one basis and issued to employees. We are entitled to an income tax deduction in an amount equal to the taxable income reported by the employees upon vesting of the restricted stock units.</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restricted stock units issued under the Long Term Performance Restricted Stock Unit Award Agreement (Performance Award Agreement) are determined based on the attainment of annual performance goals after the end of the calendar year performance period. During the year, if management determines that it is probable that the targets will be achieved, compensation expense, net of forfeitures, is recognized on a straight-line basis over the annual performance and subsequent vesting period for each separately vesting portion of the award. Performance awards typically vest and are released in three equal installments at the end of each year following attainment of the performance goals. For U.S. participants who retire during the performance period, a pro-rated number of restricted stock units (based on the number of days of employment during the performance period) immediately vest based on the attainment of the performance goals as assessed after the end of the performance period. During the vesting period, unvested restricted stock units immediately vest at the date of retirement for U.S. participants who retire during that period. For U.S. participants who are or will become retirement eligible during either the annual performance or vesting period, compensation expense is accelerated and recognized over the greater of the performance period (one year) or the participant’s retirement eligible date. For performance awards granted in 2011, the maximum restricted stock units that may become eligible for vesting is 150,000 with a grant date fair value of $56.75.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unit activity for the six months ended June 30:</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center"/>
              <w:ind w:left="439"/>
              <w:spacing w:after="0"/>
              <w:rPr>
                <w:sz w:val="20"/>
                <w:szCs w:val="20"/>
                <w:color w:val="auto"/>
              </w:rPr>
            </w:pPr>
            <w:r>
              <w:rPr>
                <w:rFonts w:ascii="Arial" w:cs="Arial" w:eastAsia="Arial" w:hAnsi="Arial"/>
                <w:sz w:val="16"/>
                <w:szCs w:val="16"/>
                <w:b w:val="1"/>
                <w:bCs w:val="1"/>
                <w:color w:val="auto"/>
                <w:w w:val="91"/>
              </w:rPr>
              <w:t>Weighted</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760" w:type="dxa"/>
            <w:vAlign w:val="bottom"/>
          </w:tcPr>
          <w:p>
            <w:pPr>
              <w:jc w:val="center"/>
              <w:ind w:left="439"/>
              <w:spacing w:after="0"/>
              <w:rPr>
                <w:sz w:val="20"/>
                <w:szCs w:val="20"/>
                <w:color w:val="auto"/>
              </w:rPr>
            </w:pPr>
            <w:r>
              <w:rPr>
                <w:rFonts w:ascii="Arial" w:cs="Arial" w:eastAsia="Arial" w:hAnsi="Arial"/>
                <w:sz w:val="16"/>
                <w:szCs w:val="16"/>
                <w:b w:val="1"/>
                <w:bCs w:val="1"/>
                <w:color w:val="auto"/>
                <w:w w:val="94"/>
              </w:rPr>
              <w:t>Number of</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center"/>
              <w:ind w:left="439"/>
              <w:spacing w:after="0"/>
              <w:rPr>
                <w:sz w:val="20"/>
                <w:szCs w:val="20"/>
                <w:color w:val="auto"/>
              </w:rPr>
            </w:pPr>
            <w:r>
              <w:rPr>
                <w:rFonts w:ascii="Arial" w:cs="Arial" w:eastAsia="Arial" w:hAnsi="Arial"/>
                <w:sz w:val="16"/>
                <w:szCs w:val="16"/>
                <w:b w:val="1"/>
                <w:bCs w:val="1"/>
                <w:color w:val="auto"/>
                <w:w w:val="96"/>
              </w:rPr>
              <w:t>Average Grant</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Pr>
          <w:p>
            <w:pPr>
              <w:jc w:val="center"/>
              <w:ind w:right="239"/>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1"/>
                <w:szCs w:val="21"/>
                <w:color w:val="auto"/>
              </w:rPr>
            </w:pPr>
          </w:p>
        </w:tc>
        <w:tc>
          <w:tcPr>
            <w:tcW w:w="23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Restricted Stock Units</w:t>
            </w:r>
          </w:p>
        </w:tc>
        <w:tc>
          <w:tcPr>
            <w:tcW w:w="120" w:type="dxa"/>
            <w:vAlign w:val="bottom"/>
          </w:tcPr>
          <w:p>
            <w:pPr>
              <w:spacing w:after="0"/>
              <w:rPr>
                <w:sz w:val="21"/>
                <w:szCs w:val="21"/>
                <w:color w:val="auto"/>
              </w:rPr>
            </w:pPr>
          </w:p>
        </w:tc>
        <w:tc>
          <w:tcPr>
            <w:tcW w:w="1740" w:type="dxa"/>
            <w:vAlign w:val="bottom"/>
            <w:tcBorders>
              <w:bottom w:val="single" w:sz="8" w:color="auto"/>
            </w:tcBorders>
          </w:tcPr>
          <w:p>
            <w:pPr>
              <w:jc w:val="center"/>
              <w:ind w:left="439"/>
              <w:spacing w:after="0"/>
              <w:rPr>
                <w:sz w:val="20"/>
                <w:szCs w:val="20"/>
                <w:color w:val="auto"/>
              </w:rPr>
            </w:pPr>
            <w:r>
              <w:rPr>
                <w:rFonts w:ascii="Arial" w:cs="Arial" w:eastAsia="Arial" w:hAnsi="Arial"/>
                <w:sz w:val="16"/>
                <w:szCs w:val="16"/>
                <w:b w:val="1"/>
                <w:bCs w:val="1"/>
                <w:color w:val="auto"/>
                <w:w w:val="95"/>
              </w:rPr>
              <w:t>Date Fair Value</w:t>
            </w:r>
          </w:p>
        </w:tc>
        <w:tc>
          <w:tcPr>
            <w:tcW w:w="5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w w:val="90"/>
              </w:rPr>
              <w:t>Intrinsic Value</w:t>
            </w:r>
            <w:r>
              <w:rPr>
                <w:rFonts w:ascii="Arial" w:cs="Arial" w:eastAsia="Arial" w:hAnsi="Arial"/>
                <w:sz w:val="21"/>
                <w:szCs w:val="21"/>
                <w:b w:val="1"/>
                <w:bCs w:val="1"/>
                <w:color w:val="auto"/>
                <w:w w:val="90"/>
                <w:vertAlign w:val="superscript"/>
              </w:rPr>
              <w:t>(1)</w:t>
            </w:r>
          </w:p>
        </w:tc>
        <w:tc>
          <w:tcPr>
            <w:tcW w:w="0" w:type="dxa"/>
            <w:vAlign w:val="bottom"/>
          </w:tcPr>
          <w:p>
            <w:pPr>
              <w:spacing w:after="0"/>
              <w:rPr>
                <w:sz w:val="1"/>
                <w:szCs w:val="1"/>
                <w:color w:val="auto"/>
              </w:rPr>
            </w:pPr>
          </w:p>
        </w:tc>
      </w:tr>
      <w:tr>
        <w:trPr>
          <w:trHeight w:val="217"/>
        </w:trPr>
        <w:tc>
          <w:tcPr>
            <w:tcW w:w="4360" w:type="dxa"/>
            <w:vAlign w:val="bottom"/>
          </w:tcPr>
          <w:p>
            <w:pPr>
              <w:spacing w:after="0"/>
              <w:rPr>
                <w:sz w:val="18"/>
                <w:szCs w:val="18"/>
                <w:color w:val="auto"/>
              </w:rPr>
            </w:pPr>
          </w:p>
        </w:tc>
        <w:tc>
          <w:tcPr>
            <w:tcW w:w="1760" w:type="dxa"/>
            <w:vAlign w:val="bottom"/>
          </w:tcPr>
          <w:p>
            <w:pPr>
              <w:jc w:val="center"/>
              <w:ind w:left="459"/>
              <w:spacing w:after="0"/>
              <w:rPr>
                <w:sz w:val="20"/>
                <w:szCs w:val="20"/>
                <w:color w:val="auto"/>
              </w:rPr>
            </w:pPr>
            <w:r>
              <w:rPr>
                <w:rFonts w:ascii="Arial" w:cs="Arial" w:eastAsia="Arial" w:hAnsi="Arial"/>
                <w:sz w:val="16"/>
                <w:szCs w:val="16"/>
                <w:b w:val="1"/>
                <w:bCs w:val="1"/>
                <w:color w:val="auto"/>
                <w:w w:val="88"/>
              </w:rPr>
              <w:t>(in thousands)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center"/>
              <w:ind w:right="239"/>
              <w:spacing w:after="0"/>
              <w:rPr>
                <w:sz w:val="20"/>
                <w:szCs w:val="20"/>
                <w:color w:val="auto"/>
              </w:rPr>
            </w:pPr>
            <w:r>
              <w:rPr>
                <w:rFonts w:ascii="Arial" w:cs="Arial" w:eastAsia="Arial" w:hAnsi="Arial"/>
                <w:sz w:val="16"/>
                <w:szCs w:val="16"/>
                <w:b w:val="1"/>
                <w:bCs w:val="1"/>
                <w:color w:val="auto"/>
                <w:w w:val="88"/>
              </w:rPr>
              <w:t>(in thousands)</w:t>
            </w: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January 1, 2010</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3"/>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Granted</w:t>
            </w:r>
            <w:r>
              <w:rPr>
                <w:rFonts w:ascii="Arial" w:cs="Arial" w:eastAsia="Arial" w:hAnsi="Arial"/>
                <w:sz w:val="21"/>
                <w:szCs w:val="21"/>
                <w:color w:val="auto"/>
                <w:vertAlign w:val="superscript"/>
              </w:rPr>
              <w:t>(2)</w:t>
            </w:r>
          </w:p>
        </w:tc>
        <w:tc>
          <w:tcPr>
            <w:tcW w:w="540" w:type="dxa"/>
            <w:vAlign w:val="bottom"/>
            <w:vMerge w:val="restart"/>
          </w:tcPr>
          <w:p>
            <w:pPr>
              <w:jc w:val="right"/>
              <w:ind w:right="39"/>
              <w:spacing w:after="0"/>
              <w:rPr>
                <w:sz w:val="20"/>
                <w:szCs w:val="20"/>
                <w:color w:val="auto"/>
              </w:rPr>
            </w:pPr>
            <w:r>
              <w:rPr>
                <w:rFonts w:ascii="Arial" w:cs="Arial" w:eastAsia="Arial" w:hAnsi="Arial"/>
                <w:sz w:val="16"/>
                <w:szCs w:val="16"/>
                <w:color w:val="auto"/>
              </w:rPr>
              <w:t>210</w:t>
            </w:r>
          </w:p>
        </w:tc>
        <w:tc>
          <w:tcPr>
            <w:tcW w:w="1860" w:type="dxa"/>
            <w:vAlign w:val="bottom"/>
            <w:gridSpan w:val="2"/>
            <w:vMerge w:val="restart"/>
          </w:tcPr>
          <w:p>
            <w:pPr>
              <w:jc w:val="right"/>
              <w:ind w:right="1559"/>
              <w:spacing w:after="0"/>
              <w:rPr>
                <w:sz w:val="20"/>
                <w:szCs w:val="20"/>
                <w:color w:val="auto"/>
              </w:rPr>
            </w:pPr>
            <w:r>
              <w:rPr>
                <w:rFonts w:ascii="Arial" w:cs="Arial" w:eastAsia="Arial" w:hAnsi="Arial"/>
                <w:sz w:val="16"/>
                <w:szCs w:val="16"/>
                <w:color w:val="auto"/>
              </w:rPr>
              <w:t>$</w:t>
            </w:r>
          </w:p>
        </w:tc>
        <w:tc>
          <w:tcPr>
            <w:tcW w:w="520" w:type="dxa"/>
            <w:vAlign w:val="bottom"/>
            <w:vMerge w:val="restart"/>
          </w:tcPr>
          <w:p>
            <w:pPr>
              <w:jc w:val="right"/>
              <w:ind w:right="19"/>
              <w:spacing w:after="0"/>
              <w:rPr>
                <w:sz w:val="20"/>
                <w:szCs w:val="20"/>
                <w:color w:val="auto"/>
              </w:rPr>
            </w:pPr>
            <w:r>
              <w:rPr>
                <w:rFonts w:ascii="Arial" w:cs="Arial" w:eastAsia="Arial" w:hAnsi="Arial"/>
                <w:sz w:val="16"/>
                <w:szCs w:val="16"/>
                <w:color w:val="auto"/>
                <w:w w:val="99"/>
              </w:rPr>
              <w:t>63.52</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3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6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Released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4,965</w:t>
            </w:r>
          </w:p>
        </w:tc>
        <w:tc>
          <w:tcPr>
            <w:tcW w:w="0" w:type="dxa"/>
            <w:vAlign w:val="bottom"/>
          </w:tcPr>
          <w:p>
            <w:pPr>
              <w:spacing w:after="0"/>
              <w:rPr>
                <w:sz w:val="1"/>
                <w:szCs w:val="1"/>
                <w:color w:val="auto"/>
              </w:rPr>
            </w:pPr>
          </w:p>
        </w:tc>
      </w:tr>
      <w:tr>
        <w:trPr>
          <w:trHeight w:val="237"/>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Forfeited</w:t>
            </w:r>
          </w:p>
        </w:tc>
        <w:tc>
          <w:tcPr>
            <w:tcW w:w="54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3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June 30, 2010</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449</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January 1, 2011</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588</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3"/>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Granted</w:t>
            </w:r>
            <w:r>
              <w:rPr>
                <w:rFonts w:ascii="Arial" w:cs="Arial" w:eastAsia="Arial" w:hAnsi="Arial"/>
                <w:sz w:val="21"/>
                <w:szCs w:val="21"/>
                <w:color w:val="auto"/>
                <w:vertAlign w:val="superscript"/>
              </w:rPr>
              <w:t>(2)</w:t>
            </w:r>
          </w:p>
        </w:tc>
        <w:tc>
          <w:tcPr>
            <w:tcW w:w="540" w:type="dxa"/>
            <w:vAlign w:val="bottom"/>
            <w:vMerge w:val="restart"/>
          </w:tcPr>
          <w:p>
            <w:pPr>
              <w:jc w:val="right"/>
              <w:ind w:right="39"/>
              <w:spacing w:after="0"/>
              <w:rPr>
                <w:sz w:val="20"/>
                <w:szCs w:val="20"/>
                <w:color w:val="auto"/>
              </w:rPr>
            </w:pPr>
            <w:r>
              <w:rPr>
                <w:rFonts w:ascii="Arial" w:cs="Arial" w:eastAsia="Arial" w:hAnsi="Arial"/>
                <w:sz w:val="16"/>
                <w:szCs w:val="16"/>
                <w:color w:val="auto"/>
              </w:rPr>
              <w:t>255</w:t>
            </w:r>
          </w:p>
        </w:tc>
        <w:tc>
          <w:tcPr>
            <w:tcW w:w="1860" w:type="dxa"/>
            <w:vAlign w:val="bottom"/>
            <w:gridSpan w:val="2"/>
            <w:vMerge w:val="restart"/>
          </w:tcPr>
          <w:p>
            <w:pPr>
              <w:jc w:val="right"/>
              <w:ind w:right="1559"/>
              <w:spacing w:after="0"/>
              <w:rPr>
                <w:sz w:val="20"/>
                <w:szCs w:val="20"/>
                <w:color w:val="auto"/>
              </w:rPr>
            </w:pPr>
            <w:r>
              <w:rPr>
                <w:rFonts w:ascii="Arial" w:cs="Arial" w:eastAsia="Arial" w:hAnsi="Arial"/>
                <w:sz w:val="16"/>
                <w:szCs w:val="16"/>
                <w:color w:val="auto"/>
              </w:rPr>
              <w:t>$</w:t>
            </w:r>
          </w:p>
        </w:tc>
        <w:tc>
          <w:tcPr>
            <w:tcW w:w="520" w:type="dxa"/>
            <w:vAlign w:val="bottom"/>
            <w:vMerge w:val="restart"/>
          </w:tcPr>
          <w:p>
            <w:pPr>
              <w:jc w:val="right"/>
              <w:ind w:right="19"/>
              <w:spacing w:after="0"/>
              <w:rPr>
                <w:sz w:val="20"/>
                <w:szCs w:val="20"/>
                <w:color w:val="auto"/>
              </w:rPr>
            </w:pPr>
            <w:r>
              <w:rPr>
                <w:rFonts w:ascii="Arial" w:cs="Arial" w:eastAsia="Arial" w:hAnsi="Arial"/>
                <w:sz w:val="16"/>
                <w:szCs w:val="16"/>
                <w:color w:val="auto"/>
                <w:w w:val="99"/>
              </w:rPr>
              <w:t>56.64</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3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6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Released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15,007</w:t>
            </w:r>
          </w:p>
        </w:tc>
        <w:tc>
          <w:tcPr>
            <w:tcW w:w="0" w:type="dxa"/>
            <w:vAlign w:val="bottom"/>
          </w:tcPr>
          <w:p>
            <w:pPr>
              <w:spacing w:after="0"/>
              <w:rPr>
                <w:sz w:val="1"/>
                <w:szCs w:val="1"/>
                <w:color w:val="auto"/>
              </w:rPr>
            </w:pPr>
          </w:p>
        </w:tc>
      </w:tr>
      <w:tr>
        <w:trPr>
          <w:trHeight w:val="237"/>
        </w:trPr>
        <w:tc>
          <w:tcPr>
            <w:tcW w:w="6120" w:type="dxa"/>
            <w:vAlign w:val="bottom"/>
            <w:gridSpan w:val="2"/>
          </w:tcPr>
          <w:p>
            <w:pPr>
              <w:ind w:left="380"/>
              <w:spacing w:after="0"/>
              <w:rPr>
                <w:sz w:val="20"/>
                <w:szCs w:val="20"/>
                <w:color w:val="auto"/>
              </w:rPr>
            </w:pPr>
            <w:r>
              <w:rPr>
                <w:rFonts w:ascii="Arial" w:cs="Arial" w:eastAsia="Arial" w:hAnsi="Arial"/>
                <w:sz w:val="16"/>
                <w:szCs w:val="16"/>
                <w:color w:val="auto"/>
              </w:rPr>
              <w:t>Forfeited</w:t>
            </w:r>
          </w:p>
        </w:tc>
        <w:tc>
          <w:tcPr>
            <w:tcW w:w="5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3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June 30, 2011</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646</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6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to vest, June 30, 2011</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545</w:t>
            </w:r>
          </w:p>
        </w:tc>
        <w:tc>
          <w:tcPr>
            <w:tcW w:w="12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26,268</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340" w:hanging="332"/>
        <w:spacing w:after="0" w:line="224" w:lineRule="auto"/>
        <w:tabs>
          <w:tab w:leader="none" w:pos="34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The aggregate intrinsic value is the market value of the stock, before applicable income taxes, based on the closing price on the stock release dates or at the end of the period for restricted stock units expected to vest.</w:t>
      </w:r>
    </w:p>
    <w:p>
      <w:pPr>
        <w:sectPr>
          <w:pgSz w:w="11900" w:h="16838" w:orient="portrait"/>
          <w:cols w:equalWidth="0" w:num="1">
            <w:col w:w="11420"/>
          </w:cols>
          <w:pgMar w:left="240" w:top="130" w:right="239" w:bottom="0" w:gutter="0" w:footer="0" w:header="0"/>
        </w:sectPr>
      </w:pPr>
    </w:p>
    <w:bookmarkStart w:id="22" w:name="page23"/>
    <w:bookmarkEnd w:id="22"/>
    <w:p>
      <w:pPr>
        <w:ind w:left="340" w:hanging="332"/>
        <w:spacing w:after="0" w:line="224" w:lineRule="auto"/>
        <w:tabs>
          <w:tab w:leader="none" w:pos="340"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These restricted stock units do not include the respective 2010 and 2011 awards under the Performance Awards Agreement, which are not eligible for vesting as of June 30 of each respective year.</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2011, unrecognized compensation expense was $26.0 million, which is expected to be recognized over a weighted average period of approximately 2.2 years.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Unrestricted Stock Awards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issue unrestricted stock awards to our Board of Directors as part of their compensation. Awards are fully vested and expensed when issued. The fair value of unrestricted stock awards is the market close price of our common stock on the date of grant.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unrestricted stock award activity for the three and six months ended June 30:</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2580" w:type="dxa"/>
            <w:vAlign w:val="bottom"/>
            <w:gridSpan w:val="4"/>
          </w:tcPr>
          <w:p>
            <w:pPr>
              <w:jc w:val="center"/>
              <w:ind w:left="479"/>
              <w:spacing w:after="0"/>
              <w:rPr>
                <w:sz w:val="20"/>
                <w:szCs w:val="20"/>
                <w:color w:val="auto"/>
              </w:rPr>
            </w:pPr>
            <w:r>
              <w:rPr>
                <w:rFonts w:ascii="Arial" w:cs="Arial" w:eastAsia="Arial" w:hAnsi="Arial"/>
                <w:sz w:val="16"/>
                <w:szCs w:val="16"/>
                <w:b w:val="1"/>
                <w:bCs w:val="1"/>
                <w:color w:val="auto"/>
                <w:w w:val="92"/>
              </w:rPr>
              <w:t>Three Months Ended</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gridSpan w:val="3"/>
          </w:tcPr>
          <w:p>
            <w:pPr>
              <w:jc w:val="center"/>
              <w:ind w:right="259"/>
              <w:spacing w:after="0"/>
              <w:rPr>
                <w:sz w:val="20"/>
                <w:szCs w:val="20"/>
                <w:color w:val="auto"/>
              </w:rPr>
            </w:pPr>
            <w:r>
              <w:rPr>
                <w:rFonts w:ascii="Arial" w:cs="Arial" w:eastAsia="Arial" w:hAnsi="Arial"/>
                <w:sz w:val="16"/>
                <w:szCs w:val="16"/>
                <w:b w:val="1"/>
                <w:bCs w:val="1"/>
                <w:color w:val="auto"/>
                <w:w w:val="92"/>
              </w:rPr>
              <w:t>Six Months Ended</w:t>
            </w:r>
          </w:p>
        </w:tc>
        <w:tc>
          <w:tcPr>
            <w:tcW w:w="520" w:type="dxa"/>
            <w:vAlign w:val="bottom"/>
          </w:tcPr>
          <w:p>
            <w:pPr>
              <w:spacing w:after="0"/>
              <w:rPr>
                <w:sz w:val="17"/>
                <w:szCs w:val="17"/>
                <w:color w:val="auto"/>
              </w:rPr>
            </w:pPr>
          </w:p>
        </w:tc>
      </w:tr>
      <w:tr>
        <w:trPr>
          <w:trHeight w:val="210"/>
        </w:trPr>
        <w:tc>
          <w:tcPr>
            <w:tcW w:w="5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20" w:type="dxa"/>
            <w:vAlign w:val="bottom"/>
            <w:gridSpan w:val="3"/>
          </w:tcPr>
          <w:p>
            <w:pPr>
              <w:jc w:val="center"/>
              <w:ind w:right="319"/>
              <w:spacing w:after="0"/>
              <w:rPr>
                <w:sz w:val="20"/>
                <w:szCs w:val="20"/>
                <w:color w:val="auto"/>
              </w:rPr>
            </w:pPr>
            <w:r>
              <w:rPr>
                <w:rFonts w:ascii="Arial" w:cs="Arial" w:eastAsia="Arial" w:hAnsi="Arial"/>
                <w:sz w:val="16"/>
                <w:szCs w:val="16"/>
                <w:b w:val="1"/>
                <w:bCs w:val="1"/>
                <w:color w:val="auto"/>
                <w:w w:val="90"/>
              </w:rPr>
              <w:t>June 30,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gridSpan w:val="3"/>
          </w:tcPr>
          <w:p>
            <w:pPr>
              <w:jc w:val="center"/>
              <w:ind w:right="259"/>
              <w:spacing w:after="0"/>
              <w:rPr>
                <w:sz w:val="20"/>
                <w:szCs w:val="20"/>
                <w:color w:val="auto"/>
              </w:rPr>
            </w:pPr>
            <w:r>
              <w:rPr>
                <w:rFonts w:ascii="Arial" w:cs="Arial" w:eastAsia="Arial" w:hAnsi="Arial"/>
                <w:sz w:val="16"/>
                <w:szCs w:val="16"/>
                <w:b w:val="1"/>
                <w:bCs w:val="1"/>
                <w:color w:val="auto"/>
                <w:w w:val="87"/>
              </w:rPr>
              <w:t>June 30,</w:t>
            </w:r>
          </w:p>
        </w:tc>
        <w:tc>
          <w:tcPr>
            <w:tcW w:w="52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2010</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2010</w:t>
            </w:r>
          </w:p>
        </w:tc>
        <w:tc>
          <w:tcPr>
            <w:tcW w:w="520" w:type="dxa"/>
            <w:vAlign w:val="bottom"/>
          </w:tcPr>
          <w:p>
            <w:pPr>
              <w:spacing w:after="0"/>
              <w:rPr>
                <w:sz w:val="20"/>
                <w:szCs w:val="20"/>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of unrestricted stock issued</w:t>
            </w:r>
          </w:p>
        </w:tc>
        <w:tc>
          <w:tcPr>
            <w:tcW w:w="9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276</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192</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3,453</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9"/>
              </w:rPr>
              <w:t>2,766</w:t>
            </w:r>
          </w:p>
        </w:tc>
      </w:tr>
      <w:tr>
        <w:trPr>
          <w:trHeight w:val="284"/>
        </w:trPr>
        <w:tc>
          <w:tcPr>
            <w:tcW w:w="5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37"/>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grant date fair value</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9"/>
              </w:rPr>
              <w:t>54.17</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9"/>
              </w:rPr>
              <w:t>77.69</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54.96</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9"/>
              </w:rPr>
              <w:t>68.49</w:t>
            </w:r>
          </w:p>
        </w:tc>
      </w:tr>
      <w:tr>
        <w:trPr>
          <w:trHeight w:val="33"/>
        </w:trPr>
        <w:tc>
          <w:tcPr>
            <w:tcW w:w="5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Employee Stock Purchase Plan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the ESPP, employees can deduct up to 10% of their regular cash compensation to purchase our common stock at a 15% discount from the fair market value of the stock at the end of each fiscal quarter, subject to other limitations under the plan. The sale of the stock occurs at the beginning of the subsequent quarter.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19"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ESPP activity for the three and six months ended June 30:</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0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auto"/>
                <w:w w:val="92"/>
              </w:rPr>
              <w:t>Three Months Ended</w:t>
            </w:r>
          </w:p>
        </w:tc>
        <w:tc>
          <w:tcPr>
            <w:tcW w:w="340" w:type="dxa"/>
            <w:vAlign w:val="bottom"/>
          </w:tcPr>
          <w:p>
            <w:pPr>
              <w:spacing w:after="0"/>
              <w:rPr>
                <w:sz w:val="17"/>
                <w:szCs w:val="17"/>
                <w:color w:val="auto"/>
              </w:rPr>
            </w:pPr>
          </w:p>
        </w:tc>
        <w:tc>
          <w:tcPr>
            <w:tcW w:w="2680" w:type="dxa"/>
            <w:vAlign w:val="bottom"/>
            <w:gridSpan w:val="4"/>
          </w:tcPr>
          <w:p>
            <w:pPr>
              <w:jc w:val="center"/>
              <w:ind w:right="239"/>
              <w:spacing w:after="0"/>
              <w:rPr>
                <w:sz w:val="20"/>
                <w:szCs w:val="20"/>
                <w:color w:val="auto"/>
              </w:rPr>
            </w:pPr>
            <w:r>
              <w:rPr>
                <w:rFonts w:ascii="Arial" w:cs="Arial" w:eastAsia="Arial" w:hAnsi="Arial"/>
                <w:sz w:val="16"/>
                <w:szCs w:val="16"/>
                <w:b w:val="1"/>
                <w:bCs w:val="1"/>
                <w:color w:val="auto"/>
                <w:w w:val="92"/>
              </w:rPr>
              <w:t>Six Months Ended</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3"/>
          </w:tcPr>
          <w:p>
            <w:pPr>
              <w:jc w:val="center"/>
              <w:ind w:left="699"/>
              <w:spacing w:after="0"/>
              <w:rPr>
                <w:sz w:val="20"/>
                <w:szCs w:val="20"/>
                <w:color w:val="auto"/>
              </w:rPr>
            </w:pPr>
            <w:r>
              <w:rPr>
                <w:rFonts w:ascii="Arial" w:cs="Arial" w:eastAsia="Arial" w:hAnsi="Arial"/>
                <w:sz w:val="16"/>
                <w:szCs w:val="16"/>
                <w:b w:val="1"/>
                <w:bCs w:val="1"/>
                <w:color w:val="auto"/>
                <w:w w:val="90"/>
              </w:rPr>
              <w:t>June 30,</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3"/>
          </w:tcPr>
          <w:p>
            <w:pPr>
              <w:jc w:val="center"/>
              <w:ind w:left="659"/>
              <w:spacing w:after="0"/>
              <w:rPr>
                <w:sz w:val="20"/>
                <w:szCs w:val="20"/>
                <w:color w:val="auto"/>
              </w:rPr>
            </w:pPr>
            <w:r>
              <w:rPr>
                <w:rFonts w:ascii="Arial" w:cs="Arial" w:eastAsia="Arial" w:hAnsi="Arial"/>
                <w:sz w:val="16"/>
                <w:szCs w:val="16"/>
                <w:b w:val="1"/>
                <w:bCs w:val="1"/>
                <w:color w:val="auto"/>
                <w:w w:val="87"/>
              </w:rPr>
              <w:t>June 30,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jc w:val="right"/>
              <w:ind w:right="519"/>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479"/>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3"/>
        </w:trPr>
        <w:tc>
          <w:tcPr>
            <w:tcW w:w="5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Shares of stock sold to employees</w:t>
            </w:r>
            <w:r>
              <w:rPr>
                <w:rFonts w:ascii="Arial" w:cs="Arial" w:eastAsia="Arial" w:hAnsi="Arial"/>
                <w:sz w:val="21"/>
                <w:szCs w:val="21"/>
                <w:color w:val="auto"/>
                <w:vertAlign w:val="superscript"/>
              </w:rPr>
              <w:t>(1)</w:t>
            </w:r>
          </w:p>
        </w:tc>
        <w:tc>
          <w:tcPr>
            <w:tcW w:w="11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25,567</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10,736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42,625</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23,086</w:t>
            </w:r>
          </w:p>
        </w:tc>
        <w:tc>
          <w:tcPr>
            <w:tcW w:w="0" w:type="dxa"/>
            <w:vAlign w:val="bottom"/>
          </w:tcPr>
          <w:p>
            <w:pPr>
              <w:spacing w:after="0"/>
              <w:rPr>
                <w:sz w:val="1"/>
                <w:szCs w:val="1"/>
                <w:color w:val="auto"/>
              </w:rPr>
            </w:pPr>
          </w:p>
        </w:tc>
      </w:tr>
      <w:tr>
        <w:trPr>
          <w:trHeight w:val="74"/>
        </w:trPr>
        <w:tc>
          <w:tcPr>
            <w:tcW w:w="5160" w:type="dxa"/>
            <w:vAlign w:val="bottom"/>
            <w:tcBorders>
              <w:bottom w:val="single" w:sz="8" w:color="CCEEFF"/>
            </w:tcBorders>
            <w:shd w:val="clear" w:color="auto" w:fill="CCEEFF"/>
          </w:tcPr>
          <w:p>
            <w:pPr>
              <w:spacing w:after="0"/>
              <w:rPr>
                <w:sz w:val="6"/>
                <w:szCs w:val="6"/>
                <w:color w:val="auto"/>
              </w:rPr>
            </w:pPr>
          </w:p>
        </w:tc>
        <w:tc>
          <w:tcPr>
            <w:tcW w:w="340" w:type="dxa"/>
            <w:vAlign w:val="bottom"/>
            <w:tcBorders>
              <w:bottom w:val="single" w:sz="8" w:color="CCEEFF"/>
            </w:tcBorders>
            <w:shd w:val="clear" w:color="auto" w:fill="CCEEFF"/>
          </w:tcPr>
          <w:p>
            <w:pPr>
              <w:spacing w:after="0"/>
              <w:rPr>
                <w:sz w:val="6"/>
                <w:szCs w:val="6"/>
                <w:color w:val="auto"/>
              </w:rPr>
            </w:pPr>
          </w:p>
        </w:tc>
        <w:tc>
          <w:tcPr>
            <w:tcW w:w="116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400" w:type="dxa"/>
            <w:vAlign w:val="bottom"/>
            <w:tcBorders>
              <w:bottom w:val="single" w:sz="8" w:color="CCEEFF"/>
            </w:tcBorders>
            <w:shd w:val="clear" w:color="auto" w:fill="CCEEFF"/>
          </w:tcPr>
          <w:p>
            <w:pPr>
              <w:spacing w:after="0"/>
              <w:rPr>
                <w:sz w:val="6"/>
                <w:szCs w:val="6"/>
                <w:color w:val="auto"/>
              </w:rPr>
            </w:pPr>
          </w:p>
        </w:tc>
        <w:tc>
          <w:tcPr>
            <w:tcW w:w="110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340" w:type="dxa"/>
            <w:vAlign w:val="bottom"/>
            <w:tcBorders>
              <w:bottom w:val="single" w:sz="8" w:color="CCEEFF"/>
            </w:tcBorders>
            <w:shd w:val="clear" w:color="auto" w:fill="CCEEFF"/>
          </w:tcPr>
          <w:p>
            <w:pPr>
              <w:spacing w:after="0"/>
              <w:rPr>
                <w:sz w:val="6"/>
                <w:szCs w:val="6"/>
                <w:color w:val="auto"/>
              </w:rPr>
            </w:pPr>
          </w:p>
        </w:tc>
        <w:tc>
          <w:tcPr>
            <w:tcW w:w="112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400" w:type="dxa"/>
            <w:vAlign w:val="bottom"/>
            <w:tcBorders>
              <w:bottom w:val="single" w:sz="8" w:color="CCEEFF"/>
            </w:tcBorders>
            <w:shd w:val="clear" w:color="auto" w:fill="CCEEFF"/>
          </w:tcPr>
          <w:p>
            <w:pPr>
              <w:spacing w:after="0"/>
              <w:rPr>
                <w:sz w:val="6"/>
                <w:szCs w:val="6"/>
                <w:color w:val="auto"/>
              </w:rPr>
            </w:pPr>
          </w:p>
        </w:tc>
        <w:tc>
          <w:tcPr>
            <w:tcW w:w="106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1"/>
        </w:trPr>
        <w:tc>
          <w:tcPr>
            <w:tcW w:w="5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fair value per ESPP award</w:t>
            </w:r>
            <w:r>
              <w:rPr>
                <w:rFonts w:ascii="Arial" w:cs="Arial" w:eastAsia="Arial" w:hAnsi="Arial"/>
                <w:sz w:val="21"/>
                <w:szCs w:val="21"/>
                <w:color w:val="auto"/>
                <w:vertAlign w:val="superscript"/>
              </w:rPr>
              <w:t>(2)</w:t>
            </w:r>
          </w:p>
        </w:tc>
        <w:tc>
          <w:tcPr>
            <w:tcW w:w="11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7.22</w:t>
            </w:r>
          </w:p>
        </w:tc>
        <w:tc>
          <w:tcPr>
            <w:tcW w:w="120" w:type="dxa"/>
            <w:vAlign w:val="bottom"/>
            <w:shd w:val="clear" w:color="auto" w:fill="CCEEFF"/>
          </w:tcPr>
          <w:p>
            <w:pPr>
              <w:spacing w:after="0"/>
              <w:rPr>
                <w:sz w:val="24"/>
                <w:szCs w:val="24"/>
                <w:color w:val="auto"/>
              </w:rPr>
            </w:pPr>
          </w:p>
        </w:tc>
        <w:tc>
          <w:tcPr>
            <w:tcW w:w="40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9.27</w:t>
            </w:r>
          </w:p>
        </w:tc>
        <w:tc>
          <w:tcPr>
            <w:tcW w:w="120" w:type="dxa"/>
            <w:vAlign w:val="bottom"/>
            <w:shd w:val="clear" w:color="auto" w:fill="CCEEFF"/>
          </w:tcPr>
          <w:p>
            <w:pPr>
              <w:spacing w:after="0"/>
              <w:rPr>
                <w:sz w:val="24"/>
                <w:szCs w:val="24"/>
                <w:color w:val="auto"/>
              </w:rPr>
            </w:pP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7.88</w:t>
            </w:r>
          </w:p>
        </w:tc>
        <w:tc>
          <w:tcPr>
            <w:tcW w:w="100" w:type="dxa"/>
            <w:vAlign w:val="bottom"/>
            <w:shd w:val="clear" w:color="auto" w:fill="CCEEFF"/>
          </w:tcPr>
          <w:p>
            <w:pPr>
              <w:spacing w:after="0"/>
              <w:rPr>
                <w:sz w:val="24"/>
                <w:szCs w:val="24"/>
                <w:color w:val="auto"/>
              </w:rPr>
            </w:pPr>
          </w:p>
        </w:tc>
        <w:tc>
          <w:tcPr>
            <w:tcW w:w="40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9.95</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21"/>
          <w:szCs w:val="21"/>
          <w:color w:val="auto"/>
          <w:vertAlign w:val="superscript"/>
        </w:rPr>
      </w:pPr>
      <w:r>
        <w:rPr>
          <w:rFonts w:ascii="Arial" w:cs="Arial" w:eastAsia="Arial" w:hAnsi="Arial"/>
          <w:sz w:val="15"/>
          <w:szCs w:val="15"/>
          <w:color w:val="auto"/>
        </w:rPr>
        <w:t>Stock sold to employees during each fiscal quarter under the ESPP is associated with the offering period ending on the last day of the previous fiscal quarter.</w:t>
      </w:r>
    </w:p>
    <w:p>
      <w:pPr>
        <w:spacing w:after="0" w:line="138" w:lineRule="exact"/>
        <w:rPr>
          <w:rFonts w:ascii="Arial" w:cs="Arial" w:eastAsia="Arial" w:hAnsi="Arial"/>
          <w:sz w:val="21"/>
          <w:szCs w:val="21"/>
          <w:color w:val="auto"/>
          <w:vertAlign w:val="superscript"/>
        </w:rPr>
      </w:pPr>
    </w:p>
    <w:p>
      <w:pPr>
        <w:ind w:left="340" w:hanging="332"/>
        <w:spacing w:after="0"/>
        <w:tabs>
          <w:tab w:leader="none" w:pos="340"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Relating to awards associated with the offering period during the three and six months ended June 30.</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2011, all compensation cost associated with the ESPP had been recognized. There were approximately 154,000 shares of common stock available for future issuance under the ESPP at June 30, 2011.</w:t>
      </w: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5"/>
          <w:szCs w:val="15"/>
          <w:b w:val="1"/>
          <w:bCs w:val="1"/>
          <w:color w:val="auto"/>
        </w:rPr>
        <w:t>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tax provisions (benefits) as a percentage of income (loss) before tax typically differs from the federal statutory rate of 35%, and may vary from period to period, due to fluctuations in the forecasted mix of earnings in domestic and international jurisdictions, new or revised tax legislation and accounting pronouncements, tax credits, state income taxes, adjustments to valuation allowances, and interest expense and penalties related to uncertain tax positions, among other items.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and six months ended June 30, 2011, we had tax provision (benefit) of (0.2)% and 13%, based on a percentage of income before tax, as compared with tax provisions of 29% and 3% for the same periods in 2010.</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tax provision in 2011 is lower than the federal statutory rate due to projected earnings in tax jurisdictions with rates lower than 35%, the benefit of certain interest expense deductions, a benefit related to the settlement of a foreign tax litigation, and an election under U.S. Internal Revenue Code Sections 338 with respect to a foreign acquisition in 2007.</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tax provisions in 2010 were the result of certain interest expense deductions and the election under U.S. Internal Revenue Code Section 338 with respect to a foreign acquisition in 2007, as well as the estimated mix of earnings in different tax jurisdictions. The 2010 tax provisions also reflect the receipt of a clean energy manufacturing tax credit awarded as part of the American Recovery and Reinvestment Act and a benefit related to the reduction of tax reserves for certain foreign subsidiaries.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classify interest expense and penalties related to unrecognized tax liabilities and interest income on tax overpayments as components of income tax expense. The net interest and penalties expense (benefit) recognized is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54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92"/>
              </w:rPr>
              <w:t>Three Months Ended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90"/>
              </w:rPr>
              <w:t>Six Months Ended</w:t>
            </w:r>
          </w:p>
        </w:tc>
        <w:tc>
          <w:tcPr>
            <w:tcW w:w="540" w:type="dxa"/>
            <w:vAlign w:val="bottom"/>
          </w:tcPr>
          <w:p>
            <w:pPr>
              <w:spacing w:after="0"/>
              <w:rPr>
                <w:sz w:val="18"/>
                <w:szCs w:val="18"/>
                <w:color w:val="auto"/>
              </w:rPr>
            </w:pPr>
          </w:p>
        </w:tc>
      </w:tr>
      <w:tr>
        <w:trPr>
          <w:trHeight w:val="234"/>
        </w:trPr>
        <w:tc>
          <w:tcPr>
            <w:tcW w:w="5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2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8"/>
              </w:rPr>
              <w:t>June 30,</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540" w:type="dxa"/>
            <w:vAlign w:val="bottom"/>
            <w:gridSpan w:val="2"/>
          </w:tcPr>
          <w:p>
            <w:pPr>
              <w:jc w:val="center"/>
              <w:ind w:right="330"/>
              <w:spacing w:after="0"/>
              <w:rPr>
                <w:sz w:val="20"/>
                <w:szCs w:val="20"/>
                <w:color w:val="auto"/>
              </w:rPr>
            </w:pPr>
            <w:r>
              <w:rPr>
                <w:rFonts w:ascii="Arial" w:cs="Arial" w:eastAsia="Arial" w:hAnsi="Arial"/>
                <w:sz w:val="18"/>
                <w:szCs w:val="18"/>
                <w:b w:val="1"/>
                <w:bCs w:val="1"/>
                <w:color w:val="auto"/>
                <w:w w:val="88"/>
              </w:rPr>
              <w:t>June 30,</w:t>
            </w:r>
          </w:p>
        </w:tc>
        <w:tc>
          <w:tcPr>
            <w:tcW w:w="5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5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2010</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5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5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4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w w:val="90"/>
              </w:rPr>
              <w:t>(in thousands)</w:t>
            </w: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interest and penalties expense (benefit)</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113</w:t>
            </w:r>
          </w:p>
        </w:tc>
        <w:tc>
          <w:tcPr>
            <w:tcW w:w="5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108</w:t>
            </w:r>
          </w:p>
        </w:tc>
        <w:tc>
          <w:tcPr>
            <w:tcW w:w="96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w:t>
            </w:r>
          </w:p>
        </w:tc>
      </w:tr>
      <w:tr>
        <w:trPr>
          <w:trHeight w:val="432"/>
        </w:trPr>
        <w:tc>
          <w:tcPr>
            <w:tcW w:w="5160" w:type="dxa"/>
            <w:vAlign w:val="bottom"/>
          </w:tcPr>
          <w:p>
            <w:pPr>
              <w:spacing w:after="0"/>
              <w:rPr>
                <w:sz w:val="20"/>
                <w:szCs w:val="20"/>
                <w:color w:val="auto"/>
              </w:rPr>
            </w:pPr>
            <w:r>
              <w:rPr>
                <w:rFonts w:ascii="Arial" w:cs="Arial" w:eastAsia="Arial" w:hAnsi="Arial"/>
                <w:sz w:val="18"/>
                <w:szCs w:val="18"/>
                <w:color w:val="auto"/>
              </w:rPr>
              <w:t>Accrued interest and penalties recorded are as follows:</w:t>
            </w: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594"/>
        </w:trPr>
        <w:tc>
          <w:tcPr>
            <w:tcW w:w="5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4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w w:val="88"/>
              </w:rPr>
              <w:t>June 30, 2011</w:t>
            </w:r>
          </w:p>
        </w:tc>
        <w:tc>
          <w:tcPr>
            <w:tcW w:w="208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rPr>
              <w:t>December 31, 2010</w:t>
            </w:r>
          </w:p>
        </w:tc>
      </w:tr>
      <w:tr>
        <w:trPr>
          <w:trHeight w:val="27"/>
        </w:trPr>
        <w:tc>
          <w:tcPr>
            <w:tcW w:w="5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9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4,766</w:t>
            </w:r>
          </w:p>
        </w:tc>
        <w:tc>
          <w:tcPr>
            <w:tcW w:w="5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4,403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Accrued penalties</w:t>
            </w:r>
          </w:p>
        </w:tc>
        <w:tc>
          <w:tcPr>
            <w:tcW w:w="1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3,574</w:t>
            </w: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3,233</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line="96" w:lineRule="exact"/>
        <w:rPr>
          <w:sz w:val="20"/>
          <w:szCs w:val="20"/>
          <w:color w:val="auto"/>
        </w:rPr>
      </w:pPr>
    </w:p>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Unrecognized tax benefits related to uncertain tax positions and the amount of unrecognized tax benefits that, if recognized, would affect our effective tax rate are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tcPr>
          <w:p>
            <w:pPr>
              <w:jc w:val="right"/>
              <w:ind w:right="430"/>
              <w:spacing w:after="0"/>
              <w:rPr>
                <w:sz w:val="20"/>
                <w:szCs w:val="20"/>
                <w:color w:val="auto"/>
              </w:rPr>
            </w:pPr>
            <w:r>
              <w:rPr>
                <w:rFonts w:ascii="Arial" w:cs="Arial" w:eastAsia="Arial" w:hAnsi="Arial"/>
                <w:sz w:val="18"/>
                <w:szCs w:val="18"/>
                <w:b w:val="1"/>
                <w:bCs w:val="1"/>
                <w:color w:val="auto"/>
              </w:rPr>
              <w:t>June 30, 2011</w:t>
            </w:r>
          </w:p>
        </w:tc>
        <w:tc>
          <w:tcPr>
            <w:tcW w:w="30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2010</w:t>
            </w:r>
          </w:p>
        </w:tc>
      </w:tr>
      <w:tr>
        <w:trPr>
          <w:trHeight w:val="27"/>
        </w:trPr>
        <w:tc>
          <w:tcPr>
            <w:tcW w:w="7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gridSpan w:val="3"/>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900" w:type="dxa"/>
            <w:vAlign w:val="bottom"/>
            <w:gridSpan w:val="3"/>
          </w:tcPr>
          <w:p>
            <w:pPr>
              <w:jc w:val="right"/>
              <w:ind w:right="145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related to uncertain tax positions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29,162</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42,175</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w w:val="95"/>
              </w:rPr>
              <w:t>The amount of unrecognized tax benefits that, if recognized, would affect our effective tax rate</w:t>
            </w:r>
          </w:p>
        </w:tc>
        <w:tc>
          <w:tcPr>
            <w:tcW w:w="32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29,089</w:t>
            </w:r>
          </w:p>
        </w:tc>
        <w:tc>
          <w:tcPr>
            <w:tcW w:w="3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30,832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June 30, 2011, we are not able to reasonably estimate the timing of future cash flows relating to our uncertain tax positions.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believe it is reasonably possible that our unrecognized tax benefits may decrease by approximately $4.4 million within the next twelve months due to the expiration of statute of limitations.</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Commitments and Contingencies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Guarantees and Indemnifications</w:t>
      </w:r>
    </w:p>
    <w:p>
      <w:pPr>
        <w:spacing w:after="0" w:line="2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are often required to obtain standby letters of credit (LOC’s) or bonds in support of our obligations for customer contracts. These standby LOC’s or bonds typically provide a guarantee to the customer for future performance, which usually covers the installation phase of a contract and may on occasion cover the operations and maintenance phase of outsourcing contracts.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Our available lines of credit, outstanding standby LOC’s, and bonds are as follows: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40" w:type="dxa"/>
            <w:vAlign w:val="bottom"/>
            <w:gridSpan w:val="2"/>
          </w:tcPr>
          <w:p>
            <w:pPr>
              <w:ind w:left="240"/>
              <w:spacing w:after="0"/>
              <w:rPr>
                <w:sz w:val="20"/>
                <w:szCs w:val="20"/>
                <w:color w:val="auto"/>
              </w:rPr>
            </w:pPr>
            <w:r>
              <w:rPr>
                <w:rFonts w:ascii="Arial" w:cs="Arial" w:eastAsia="Arial" w:hAnsi="Arial"/>
                <w:sz w:val="16"/>
                <w:szCs w:val="16"/>
                <w:b w:val="1"/>
                <w:bCs w:val="1"/>
                <w:color w:val="auto"/>
              </w:rPr>
              <w:t>June 30, 2011</w:t>
            </w:r>
          </w:p>
        </w:tc>
        <w:tc>
          <w:tcPr>
            <w:tcW w:w="240" w:type="dxa"/>
            <w:vAlign w:val="bottom"/>
          </w:tcPr>
          <w:p>
            <w:pPr>
              <w:spacing w:after="0"/>
              <w:rPr>
                <w:sz w:val="18"/>
                <w:szCs w:val="18"/>
                <w:color w:val="auto"/>
              </w:rPr>
            </w:pPr>
          </w:p>
        </w:tc>
        <w:tc>
          <w:tcPr>
            <w:tcW w:w="1800" w:type="dxa"/>
            <w:vAlign w:val="bottom"/>
          </w:tcPr>
          <w:p>
            <w:pPr>
              <w:jc w:val="right"/>
              <w:ind w:right="279"/>
              <w:spacing w:after="0"/>
              <w:rPr>
                <w:sz w:val="20"/>
                <w:szCs w:val="20"/>
                <w:color w:val="auto"/>
              </w:rPr>
            </w:pPr>
            <w:r>
              <w:rPr>
                <w:rFonts w:ascii="Arial" w:cs="Arial" w:eastAsia="Arial" w:hAnsi="Arial"/>
                <w:sz w:val="16"/>
                <w:szCs w:val="16"/>
                <w:b w:val="1"/>
                <w:bCs w:val="1"/>
                <w:color w:val="auto"/>
                <w:w w:val="98"/>
              </w:rPr>
              <w:t>December 31, 2010</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80" w:type="dxa"/>
            <w:vAlign w:val="bottom"/>
            <w:gridSpan w:val="4"/>
          </w:tcPr>
          <w:p>
            <w:pPr>
              <w:jc w:val="right"/>
              <w:ind w:right="151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3"/>
        </w:trPr>
        <w:tc>
          <w:tcPr>
            <w:tcW w:w="7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Credit facility</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72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8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Multicurrency revolving line of credit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315,000</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240,000</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Standby LOC’s issued and outstanding</w:t>
            </w:r>
          </w:p>
        </w:tc>
        <w:tc>
          <w:tcPr>
            <w:tcW w:w="34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(39,970)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(43,540)</w:t>
            </w:r>
          </w:p>
        </w:tc>
        <w:tc>
          <w:tcPr>
            <w:tcW w:w="0" w:type="dxa"/>
            <w:vAlign w:val="bottom"/>
          </w:tcPr>
          <w:p>
            <w:pPr>
              <w:spacing w:after="0"/>
              <w:rPr>
                <w:sz w:val="1"/>
                <w:szCs w:val="1"/>
                <w:color w:val="auto"/>
              </w:rPr>
            </w:pPr>
          </w:p>
        </w:tc>
      </w:tr>
      <w:tr>
        <w:trPr>
          <w:trHeight w:val="217"/>
        </w:trPr>
        <w:tc>
          <w:tcPr>
            <w:tcW w:w="7200" w:type="dxa"/>
            <w:vAlign w:val="bottom"/>
          </w:tcPr>
          <w:p>
            <w:pPr>
              <w:ind w:left="720"/>
              <w:spacing w:after="0"/>
              <w:rPr>
                <w:sz w:val="20"/>
                <w:szCs w:val="20"/>
                <w:color w:val="auto"/>
              </w:rPr>
            </w:pPr>
            <w:r>
              <w:rPr>
                <w:rFonts w:ascii="Arial" w:cs="Arial" w:eastAsia="Arial" w:hAnsi="Arial"/>
                <w:sz w:val="16"/>
                <w:szCs w:val="16"/>
                <w:color w:val="auto"/>
              </w:rPr>
              <w:t>Net available for additional borrowings and LOC’s</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275,030</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196,460</w:t>
            </w:r>
          </w:p>
        </w:tc>
        <w:tc>
          <w:tcPr>
            <w:tcW w:w="0" w:type="dxa"/>
            <w:vAlign w:val="bottom"/>
          </w:tcPr>
          <w:p>
            <w:pPr>
              <w:spacing w:after="0"/>
              <w:rPr>
                <w:sz w:val="1"/>
                <w:szCs w:val="1"/>
                <w:color w:val="auto"/>
              </w:rPr>
            </w:pPr>
          </w:p>
        </w:tc>
      </w:tr>
      <w:tr>
        <w:trPr>
          <w:trHeight w:val="73"/>
        </w:trPr>
        <w:tc>
          <w:tcPr>
            <w:tcW w:w="72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7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7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color w:val="auto"/>
              </w:rPr>
              <w:t>Unsecured multicurrency revolving lines of credit with various financial institutions</w:t>
            </w:r>
          </w:p>
        </w:tc>
        <w:tc>
          <w:tcPr>
            <w:tcW w:w="3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lines of credit</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74,685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49,122</w:t>
            </w:r>
          </w:p>
        </w:tc>
        <w:tc>
          <w:tcPr>
            <w:tcW w:w="0" w:type="dxa"/>
            <w:vAlign w:val="bottom"/>
          </w:tcPr>
          <w:p>
            <w:pPr>
              <w:spacing w:after="0"/>
              <w:rPr>
                <w:sz w:val="1"/>
                <w:szCs w:val="1"/>
                <w:color w:val="auto"/>
              </w:rPr>
            </w:pP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Standby LOC’s issued and outstanding</w:t>
            </w:r>
          </w:p>
        </w:tc>
        <w:tc>
          <w:tcPr>
            <w:tcW w:w="3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(32,329)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(21,784)</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3"/>
        </w:trPr>
        <w:tc>
          <w:tcPr>
            <w:tcW w:w="72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Short-term borrowings</w:t>
            </w:r>
            <w:r>
              <w:rPr>
                <w:rFonts w:ascii="Arial" w:cs="Arial" w:eastAsia="Arial" w:hAnsi="Arial"/>
                <w:sz w:val="21"/>
                <w:szCs w:val="21"/>
                <w:color w:val="auto"/>
                <w:vertAlign w:val="superscript"/>
              </w:rPr>
              <w:t>(2)</w:t>
            </w:r>
          </w:p>
        </w:tc>
        <w:tc>
          <w:tcPr>
            <w:tcW w:w="340" w:type="dxa"/>
            <w:vAlign w:val="bottom"/>
            <w:shd w:val="clear" w:color="auto" w:fill="CCEEFF"/>
          </w:tcPr>
          <w:p>
            <w:pPr>
              <w:spacing w:after="0"/>
              <w:rPr>
                <w:sz w:val="24"/>
                <w:szCs w:val="24"/>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94"/>
        </w:trPr>
        <w:tc>
          <w:tcPr>
            <w:tcW w:w="720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shd w:val="clear" w:color="auto" w:fill="CCEEFF"/>
          </w:tcPr>
          <w:p>
            <w:pPr>
              <w:spacing w:after="0"/>
              <w:rPr>
                <w:sz w:val="8"/>
                <w:szCs w:val="8"/>
                <w:color w:val="auto"/>
              </w:rPr>
            </w:pPr>
          </w:p>
        </w:tc>
        <w:tc>
          <w:tcPr>
            <w:tcW w:w="17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shd w:val="clear" w:color="auto" w:fill="CCEEFF"/>
          </w:tcPr>
          <w:p>
            <w:pPr>
              <w:spacing w:after="0"/>
              <w:rPr>
                <w:sz w:val="8"/>
                <w:szCs w:val="8"/>
                <w:color w:val="auto"/>
              </w:rPr>
            </w:pPr>
          </w:p>
        </w:tc>
        <w:tc>
          <w:tcPr>
            <w:tcW w:w="180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7200" w:type="dxa"/>
            <w:vAlign w:val="bottom"/>
          </w:tcPr>
          <w:p>
            <w:pPr>
              <w:ind w:left="720"/>
              <w:spacing w:after="0"/>
              <w:rPr>
                <w:sz w:val="20"/>
                <w:szCs w:val="20"/>
                <w:color w:val="auto"/>
              </w:rPr>
            </w:pPr>
            <w:r>
              <w:rPr>
                <w:rFonts w:ascii="Arial" w:cs="Arial" w:eastAsia="Arial" w:hAnsi="Arial"/>
                <w:sz w:val="16"/>
                <w:szCs w:val="16"/>
                <w:color w:val="auto"/>
              </w:rPr>
              <w:t>Net available for additional borrowings and LOC’s</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42,092</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27,272</w:t>
            </w:r>
          </w:p>
        </w:tc>
        <w:tc>
          <w:tcPr>
            <w:tcW w:w="0" w:type="dxa"/>
            <w:vAlign w:val="bottom"/>
          </w:tcPr>
          <w:p>
            <w:pPr>
              <w:spacing w:after="0"/>
              <w:rPr>
                <w:sz w:val="1"/>
                <w:szCs w:val="1"/>
                <w:color w:val="auto"/>
              </w:rPr>
            </w:pPr>
          </w:p>
        </w:tc>
      </w:tr>
      <w:tr>
        <w:trPr>
          <w:trHeight w:val="73"/>
        </w:trPr>
        <w:tc>
          <w:tcPr>
            <w:tcW w:w="72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7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7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Unsecured surety bonds in force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133,352</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120,109</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See Note 6 for details regarding our credit facility, which is secured.</w:t>
      </w:r>
    </w:p>
    <w:p>
      <w:pPr>
        <w:spacing w:after="0" w:line="138" w:lineRule="exact"/>
        <w:rPr>
          <w:rFonts w:ascii="Arial" w:cs="Arial" w:eastAsia="Arial" w:hAnsi="Arial"/>
          <w:sz w:val="22"/>
          <w:szCs w:val="22"/>
          <w:color w:val="auto"/>
          <w:vertAlign w:val="superscript"/>
        </w:rPr>
      </w:pPr>
    </w:p>
    <w:p>
      <w:pPr>
        <w:ind w:left="340" w:hanging="332"/>
        <w:spacing w:after="0"/>
        <w:tabs>
          <w:tab w:leader="none" w:pos="34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Short-term borrowings are included in “Other current liabilities” on the Consolidated Balance Sheets.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any such standby LOC or bond is called, we would be obligated to reimburse the issuer of the standby LOC or bond; however, we do not believe that any outstanding LOC or bond will be called.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We also provide an indemnification to our customers for third 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Legal Matters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is recorded and charged to operating expense when we determine that a loss is probable and the amount can be reasonably estimated. Additionally, we disclose contingencies for which a material loss is reasonably possible, but not probable. Liabilities recorded for legal contingencies at June 30, 2011 were not material to our financial condition or results of operations.</w:t>
      </w:r>
    </w:p>
    <w:p>
      <w:pPr>
        <w:spacing w:after="0" w:line="1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October, 2010, Transdata Incorporated (Transdata) filed a complaint in the U.S. District Court for the Eastern District of Texas against CenterPoint Energy, one of our customers, and several other utilities alleging infringement of three patents owned by Transdata related to the use of an antenna in a meter. Pursuant to our contract with CenterPoint, we agreed to indemnify and defend CenterPoint in this lawsuit. The complaint seeks unspecified damages as well as injunctive relief. CenterPoint has denied all of the allegations. We believe these claims are without merit and we intend to vigorously defend our interests. We do not believe this matter will have a material adverse effect on our business or financial condition, although an unfavorable outcome could have a material adverse effect on our results of operations for the period in which such a loss is recognized.</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February 23, 2011, a class action lawsuit was filed in U.S. Federal Court for the Eastern District of Washington alleging a violation of federal securities laws relating to a restatement of our financial results for the quarters ended March 31, June 30, and September 30, 2010. These revisions were made primarily</w:t>
      </w:r>
    </w:p>
    <w:p>
      <w:pPr>
        <w:sectPr>
          <w:pgSz w:w="11900" w:h="16935" w:orient="portrait"/>
          <w:cols w:equalWidth="0" w:num="1">
            <w:col w:w="11420"/>
          </w:cols>
          <w:pgMar w:left="240" w:top="125" w:right="239" w:bottom="0" w:gutter="0" w:footer="0" w:header="0"/>
        </w:sectPr>
      </w:pPr>
    </w:p>
    <w:bookmarkStart w:id="25" w:name="page26"/>
    <w:bookmarkEnd w:id="25"/>
    <w:p>
      <w:pPr>
        <w:jc w:val="both"/>
        <w:spacing w:after="0" w:line="312" w:lineRule="auto"/>
        <w:rPr>
          <w:sz w:val="20"/>
          <w:szCs w:val="20"/>
          <w:color w:val="auto"/>
        </w:rPr>
      </w:pPr>
      <w:r>
        <w:rPr>
          <w:rFonts w:ascii="Arial" w:cs="Arial" w:eastAsia="Arial" w:hAnsi="Arial"/>
          <w:sz w:val="16"/>
          <w:szCs w:val="16"/>
          <w:color w:val="auto"/>
        </w:rPr>
        <w:t>to defer revenue that had been incorrectly recognized on one contract due to a misinterpretation of an extended warranty obligation. The effect was to reduce revenue and earnings in each of the first three quarters of the year. For the first nine months of 2010, total revenue was reduced by $6.1 million and diluted EPS was reduced by $0.11. We believe the facts and legal claims alleged are without merit and we intend to vigorously defend our interests.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2011, a lawsuit was filed in the Superior Court of the State of Washington, in and for Spokane County against certain officers and directors seeking unspecified damages on behalf of Itron, Inc. The complaint alleges that the defendants breached their fiduciary obligations to Itron with respect to the restatement of Itron's financial results for the quarters ended March 31, June 30, and September 30, 2010. This lawsuit is a shareholder derivative action that purports to assert claims on behalf of Itron, Inc.</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2011, a lawsuit was filed in the United States District Court for the Eastern District of Texas alleging infringement of three patents owned by EON Corp. IP Holdings, LLC (EON), related to two-way communication networks, network components, and related software platforms. The complaint seeks unspecified damages as well as injunctive relief. Although the complaint was filed, it has not been served and Itron has received a letter from EON requesting settlement discussions. We believe these claims are without merit and we intend to vigorously defend our interests. We do not believe this matter will have a material adverse effect on our business or financial condition, although an unfavorable outcome could have a material adverse effect on our results of operations for the period in which the claim is resolved.</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warranty accrual account activity is as follows: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7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74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w w:val="98"/>
              </w:rPr>
              <w:t>Six Months Ended June 30,</w:t>
            </w:r>
          </w:p>
        </w:tc>
      </w:tr>
      <w:tr>
        <w:trPr>
          <w:trHeight w:val="33"/>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2010</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559"/>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2010</w:t>
            </w:r>
          </w:p>
        </w:tc>
      </w:tr>
      <w:tr>
        <w:trPr>
          <w:trHeight w:val="33"/>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w w:val="97"/>
              </w:rPr>
              <w:t>(in thousands)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59,163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33,353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51,283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33,873</w:t>
            </w: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New product warranties</w:t>
            </w:r>
          </w:p>
        </w:tc>
        <w:tc>
          <w:tcPr>
            <w:tcW w:w="10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2,196</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3,221</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4,079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6,017</w:t>
            </w: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changes/adjustments to warranties</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5,631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14,366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14,643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15,596</w:t>
            </w: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Reclassification from other current liabilities</w:t>
            </w:r>
          </w:p>
        </w:tc>
        <w:tc>
          <w:tcPr>
            <w:tcW w:w="10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2,687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2,878</w:t>
            </w: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Claims activity</w:t>
            </w: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(4,768)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(3,317)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(7,063)</w:t>
            </w: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10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rPr>
              <w:t>616</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(786)</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2,048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(1,777)</w:t>
            </w:r>
          </w:p>
        </w:tc>
      </w:tr>
      <w:tr>
        <w:trPr>
          <w:trHeight w:val="33"/>
        </w:trPr>
        <w:tc>
          <w:tcPr>
            <w:tcW w:w="4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 June 30</w:t>
            </w:r>
          </w:p>
        </w:tc>
        <w:tc>
          <w:tcPr>
            <w:tcW w:w="10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62,838</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49,524</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62,838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49,524</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Less: current portion of warranty</w:t>
            </w:r>
          </w:p>
        </w:tc>
        <w:tc>
          <w:tcPr>
            <w:tcW w:w="10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98"/>
              </w:rPr>
              <w:t>29,999</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w w:val="93"/>
              </w:rPr>
              <w:t>26,250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29,999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26,250</w:t>
            </w:r>
          </w:p>
        </w:tc>
      </w:tr>
      <w:tr>
        <w:trPr>
          <w:trHeight w:val="33"/>
        </w:trPr>
        <w:tc>
          <w:tcPr>
            <w:tcW w:w="47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5"/>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warranty</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32,839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23,274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32,839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23,274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Total warranty expense is classified within cost of revenues and consists of new product warranties issued and other changes and adjustments to warranties.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26" w:name="page27"/>
    <w:bookmarkEnd w:id="26"/>
    <w:p>
      <w:pPr>
        <w:spacing w:after="0" w:line="18" w:lineRule="exact"/>
        <w:rPr>
          <w:sz w:val="20"/>
          <w:szCs w:val="20"/>
          <w:color w:val="auto"/>
        </w:rPr>
      </w:pPr>
    </w:p>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Warranty expense associated with our segments for the three and six months ended June 30 is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7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74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w w:val="98"/>
              </w:rPr>
              <w:t>Six Months Ended June 30,</w:t>
            </w:r>
          </w:p>
        </w:tc>
      </w:tr>
      <w:tr>
        <w:trPr>
          <w:trHeight w:val="33"/>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2010</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559"/>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2010</w:t>
            </w:r>
          </w:p>
        </w:tc>
      </w:tr>
      <w:tr>
        <w:trPr>
          <w:trHeight w:val="33"/>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w w:val="97"/>
              </w:rPr>
              <w:t>(in thousands)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Itron North America</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3,625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6,068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8,739</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Itron International</w:t>
            </w:r>
          </w:p>
        </w:tc>
        <w:tc>
          <w:tcPr>
            <w:tcW w:w="104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4,202</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w w:val="93"/>
              </w:rPr>
              <w:t>11,519</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3,650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12,874</w:t>
            </w:r>
          </w:p>
        </w:tc>
      </w:tr>
      <w:tr>
        <w:trPr>
          <w:trHeight w:val="33"/>
        </w:trPr>
        <w:tc>
          <w:tcPr>
            <w:tcW w:w="47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5"/>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warranty expense</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7,827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17,587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21,613</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Warranty expense for the six months ended June 30, 2011 for Itron International reflects an $8.6 million recovery from a third party, associated with the settlement of product claims in Sweden in 2010, and a warranty charge of $7.7 million related to certain products in Brazil. Warranty expense for the six months ended June 30, 2010 for Itron International included $9.6 million related to the resolution of claims in Sweden.</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Extended 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changes to unearned revenue for extended warranty contracts is as follows: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6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7"/>
                <w:szCs w:val="17"/>
                <w:color w:val="auto"/>
              </w:rPr>
            </w:pPr>
          </w:p>
        </w:tc>
        <w:tc>
          <w:tcPr>
            <w:tcW w:w="216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6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379"/>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379"/>
              <w:spacing w:after="0"/>
              <w:rPr>
                <w:sz w:val="20"/>
                <w:szCs w:val="20"/>
                <w:color w:val="auto"/>
              </w:rPr>
            </w:pPr>
            <w:r>
              <w:rPr>
                <w:rFonts w:ascii="Arial" w:cs="Arial" w:eastAsia="Arial" w:hAnsi="Arial"/>
                <w:sz w:val="16"/>
                <w:szCs w:val="16"/>
                <w:b w:val="1"/>
                <w:bCs w:val="1"/>
                <w:color w:val="auto"/>
                <w:w w:val="89"/>
              </w:rPr>
              <w:t>2011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2010</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7,459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14,637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5,870</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Unearned revenue for new extended warranties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2,215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2,587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5,148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4,546</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Unearned revenue recognized</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(751)</w:t>
            </w:r>
          </w:p>
        </w:tc>
        <w:tc>
          <w:tcPr>
            <w:tcW w:w="0" w:type="dxa"/>
            <w:vAlign w:val="bottom"/>
          </w:tcPr>
          <w:p>
            <w:pPr>
              <w:spacing w:after="0"/>
              <w:rPr>
                <w:sz w:val="1"/>
                <w:szCs w:val="1"/>
                <w:color w:val="auto"/>
              </w:rPr>
            </w:pP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Ending balance, June 30</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19,109</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9,665</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19,109</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9,665</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current portion of unearned revenue for extended warranty</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1,160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1,319</w:t>
            </w:r>
          </w:p>
        </w:tc>
        <w:tc>
          <w:tcPr>
            <w:tcW w:w="0" w:type="dxa"/>
            <w:vAlign w:val="bottom"/>
          </w:tcPr>
          <w:p>
            <w:pPr>
              <w:spacing w:after="0"/>
              <w:rPr>
                <w:sz w:val="1"/>
                <w:szCs w:val="1"/>
                <w:color w:val="auto"/>
              </w:rPr>
            </w:pPr>
          </w:p>
        </w:tc>
      </w:tr>
      <w:tr>
        <w:trPr>
          <w:trHeight w:val="200"/>
        </w:trPr>
        <w:tc>
          <w:tcPr>
            <w:tcW w:w="6060" w:type="dxa"/>
            <w:vAlign w:val="bottom"/>
          </w:tcPr>
          <w:p>
            <w:pPr>
              <w:ind w:left="380"/>
              <w:spacing w:after="0"/>
              <w:rPr>
                <w:sz w:val="20"/>
                <w:szCs w:val="20"/>
                <w:color w:val="auto"/>
              </w:rPr>
            </w:pPr>
            <w:r>
              <w:rPr>
                <w:rFonts w:ascii="Arial" w:cs="Arial" w:eastAsia="Arial" w:hAnsi="Arial"/>
                <w:sz w:val="16"/>
                <w:szCs w:val="16"/>
                <w:color w:val="auto"/>
              </w:rPr>
              <w:t>Long-term unearned revenue for extended warranty within Other long-term</w:t>
            </w:r>
          </w:p>
        </w:tc>
        <w:tc>
          <w:tcPr>
            <w:tcW w:w="30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17,949</w:t>
            </w:r>
          </w:p>
        </w:tc>
        <w:tc>
          <w:tcPr>
            <w:tcW w:w="12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8,346</w:t>
            </w:r>
          </w:p>
        </w:tc>
        <w:tc>
          <w:tcPr>
            <w:tcW w:w="100" w:type="dxa"/>
            <w:vAlign w:val="bottom"/>
          </w:tcPr>
          <w:p>
            <w:pPr>
              <w:spacing w:after="0"/>
              <w:rPr>
                <w:sz w:val="17"/>
                <w:szCs w:val="17"/>
                <w:color w:val="auto"/>
              </w:rPr>
            </w:pPr>
          </w:p>
        </w:tc>
        <w:tc>
          <w:tcPr>
            <w:tcW w:w="440" w:type="dxa"/>
            <w:vAlign w:val="bottom"/>
            <w:tcBorders>
              <w:top w:val="single" w:sz="8" w:color="auto"/>
            </w:tcBorders>
            <w:vMerge w:val="restart"/>
          </w:tcPr>
          <w:p>
            <w:pPr>
              <w:jc w:val="right"/>
              <w:ind w:right="23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17,949</w:t>
            </w:r>
          </w:p>
        </w:tc>
        <w:tc>
          <w:tcPr>
            <w:tcW w:w="120" w:type="dxa"/>
            <w:vAlign w:val="bottom"/>
          </w:tcPr>
          <w:p>
            <w:pPr>
              <w:spacing w:after="0"/>
              <w:rPr>
                <w:sz w:val="17"/>
                <w:szCs w:val="17"/>
                <w:color w:val="auto"/>
              </w:rPr>
            </w:pPr>
          </w:p>
        </w:tc>
        <w:tc>
          <w:tcPr>
            <w:tcW w:w="360" w:type="dxa"/>
            <w:vAlign w:val="bottom"/>
            <w:tcBorders>
              <w:top w:val="single" w:sz="8" w:color="auto"/>
            </w:tcBorders>
            <w:vMerge w:val="restart"/>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8,346</w:t>
            </w:r>
          </w:p>
        </w:tc>
        <w:tc>
          <w:tcPr>
            <w:tcW w:w="0" w:type="dxa"/>
            <w:vAlign w:val="bottom"/>
          </w:tcPr>
          <w:p>
            <w:pPr>
              <w:spacing w:after="0"/>
              <w:rPr>
                <w:sz w:val="1"/>
                <w:szCs w:val="1"/>
                <w:color w:val="auto"/>
              </w:rPr>
            </w:pPr>
          </w:p>
        </w:tc>
      </w:tr>
      <w:tr>
        <w:trPr>
          <w:trHeight w:val="224"/>
        </w:trPr>
        <w:tc>
          <w:tcPr>
            <w:tcW w:w="6060" w:type="dxa"/>
            <w:vAlign w:val="bottom"/>
          </w:tcPr>
          <w:p>
            <w:pPr>
              <w:ind w:left="540"/>
              <w:spacing w:after="0"/>
              <w:rPr>
                <w:sz w:val="20"/>
                <w:szCs w:val="20"/>
                <w:color w:val="auto"/>
              </w:rPr>
            </w:pPr>
            <w:r>
              <w:rPr>
                <w:rFonts w:ascii="Arial" w:cs="Arial" w:eastAsia="Arial" w:hAnsi="Arial"/>
                <w:sz w:val="16"/>
                <w:szCs w:val="16"/>
                <w:color w:val="auto"/>
              </w:rPr>
              <w:t>obligations</w:t>
            </w:r>
          </w:p>
        </w:tc>
        <w:tc>
          <w:tcPr>
            <w:tcW w:w="300" w:type="dxa"/>
            <w:vAlign w:val="bottom"/>
            <w:tcBorders>
              <w:bottom w:val="single" w:sz="8" w:color="auto"/>
            </w:tcBorders>
            <w:vMerge w:val="continue"/>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Health Benefits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are self insured for a substantial portion of the cost of our U.S. employee group health insurance. We purchase insurance from a third party, which provides individual and aggregate stop loss protection for these costs. Each reporting period, we expense the costs of our health insurance plan including paid claims, the change in the estimate of incurred but not reported (IBNR) claims, taxes, and administrative fees (collectively, the plan costs).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Plan costs are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800" w:type="dxa"/>
            <w:vAlign w:val="bottom"/>
            <w:gridSpan w:val="3"/>
          </w:tcPr>
          <w:p>
            <w:pPr>
              <w:ind w:left="640"/>
              <w:spacing w:after="0"/>
              <w:rPr>
                <w:sz w:val="20"/>
                <w:szCs w:val="20"/>
                <w:color w:val="auto"/>
              </w:rPr>
            </w:pPr>
            <w:r>
              <w:rPr>
                <w:rFonts w:ascii="Arial" w:cs="Arial" w:eastAsia="Arial" w:hAnsi="Arial"/>
                <w:sz w:val="16"/>
                <w:szCs w:val="16"/>
                <w:b w:val="1"/>
                <w:bCs w:val="1"/>
                <w:color w:val="auto"/>
                <w:w w:val="94"/>
              </w:rPr>
              <w:t>Three Months Ended June 30,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740" w:type="dxa"/>
            <w:vAlign w:val="bottom"/>
            <w:gridSpan w:val="3"/>
          </w:tcPr>
          <w:p>
            <w:pPr>
              <w:jc w:val="right"/>
              <w:ind w:right="599"/>
              <w:spacing w:after="0"/>
              <w:rPr>
                <w:sz w:val="20"/>
                <w:szCs w:val="20"/>
                <w:color w:val="auto"/>
              </w:rPr>
            </w:pPr>
            <w:r>
              <w:rPr>
                <w:rFonts w:ascii="Arial" w:cs="Arial" w:eastAsia="Arial" w:hAnsi="Arial"/>
                <w:sz w:val="16"/>
                <w:szCs w:val="16"/>
                <w:b w:val="1"/>
                <w:bCs w:val="1"/>
                <w:color w:val="auto"/>
                <w:w w:val="98"/>
              </w:rPr>
              <w:t>Six Months Ended June 30,</w:t>
            </w:r>
          </w:p>
        </w:tc>
      </w:tr>
      <w:tr>
        <w:trPr>
          <w:trHeight w:val="33"/>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1040" w:type="dxa"/>
            <w:vAlign w:val="bottom"/>
          </w:tcPr>
          <w:p>
            <w:pPr>
              <w:ind w:left="640"/>
              <w:spacing w:after="0"/>
              <w:rPr>
                <w:sz w:val="20"/>
                <w:szCs w:val="20"/>
                <w:color w:val="auto"/>
              </w:rPr>
            </w:pPr>
            <w:r>
              <w:rPr>
                <w:rFonts w:ascii="Arial" w:cs="Arial" w:eastAsia="Arial" w:hAnsi="Arial"/>
                <w:sz w:val="16"/>
                <w:szCs w:val="16"/>
                <w:b w:val="1"/>
                <w:bCs w:val="1"/>
                <w:color w:val="auto"/>
              </w:rPr>
              <w:t>2011</w:t>
            </w:r>
          </w:p>
        </w:tc>
        <w:tc>
          <w:tcPr>
            <w:tcW w:w="58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rPr>
              <w:t>2010</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559"/>
              <w:spacing w:after="0"/>
              <w:rPr>
                <w:sz w:val="20"/>
                <w:szCs w:val="20"/>
                <w:color w:val="auto"/>
              </w:rPr>
            </w:pPr>
            <w:r>
              <w:rPr>
                <w:rFonts w:ascii="Arial" w:cs="Arial" w:eastAsia="Arial" w:hAnsi="Arial"/>
                <w:sz w:val="16"/>
                <w:szCs w:val="16"/>
                <w:b w:val="1"/>
                <w:bCs w:val="1"/>
                <w:color w:val="auto"/>
              </w:rPr>
              <w:t>2011</w:t>
            </w:r>
          </w:p>
        </w:tc>
        <w:tc>
          <w:tcPr>
            <w:tcW w:w="4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2010</w:t>
            </w:r>
          </w:p>
        </w:tc>
      </w:tr>
      <w:tr>
        <w:trPr>
          <w:trHeight w:val="33"/>
        </w:trPr>
        <w:tc>
          <w:tcPr>
            <w:tcW w:w="47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gridSpan w:val="3"/>
          </w:tcPr>
          <w:p>
            <w:pPr>
              <w:ind w:left="80"/>
              <w:spacing w:after="0"/>
              <w:rPr>
                <w:sz w:val="20"/>
                <w:szCs w:val="20"/>
                <w:color w:val="auto"/>
              </w:rPr>
            </w:pPr>
            <w:r>
              <w:rPr>
                <w:rFonts w:ascii="Arial" w:cs="Arial" w:eastAsia="Arial" w:hAnsi="Arial"/>
                <w:sz w:val="16"/>
                <w:szCs w:val="16"/>
                <w:b w:val="1"/>
                <w:bCs w:val="1"/>
                <w:color w:val="auto"/>
                <w:w w:val="97"/>
              </w:rPr>
              <w:t>(in thousands)</w:t>
            </w: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Plan costs</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5,927</w:t>
            </w:r>
          </w:p>
        </w:tc>
        <w:tc>
          <w:tcPr>
            <w:tcW w:w="118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ind w:left="80"/>
              <w:spacing w:after="0"/>
              <w:rPr>
                <w:sz w:val="20"/>
                <w:szCs w:val="20"/>
                <w:color w:val="auto"/>
              </w:rPr>
            </w:pPr>
            <w:r>
              <w:rPr>
                <w:rFonts w:ascii="Arial" w:cs="Arial" w:eastAsia="Arial" w:hAnsi="Arial"/>
                <w:sz w:val="16"/>
                <w:szCs w:val="16"/>
                <w:color w:val="auto"/>
              </w:rPr>
              <w:t>4,316</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12,671</w:t>
            </w:r>
          </w:p>
        </w:tc>
        <w:tc>
          <w:tcPr>
            <w:tcW w:w="4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9,402</w:t>
            </w:r>
          </w:p>
        </w:tc>
      </w:tr>
      <w:tr>
        <w:trPr>
          <w:trHeight w:val="33"/>
        </w:trPr>
        <w:tc>
          <w:tcPr>
            <w:tcW w:w="47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IBNR accrual, which is included in wages and benefits payable, are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720" w:type="dxa"/>
            <w:vAlign w:val="bottom"/>
          </w:tcPr>
          <w:p>
            <w:pPr>
              <w:jc w:val="right"/>
              <w:ind w:right="19"/>
              <w:spacing w:after="0"/>
              <w:rPr>
                <w:sz w:val="20"/>
                <w:szCs w:val="20"/>
                <w:color w:val="auto"/>
              </w:rPr>
            </w:pPr>
            <w:r>
              <w:rPr>
                <w:rFonts w:ascii="Arial" w:cs="Arial" w:eastAsia="Arial" w:hAnsi="Arial"/>
                <w:sz w:val="16"/>
                <w:szCs w:val="16"/>
                <w:b w:val="1"/>
                <w:bCs w:val="1"/>
                <w:color w:val="auto"/>
              </w:rPr>
              <w:t>June 30, 2011</w:t>
            </w: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0" w:type="dxa"/>
            <w:vAlign w:val="bottom"/>
          </w:tcPr>
          <w:p>
            <w:pPr>
              <w:jc w:val="right"/>
              <w:ind w:right="399"/>
              <w:spacing w:after="0"/>
              <w:rPr>
                <w:sz w:val="20"/>
                <w:szCs w:val="20"/>
                <w:color w:val="auto"/>
              </w:rPr>
            </w:pPr>
            <w:r>
              <w:rPr>
                <w:rFonts w:ascii="Arial" w:cs="Arial" w:eastAsia="Arial" w:hAnsi="Arial"/>
                <w:sz w:val="16"/>
                <w:szCs w:val="16"/>
                <w:b w:val="1"/>
                <w:bCs w:val="1"/>
                <w:color w:val="auto"/>
                <w:w w:val="90"/>
              </w:rPr>
              <w:t>December 31, 2010</w:t>
            </w:r>
          </w:p>
        </w:tc>
      </w:tr>
      <w:tr>
        <w:trPr>
          <w:trHeight w:val="33"/>
        </w:trPr>
        <w:tc>
          <w:tcPr>
            <w:tcW w:w="674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180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IBNR accrual</w:t>
            </w:r>
          </w:p>
        </w:tc>
        <w:tc>
          <w:tcPr>
            <w:tcW w:w="1720" w:type="dxa"/>
            <w:vAlign w:val="bottom"/>
            <w:shd w:val="clear" w:color="auto" w:fill="CCEEFF"/>
          </w:tcPr>
          <w:p>
            <w:pPr>
              <w:jc w:val="right"/>
              <w:ind w:right="151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2,386</w:t>
            </w:r>
          </w:p>
        </w:tc>
        <w:tc>
          <w:tcPr>
            <w:tcW w:w="5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2,056</w:t>
            </w:r>
          </w:p>
        </w:tc>
      </w:tr>
      <w:tr>
        <w:trPr>
          <w:trHeight w:val="33"/>
        </w:trPr>
        <w:tc>
          <w:tcPr>
            <w:tcW w:w="674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IBNR accrual and expenses may fluctuate due to the number of plan participants, claims activity, and deductible limits. For our employees located outside of the United States, health benefits are provided primarily through governmental social plans, which are funded through employee and employer tax withholdings.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result of our global segment reorganization that was announced in March 2011, we are performing a comprehensive review of our cost structure. We are also completing a feasibility study of our manufacturing footprint to determine how to consolidate our manufacturing operations to reduce costs and improve efficiency. Once these plans are formalized and approved by management, which we expect to be complete in October 2011, we will provide estimated charges by category. Restructuring costs of $1.9 million were recorded in the second quarter of 2011 primarily associated with severance for positions that were eliminated in the second quarter.</w:t>
      </w:r>
    </w:p>
    <w:p>
      <w:pPr>
        <w:spacing w:after="0" w:line="24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Other Comprehensive Income (Loss)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OCI is reflected as a net increase (decrease) to shareholders’ equity and is not reflected in our results of operations. Total comprehensive income (loss) during the reporting periods, net of tax, was as follows:</w:t>
      </w:r>
    </w:p>
    <w:p>
      <w:pPr>
        <w:spacing w:after="0" w:line="333" w:lineRule="exact"/>
        <w:rPr>
          <w:sz w:val="20"/>
          <w:szCs w:val="20"/>
          <w:color w:val="auto"/>
        </w:rPr>
      </w:pPr>
    </w:p>
    <w:tbl>
      <w:tblPr>
        <w:tblLayout w:type="fixed"/>
        <w:tblInd w:w="5680" w:type="dxa"/>
        <w:tblCellMar>
          <w:top w:w="0" w:type="dxa"/>
          <w:left w:w="0" w:type="dxa"/>
          <w:bottom w:w="0" w:type="dxa"/>
          <w:right w:w="0" w:type="dxa"/>
        </w:tblCellMar>
      </w:tblPr>
      <w:tr>
        <w:trPr>
          <w:trHeight w:val="203"/>
        </w:trPr>
        <w:tc>
          <w:tcPr>
            <w:tcW w:w="18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3"/>
              </w:rPr>
              <w:t>Three Months Ended</w:t>
            </w:r>
          </w:p>
        </w:tc>
        <w:tc>
          <w:tcPr>
            <w:tcW w:w="1740" w:type="dxa"/>
            <w:vAlign w:val="bottom"/>
            <w:gridSpan w:val="2"/>
          </w:tcPr>
          <w:p>
            <w:pPr>
              <w:ind w:left="240"/>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60" w:type="dxa"/>
            <w:vAlign w:val="bottom"/>
          </w:tcPr>
          <w:p>
            <w:pPr>
              <w:spacing w:after="0"/>
              <w:rPr>
                <w:sz w:val="18"/>
                <w:szCs w:val="18"/>
                <w:color w:val="auto"/>
              </w:rPr>
            </w:pPr>
          </w:p>
        </w:tc>
        <w:tc>
          <w:tcPr>
            <w:tcW w:w="124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w w:val="90"/>
              </w:rPr>
              <w:t>June 30,</w:t>
            </w:r>
          </w:p>
        </w:tc>
        <w:tc>
          <w:tcPr>
            <w:tcW w:w="580" w:type="dxa"/>
            <w:vAlign w:val="bottom"/>
          </w:tcPr>
          <w:p>
            <w:pPr>
              <w:spacing w:after="0"/>
              <w:rPr>
                <w:sz w:val="18"/>
                <w:szCs w:val="18"/>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w w:val="90"/>
              </w:rPr>
              <w:t>June 30,</w:t>
            </w:r>
          </w:p>
        </w:tc>
      </w:tr>
      <w:tr>
        <w:trPr>
          <w:trHeight w:val="33"/>
        </w:trPr>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1140" w:type="dxa"/>
            <w:vAlign w:val="bottom"/>
          </w:tcPr>
          <w:p>
            <w:pPr>
              <w:jc w:val="right"/>
              <w:ind w:right="159"/>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20"/>
                <w:szCs w:val="20"/>
                <w:color w:val="auto"/>
              </w:rPr>
            </w:pPr>
          </w:p>
        </w:tc>
        <w:tc>
          <w:tcPr>
            <w:tcW w:w="580" w:type="dxa"/>
            <w:vAlign w:val="bottom"/>
          </w:tcPr>
          <w:p>
            <w:pPr>
              <w:ind w:left="260"/>
              <w:spacing w:after="0"/>
              <w:rPr>
                <w:sz w:val="20"/>
                <w:szCs w:val="20"/>
                <w:color w:val="auto"/>
              </w:rPr>
            </w:pPr>
            <w:r>
              <w:rPr>
                <w:rFonts w:ascii="Arial" w:cs="Arial" w:eastAsia="Arial" w:hAnsi="Arial"/>
                <w:sz w:val="16"/>
                <w:szCs w:val="16"/>
                <w:b w:val="1"/>
                <w:bCs w:val="1"/>
                <w:color w:val="auto"/>
                <w:w w:val="84"/>
              </w:rPr>
              <w:t>2011</w:t>
            </w:r>
          </w:p>
        </w:tc>
        <w:tc>
          <w:tcPr>
            <w:tcW w:w="1160" w:type="dxa"/>
            <w:vAlign w:val="bottom"/>
          </w:tcPr>
          <w:p>
            <w:pPr>
              <w:jc w:val="right"/>
              <w:ind w:right="179"/>
              <w:spacing w:after="0"/>
              <w:rPr>
                <w:sz w:val="20"/>
                <w:szCs w:val="20"/>
                <w:color w:val="auto"/>
              </w:rPr>
            </w:pPr>
            <w:r>
              <w:rPr>
                <w:rFonts w:ascii="Arial" w:cs="Arial" w:eastAsia="Arial" w:hAnsi="Arial"/>
                <w:sz w:val="16"/>
                <w:szCs w:val="16"/>
                <w:b w:val="1"/>
                <w:bCs w:val="1"/>
                <w:color w:val="auto"/>
              </w:rPr>
              <w:t>2010</w:t>
            </w:r>
          </w:p>
        </w:tc>
      </w:tr>
      <w:tr>
        <w:trPr>
          <w:trHeight w:val="33"/>
        </w:trPr>
        <w:tc>
          <w:tcPr>
            <w:tcW w:w="5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ectPr>
          <w:pgSz w:w="11900" w:h="16857" w:orient="portrait"/>
          <w:cols w:equalWidth="0" w:num="1">
            <w:col w:w="11420"/>
          </w:cols>
          <w:pgMar w:left="240" w:top="125" w:right="239" w:bottom="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5"/>
          </w:tcPr>
          <w:p>
            <w:pPr>
              <w:ind w:left="26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33"/>
        </w:trPr>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25,311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61,556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50,561</w:t>
            </w:r>
          </w:p>
        </w:tc>
      </w:tr>
      <w:tr>
        <w:trPr>
          <w:trHeight w:val="237"/>
        </w:trPr>
        <w:tc>
          <w:tcPr>
            <w:tcW w:w="5680" w:type="dxa"/>
            <w:vAlign w:val="bottom"/>
          </w:tcPr>
          <w:p>
            <w:pPr>
              <w:ind w:left="40"/>
              <w:spacing w:after="0"/>
              <w:rPr>
                <w:sz w:val="20"/>
                <w:szCs w:val="20"/>
                <w:color w:val="auto"/>
              </w:rPr>
            </w:pPr>
            <w:r>
              <w:rPr>
                <w:rFonts w:ascii="Arial" w:cs="Arial" w:eastAsia="Arial" w:hAnsi="Arial"/>
                <w:sz w:val="16"/>
                <w:szCs w:val="16"/>
                <w:color w:val="auto"/>
              </w:rPr>
              <w:t>Foreign currency translation adjustment, net</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23,097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3"/>
              </w:rPr>
              <w:t>(115,021)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w w:val="93"/>
              </w:rPr>
              <w:t>123,544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6"/>
              </w:rPr>
              <w:t>(212,499)</w:t>
            </w:r>
          </w:p>
        </w:tc>
      </w:tr>
      <w:tr>
        <w:trPr>
          <w:trHeight w:val="33"/>
        </w:trPr>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20"/>
        </w:trPr>
        <w:tc>
          <w:tcPr>
            <w:tcW w:w="568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Net unrealized gain (loss) on derivative instruments, designated as cash flow hedges,</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9"/>
        </w:trPr>
        <w:tc>
          <w:tcPr>
            <w:tcW w:w="5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w:t>
            </w:r>
          </w:p>
        </w:tc>
        <w:tc>
          <w:tcPr>
            <w:tcW w:w="1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(2,542)</w:t>
            </w:r>
          </w:p>
        </w:tc>
      </w:tr>
      <w:tr>
        <w:trPr>
          <w:trHeight w:val="237"/>
        </w:trPr>
        <w:tc>
          <w:tcPr>
            <w:tcW w:w="5680" w:type="dxa"/>
            <w:vAlign w:val="bottom"/>
          </w:tcPr>
          <w:p>
            <w:pPr>
              <w:ind w:left="40"/>
              <w:spacing w:after="0"/>
              <w:rPr>
                <w:sz w:val="20"/>
                <w:szCs w:val="20"/>
                <w:color w:val="auto"/>
              </w:rPr>
            </w:pPr>
            <w:r>
              <w:rPr>
                <w:rFonts w:ascii="Arial" w:cs="Arial" w:eastAsia="Arial" w:hAnsi="Arial"/>
                <w:sz w:val="16"/>
                <w:szCs w:val="16"/>
                <w:color w:val="auto"/>
                <w:w w:val="94"/>
              </w:rPr>
              <w:t>Net unrealized gain (loss) on a nonderivative net investment hedging instrument, net</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12,908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(9,262)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24,352</w:t>
            </w:r>
          </w:p>
        </w:tc>
      </w:tr>
      <w:tr>
        <w:trPr>
          <w:trHeight w:val="33"/>
        </w:trPr>
        <w:tc>
          <w:tcPr>
            <w:tcW w:w="5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hedging (gain) loss reclassified into net income (loss), net</w:t>
            </w: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4,197</w:t>
            </w:r>
          </w:p>
        </w:tc>
      </w:tr>
      <w:tr>
        <w:trPr>
          <w:trHeight w:val="237"/>
        </w:trPr>
        <w:tc>
          <w:tcPr>
            <w:tcW w:w="5680" w:type="dxa"/>
            <w:vAlign w:val="bottom"/>
          </w:tcPr>
          <w:p>
            <w:pPr>
              <w:ind w:left="40"/>
              <w:spacing w:after="0"/>
              <w:rPr>
                <w:sz w:val="20"/>
                <w:szCs w:val="20"/>
                <w:color w:val="auto"/>
              </w:rPr>
            </w:pPr>
            <w:r>
              <w:rPr>
                <w:rFonts w:ascii="Arial" w:cs="Arial" w:eastAsia="Arial" w:hAnsi="Arial"/>
                <w:sz w:val="16"/>
                <w:szCs w:val="16"/>
                <w:color w:val="auto"/>
              </w:rPr>
              <w:t>Pension plan benefits liability adjustment, net</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(685)</w:t>
            </w:r>
          </w:p>
        </w:tc>
      </w:tr>
      <w:tr>
        <w:trPr>
          <w:trHeight w:val="33"/>
        </w:trPr>
        <w:tc>
          <w:tcPr>
            <w:tcW w:w="5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5"/>
        </w:trPr>
        <w:tc>
          <w:tcPr>
            <w:tcW w:w="5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comprehensive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57,213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(75,441)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177,920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(136,616)</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Income tax (provision) benefit related to OCI during the reporting periods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878205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Foreign currency translation adjustment</w:t>
      </w:r>
    </w:p>
    <w:p>
      <w:pPr>
        <w:spacing w:after="0" w:line="100" w:lineRule="exact"/>
        <w:rPr>
          <w:sz w:val="20"/>
          <w:szCs w:val="20"/>
          <w:color w:val="auto"/>
        </w:rPr>
      </w:pPr>
    </w:p>
    <w:p>
      <w:pPr>
        <w:ind w:left="40" w:right="1260"/>
        <w:spacing w:after="0" w:line="392" w:lineRule="auto"/>
        <w:rPr>
          <w:sz w:val="20"/>
          <w:szCs w:val="20"/>
          <w:color w:val="auto"/>
        </w:rPr>
      </w:pPr>
      <w:r>
        <w:rPr>
          <w:rFonts w:ascii="Arial" w:cs="Arial" w:eastAsia="Arial" w:hAnsi="Arial"/>
          <w:sz w:val="14"/>
          <w:szCs w:val="14"/>
          <w:color w:val="auto"/>
        </w:rPr>
        <w:t>Net unrealized gain (loss) on derivative instruments designated as cash flow hedges Net unrealized gain (loss) on a nonderivative net investment hedging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Net hedging (gain) loss reclassified into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Pension plan benefits liability adjustment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income tax (provision) benefit on other comprehensive income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80" w:type="dxa"/>
            <w:vAlign w:val="bottom"/>
          </w:tcPr>
          <w:p>
            <w:pPr>
              <w:spacing w:after="0"/>
              <w:rPr>
                <w:sz w:val="17"/>
                <w:szCs w:val="17"/>
                <w:color w:val="auto"/>
              </w:rPr>
            </w:pPr>
          </w:p>
        </w:tc>
        <w:tc>
          <w:tcPr>
            <w:tcW w:w="190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7"/>
                <w:szCs w:val="17"/>
                <w:color w:val="auto"/>
              </w:rPr>
            </w:pPr>
          </w:p>
        </w:tc>
        <w:tc>
          <w:tcPr>
            <w:tcW w:w="170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w w:val="99"/>
              </w:rPr>
              <w:t>Six Months Ended</w:t>
            </w:r>
          </w:p>
        </w:tc>
      </w:tr>
      <w:tr>
        <w:trPr>
          <w:trHeight w:val="210"/>
        </w:trPr>
        <w:tc>
          <w:tcPr>
            <w:tcW w:w="18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620" w:type="dxa"/>
            <w:vAlign w:val="bottom"/>
          </w:tcPr>
          <w:p>
            <w:pPr>
              <w:spacing w:after="0"/>
              <w:rPr>
                <w:sz w:val="18"/>
                <w:szCs w:val="18"/>
                <w:color w:val="auto"/>
              </w:rPr>
            </w:pPr>
          </w:p>
        </w:tc>
      </w:tr>
      <w:tr>
        <w:trPr>
          <w:trHeight w:val="33"/>
        </w:trPr>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180" w:type="dxa"/>
            <w:vAlign w:val="bottom"/>
          </w:tcPr>
          <w:p>
            <w:pPr>
              <w:spacing w:after="0"/>
              <w:rPr>
                <w:sz w:val="20"/>
                <w:szCs w:val="20"/>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ind w:right="219"/>
              <w:spacing w:after="0"/>
              <w:rPr>
                <w:sz w:val="20"/>
                <w:szCs w:val="20"/>
                <w:color w:val="auto"/>
              </w:rPr>
            </w:pPr>
            <w:r>
              <w:rPr>
                <w:rFonts w:ascii="Arial" w:cs="Arial" w:eastAsia="Arial" w:hAnsi="Arial"/>
                <w:sz w:val="16"/>
                <w:szCs w:val="16"/>
                <w:b w:val="1"/>
                <w:bCs w:val="1"/>
                <w:color w:val="auto"/>
                <w:w w:val="95"/>
              </w:rPr>
              <w:t>2010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9"/>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2010</w:t>
            </w:r>
          </w:p>
        </w:tc>
      </w:tr>
      <w:tr>
        <w:trPr>
          <w:trHeight w:val="33"/>
        </w:trPr>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7"/>
        </w:trPr>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5"/>
          </w:tcPr>
          <w:p>
            <w:pPr>
              <w:ind w:left="18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70"/>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3"/>
                <w:szCs w:val="23"/>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(412)</w:t>
            </w:r>
          </w:p>
        </w:tc>
        <w:tc>
          <w:tcPr>
            <w:tcW w:w="100" w:type="dxa"/>
            <w:vAlign w:val="bottom"/>
          </w:tcPr>
          <w:p>
            <w:pPr>
              <w:spacing w:after="0"/>
              <w:rPr>
                <w:sz w:val="23"/>
                <w:szCs w:val="23"/>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(585)</w:t>
            </w:r>
          </w:p>
        </w:tc>
      </w:tr>
      <w:tr>
        <w:trPr>
          <w:trHeight w:val="270"/>
        </w:trPr>
        <w:tc>
          <w:tcPr>
            <w:tcW w:w="180" w:type="dxa"/>
            <w:vAlign w:val="bottom"/>
          </w:tcPr>
          <w:p>
            <w:pPr>
              <w:spacing w:after="0"/>
              <w:rPr>
                <w:sz w:val="23"/>
                <w:szCs w:val="23"/>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1,580</w:t>
            </w:r>
          </w:p>
        </w:tc>
      </w:tr>
      <w:tr>
        <w:trPr>
          <w:trHeight w:val="270"/>
        </w:trPr>
        <w:tc>
          <w:tcPr>
            <w:tcW w:w="180" w:type="dxa"/>
            <w:vAlign w:val="bottom"/>
          </w:tcPr>
          <w:p>
            <w:pPr>
              <w:spacing w:after="0"/>
              <w:rPr>
                <w:sz w:val="23"/>
                <w:szCs w:val="23"/>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891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(8,035)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5,661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0"/>
              </w:rPr>
              <w:t>(15,146)</w:t>
            </w:r>
          </w:p>
        </w:tc>
      </w:tr>
      <w:tr>
        <w:trPr>
          <w:trHeight w:val="270"/>
        </w:trPr>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(817)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(1,243)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(1,703)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(2,613)</w:t>
            </w:r>
          </w:p>
        </w:tc>
      </w:tr>
      <w:tr>
        <w:trPr>
          <w:trHeight w:val="270"/>
        </w:trPr>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221</w:t>
            </w:r>
          </w:p>
        </w:tc>
      </w:tr>
      <w:tr>
        <w:trPr>
          <w:trHeight w:val="33"/>
        </w:trPr>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7"/>
        </w:trPr>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(8,990)</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3,905</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0"/>
              </w:rPr>
              <w:t>(16,543)</w:t>
            </w:r>
          </w:p>
        </w:tc>
      </w:tr>
      <w:tr>
        <w:trPr>
          <w:trHeight w:val="33"/>
        </w:trPr>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720" w:space="720"/>
            <w:col w:w="3980"/>
          </w:cols>
          <w:pgMar w:left="240" w:top="126" w:right="239" w:bottom="1440" w:gutter="0" w:footer="0" w:header="0"/>
          <w:type w:val="continuous"/>
        </w:sectPr>
      </w:pPr>
    </w:p>
    <w:p>
      <w:pPr>
        <w:spacing w:after="0" w:line="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Accumulated other comprehensive income (loss), net of tax, was $81.4 million at June 30, 2011 and $(35.0) million at December 31, 2010. These amounts include adjustments for foreign currency translation, the unrealized gain (loss) on our hedging instruments, the hedging gain (loss), and the pension liability adjustment as indicated above.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6"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Fair Values of Financial Instruments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at June 30, 2011 and December 31, 2010 do not reflect subsequent changes in the economy, interest rates, tax rates, and other variables that may affect the determination of fair value.</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June 30, 2011</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2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December 31, 2010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7"/>
              </w:rPr>
              <w:t>Carrying</w:t>
            </w:r>
          </w:p>
        </w:tc>
        <w:tc>
          <w:tcPr>
            <w:tcW w:w="500" w:type="dxa"/>
            <w:vAlign w:val="bottom"/>
          </w:tcPr>
          <w:p>
            <w:pPr>
              <w:spacing w:after="0"/>
              <w:rPr>
                <w:sz w:val="18"/>
                <w:szCs w:val="18"/>
                <w:color w:val="auto"/>
              </w:rPr>
            </w:pPr>
          </w:p>
        </w:tc>
        <w:tc>
          <w:tcPr>
            <w:tcW w:w="122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w w:val="95"/>
              </w:rPr>
              <w:t>Fair</w:t>
            </w:r>
          </w:p>
        </w:tc>
        <w:tc>
          <w:tcPr>
            <w:tcW w:w="440" w:type="dxa"/>
            <w:vAlign w:val="bottom"/>
          </w:tcPr>
          <w:p>
            <w:pPr>
              <w:spacing w:after="0"/>
              <w:rPr>
                <w:sz w:val="18"/>
                <w:szCs w:val="18"/>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w w:val="97"/>
              </w:rPr>
              <w:t>Carrying</w:t>
            </w:r>
          </w:p>
        </w:tc>
        <w:tc>
          <w:tcPr>
            <w:tcW w:w="36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Amount</w:t>
            </w:r>
          </w:p>
        </w:tc>
        <w:tc>
          <w:tcPr>
            <w:tcW w:w="500" w:type="dxa"/>
            <w:vAlign w:val="bottom"/>
          </w:tcPr>
          <w:p>
            <w:pPr>
              <w:spacing w:after="0"/>
              <w:rPr>
                <w:sz w:val="18"/>
                <w:szCs w:val="18"/>
                <w:color w:val="auto"/>
              </w:rPr>
            </w:pPr>
          </w:p>
        </w:tc>
        <w:tc>
          <w:tcPr>
            <w:tcW w:w="122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w w:val="93"/>
              </w:rPr>
              <w:t>Value</w:t>
            </w:r>
          </w:p>
        </w:tc>
        <w:tc>
          <w:tcPr>
            <w:tcW w:w="440" w:type="dxa"/>
            <w:vAlign w:val="bottom"/>
          </w:tcPr>
          <w:p>
            <w:pPr>
              <w:spacing w:after="0"/>
              <w:rPr>
                <w:sz w:val="18"/>
                <w:szCs w:val="18"/>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w w:val="92"/>
              </w:rPr>
              <w:t>Amount</w:t>
            </w:r>
          </w:p>
        </w:tc>
        <w:tc>
          <w:tcPr>
            <w:tcW w:w="360" w:type="dxa"/>
            <w:vAlign w:val="bottom"/>
          </w:tcPr>
          <w:p>
            <w:pPr>
              <w:spacing w:after="0"/>
              <w:rPr>
                <w:sz w:val="18"/>
                <w:szCs w:val="18"/>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33"/>
        </w:trPr>
        <w:tc>
          <w:tcPr>
            <w:tcW w:w="4700" w:type="dxa"/>
            <w:vAlign w:val="bottom"/>
            <w:vMerge w:val="restart"/>
          </w:tcPr>
          <w:p>
            <w:pPr>
              <w:ind w:left="40"/>
              <w:spacing w:after="0"/>
              <w:rPr>
                <w:sz w:val="20"/>
                <w:szCs w:val="20"/>
                <w:color w:val="auto"/>
              </w:rPr>
            </w:pPr>
            <w:r>
              <w:rPr>
                <w:rFonts w:ascii="Arial" w:cs="Arial" w:eastAsia="Arial" w:hAnsi="Arial"/>
                <w:sz w:val="16"/>
                <w:szCs w:val="16"/>
                <w:color w:val="auto"/>
              </w:rPr>
              <w:t>Assets</w:t>
            </w: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7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700" w:type="dxa"/>
            <w:vAlign w:val="bottom"/>
          </w:tcPr>
          <w:p>
            <w:pPr>
              <w:ind w:left="380"/>
              <w:spacing w:after="0"/>
              <w:rPr>
                <w:sz w:val="20"/>
                <w:szCs w:val="20"/>
                <w:color w:val="auto"/>
              </w:rPr>
            </w:pPr>
            <w:r>
              <w:rPr>
                <w:rFonts w:ascii="Arial" w:cs="Arial" w:eastAsia="Arial" w:hAnsi="Arial"/>
                <w:sz w:val="16"/>
                <w:szCs w:val="16"/>
                <w:color w:val="auto"/>
              </w:rPr>
              <w:t>Cash and cash equivalents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168,284</w:t>
            </w:r>
          </w:p>
        </w:tc>
        <w:tc>
          <w:tcPr>
            <w:tcW w:w="120" w:type="dxa"/>
            <w:vAlign w:val="bottom"/>
          </w:tcPr>
          <w:p>
            <w:pPr>
              <w:spacing w:after="0"/>
              <w:rPr>
                <w:sz w:val="23"/>
                <w:szCs w:val="23"/>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168,284</w:t>
            </w:r>
          </w:p>
        </w:tc>
        <w:tc>
          <w:tcPr>
            <w:tcW w:w="120" w:type="dxa"/>
            <w:vAlign w:val="bottom"/>
          </w:tcPr>
          <w:p>
            <w:pPr>
              <w:spacing w:after="0"/>
              <w:rPr>
                <w:sz w:val="23"/>
                <w:szCs w:val="23"/>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169,477</w:t>
            </w:r>
          </w:p>
        </w:tc>
        <w:tc>
          <w:tcPr>
            <w:tcW w:w="100" w:type="dxa"/>
            <w:vAlign w:val="bottom"/>
          </w:tcPr>
          <w:p>
            <w:pPr>
              <w:spacing w:after="0"/>
              <w:rPr>
                <w:sz w:val="23"/>
                <w:szCs w:val="23"/>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169,477</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Foreign exchange forwards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70"/>
        </w:trPr>
        <w:tc>
          <w:tcPr>
            <w:tcW w:w="4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700" w:type="dxa"/>
            <w:vAlign w:val="bottom"/>
          </w:tcPr>
          <w:p>
            <w:pPr>
              <w:ind w:left="380"/>
              <w:spacing w:after="0"/>
              <w:rPr>
                <w:sz w:val="20"/>
                <w:szCs w:val="20"/>
                <w:color w:val="auto"/>
              </w:rPr>
            </w:pPr>
            <w:r>
              <w:rPr>
                <w:rFonts w:ascii="Arial" w:cs="Arial" w:eastAsia="Arial" w:hAnsi="Arial"/>
                <w:sz w:val="16"/>
                <w:szCs w:val="16"/>
                <w:color w:val="auto"/>
              </w:rPr>
              <w:t>Term loans</w:t>
            </w: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USD denominated term loan</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200,616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201,619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218,642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219,462</w:t>
            </w:r>
          </w:p>
        </w:tc>
        <w:tc>
          <w:tcPr>
            <w:tcW w:w="0" w:type="dxa"/>
            <w:vAlign w:val="bottom"/>
          </w:tcPr>
          <w:p>
            <w:pPr>
              <w:spacing w:after="0"/>
              <w:rPr>
                <w:sz w:val="1"/>
                <w:szCs w:val="1"/>
                <w:color w:val="auto"/>
              </w:rPr>
            </w:pPr>
          </w:p>
        </w:tc>
      </w:tr>
      <w:tr>
        <w:trPr>
          <w:trHeight w:val="237"/>
        </w:trPr>
        <w:tc>
          <w:tcPr>
            <w:tcW w:w="4700" w:type="dxa"/>
            <w:vAlign w:val="bottom"/>
          </w:tcPr>
          <w:p>
            <w:pPr>
              <w:ind w:left="720"/>
              <w:spacing w:after="0"/>
              <w:rPr>
                <w:sz w:val="20"/>
                <w:szCs w:val="20"/>
                <w:color w:val="auto"/>
              </w:rPr>
            </w:pPr>
            <w:r>
              <w:rPr>
                <w:rFonts w:ascii="Arial" w:cs="Arial" w:eastAsia="Arial" w:hAnsi="Arial"/>
                <w:sz w:val="16"/>
                <w:szCs w:val="16"/>
                <w:color w:val="auto"/>
              </w:rPr>
              <w:t>EUR denominated term loan</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151,350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152,107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174,031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174,684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Convertible senior subordinated notes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223,604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224,163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218,268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236,461</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Interest rate swaps</w:t>
            </w:r>
          </w:p>
        </w:tc>
        <w:tc>
          <w:tcPr>
            <w:tcW w:w="30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2,577</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2,577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6,820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6,820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7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Foreign exchange forwards</w:t>
            </w:r>
          </w:p>
        </w:tc>
        <w:tc>
          <w:tcPr>
            <w:tcW w:w="3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200</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200</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33"/>
        </w:trPr>
        <w:tc>
          <w:tcPr>
            <w:tcW w:w="4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in estimating fair values: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Due to the liquid nature of these instruments, the carrying value approximates fair value.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Term loans: </w:t>
      </w:r>
      <w:r>
        <w:rPr>
          <w:rFonts w:ascii="Arial" w:cs="Arial" w:eastAsia="Arial" w:hAnsi="Arial"/>
          <w:sz w:val="18"/>
          <w:szCs w:val="18"/>
          <w:color w:val="auto"/>
        </w:rPr>
        <w:t>The term loans are not registered with the SEC but are generally transferable through banks that hold the debt and make a market. The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is based on quoted prices from recent trades of the term loans.</w:t>
      </w:r>
    </w:p>
    <w:p>
      <w:pPr>
        <w:spacing w:after="0" w:line="11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Convertible senior subordinated notes: </w:t>
      </w:r>
      <w:r>
        <w:rPr>
          <w:rFonts w:ascii="Arial" w:cs="Arial" w:eastAsia="Arial" w:hAnsi="Arial"/>
          <w:sz w:val="18"/>
          <w:szCs w:val="18"/>
          <w:color w:val="auto"/>
        </w:rPr>
        <w:t>The convertible notes are registered with the SEC and are generally transferable. The fair value is based on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from recent broker trades of the convertible notes. At June 30, 2011, the discount on the liability component was fully amortized. See Note 6 for further discussion.</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See Note 7 for a description of our methods and assumptions in determining the fair value of our derivatives, which were determined using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measurements of significant other observable inputs (Level 2).</w:t>
      </w: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Segment Information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two operating segments: Itron North America and Itron International. Itron North America generates the majority of its revenues in the United States and Canada, while Itron International generates the majority of its revenues in Europe, and the balance in Africa, Latin America, and Asia/Pacific.</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14, 2011, we announced a global reorganization in which the Company will be managed under two operating segments, Energy and Water. Although certain management positions of the Company’s two new operating segments have been identified, a transition to the new organizational structure, including changes to operations and financial and operational management systems will continue through the remainder of 2011. Throughout 2011, management and external financial reporting will be based on the current geographic operating segments, Itron North America and Itron International, as the new segment information will not be available until changes to the operations have occurred and new systems and processes are deployed. Financial reporting of the Energy and Water operating segments is expected in the first quarter of 2012.</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three measures of segment performance: revenue, gross profit (margin), and operating income (margin). Intersegment revenues were minimal. Corporate operating expenses, interest income, interest expense, other income (expense), and income tax provision (benefit) are not allocated to the segments, nor included in the measure of segment profit or loss.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180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960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r>
      <w:tr>
        <w:trPr>
          <w:trHeight w:val="480"/>
        </w:trPr>
        <w:tc>
          <w:tcPr>
            <w:tcW w:w="1800" w:type="dxa"/>
            <w:vAlign w:val="bottom"/>
            <w:gridSpan w:val="2"/>
          </w:tcPr>
          <w:p>
            <w:pPr>
              <w:spacing w:after="0"/>
              <w:rPr>
                <w:sz w:val="20"/>
                <w:szCs w:val="20"/>
                <w:color w:val="auto"/>
              </w:rPr>
            </w:pPr>
            <w:r>
              <w:rPr>
                <w:rFonts w:ascii="Arial" w:cs="Arial" w:eastAsia="Arial" w:hAnsi="Arial"/>
                <w:sz w:val="18"/>
                <w:szCs w:val="18"/>
                <w:b w:val="1"/>
                <w:bCs w:val="1"/>
                <w:color w:val="auto"/>
              </w:rPr>
              <w:t>Segment Products</w:t>
            </w:r>
          </w:p>
        </w:tc>
        <w:tc>
          <w:tcPr>
            <w:tcW w:w="9600" w:type="dxa"/>
            <w:vAlign w:val="bottom"/>
          </w:tcPr>
          <w:p>
            <w:pPr>
              <w:spacing w:after="0"/>
              <w:rPr>
                <w:sz w:val="24"/>
                <w:szCs w:val="24"/>
                <w:color w:val="auto"/>
              </w:rPr>
            </w:pPr>
          </w:p>
        </w:tc>
      </w:tr>
      <w:tr>
        <w:trPr>
          <w:trHeight w:val="553"/>
        </w:trPr>
        <w:tc>
          <w:tcPr>
            <w:tcW w:w="1800" w:type="dxa"/>
            <w:vAlign w:val="bottom"/>
            <w:gridSpan w:val="2"/>
          </w:tcPr>
          <w:p>
            <w:pPr>
              <w:ind w:left="40"/>
              <w:spacing w:after="0"/>
              <w:rPr>
                <w:sz w:val="20"/>
                <w:szCs w:val="20"/>
                <w:color w:val="auto"/>
              </w:rPr>
            </w:pPr>
            <w:r>
              <w:rPr>
                <w:rFonts w:ascii="Arial" w:cs="Arial" w:eastAsia="Arial" w:hAnsi="Arial"/>
                <w:sz w:val="18"/>
                <w:szCs w:val="18"/>
                <w:i w:val="1"/>
                <w:iCs w:val="1"/>
                <w:color w:val="auto"/>
              </w:rPr>
              <w:t>Itron North America</w:t>
            </w:r>
          </w:p>
        </w:tc>
        <w:tc>
          <w:tcPr>
            <w:tcW w:w="9600" w:type="dxa"/>
            <w:vAlign w:val="bottom"/>
          </w:tcPr>
          <w:p>
            <w:pPr>
              <w:ind w:left="300"/>
              <w:spacing w:after="0"/>
              <w:rPr>
                <w:sz w:val="20"/>
                <w:szCs w:val="20"/>
                <w:color w:val="auto"/>
              </w:rPr>
            </w:pPr>
            <w:r>
              <w:rPr>
                <w:rFonts w:ascii="Arial" w:cs="Arial" w:eastAsia="Arial" w:hAnsi="Arial"/>
                <w:sz w:val="18"/>
                <w:szCs w:val="18"/>
                <w:color w:val="auto"/>
                <w:w w:val="93"/>
              </w:rPr>
              <w:t>Standard electricity (electronic), gas, and water meters; advanced and smart electricity and water meters and communication</w:t>
            </w:r>
          </w:p>
        </w:tc>
      </w:tr>
      <w:tr>
        <w:trPr>
          <w:trHeight w:val="216"/>
        </w:trPr>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w w:val="92"/>
              </w:rPr>
              <w:t>modules; advanced and smart gas communication modules; advanced systems including handheld, mobile, and fixed network</w:t>
            </w:r>
          </w:p>
        </w:tc>
      </w:tr>
      <w:tr>
        <w:trPr>
          <w:trHeight w:val="216"/>
        </w:trPr>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w w:val="93"/>
              </w:rPr>
              <w:t>collection technologies; smart network technologies; meter data management software; knowledge application solutions; and</w:t>
            </w:r>
          </w:p>
        </w:tc>
      </w:tr>
      <w:tr>
        <w:trPr>
          <w:trHeight w:val="230"/>
        </w:trPr>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rPr>
              <w:t>professional services including implementation, installation, consulting, and analysis.</w:t>
            </w:r>
          </w:p>
        </w:tc>
      </w:tr>
      <w:tr>
        <w:trPr>
          <w:trHeight w:val="580"/>
        </w:trPr>
        <w:tc>
          <w:tcPr>
            <w:tcW w:w="1800" w:type="dxa"/>
            <w:vAlign w:val="bottom"/>
            <w:gridSpan w:val="2"/>
          </w:tcPr>
          <w:p>
            <w:pPr>
              <w:ind w:left="40"/>
              <w:spacing w:after="0"/>
              <w:rPr>
                <w:sz w:val="20"/>
                <w:szCs w:val="20"/>
                <w:color w:val="auto"/>
              </w:rPr>
            </w:pPr>
            <w:r>
              <w:rPr>
                <w:rFonts w:ascii="Arial" w:cs="Arial" w:eastAsia="Arial" w:hAnsi="Arial"/>
                <w:sz w:val="18"/>
                <w:szCs w:val="18"/>
                <w:i w:val="1"/>
                <w:iCs w:val="1"/>
                <w:color w:val="auto"/>
              </w:rPr>
              <w:t>Itron International</w:t>
            </w:r>
          </w:p>
        </w:tc>
        <w:tc>
          <w:tcPr>
            <w:tcW w:w="9600" w:type="dxa"/>
            <w:vAlign w:val="bottom"/>
          </w:tcPr>
          <w:p>
            <w:pPr>
              <w:ind w:left="300"/>
              <w:spacing w:after="0"/>
              <w:rPr>
                <w:sz w:val="20"/>
                <w:szCs w:val="20"/>
                <w:color w:val="auto"/>
              </w:rPr>
            </w:pPr>
            <w:r>
              <w:rPr>
                <w:rFonts w:ascii="Arial" w:cs="Arial" w:eastAsia="Arial" w:hAnsi="Arial"/>
                <w:sz w:val="18"/>
                <w:szCs w:val="18"/>
                <w:color w:val="auto"/>
                <w:w w:val="94"/>
              </w:rPr>
              <w:t>Standard electricity (electromechanical and electronic), gas, and water meters; advanced electricity, gas, and water meters;</w:t>
            </w:r>
          </w:p>
        </w:tc>
      </w:tr>
      <w:tr>
        <w:trPr>
          <w:trHeight w:val="216"/>
        </w:trPr>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w w:val="91"/>
              </w:rPr>
              <w:t>advanced water communication modules; smart electricity meters and communication modules; prepayment systems, including</w:t>
            </w:r>
          </w:p>
        </w:tc>
      </w:tr>
      <w:tr>
        <w:trPr>
          <w:trHeight w:val="216"/>
        </w:trPr>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w w:val="95"/>
              </w:rPr>
              <w:t>smart key, keypad, and smart card communication technologies; advanced systems including handheld, mobile, and fixed</w:t>
            </w:r>
          </w:p>
        </w:tc>
      </w:tr>
      <w:tr>
        <w:trPr>
          <w:trHeight w:val="216"/>
        </w:trPr>
        <w:tc>
          <w:tcPr>
            <w:tcW w:w="1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w w:val="98"/>
              </w:rPr>
              <w:t>network collection technologies; smart network technologies; meter data management software; knowledge application</w:t>
            </w:r>
          </w:p>
        </w:tc>
      </w:tr>
      <w:tr>
        <w:trPr>
          <w:trHeight w:val="230"/>
        </w:trPr>
        <w:tc>
          <w:tcPr>
            <w:tcW w:w="1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0" w:type="dxa"/>
            <w:vAlign w:val="bottom"/>
          </w:tcPr>
          <w:p>
            <w:pPr>
              <w:ind w:left="300"/>
              <w:spacing w:after="0"/>
              <w:rPr>
                <w:sz w:val="20"/>
                <w:szCs w:val="20"/>
                <w:color w:val="auto"/>
              </w:rPr>
            </w:pPr>
            <w:r>
              <w:rPr>
                <w:rFonts w:ascii="Arial" w:cs="Arial" w:eastAsia="Arial" w:hAnsi="Arial"/>
                <w:sz w:val="18"/>
                <w:szCs w:val="18"/>
                <w:color w:val="auto"/>
                <w:w w:val="96"/>
              </w:rPr>
              <w:t>solutions; and professional services including implementation, installation, consulting/analysis, and system management.</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Revenues, gross profit, and operating income associated with our segments were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460" w:type="dxa"/>
            <w:vAlign w:val="bottom"/>
            <w:gridSpan w:val="6"/>
          </w:tcPr>
          <w:p>
            <w:pPr>
              <w:ind w:left="640"/>
              <w:spacing w:after="0"/>
              <w:rPr>
                <w:sz w:val="20"/>
                <w:szCs w:val="20"/>
                <w:color w:val="auto"/>
              </w:rPr>
            </w:pPr>
            <w:r>
              <w:rPr>
                <w:rFonts w:ascii="Arial" w:cs="Arial" w:eastAsia="Arial" w:hAnsi="Arial"/>
                <w:sz w:val="16"/>
                <w:szCs w:val="16"/>
                <w:b w:val="1"/>
                <w:bCs w:val="1"/>
                <w:color w:val="auto"/>
              </w:rPr>
              <w:t>Three Months Ended June 30,</w:t>
            </w:r>
          </w:p>
        </w:tc>
        <w:tc>
          <w:tcPr>
            <w:tcW w:w="520" w:type="dxa"/>
            <w:vAlign w:val="bottom"/>
          </w:tcPr>
          <w:p>
            <w:pPr>
              <w:spacing w:after="0"/>
              <w:rPr>
                <w:sz w:val="18"/>
                <w:szCs w:val="18"/>
                <w:color w:val="auto"/>
              </w:rPr>
            </w:pPr>
          </w:p>
        </w:tc>
        <w:tc>
          <w:tcPr>
            <w:tcW w:w="274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w w:val="98"/>
              </w:rPr>
              <w:t>Six Months Ended June 30,</w:t>
            </w:r>
          </w:p>
        </w:tc>
      </w:tr>
      <w:tr>
        <w:trPr>
          <w:trHeight w:val="33"/>
        </w:trPr>
        <w:tc>
          <w:tcPr>
            <w:tcW w:w="4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559"/>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2010</w:t>
            </w:r>
          </w:p>
        </w:tc>
      </w:tr>
      <w:tr>
        <w:trPr>
          <w:trHeight w:val="33"/>
        </w:trPr>
        <w:tc>
          <w:tcPr>
            <w:tcW w:w="4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6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Revenues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Itron North America</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w w:val="89"/>
              </w:rPr>
              <w:t>288,224</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301,143</w:t>
            </w:r>
          </w:p>
        </w:tc>
        <w:tc>
          <w:tcPr>
            <w:tcW w:w="120" w:type="dxa"/>
            <w:vAlign w:val="bottom"/>
          </w:tcPr>
          <w:p>
            <w:pPr>
              <w:spacing w:after="0"/>
              <w:rPr>
                <w:sz w:val="20"/>
                <w:szCs w:val="20"/>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565,206</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542,702</w:t>
            </w:r>
          </w:p>
        </w:tc>
      </w:tr>
      <w:tr>
        <w:trPr>
          <w:trHeight w:val="33"/>
        </w:trPr>
        <w:tc>
          <w:tcPr>
            <w:tcW w:w="4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Itron International</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324,177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266,196</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610,886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522,260</w:t>
            </w:r>
          </w:p>
        </w:tc>
      </w:tr>
      <w:tr>
        <w:trPr>
          <w:trHeight w:val="217"/>
        </w:trPr>
        <w:tc>
          <w:tcPr>
            <w:tcW w:w="4700" w:type="dxa"/>
            <w:vAlign w:val="bottom"/>
          </w:tcPr>
          <w:p>
            <w:pPr>
              <w:ind w:left="720"/>
              <w:spacing w:after="0"/>
              <w:rPr>
                <w:sz w:val="20"/>
                <w:szCs w:val="20"/>
                <w:color w:val="auto"/>
              </w:rPr>
            </w:pPr>
            <w:r>
              <w:rPr>
                <w:rFonts w:ascii="Arial" w:cs="Arial" w:eastAsia="Arial" w:hAnsi="Arial"/>
                <w:sz w:val="16"/>
                <w:szCs w:val="16"/>
                <w:color w:val="auto"/>
              </w:rPr>
              <w:t>Total Company</w:t>
            </w: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612,401</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567,339</w:t>
            </w:r>
          </w:p>
        </w:tc>
        <w:tc>
          <w:tcPr>
            <w:tcW w:w="120" w:type="dxa"/>
            <w:vAlign w:val="bottom"/>
          </w:tcPr>
          <w:p>
            <w:pPr>
              <w:spacing w:after="0"/>
              <w:rPr>
                <w:sz w:val="18"/>
                <w:szCs w:val="18"/>
                <w:color w:val="auto"/>
              </w:rPr>
            </w:pP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1,176,092</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1,064,962</w:t>
            </w:r>
          </w:p>
        </w:tc>
      </w:tr>
      <w:tr>
        <w:trPr>
          <w:trHeight w:val="73"/>
        </w:trPr>
        <w:tc>
          <w:tcPr>
            <w:tcW w:w="4700" w:type="dxa"/>
            <w:vAlign w:val="bottom"/>
            <w:tcBorders>
              <w:bottom w:val="single" w:sz="8" w:color="CCEEFF"/>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r>
      <w:tr>
        <w:trPr>
          <w:trHeight w:val="251"/>
        </w:trPr>
        <w:tc>
          <w:tcPr>
            <w:tcW w:w="47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24"/>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Gross profit</w:t>
            </w: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7"/>
        </w:trPr>
        <w:tc>
          <w:tcPr>
            <w:tcW w:w="4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Itron North America</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96,958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100,972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191,680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179,131</w:t>
            </w: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Itron International</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94,125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73,084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183,513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151,989</w:t>
            </w:r>
          </w:p>
        </w:tc>
      </w:tr>
      <w:tr>
        <w:trPr>
          <w:trHeight w:val="33"/>
        </w:trPr>
        <w:tc>
          <w:tcPr>
            <w:tcW w:w="47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5"/>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Company</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191,083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174,056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375,193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331,120</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7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income (loss)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Itron North America</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42,739</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55,384</w:t>
            </w:r>
          </w:p>
        </w:tc>
        <w:tc>
          <w:tcPr>
            <w:tcW w:w="120" w:type="dxa"/>
            <w:vAlign w:val="bottom"/>
          </w:tcPr>
          <w:p>
            <w:pPr>
              <w:spacing w:after="0"/>
              <w:rPr>
                <w:sz w:val="20"/>
                <w:szCs w:val="20"/>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86,532</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87,420</w:t>
            </w:r>
          </w:p>
        </w:tc>
      </w:tr>
      <w:tr>
        <w:trPr>
          <w:trHeight w:val="33"/>
        </w:trPr>
        <w:tc>
          <w:tcPr>
            <w:tcW w:w="4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Itron International</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16,483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5,017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32,711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15,454</w:t>
            </w:r>
          </w:p>
        </w:tc>
      </w:tr>
      <w:tr>
        <w:trPr>
          <w:trHeight w:val="237"/>
        </w:trPr>
        <w:tc>
          <w:tcPr>
            <w:tcW w:w="4700" w:type="dxa"/>
            <w:vAlign w:val="bottom"/>
          </w:tcPr>
          <w:p>
            <w:pPr>
              <w:ind w:left="380"/>
              <w:spacing w:after="0"/>
              <w:rPr>
                <w:sz w:val="20"/>
                <w:szCs w:val="20"/>
                <w:color w:val="auto"/>
              </w:rPr>
            </w:pPr>
            <w:r>
              <w:rPr>
                <w:rFonts w:ascii="Arial" w:cs="Arial" w:eastAsia="Arial" w:hAnsi="Arial"/>
                <w:sz w:val="16"/>
                <w:szCs w:val="16"/>
                <w:color w:val="auto"/>
              </w:rPr>
              <w:t>Corporate unallocated</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3"/>
              </w:rPr>
              <w:t>(11,137)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(10,392)</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(21,069)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(21,246)</w:t>
            </w:r>
          </w:p>
        </w:tc>
      </w:tr>
      <w:tr>
        <w:trPr>
          <w:trHeight w:val="33"/>
        </w:trPr>
        <w:tc>
          <w:tcPr>
            <w:tcW w:w="47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47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Company</w:t>
            </w:r>
          </w:p>
        </w:tc>
        <w:tc>
          <w:tcPr>
            <w:tcW w:w="9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48,085</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50,009</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98,174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81,628</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Total other income (expense)</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3"/>
              </w:rPr>
              <w:t>(13,729)</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(14,279)</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(27,131)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(29,627)</w:t>
            </w:r>
          </w:p>
        </w:tc>
      </w:tr>
      <w:tr>
        <w:trPr>
          <w:trHeight w:val="33"/>
        </w:trPr>
        <w:tc>
          <w:tcPr>
            <w:tcW w:w="47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5"/>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34,356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35,730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71,043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52,001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single customer represented more than 10% of total Company revenues for the three and six months ended June 30, 2011, while one customer represented more than 10% of total Company revenues during the same periods in 2010. Two customers each accounted for more than 10% of Itron North America revenues for the three and six months ended June 30, 2011, while three customers each accounted for more than 10% of Itron North America revenues for the same periods in 2010. No single customer represented more than 10% of Itron International revenues for the three and six months ended June 30, 2011 and 2010.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Revenues by region were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560" w:type="dxa"/>
            <w:vAlign w:val="bottom"/>
          </w:tcPr>
          <w:p>
            <w:pPr>
              <w:spacing w:after="0"/>
              <w:rPr>
                <w:sz w:val="20"/>
                <w:szCs w:val="20"/>
                <w:color w:val="auto"/>
              </w:rPr>
            </w:pPr>
          </w:p>
        </w:tc>
        <w:tc>
          <w:tcPr>
            <w:tcW w:w="27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2010</w:t>
            </w: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 and Canada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285,931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299,502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560,393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538,502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Europe</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228,354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192,864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431,185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388,348</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98,116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74,973</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184,514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138,112</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612,401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567,339</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1,176,092</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1,064,962</w:t>
            </w: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08"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08"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associated with our segments was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76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74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w w:val="98"/>
              </w:rPr>
              <w:t>Six Months Ended June 30,</w:t>
            </w:r>
          </w:p>
        </w:tc>
      </w:tr>
      <w:tr>
        <w:trPr>
          <w:trHeight w:val="33"/>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2010</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559"/>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2010</w:t>
            </w:r>
          </w:p>
        </w:tc>
      </w:tr>
      <w:tr>
        <w:trPr>
          <w:trHeight w:val="33"/>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47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2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w w:val="97"/>
              </w:rPr>
              <w:t>(in thousands)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Itron North America</w:t>
            </w:r>
          </w:p>
        </w:tc>
        <w:tc>
          <w:tcPr>
            <w:tcW w:w="10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8"/>
              </w:rPr>
              <w:t>11,176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11,441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22,347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22,728</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color w:val="auto"/>
              </w:rPr>
              <w:t>Itron International</w:t>
            </w:r>
          </w:p>
        </w:tc>
        <w:tc>
          <w:tcPr>
            <w:tcW w:w="1000" w:type="dxa"/>
            <w:vAlign w:val="bottom"/>
          </w:tcPr>
          <w:p>
            <w:pPr>
              <w:spacing w:after="0"/>
              <w:rPr>
                <w:sz w:val="20"/>
                <w:szCs w:val="20"/>
                <w:color w:val="auto"/>
              </w:rPr>
            </w:pPr>
          </w:p>
        </w:tc>
        <w:tc>
          <w:tcPr>
            <w:tcW w:w="620" w:type="dxa"/>
            <w:vAlign w:val="bottom"/>
          </w:tcPr>
          <w:p>
            <w:pPr>
              <w:jc w:val="right"/>
              <w:ind w:right="39"/>
              <w:spacing w:after="0"/>
              <w:rPr>
                <w:sz w:val="20"/>
                <w:szCs w:val="20"/>
                <w:color w:val="auto"/>
              </w:rPr>
            </w:pPr>
            <w:r>
              <w:rPr>
                <w:rFonts w:ascii="Arial" w:cs="Arial" w:eastAsia="Arial" w:hAnsi="Arial"/>
                <w:sz w:val="16"/>
                <w:szCs w:val="16"/>
                <w:color w:val="auto"/>
                <w:w w:val="98"/>
              </w:rPr>
              <w:t>21,591</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w w:val="93"/>
              </w:rPr>
              <w:t>20,352</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41,950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42,342</w:t>
            </w:r>
          </w:p>
        </w:tc>
      </w:tr>
      <w:tr>
        <w:trPr>
          <w:trHeight w:val="33"/>
        </w:trPr>
        <w:tc>
          <w:tcPr>
            <w:tcW w:w="4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 Unallocated</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17"/>
        </w:trPr>
        <w:tc>
          <w:tcPr>
            <w:tcW w:w="4700" w:type="dxa"/>
            <w:vAlign w:val="bottom"/>
          </w:tcPr>
          <w:p>
            <w:pPr>
              <w:ind w:left="380"/>
              <w:spacing w:after="0"/>
              <w:rPr>
                <w:sz w:val="20"/>
                <w:szCs w:val="20"/>
                <w:color w:val="auto"/>
              </w:rPr>
            </w:pPr>
            <w:r>
              <w:rPr>
                <w:rFonts w:ascii="Arial" w:cs="Arial" w:eastAsia="Arial" w:hAnsi="Arial"/>
                <w:sz w:val="16"/>
                <w:szCs w:val="16"/>
                <w:color w:val="auto"/>
              </w:rPr>
              <w:t>Total Company</w:t>
            </w:r>
          </w:p>
        </w:tc>
        <w:tc>
          <w:tcPr>
            <w:tcW w:w="100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8"/>
              </w:rPr>
              <w:t>32,768</w:t>
            </w: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ind w:right="839"/>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3"/>
              </w:rPr>
              <w:t>31,793</w:t>
            </w:r>
          </w:p>
        </w:tc>
        <w:tc>
          <w:tcPr>
            <w:tcW w:w="120" w:type="dxa"/>
            <w:vAlign w:val="bottom"/>
          </w:tcPr>
          <w:p>
            <w:pPr>
              <w:spacing w:after="0"/>
              <w:rPr>
                <w:sz w:val="18"/>
                <w:szCs w:val="18"/>
                <w:color w:val="auto"/>
              </w:rPr>
            </w:pP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64,299</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65,071</w:t>
            </w:r>
          </w:p>
        </w:tc>
      </w:tr>
      <w:tr>
        <w:trPr>
          <w:trHeight w:val="33"/>
        </w:trPr>
        <w:tc>
          <w:tcPr>
            <w:tcW w:w="47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Consolidating Financial Information</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convertible notes, issued by Itron, Inc., are guaranteed by one U.S. subsidiary, which is 100% owned. The guaranty by our U.S. subsidiary is joint and several, full, complete, and unconditional. There are currently no restrictions on the ability of the subsidiary guarantor to transfer funds to the parent company.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Combined</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Guarantor</w:t>
            </w: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Parent</w:t>
            </w:r>
          </w:p>
        </w:tc>
        <w:tc>
          <w:tcPr>
            <w:tcW w:w="160" w:type="dxa"/>
            <w:vAlign w:val="bottom"/>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Subsidiary</w:t>
            </w:r>
          </w:p>
        </w:tc>
        <w:tc>
          <w:tcPr>
            <w:tcW w:w="160" w:type="dxa"/>
            <w:vAlign w:val="bottom"/>
          </w:tcPr>
          <w:p>
            <w:pPr>
              <w:spacing w:after="0"/>
              <w:rPr>
                <w:sz w:val="20"/>
                <w:szCs w:val="20"/>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Subsidiaries</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Eliminations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7"/>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140"/>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289,090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345,332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612,401</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194,728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248,611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(22,021)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421,318</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94,362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96,721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191,083</w:t>
            </w:r>
          </w:p>
        </w:tc>
      </w:tr>
      <w:tr>
        <w:trPr>
          <w:trHeight w:val="324"/>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18,195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30,650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48,845</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40,931</w:t>
            </w: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13,529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21,589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35,118</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16,197</w:t>
            </w:r>
          </w:p>
        </w:tc>
      </w:tr>
      <w:tr>
        <w:trPr>
          <w:trHeight w:val="243"/>
        </w:trPr>
        <w:tc>
          <w:tcPr>
            <w:tcW w:w="4000" w:type="dxa"/>
            <w:vAlign w:val="bottom"/>
          </w:tcPr>
          <w:p>
            <w:pPr>
              <w:ind w:left="420"/>
              <w:spacing w:after="0"/>
              <w:rPr>
                <w:sz w:val="20"/>
                <w:szCs w:val="20"/>
                <w:color w:val="auto"/>
              </w:rPr>
            </w:pPr>
            <w:r>
              <w:rPr>
                <w:rFonts w:ascii="Arial" w:cs="Arial" w:eastAsia="Arial" w:hAnsi="Arial"/>
                <w:sz w:val="18"/>
                <w:szCs w:val="18"/>
                <w:color w:val="auto"/>
              </w:rPr>
              <w:t>Restructuring</w:t>
            </w: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1,907</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62,410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80,588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142,998</w:t>
            </w:r>
          </w:p>
        </w:tc>
      </w:tr>
      <w:tr>
        <w:trPr>
          <w:trHeight w:val="318"/>
        </w:trPr>
        <w:tc>
          <w:tcPr>
            <w:tcW w:w="40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48,085</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(11,420)</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(2,477)</w:t>
            </w:r>
          </w:p>
        </w:tc>
      </w:tr>
      <w:tr>
        <w:trPr>
          <w:trHeight w:val="237"/>
        </w:trPr>
        <w:tc>
          <w:tcPr>
            <w:tcW w:w="4000" w:type="dxa"/>
            <w:vAlign w:val="bottom"/>
          </w:tcPr>
          <w:p>
            <w:pPr>
              <w:ind w:left="1140"/>
              <w:spacing w:after="0"/>
              <w:rPr>
                <w:sz w:val="20"/>
                <w:szCs w:val="20"/>
                <w:color w:val="auto"/>
              </w:rPr>
            </w:pPr>
            <w:r>
              <w:rPr>
                <w:rFonts w:ascii="Arial" w:cs="Arial" w:eastAsia="Arial" w:hAnsi="Arial"/>
                <w:sz w:val="18"/>
                <w:szCs w:val="18"/>
                <w:color w:val="auto"/>
              </w:rPr>
              <w:t>Total other income (expense)</w:t>
            </w: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(13,557)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(13,729)</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318"/>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18,395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15,119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34,356</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r>
      <w:tr>
        <w:trPr>
          <w:trHeight w:val="229"/>
        </w:trPr>
        <w:tc>
          <w:tcPr>
            <w:tcW w:w="4000" w:type="dxa"/>
            <w:vAlign w:val="bottom"/>
          </w:tcPr>
          <w:p>
            <w:pPr>
              <w:ind w:left="40"/>
              <w:spacing w:after="0"/>
              <w:rPr>
                <w:sz w:val="20"/>
                <w:szCs w:val="20"/>
                <w:color w:val="auto"/>
              </w:rPr>
            </w:pPr>
            <w:r>
              <w:rPr>
                <w:rFonts w:ascii="Arial" w:cs="Arial" w:eastAsia="Arial" w:hAnsi="Arial"/>
                <w:sz w:val="18"/>
                <w:szCs w:val="18"/>
                <w:color w:val="auto"/>
                <w:w w:val="98"/>
              </w:rPr>
              <w:t>Equity in earnings of guarantor and non-guarantor</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000" w:type="dxa"/>
            <w:vAlign w:val="bottom"/>
          </w:tcPr>
          <w:p>
            <w:pPr>
              <w:ind w:left="360"/>
              <w:spacing w:after="0"/>
              <w:rPr>
                <w:sz w:val="20"/>
                <w:szCs w:val="20"/>
                <w:color w:val="auto"/>
              </w:rPr>
            </w:pPr>
            <w:r>
              <w:rPr>
                <w:rFonts w:ascii="Arial" w:cs="Arial" w:eastAsia="Arial" w:hAnsi="Arial"/>
                <w:sz w:val="18"/>
                <w:szCs w:val="18"/>
                <w:color w:val="auto"/>
              </w:rPr>
              <w:t>subsidiaries, net</w:t>
            </w:r>
          </w:p>
        </w:tc>
        <w:tc>
          <w:tcPr>
            <w:tcW w:w="26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18,864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34,436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(18,864)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34,436</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890"/>
              <w:spacing w:after="0"/>
              <w:rPr>
                <w:sz w:val="20"/>
                <w:szCs w:val="20"/>
                <w:color w:val="auto"/>
              </w:rPr>
            </w:pPr>
            <w:r>
              <w:rPr>
                <w:rFonts w:ascii="Arial" w:cs="Arial" w:eastAsia="Arial" w:hAnsi="Arial"/>
                <w:sz w:val="18"/>
                <w:szCs w:val="18"/>
                <w:color w:val="auto"/>
                <w:w w:val="99"/>
              </w:rPr>
              <w:t>19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61"/>
        </w:trPr>
        <w:tc>
          <w:tcPr>
            <w:tcW w:w="1280" w:type="dxa"/>
            <w:vAlign w:val="bottom"/>
            <w:tcBorders>
              <w:top w:val="single" w:sz="8" w:color="0000FF"/>
            </w:tcBorders>
          </w:tcPr>
          <w:p>
            <w:pPr>
              <w:spacing w:after="0"/>
              <w:rPr>
                <w:sz w:val="24"/>
                <w:szCs w:val="24"/>
                <w:color w:val="auto"/>
              </w:rPr>
            </w:pPr>
          </w:p>
        </w:tc>
        <w:tc>
          <w:tcPr>
            <w:tcW w:w="2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20" w:type="dxa"/>
            <w:vAlign w:val="bottom"/>
            <w:gridSpan w:val="8"/>
          </w:tcPr>
          <w:p>
            <w:pPr>
              <w:ind w:left="60"/>
              <w:spacing w:after="0"/>
              <w:rPr>
                <w:sz w:val="20"/>
                <w:szCs w:val="20"/>
                <w:color w:val="auto"/>
              </w:rPr>
            </w:pPr>
            <w:r>
              <w:rPr>
                <w:rFonts w:ascii="Arial" w:cs="Arial" w:eastAsia="Arial" w:hAnsi="Arial"/>
                <w:sz w:val="18"/>
                <w:szCs w:val="18"/>
                <w:b w:val="1"/>
                <w:bCs w:val="1"/>
                <w:color w:val="auto"/>
              </w:rPr>
              <w:t>Consolidating Statement of Operations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20" w:type="dxa"/>
            <w:vAlign w:val="bottom"/>
            <w:gridSpan w:val="6"/>
          </w:tcPr>
          <w:p>
            <w:pPr>
              <w:jc w:val="right"/>
              <w:spacing w:after="0"/>
              <w:rPr>
                <w:sz w:val="20"/>
                <w:szCs w:val="20"/>
                <w:color w:val="auto"/>
              </w:rPr>
            </w:pPr>
            <w:r>
              <w:rPr>
                <w:rFonts w:ascii="Arial" w:cs="Arial" w:eastAsia="Arial" w:hAnsi="Arial"/>
                <w:sz w:val="18"/>
                <w:szCs w:val="18"/>
                <w:b w:val="1"/>
                <w:bCs w:val="1"/>
                <w:color w:val="auto"/>
                <w:w w:val="96"/>
              </w:rPr>
              <w:t>Three Months Ended June 30, 2010</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549"/>
        </w:trPr>
        <w:tc>
          <w:tcPr>
            <w:tcW w:w="12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Combined</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Guarantor</w:t>
            </w:r>
          </w:p>
        </w:tc>
        <w:tc>
          <w:tcPr>
            <w:tcW w:w="2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240"/>
              <w:spacing w:after="0"/>
              <w:rPr>
                <w:sz w:val="20"/>
                <w:szCs w:val="20"/>
                <w:color w:val="auto"/>
              </w:rPr>
            </w:pPr>
            <w:r>
              <w:rPr>
                <w:rFonts w:ascii="Arial" w:cs="Arial" w:eastAsia="Arial" w:hAnsi="Arial"/>
                <w:sz w:val="18"/>
                <w:szCs w:val="18"/>
                <w:b w:val="1"/>
                <w:bCs w:val="1"/>
                <w:color w:val="auto"/>
              </w:rPr>
              <w:t>Parent</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Subsidiary</w:t>
            </w:r>
          </w:p>
        </w:tc>
        <w:tc>
          <w:tcPr>
            <w:tcW w:w="20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Subsidiaries</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Eliminations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7"/>
        </w:trPr>
        <w:tc>
          <w:tcPr>
            <w:tcW w:w="1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298,380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283,082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567,339</w:t>
            </w: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Cost of revenues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199,882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207,524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393,283</w:t>
            </w:r>
          </w:p>
        </w:tc>
      </w:tr>
      <w:tr>
        <w:trPr>
          <w:trHeight w:val="27"/>
        </w:trPr>
        <w:tc>
          <w:tcPr>
            <w:tcW w:w="128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98,498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75,558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174,056</w:t>
            </w:r>
          </w:p>
        </w:tc>
      </w:tr>
      <w:tr>
        <w:trPr>
          <w:trHeight w:val="297"/>
        </w:trPr>
        <w:tc>
          <w:tcPr>
            <w:tcW w:w="12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gridSpan w:val="2"/>
          </w:tcPr>
          <w:p>
            <w:pPr>
              <w:ind w:left="38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15,706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25,268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40,974</w:t>
            </w:r>
          </w:p>
        </w:tc>
      </w:tr>
      <w:tr>
        <w:trPr>
          <w:trHeight w:val="27"/>
        </w:trPr>
        <w:tc>
          <w:tcPr>
            <w:tcW w:w="1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Product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33,022</w:t>
            </w:r>
          </w:p>
        </w:tc>
      </w:tr>
      <w:tr>
        <w:trPr>
          <w:trHeight w:val="243"/>
        </w:trPr>
        <w:tc>
          <w:tcPr>
            <w:tcW w:w="4000" w:type="dxa"/>
            <w:vAlign w:val="bottom"/>
            <w:gridSpan w:val="2"/>
          </w:tcPr>
          <w:p>
            <w:pPr>
              <w:ind w:left="38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13,467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19,818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33,285</w:t>
            </w:r>
          </w:p>
        </w:tc>
      </w:tr>
      <w:tr>
        <w:trPr>
          <w:trHeight w:val="27"/>
        </w:trPr>
        <w:tc>
          <w:tcPr>
            <w:tcW w:w="1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16,766</w:t>
            </w:r>
          </w:p>
        </w:tc>
      </w:tr>
      <w:tr>
        <w:trPr>
          <w:trHeight w:val="237"/>
        </w:trPr>
        <w:tc>
          <w:tcPr>
            <w:tcW w:w="4000" w:type="dxa"/>
            <w:vAlign w:val="bottom"/>
            <w:gridSpan w:val="2"/>
          </w:tcPr>
          <w:p>
            <w:pPr>
              <w:ind w:left="11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54,310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69,737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124,047</w:t>
            </w:r>
          </w:p>
        </w:tc>
      </w:tr>
      <w:tr>
        <w:trPr>
          <w:trHeight w:val="27"/>
        </w:trPr>
        <w:tc>
          <w:tcPr>
            <w:tcW w:w="128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91"/>
        </w:trPr>
        <w:tc>
          <w:tcPr>
            <w:tcW w:w="128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44,188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5,821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50,009</w:t>
            </w:r>
          </w:p>
        </w:tc>
      </w:tr>
      <w:tr>
        <w:trPr>
          <w:trHeight w:val="27"/>
        </w:trPr>
        <w:tc>
          <w:tcPr>
            <w:tcW w:w="1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gridSpan w:val="2"/>
          </w:tcPr>
          <w:p>
            <w:pPr>
              <w:ind w:left="38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111</w:t>
            </w:r>
          </w:p>
        </w:tc>
      </w:tr>
      <w:tr>
        <w:trPr>
          <w:trHeight w:val="27"/>
        </w:trPr>
        <w:tc>
          <w:tcPr>
            <w:tcW w:w="1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(13,965)</w:t>
            </w:r>
          </w:p>
        </w:tc>
      </w:tr>
      <w:tr>
        <w:trPr>
          <w:trHeight w:val="243"/>
        </w:trPr>
        <w:tc>
          <w:tcPr>
            <w:tcW w:w="4000" w:type="dxa"/>
            <w:vAlign w:val="bottom"/>
            <w:gridSpan w:val="2"/>
          </w:tcPr>
          <w:p>
            <w:pPr>
              <w:ind w:left="380"/>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4,002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7"/>
        </w:trPr>
        <w:tc>
          <w:tcPr>
            <w:tcW w:w="128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00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Total other income (expense)</w:t>
            </w: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(14,279)</w:t>
            </w:r>
          </w:p>
        </w:tc>
      </w:tr>
      <w:tr>
        <w:trPr>
          <w:trHeight w:val="291"/>
        </w:trPr>
        <w:tc>
          <w:tcPr>
            <w:tcW w:w="12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35,730</w:t>
            </w: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Income tax benefit (provision)</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2,120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(10,419)</w:t>
            </w:r>
          </w:p>
        </w:tc>
      </w:tr>
      <w:tr>
        <w:trPr>
          <w:trHeight w:val="27"/>
        </w:trPr>
        <w:tc>
          <w:tcPr>
            <w:tcW w:w="1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Equity in earnings of guarantor and non-guarantor</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57"/>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subsidiaries, net</w:t>
            </w: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4,165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25,311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3,389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25,311</w:t>
            </w:r>
          </w:p>
        </w:tc>
      </w:tr>
      <w:tr>
        <w:trPr>
          <w:trHeight w:val="27"/>
        </w:trPr>
        <w:tc>
          <w:tcPr>
            <w:tcW w:w="1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12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08"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400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785"/>
        </w:trPr>
        <w:tc>
          <w:tcPr>
            <w:tcW w:w="1280" w:type="dxa"/>
            <w:vAlign w:val="bottom"/>
            <w:tcBorders>
              <w:top w:val="single" w:sz="8" w:color="0000FF"/>
            </w:tcBorders>
          </w:tcPr>
          <w:p>
            <w:pPr>
              <w:spacing w:after="0"/>
              <w:rPr>
                <w:sz w:val="24"/>
                <w:szCs w:val="24"/>
                <w:color w:val="auto"/>
              </w:rPr>
            </w:pPr>
          </w:p>
        </w:tc>
        <w:tc>
          <w:tcPr>
            <w:tcW w:w="2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20" w:type="dxa"/>
            <w:vAlign w:val="bottom"/>
            <w:gridSpan w:val="8"/>
          </w:tcPr>
          <w:p>
            <w:pPr>
              <w:jc w:val="center"/>
              <w:ind w:right="1300"/>
              <w:spacing w:after="0"/>
              <w:rPr>
                <w:sz w:val="20"/>
                <w:szCs w:val="20"/>
                <w:color w:val="auto"/>
              </w:rPr>
            </w:pPr>
            <w:r>
              <w:rPr>
                <w:rFonts w:ascii="Arial" w:cs="Arial" w:eastAsia="Arial" w:hAnsi="Arial"/>
                <w:sz w:val="18"/>
                <w:szCs w:val="18"/>
                <w:b w:val="1"/>
                <w:bCs w:val="1"/>
                <w:color w:val="auto"/>
                <w:w w:val="89"/>
              </w:rPr>
              <w:t>Consolidating Statement of Operations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80" w:type="dxa"/>
            <w:vAlign w:val="bottom"/>
            <w:gridSpan w:val="6"/>
          </w:tcPr>
          <w:p>
            <w:pPr>
              <w:jc w:val="center"/>
              <w:ind w:left="130"/>
              <w:spacing w:after="0"/>
              <w:rPr>
                <w:sz w:val="20"/>
                <w:szCs w:val="20"/>
                <w:color w:val="auto"/>
              </w:rPr>
            </w:pPr>
            <w:r>
              <w:rPr>
                <w:rFonts w:ascii="Arial" w:cs="Arial" w:eastAsia="Arial" w:hAnsi="Arial"/>
                <w:sz w:val="18"/>
                <w:szCs w:val="18"/>
                <w:b w:val="1"/>
                <w:bCs w:val="1"/>
                <w:color w:val="auto"/>
                <w:w w:val="89"/>
              </w:rPr>
              <w:t>Six Months Ended June 30, 2011</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549"/>
        </w:trPr>
        <w:tc>
          <w:tcPr>
            <w:tcW w:w="12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Combined</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Guarantor</w:t>
            </w: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240"/>
              <w:spacing w:after="0"/>
              <w:rPr>
                <w:sz w:val="20"/>
                <w:szCs w:val="20"/>
                <w:color w:val="auto"/>
              </w:rPr>
            </w:pPr>
            <w:r>
              <w:rPr>
                <w:rFonts w:ascii="Arial" w:cs="Arial" w:eastAsia="Arial" w:hAnsi="Arial"/>
                <w:sz w:val="18"/>
                <w:szCs w:val="18"/>
                <w:b w:val="1"/>
                <w:bCs w:val="1"/>
                <w:color w:val="auto"/>
              </w:rPr>
              <w:t>Parent</w:t>
            </w:r>
          </w:p>
        </w:tc>
        <w:tc>
          <w:tcPr>
            <w:tcW w:w="160" w:type="dxa"/>
            <w:vAlign w:val="bottom"/>
          </w:tcPr>
          <w:p>
            <w:pPr>
              <w:spacing w:after="0"/>
              <w:rPr>
                <w:sz w:val="20"/>
                <w:szCs w:val="20"/>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b w:val="1"/>
                <w:bCs w:val="1"/>
                <w:color w:val="auto"/>
              </w:rPr>
              <w:t>Subsidiary</w:t>
            </w:r>
          </w:p>
        </w:tc>
        <w:tc>
          <w:tcPr>
            <w:tcW w:w="160" w:type="dxa"/>
            <w:vAlign w:val="bottom"/>
          </w:tcPr>
          <w:p>
            <w:pPr>
              <w:spacing w:after="0"/>
              <w:rPr>
                <w:sz w:val="20"/>
                <w:szCs w:val="20"/>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Subsidiaries</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Eliminations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7"/>
        </w:trPr>
        <w:tc>
          <w:tcPr>
            <w:tcW w:w="1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140"/>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562,653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653,623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1,176,092</w:t>
            </w: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Cost of revenues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377,003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464,080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(40,184)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800,899</w:t>
            </w:r>
          </w:p>
        </w:tc>
      </w:tr>
      <w:tr>
        <w:trPr>
          <w:trHeight w:val="27"/>
        </w:trPr>
        <w:tc>
          <w:tcPr>
            <w:tcW w:w="128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185,650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189,543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375,193</w:t>
            </w:r>
          </w:p>
        </w:tc>
      </w:tr>
      <w:tr>
        <w:trPr>
          <w:trHeight w:val="324"/>
        </w:trPr>
        <w:tc>
          <w:tcPr>
            <w:tcW w:w="12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gridSpan w:val="2"/>
          </w:tcPr>
          <w:p>
            <w:pPr>
              <w:ind w:left="38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35,210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58,283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93,493</w:t>
            </w:r>
          </w:p>
        </w:tc>
      </w:tr>
      <w:tr>
        <w:trPr>
          <w:trHeight w:val="27"/>
        </w:trPr>
        <w:tc>
          <w:tcPr>
            <w:tcW w:w="1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Product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51,864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29,512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81,376</w:t>
            </w:r>
          </w:p>
        </w:tc>
      </w:tr>
      <w:tr>
        <w:trPr>
          <w:trHeight w:val="243"/>
        </w:trPr>
        <w:tc>
          <w:tcPr>
            <w:tcW w:w="4000" w:type="dxa"/>
            <w:vAlign w:val="bottom"/>
            <w:gridSpan w:val="2"/>
          </w:tcPr>
          <w:p>
            <w:pPr>
              <w:ind w:left="38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26,474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41,975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68,449</w:t>
            </w:r>
          </w:p>
        </w:tc>
      </w:tr>
      <w:tr>
        <w:trPr>
          <w:trHeight w:val="27"/>
        </w:trPr>
        <w:tc>
          <w:tcPr>
            <w:tcW w:w="1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31,794</w:t>
            </w:r>
          </w:p>
        </w:tc>
      </w:tr>
      <w:tr>
        <w:trPr>
          <w:trHeight w:val="243"/>
        </w:trPr>
        <w:tc>
          <w:tcPr>
            <w:tcW w:w="4000" w:type="dxa"/>
            <w:vAlign w:val="bottom"/>
            <w:gridSpan w:val="2"/>
          </w:tcPr>
          <w:p>
            <w:pPr>
              <w:ind w:left="420"/>
              <w:spacing w:after="0"/>
              <w:rPr>
                <w:sz w:val="20"/>
                <w:szCs w:val="20"/>
                <w:color w:val="auto"/>
              </w:rPr>
            </w:pPr>
            <w:r>
              <w:rPr>
                <w:rFonts w:ascii="Arial" w:cs="Arial" w:eastAsia="Arial" w:hAnsi="Arial"/>
                <w:sz w:val="18"/>
                <w:szCs w:val="18"/>
                <w:color w:val="auto"/>
              </w:rPr>
              <w:t>Restructuring</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1,907</w:t>
            </w:r>
          </w:p>
        </w:tc>
      </w:tr>
      <w:tr>
        <w:trPr>
          <w:trHeight w:val="27"/>
        </w:trPr>
        <w:tc>
          <w:tcPr>
            <w:tcW w:w="128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00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121,073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155,946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277,019</w:t>
            </w:r>
          </w:p>
        </w:tc>
      </w:tr>
      <w:tr>
        <w:trPr>
          <w:trHeight w:val="318"/>
        </w:trPr>
        <w:tc>
          <w:tcPr>
            <w:tcW w:w="12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64,577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98,174</w:t>
            </w: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w:t>
            </w:r>
          </w:p>
        </w:tc>
      </w:tr>
      <w:tr>
        <w:trPr>
          <w:trHeight w:val="243"/>
        </w:trPr>
        <w:tc>
          <w:tcPr>
            <w:tcW w:w="4000" w:type="dxa"/>
            <w:vAlign w:val="bottom"/>
            <w:gridSpan w:val="2"/>
          </w:tcPr>
          <w:p>
            <w:pPr>
              <w:ind w:left="38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(24,997)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(15,042)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16,505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(23,534)</w:t>
            </w:r>
          </w:p>
        </w:tc>
      </w:tr>
      <w:tr>
        <w:trPr>
          <w:trHeight w:val="27"/>
        </w:trPr>
        <w:tc>
          <w:tcPr>
            <w:tcW w:w="1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0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income (expense), net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(4,073)</w:t>
            </w:r>
          </w:p>
        </w:tc>
      </w:tr>
      <w:tr>
        <w:trPr>
          <w:trHeight w:val="237"/>
        </w:trPr>
        <w:tc>
          <w:tcPr>
            <w:tcW w:w="4000" w:type="dxa"/>
            <w:vAlign w:val="bottom"/>
            <w:gridSpan w:val="2"/>
          </w:tcPr>
          <w:p>
            <w:pPr>
              <w:ind w:left="1140"/>
              <w:spacing w:after="0"/>
              <w:rPr>
                <w:sz w:val="20"/>
                <w:szCs w:val="20"/>
                <w:color w:val="auto"/>
              </w:rPr>
            </w:pPr>
            <w:r>
              <w:rPr>
                <w:rFonts w:ascii="Arial" w:cs="Arial" w:eastAsia="Arial" w:hAnsi="Arial"/>
                <w:sz w:val="18"/>
                <w:szCs w:val="18"/>
                <w:color w:val="auto"/>
              </w:rPr>
              <w:t>Total other income (expense)</w:t>
            </w:r>
          </w:p>
        </w:tc>
        <w:tc>
          <w:tcPr>
            <w:tcW w:w="1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(12,698)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1,668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(16,101)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(27,131)</w:t>
            </w:r>
          </w:p>
        </w:tc>
      </w:tr>
      <w:tr>
        <w:trPr>
          <w:trHeight w:val="27"/>
        </w:trPr>
        <w:tc>
          <w:tcPr>
            <w:tcW w:w="128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318"/>
        </w:trPr>
        <w:tc>
          <w:tcPr>
            <w:tcW w:w="128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51,879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1,668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17,496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71,043</w:t>
            </w:r>
          </w:p>
        </w:tc>
      </w:tr>
      <w:tr>
        <w:trPr>
          <w:trHeight w:val="27"/>
        </w:trPr>
        <w:tc>
          <w:tcPr>
            <w:tcW w:w="12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(9,487)</w:t>
            </w:r>
          </w:p>
        </w:tc>
      </w:tr>
      <w:tr>
        <w:trPr>
          <w:trHeight w:val="229"/>
        </w:trPr>
        <w:tc>
          <w:tcPr>
            <w:tcW w:w="4000" w:type="dxa"/>
            <w:vAlign w:val="bottom"/>
            <w:gridSpan w:val="2"/>
          </w:tcPr>
          <w:p>
            <w:pPr>
              <w:ind w:left="40"/>
              <w:spacing w:after="0"/>
              <w:rPr>
                <w:sz w:val="20"/>
                <w:szCs w:val="20"/>
                <w:color w:val="auto"/>
              </w:rPr>
            </w:pPr>
            <w:r>
              <w:rPr>
                <w:rFonts w:ascii="Arial" w:cs="Arial" w:eastAsia="Arial" w:hAnsi="Arial"/>
                <w:sz w:val="18"/>
                <w:szCs w:val="18"/>
                <w:color w:val="auto"/>
                <w:w w:val="98"/>
              </w:rPr>
              <w:t>Equity in earnings of guarantor and non-guarantor</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000" w:type="dxa"/>
            <w:vAlign w:val="bottom"/>
            <w:gridSpan w:val="2"/>
          </w:tcPr>
          <w:p>
            <w:pPr>
              <w:ind w:left="360"/>
              <w:spacing w:after="0"/>
              <w:rPr>
                <w:sz w:val="20"/>
                <w:szCs w:val="20"/>
                <w:color w:val="auto"/>
              </w:rPr>
            </w:pPr>
            <w:r>
              <w:rPr>
                <w:rFonts w:ascii="Arial" w:cs="Arial" w:eastAsia="Arial" w:hAnsi="Arial"/>
                <w:sz w:val="18"/>
                <w:szCs w:val="18"/>
                <w:color w:val="auto"/>
              </w:rPr>
              <w:t>subsidiaries, net</w:t>
            </w:r>
          </w:p>
        </w:tc>
        <w:tc>
          <w:tcPr>
            <w:tcW w:w="16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23,867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(23,867)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61,556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22,199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(23,867)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61,556</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12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center"/>
              <w:ind w:right="850"/>
              <w:spacing w:after="0"/>
              <w:rPr>
                <w:sz w:val="20"/>
                <w:szCs w:val="20"/>
                <w:color w:val="auto"/>
              </w:rPr>
            </w:pPr>
            <w:r>
              <w:rPr>
                <w:rFonts w:ascii="Arial" w:cs="Arial" w:eastAsia="Arial" w:hAnsi="Arial"/>
                <w:sz w:val="18"/>
                <w:szCs w:val="18"/>
                <w:color w:val="auto"/>
                <w:w w:val="89"/>
              </w:rPr>
              <w:t>21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2010</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Combined</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Guarantor</w:t>
            </w:r>
          </w:p>
        </w:tc>
        <w:tc>
          <w:tcPr>
            <w:tcW w:w="16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Non-guarantor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Parent</w:t>
            </w:r>
          </w:p>
        </w:tc>
        <w:tc>
          <w:tcPr>
            <w:tcW w:w="180" w:type="dxa"/>
            <w:vAlign w:val="bottom"/>
          </w:tcPr>
          <w:p>
            <w:pPr>
              <w:spacing w:after="0"/>
              <w:rPr>
                <w:sz w:val="20"/>
                <w:szCs w:val="20"/>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b w:val="1"/>
                <w:bCs w:val="1"/>
                <w:color w:val="auto"/>
              </w:rPr>
              <w:t>Subsidiary</w:t>
            </w:r>
          </w:p>
        </w:tc>
        <w:tc>
          <w:tcPr>
            <w:tcW w:w="160" w:type="dxa"/>
            <w:vAlign w:val="bottom"/>
          </w:tcPr>
          <w:p>
            <w:pPr>
              <w:spacing w:after="0"/>
              <w:rPr>
                <w:sz w:val="20"/>
                <w:szCs w:val="20"/>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Subsidiaries</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Eliminations</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Consolidated</w:t>
            </w:r>
          </w:p>
        </w:tc>
      </w:tr>
      <w:tr>
        <w:trPr>
          <w:trHeight w:val="27"/>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140"/>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539,253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551,911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1,064,962</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364,772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395,272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(26,202)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733,842</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174,481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156,639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331,120</w:t>
            </w:r>
          </w:p>
        </w:tc>
      </w:tr>
      <w:tr>
        <w:trPr>
          <w:trHeight w:val="324"/>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31,273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51,238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82,511</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42,229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66,062</w:t>
            </w: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27,250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39,092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66,342</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8,172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26,405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34,577</w:t>
            </w:r>
          </w:p>
        </w:tc>
      </w:tr>
      <w:tr>
        <w:trPr>
          <w:trHeight w:val="237"/>
        </w:trPr>
        <w:tc>
          <w:tcPr>
            <w:tcW w:w="4000" w:type="dxa"/>
            <w:vAlign w:val="bottom"/>
          </w:tcPr>
          <w:p>
            <w:pPr>
              <w:ind w:left="11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108,924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140,568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249,492</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318"/>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65,557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16,071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81,628</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278</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(28,888)</w:t>
            </w: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2,973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(1,017)</w:t>
            </w: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 other income (expense)</w:t>
            </w: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(26,753)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(29,627)</w:t>
            </w:r>
          </w:p>
        </w:tc>
      </w:tr>
      <w:tr>
        <w:trPr>
          <w:trHeight w:val="318"/>
        </w:trPr>
        <w:tc>
          <w:tcPr>
            <w:tcW w:w="40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38,804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52,001</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Income tax (provision) benefit</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1,352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(1,440)</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Equity in earnings of guarantor and non-guarantor</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57"/>
        </w:trPr>
        <w:tc>
          <w:tcPr>
            <w:tcW w:w="4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subsidiaries, net</w:t>
            </w: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14,549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(14,549)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50,561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1,534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13,015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(14,549)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50,561</w:t>
            </w:r>
          </w:p>
        </w:tc>
      </w:tr>
      <w:tr>
        <w:trPr>
          <w:trHeight w:val="27"/>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720"/>
        <w:spacing w:after="0"/>
        <w:rPr>
          <w:sz w:val="20"/>
          <w:szCs w:val="20"/>
          <w:color w:val="auto"/>
        </w:rPr>
      </w:pPr>
      <w:r>
        <w:rPr>
          <w:rFonts w:ascii="Arial" w:cs="Arial" w:eastAsia="Arial" w:hAnsi="Arial"/>
          <w:sz w:val="14"/>
          <w:szCs w:val="14"/>
          <w:b w:val="1"/>
          <w:bCs w:val="1"/>
          <w:color w:val="auto"/>
        </w:rPr>
        <w:t>ASSETS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Current assets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Cash and cash equivalents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Accounts receivable, net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Intercompany accounts receivable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Inventories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Deferred tax assets current, net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 current assets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Intercompany other</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Total current assets</w:t>
      </w:r>
    </w:p>
    <w:p>
      <w:pPr>
        <w:spacing w:after="0" w:line="352"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Property, plant, and equipment,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Deferred tax assets noncurrent,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long-term assets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Intangible assets,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Goodwill</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Investment in subsidiaries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Intercompany notes receivable</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Total assets</w:t>
      </w:r>
    </w:p>
    <w:p>
      <w:pPr>
        <w:spacing w:after="0" w:line="146" w:lineRule="exact"/>
        <w:rPr>
          <w:sz w:val="20"/>
          <w:szCs w:val="20"/>
          <w:color w:val="auto"/>
        </w:rPr>
      </w:pPr>
    </w:p>
    <w:p>
      <w:pPr>
        <w:jc w:val="right"/>
        <w:ind w:right="480"/>
        <w:spacing w:after="0"/>
        <w:rPr>
          <w:sz w:val="20"/>
          <w:szCs w:val="20"/>
          <w:color w:val="auto"/>
        </w:rPr>
      </w:pPr>
      <w:r>
        <w:rPr>
          <w:rFonts w:ascii="Arial" w:cs="Arial" w:eastAsia="Arial" w:hAnsi="Arial"/>
          <w:sz w:val="14"/>
          <w:szCs w:val="14"/>
          <w:b w:val="1"/>
          <w:bCs w:val="1"/>
          <w:color w:val="auto"/>
        </w:rPr>
        <w:t>LIABILITIES AND SHAREHOLDERS’ EQUITY</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Current liabilities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Accounts payable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 current liabilities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Intercompany accounts payable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Wages and benefits payable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Taxes payable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Current portion of debt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Current portion of warranty</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Unearned revenue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Short-term intercompany advances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Total current liabilities</w:t>
      </w:r>
    </w:p>
    <w:p>
      <w:pPr>
        <w:spacing w:after="0" w:line="352" w:lineRule="exact"/>
        <w:rPr>
          <w:sz w:val="20"/>
          <w:szCs w:val="20"/>
          <w:color w:val="auto"/>
        </w:rPr>
      </w:pPr>
    </w:p>
    <w:p>
      <w:pPr>
        <w:ind w:left="40"/>
        <w:spacing w:after="0"/>
        <w:rPr>
          <w:sz w:val="20"/>
          <w:szCs w:val="20"/>
          <w:color w:val="auto"/>
        </w:rPr>
      </w:pPr>
      <w:r>
        <w:rPr>
          <w:rFonts w:ascii="Arial" w:cs="Arial" w:eastAsia="Arial" w:hAnsi="Arial"/>
          <w:sz w:val="14"/>
          <w:szCs w:val="14"/>
          <w:color w:val="auto"/>
        </w:rPr>
        <w:t>Long-term debt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Long-term warranty</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Pension plan benefits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Intercompany notes payable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Deferred tax liabilities noncurrent,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long-term obligations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Total liabilities</w:t>
      </w:r>
    </w:p>
    <w:p>
      <w:pPr>
        <w:spacing w:after="0" w:line="35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Shareholders’ equity</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Preferred stock</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Common stock</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Accumulated other comprehensive income (loss), net</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Retained earnings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Total shareholders’ equity</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Total liabilities and shareholders’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jc w:val="center"/>
        <w:ind w:right="4700"/>
        <w:spacing w:after="0"/>
        <w:rPr>
          <w:sz w:val="20"/>
          <w:szCs w:val="20"/>
          <w:color w:val="auto"/>
        </w:rPr>
      </w:pPr>
      <w:r>
        <w:rPr>
          <w:rFonts w:ascii="Arial" w:cs="Arial" w:eastAsia="Arial" w:hAnsi="Arial"/>
          <w:sz w:val="14"/>
          <w:szCs w:val="14"/>
          <w:b w:val="1"/>
          <w:bCs w:val="1"/>
          <w:color w:val="auto"/>
        </w:rPr>
        <w:t>Consolidating Balance Sheet</w:t>
      </w:r>
    </w:p>
    <w:p>
      <w:pPr>
        <w:spacing w:after="0" w:line="28" w:lineRule="exact"/>
        <w:rPr>
          <w:sz w:val="20"/>
          <w:szCs w:val="20"/>
          <w:color w:val="auto"/>
        </w:rPr>
      </w:pPr>
    </w:p>
    <w:p>
      <w:pPr>
        <w:jc w:val="center"/>
        <w:ind w:right="4700"/>
        <w:spacing w:after="0"/>
        <w:rPr>
          <w:sz w:val="20"/>
          <w:szCs w:val="20"/>
          <w:color w:val="auto"/>
        </w:rPr>
      </w:pPr>
      <w:r>
        <w:rPr>
          <w:rFonts w:ascii="Arial" w:cs="Arial" w:eastAsia="Arial" w:hAnsi="Arial"/>
          <w:sz w:val="14"/>
          <w:szCs w:val="14"/>
          <w:b w:val="1"/>
          <w:bCs w:val="1"/>
          <w:color w:val="auto"/>
        </w:rPr>
        <w:t>June 30, 2011</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Combined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Non-guarantor</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2"/>
                <w:szCs w:val="12"/>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0"/>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79,037</w:t>
            </w:r>
          </w:p>
        </w:tc>
        <w:tc>
          <w:tcPr>
            <w:tcW w:w="1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89,247</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168,284</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117,090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260,745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377,835</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11,599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8,375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(19,974)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111,702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142,341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(964)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253,079</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37,450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17,695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55,145</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25,101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81,079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(1,684)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104,496</w:t>
            </w:r>
          </w:p>
        </w:tc>
        <w:tc>
          <w:tcPr>
            <w:tcW w:w="0" w:type="dxa"/>
            <w:vAlign w:val="bottom"/>
          </w:tcPr>
          <w:p>
            <w:pPr>
              <w:spacing w:after="0"/>
              <w:rPr>
                <w:sz w:val="1"/>
                <w:szCs w:val="1"/>
                <w:color w:val="auto"/>
              </w:rPr>
            </w:pPr>
          </w:p>
        </w:tc>
      </w:tr>
      <w:tr>
        <w:trPr>
          <w:trHeight w:val="276"/>
        </w:trPr>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2,088</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(2,088)</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26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384,067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599,482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(24,710)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958,839</w:t>
            </w:r>
          </w:p>
        </w:tc>
        <w:tc>
          <w:tcPr>
            <w:tcW w:w="0" w:type="dxa"/>
            <w:vAlign w:val="bottom"/>
          </w:tcPr>
          <w:p>
            <w:pPr>
              <w:spacing w:after="0"/>
              <w:rPr>
                <w:sz w:val="1"/>
                <w:szCs w:val="1"/>
                <w:color w:val="auto"/>
              </w:rPr>
            </w:pPr>
          </w:p>
        </w:tc>
      </w:tr>
      <w:tr>
        <w:trPr>
          <w:trHeight w:val="513"/>
        </w:trPr>
        <w:tc>
          <w:tcPr>
            <w:tcW w:w="260" w:type="dxa"/>
            <w:vAlign w:val="bottom"/>
          </w:tcPr>
          <w:p>
            <w:pPr>
              <w:spacing w:after="0"/>
              <w:rPr>
                <w:sz w:val="24"/>
                <w:szCs w:val="2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116,725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184,733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301,458</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(19,705)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32,419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12,714</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48,220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20,747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68,967</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34,804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258,126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292,930</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184,749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1,127,022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1,311,771</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320,053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(320,053)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60" w:type="dxa"/>
            <w:vAlign w:val="bottom"/>
          </w:tcPr>
          <w:p>
            <w:pPr>
              <w:spacing w:after="0"/>
              <w:rPr>
                <w:sz w:val="24"/>
                <w:szCs w:val="2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1,397,260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103,085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(1,500,345)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2,466,173</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103,085</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2,222,529</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(1,845,108)</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2,946,679</w:t>
            </w: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5"/>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82,347</w:t>
            </w:r>
          </w:p>
        </w:tc>
        <w:tc>
          <w:tcPr>
            <w:tcW w:w="1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186,115</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268,462</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6,648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34,982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41,630</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8,375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11,599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(19,974)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35,475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59,380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94,855</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4,537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23,439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27,976</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234,449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234,449</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10,737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19,262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29,999</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27,779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21,943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49,722</w:t>
            </w:r>
          </w:p>
        </w:tc>
        <w:tc>
          <w:tcPr>
            <w:tcW w:w="0" w:type="dxa"/>
            <w:vAlign w:val="bottom"/>
          </w:tcPr>
          <w:p>
            <w:pPr>
              <w:spacing w:after="0"/>
              <w:rPr>
                <w:sz w:val="1"/>
                <w:szCs w:val="1"/>
                <w:color w:val="auto"/>
              </w:rPr>
            </w:pPr>
          </w:p>
        </w:tc>
      </w:tr>
      <w:tr>
        <w:trPr>
          <w:trHeight w:val="276"/>
        </w:trPr>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2,088</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(2,088)</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26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410,347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358,808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(22,062)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747,093</w:t>
            </w:r>
          </w:p>
        </w:tc>
        <w:tc>
          <w:tcPr>
            <w:tcW w:w="0" w:type="dxa"/>
            <w:vAlign w:val="bottom"/>
          </w:tcPr>
          <w:p>
            <w:pPr>
              <w:spacing w:after="0"/>
              <w:rPr>
                <w:sz w:val="1"/>
                <w:szCs w:val="1"/>
                <w:color w:val="auto"/>
              </w:rPr>
            </w:pPr>
          </w:p>
        </w:tc>
      </w:tr>
      <w:tr>
        <w:trPr>
          <w:trHeight w:val="513"/>
        </w:trPr>
        <w:tc>
          <w:tcPr>
            <w:tcW w:w="260" w:type="dxa"/>
            <w:vAlign w:val="bottom"/>
          </w:tcPr>
          <w:p>
            <w:pPr>
              <w:spacing w:after="0"/>
              <w:rPr>
                <w:sz w:val="24"/>
                <w:szCs w:val="2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341,121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341,121</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11,767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21,072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32,839</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69,675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69,675</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103,085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1,397,260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(1,500,345)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(44,218)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95,757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51,539</w:t>
            </w:r>
          </w:p>
        </w:tc>
        <w:tc>
          <w:tcPr>
            <w:tcW w:w="0" w:type="dxa"/>
            <w:vAlign w:val="bottom"/>
          </w:tcPr>
          <w:p>
            <w:pPr>
              <w:spacing w:after="0"/>
              <w:rPr>
                <w:sz w:val="1"/>
                <w:szCs w:val="1"/>
                <w:color w:val="auto"/>
              </w:rPr>
            </w:pPr>
          </w:p>
        </w:tc>
      </w:tr>
      <w:tr>
        <w:trPr>
          <w:trHeight w:val="276"/>
        </w:trPr>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26,601</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60,341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86,942</w:t>
            </w:r>
          </w:p>
        </w:tc>
        <w:tc>
          <w:tcPr>
            <w:tcW w:w="0" w:type="dxa"/>
            <w:vAlign w:val="bottom"/>
          </w:tcPr>
          <w:p>
            <w:pPr>
              <w:spacing w:after="0"/>
              <w:rPr>
                <w:sz w:val="1"/>
                <w:szCs w:val="1"/>
                <w:color w:val="auto"/>
              </w:rPr>
            </w:pPr>
          </w:p>
        </w:tc>
      </w:tr>
      <w:tr>
        <w:trPr>
          <w:trHeight w:val="244"/>
        </w:trPr>
        <w:tc>
          <w:tcPr>
            <w:tcW w:w="26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848,703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2,002,913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(1,522,407)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1,329,209</w:t>
            </w:r>
          </w:p>
        </w:tc>
        <w:tc>
          <w:tcPr>
            <w:tcW w:w="0" w:type="dxa"/>
            <w:vAlign w:val="bottom"/>
          </w:tcPr>
          <w:p>
            <w:pPr>
              <w:spacing w:after="0"/>
              <w:rPr>
                <w:sz w:val="1"/>
                <w:szCs w:val="1"/>
                <w:color w:val="auto"/>
              </w:rPr>
            </w:pPr>
          </w:p>
        </w:tc>
      </w:tr>
      <w:tr>
        <w:trPr>
          <w:trHeight w:val="783"/>
        </w:trPr>
        <w:tc>
          <w:tcPr>
            <w:tcW w:w="26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1,339,504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97,377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101,192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(198,569)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1,339,504</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81,390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(7,787)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50,861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(43,074)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81,390</w:t>
            </w:r>
          </w:p>
        </w:tc>
        <w:tc>
          <w:tcPr>
            <w:tcW w:w="0" w:type="dxa"/>
            <w:vAlign w:val="bottom"/>
          </w:tcPr>
          <w:p>
            <w:pPr>
              <w:spacing w:after="0"/>
              <w:rPr>
                <w:sz w:val="1"/>
                <w:szCs w:val="1"/>
                <w:color w:val="auto"/>
              </w:rPr>
            </w:pPr>
          </w:p>
        </w:tc>
      </w:tr>
      <w:tr>
        <w:trPr>
          <w:trHeight w:val="276"/>
        </w:trPr>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196,576</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13,495</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67,563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(81,058)</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196,576</w:t>
            </w:r>
          </w:p>
        </w:tc>
        <w:tc>
          <w:tcPr>
            <w:tcW w:w="0" w:type="dxa"/>
            <w:vAlign w:val="bottom"/>
          </w:tcPr>
          <w:p>
            <w:pPr>
              <w:spacing w:after="0"/>
              <w:rPr>
                <w:sz w:val="1"/>
                <w:szCs w:val="1"/>
                <w:color w:val="auto"/>
              </w:rPr>
            </w:pPr>
          </w:p>
        </w:tc>
      </w:tr>
      <w:tr>
        <w:trPr>
          <w:trHeight w:val="250"/>
        </w:trPr>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1,617,470</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103,085</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219,616</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(322,701)</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1,617,470</w:t>
            </w:r>
          </w:p>
        </w:tc>
        <w:tc>
          <w:tcPr>
            <w:tcW w:w="0" w:type="dxa"/>
            <w:vAlign w:val="bottom"/>
          </w:tcPr>
          <w:p>
            <w:pPr>
              <w:spacing w:after="0"/>
              <w:rPr>
                <w:sz w:val="1"/>
                <w:szCs w:val="1"/>
                <w:color w:val="auto"/>
              </w:rPr>
            </w:pPr>
          </w:p>
        </w:tc>
      </w:tr>
      <w:tr>
        <w:trPr>
          <w:trHeight w:val="237"/>
        </w:trPr>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2,466,173</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103,085</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2,222,529</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(1,845,108)</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2,946,679</w:t>
            </w: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-8043545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-7700645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-7357110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-7014210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-6671310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-6328410</wp:posOffset>
            </wp:positionV>
            <wp:extent cx="72466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-6002655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-5659120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-5316220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-4973320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-4613275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-4270375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-3926840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-3583940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-3241040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-2898140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-2572385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-2228850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-1885950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-1543050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-1217295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-874395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-530860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-187960</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720"/>
            <w:col w:w="6720"/>
          </w:cols>
          <w:pgMar w:left="240" w:top="125" w:right="239" w:bottom="96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960" w:gutter="0" w:footer="0" w:header="0"/>
          <w:type w:val="continuous"/>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720"/>
        <w:spacing w:after="0"/>
        <w:rPr>
          <w:sz w:val="20"/>
          <w:szCs w:val="20"/>
          <w:color w:val="auto"/>
        </w:rPr>
      </w:pPr>
      <w:r>
        <w:rPr>
          <w:rFonts w:ascii="Arial" w:cs="Arial" w:eastAsia="Arial" w:hAnsi="Arial"/>
          <w:sz w:val="14"/>
          <w:szCs w:val="14"/>
          <w:b w:val="1"/>
          <w:bCs w:val="1"/>
          <w:color w:val="auto"/>
        </w:rPr>
        <w:t>ASSETS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Current assets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Cash and cash equivalents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Accounts receivable, net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Intercompany accounts receivable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Inventories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Deferred tax assets current, net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 current assets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Intercompany other</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Total current assets</w:t>
      </w:r>
    </w:p>
    <w:p>
      <w:pPr>
        <w:spacing w:after="0" w:line="352"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Property, plant, and equipment,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Deferred tax assets noncurrent,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long-term assets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Intangible assets,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Goodwill</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Investment in subsidiaries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Intercompany notes receivable</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Total assets</w:t>
      </w:r>
    </w:p>
    <w:p>
      <w:pPr>
        <w:spacing w:after="0" w:line="146" w:lineRule="exact"/>
        <w:rPr>
          <w:sz w:val="20"/>
          <w:szCs w:val="20"/>
          <w:color w:val="auto"/>
        </w:rPr>
      </w:pPr>
    </w:p>
    <w:p>
      <w:pPr>
        <w:ind w:left="40" w:right="480" w:firstLine="351"/>
        <w:spacing w:after="0" w:line="395" w:lineRule="auto"/>
        <w:rPr>
          <w:sz w:val="20"/>
          <w:szCs w:val="20"/>
          <w:color w:val="auto"/>
        </w:rPr>
      </w:pPr>
      <w:r>
        <w:rPr>
          <w:rFonts w:ascii="Arial" w:cs="Arial" w:eastAsia="Arial" w:hAnsi="Arial"/>
          <w:sz w:val="14"/>
          <w:szCs w:val="14"/>
          <w:b w:val="1"/>
          <w:bCs w:val="1"/>
          <w:color w:val="auto"/>
        </w:rPr>
        <w:t xml:space="preserve">LIABILITIES AND SHAREHOLDERS’ EQUITY </w:t>
      </w:r>
      <w:r>
        <w:rPr>
          <w:rFonts w:ascii="Arial" w:cs="Arial" w:eastAsia="Arial" w:hAnsi="Arial"/>
          <w:sz w:val="14"/>
          <w:szCs w:val="14"/>
          <w:color w:val="auto"/>
        </w:rPr>
        <w:t>Current liabilities</w:t>
      </w:r>
    </w:p>
    <w:p>
      <w:pPr>
        <w:spacing w:after="0" w:line="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Accounts payable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 current liabilities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Intercompany accounts payable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Wages and benefits payable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Taxes payable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Current portion of debt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Current portion of warranty</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Unearned revenue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Short-term intercompany advances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Total current liabilities</w:t>
      </w:r>
    </w:p>
    <w:p>
      <w:pPr>
        <w:spacing w:after="0" w:line="352" w:lineRule="exact"/>
        <w:rPr>
          <w:sz w:val="20"/>
          <w:szCs w:val="20"/>
          <w:color w:val="auto"/>
        </w:rPr>
      </w:pPr>
    </w:p>
    <w:p>
      <w:pPr>
        <w:ind w:left="40"/>
        <w:spacing w:after="0"/>
        <w:rPr>
          <w:sz w:val="20"/>
          <w:szCs w:val="20"/>
          <w:color w:val="auto"/>
        </w:rPr>
      </w:pPr>
      <w:r>
        <w:rPr>
          <w:rFonts w:ascii="Arial" w:cs="Arial" w:eastAsia="Arial" w:hAnsi="Arial"/>
          <w:sz w:val="14"/>
          <w:szCs w:val="14"/>
          <w:color w:val="auto"/>
        </w:rPr>
        <w:t>Long-term debt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Long-term warranty</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Pension plan benefit liability</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Intercompany notes payable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Deferred tax liabilities noncurrent,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long-term obligations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Total liabilities</w:t>
      </w:r>
    </w:p>
    <w:p>
      <w:pPr>
        <w:spacing w:after="0" w:line="35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Shareholders’ equity</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Preferred stock</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Common stock</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Accumulated other comprehensive income (loss), net</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Retained earnings</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Total shareholders’ equity</w:t>
      </w:r>
    </w:p>
    <w:p>
      <w:pPr>
        <w:spacing w:after="0" w:line="109" w:lineRule="exact"/>
        <w:rPr>
          <w:sz w:val="20"/>
          <w:szCs w:val="20"/>
          <w:color w:val="auto"/>
        </w:rPr>
      </w:pPr>
    </w:p>
    <w:p>
      <w:pPr>
        <w:ind w:left="720"/>
        <w:spacing w:after="0"/>
        <w:rPr>
          <w:sz w:val="20"/>
          <w:szCs w:val="20"/>
          <w:color w:val="auto"/>
        </w:rPr>
      </w:pPr>
      <w:r>
        <w:rPr>
          <w:rFonts w:ascii="Arial" w:cs="Arial" w:eastAsia="Arial" w:hAnsi="Arial"/>
          <w:sz w:val="14"/>
          <w:szCs w:val="14"/>
          <w:color w:val="auto"/>
        </w:rPr>
        <w:t>Total liabilities and shareholders’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jc w:val="center"/>
        <w:ind w:right="4700"/>
        <w:spacing w:after="0"/>
        <w:rPr>
          <w:sz w:val="20"/>
          <w:szCs w:val="20"/>
          <w:color w:val="auto"/>
        </w:rPr>
      </w:pPr>
      <w:r>
        <w:rPr>
          <w:rFonts w:ascii="Arial" w:cs="Arial" w:eastAsia="Arial" w:hAnsi="Arial"/>
          <w:sz w:val="14"/>
          <w:szCs w:val="14"/>
          <w:b w:val="1"/>
          <w:bCs w:val="1"/>
          <w:color w:val="auto"/>
        </w:rPr>
        <w:t>Consolidating Balance Sheet</w:t>
      </w:r>
    </w:p>
    <w:p>
      <w:pPr>
        <w:spacing w:after="0" w:line="17" w:lineRule="exact"/>
        <w:rPr>
          <w:sz w:val="20"/>
          <w:szCs w:val="20"/>
          <w:color w:val="auto"/>
        </w:rPr>
      </w:pPr>
    </w:p>
    <w:p>
      <w:pPr>
        <w:jc w:val="center"/>
        <w:ind w:right="4700"/>
        <w:spacing w:after="0"/>
        <w:rPr>
          <w:sz w:val="20"/>
          <w:szCs w:val="20"/>
          <w:color w:val="auto"/>
        </w:rPr>
      </w:pPr>
      <w:r>
        <w:rPr>
          <w:rFonts w:ascii="Arial" w:cs="Arial" w:eastAsia="Arial" w:hAnsi="Arial"/>
          <w:sz w:val="14"/>
          <w:szCs w:val="14"/>
          <w:b w:val="1"/>
          <w:bCs w:val="1"/>
          <w:color w:val="auto"/>
        </w:rPr>
        <w:t>December 31, 2010</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Combined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Non-guarantor</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2"/>
                <w:szCs w:val="12"/>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Subsidiary</w:t>
            </w: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0"/>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19,146</w:t>
            </w:r>
          </w:p>
        </w:tc>
        <w:tc>
          <w:tcPr>
            <w:tcW w:w="1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150,331</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169,477</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163,758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207,904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371,662</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10,106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3,675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(13,781)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99,846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109,208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(897)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208,157</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40,344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15,007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55,351</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23,962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53,608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77,570</w:t>
            </w:r>
          </w:p>
        </w:tc>
        <w:tc>
          <w:tcPr>
            <w:tcW w:w="0" w:type="dxa"/>
            <w:vAlign w:val="bottom"/>
          </w:tcPr>
          <w:p>
            <w:pPr>
              <w:spacing w:after="0"/>
              <w:rPr>
                <w:sz w:val="1"/>
                <w:szCs w:val="1"/>
                <w:color w:val="auto"/>
              </w:rPr>
            </w:pPr>
          </w:p>
        </w:tc>
      </w:tr>
      <w:tr>
        <w:trPr>
          <w:trHeight w:val="276"/>
        </w:trPr>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1,997</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(1,997)</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26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359,159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539,733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(16,675)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882,217</w:t>
            </w:r>
          </w:p>
        </w:tc>
        <w:tc>
          <w:tcPr>
            <w:tcW w:w="0" w:type="dxa"/>
            <w:vAlign w:val="bottom"/>
          </w:tcPr>
          <w:p>
            <w:pPr>
              <w:spacing w:after="0"/>
              <w:rPr>
                <w:sz w:val="1"/>
                <w:szCs w:val="1"/>
                <w:color w:val="auto"/>
              </w:rPr>
            </w:pPr>
          </w:p>
        </w:tc>
      </w:tr>
      <w:tr>
        <w:trPr>
          <w:trHeight w:val="513"/>
        </w:trPr>
        <w:tc>
          <w:tcPr>
            <w:tcW w:w="260" w:type="dxa"/>
            <w:vAlign w:val="bottom"/>
          </w:tcPr>
          <w:p>
            <w:pPr>
              <w:spacing w:after="0"/>
              <w:rPr>
                <w:sz w:val="24"/>
                <w:szCs w:val="2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115,499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183,743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299,242</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7,684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27,366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35,050</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14,134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14,108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28,242</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41,828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249,842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291,670</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184,750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1,024,626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1,209,376</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324,104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(324,104)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60" w:type="dxa"/>
            <w:vAlign w:val="bottom"/>
          </w:tcPr>
          <w:p>
            <w:pPr>
              <w:spacing w:after="0"/>
              <w:rPr>
                <w:sz w:val="24"/>
                <w:szCs w:val="2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1,283,139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101,418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(1,384,557)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2,330,297</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101,418</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2,039,418</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(1,725,336)</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2,745,797</w:t>
            </w: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5"/>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75,027</w:t>
            </w:r>
          </w:p>
        </w:tc>
        <w:tc>
          <w:tcPr>
            <w:tcW w:w="1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166,922</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241,949</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12,223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37,467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49,690</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3,675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10,106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(13,781)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54,804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55,675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110,479</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3,368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16,357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19,725</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228,721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228,721</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8,813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16,099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24,912</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21,926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6,332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28,258</w:t>
            </w:r>
          </w:p>
        </w:tc>
        <w:tc>
          <w:tcPr>
            <w:tcW w:w="0" w:type="dxa"/>
            <w:vAlign w:val="bottom"/>
          </w:tcPr>
          <w:p>
            <w:pPr>
              <w:spacing w:after="0"/>
              <w:rPr>
                <w:sz w:val="1"/>
                <w:szCs w:val="1"/>
                <w:color w:val="auto"/>
              </w:rPr>
            </w:pPr>
          </w:p>
        </w:tc>
      </w:tr>
      <w:tr>
        <w:trPr>
          <w:trHeight w:val="276"/>
        </w:trPr>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1,997</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(1,997)</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26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408,557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310,955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(15,778)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703,734</w:t>
            </w:r>
          </w:p>
        </w:tc>
        <w:tc>
          <w:tcPr>
            <w:tcW w:w="0" w:type="dxa"/>
            <w:vAlign w:val="bottom"/>
          </w:tcPr>
          <w:p>
            <w:pPr>
              <w:spacing w:after="0"/>
              <w:rPr>
                <w:sz w:val="1"/>
                <w:szCs w:val="1"/>
                <w:color w:val="auto"/>
              </w:rPr>
            </w:pPr>
          </w:p>
        </w:tc>
      </w:tr>
      <w:tr>
        <w:trPr>
          <w:trHeight w:val="513"/>
        </w:trPr>
        <w:tc>
          <w:tcPr>
            <w:tcW w:w="260" w:type="dxa"/>
            <w:vAlign w:val="bottom"/>
          </w:tcPr>
          <w:p>
            <w:pPr>
              <w:spacing w:after="0"/>
              <w:rPr>
                <w:sz w:val="24"/>
                <w:szCs w:val="2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382,220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382,220</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13,721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12,650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26,371</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61,450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61,450</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101,418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1,283,139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(1,384,557)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(38,400)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92,812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54,412</w:t>
            </w:r>
          </w:p>
        </w:tc>
        <w:tc>
          <w:tcPr>
            <w:tcW w:w="0" w:type="dxa"/>
            <w:vAlign w:val="bottom"/>
          </w:tcPr>
          <w:p>
            <w:pPr>
              <w:spacing w:after="0"/>
              <w:rPr>
                <w:sz w:val="1"/>
                <w:szCs w:val="1"/>
                <w:color w:val="auto"/>
              </w:rPr>
            </w:pPr>
          </w:p>
        </w:tc>
      </w:tr>
      <w:tr>
        <w:trPr>
          <w:trHeight w:val="276"/>
        </w:trPr>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34,486</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54,829</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89,315</w:t>
            </w:r>
          </w:p>
        </w:tc>
        <w:tc>
          <w:tcPr>
            <w:tcW w:w="0" w:type="dxa"/>
            <w:vAlign w:val="bottom"/>
          </w:tcPr>
          <w:p>
            <w:pPr>
              <w:spacing w:after="0"/>
              <w:rPr>
                <w:sz w:val="1"/>
                <w:szCs w:val="1"/>
                <w:color w:val="auto"/>
              </w:rPr>
            </w:pPr>
          </w:p>
        </w:tc>
      </w:tr>
      <w:tr>
        <w:trPr>
          <w:trHeight w:val="244"/>
        </w:trPr>
        <w:tc>
          <w:tcPr>
            <w:tcW w:w="26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902,002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1,815,835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(1,400,335)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1,317,502</w:t>
            </w:r>
          </w:p>
        </w:tc>
        <w:tc>
          <w:tcPr>
            <w:tcW w:w="0" w:type="dxa"/>
            <w:vAlign w:val="bottom"/>
          </w:tcPr>
          <w:p>
            <w:pPr>
              <w:spacing w:after="0"/>
              <w:rPr>
                <w:sz w:val="1"/>
                <w:szCs w:val="1"/>
                <w:color w:val="auto"/>
              </w:rPr>
            </w:pPr>
          </w:p>
        </w:tc>
      </w:tr>
      <w:tr>
        <w:trPr>
          <w:trHeight w:val="783"/>
        </w:trPr>
        <w:tc>
          <w:tcPr>
            <w:tcW w:w="26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1,328,249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97,377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136,441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(233,818)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1,328,249</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(34,974)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(7,786)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41,778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(33,992)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(34,974)</w:t>
            </w:r>
          </w:p>
        </w:tc>
        <w:tc>
          <w:tcPr>
            <w:tcW w:w="0" w:type="dxa"/>
            <w:vAlign w:val="bottom"/>
          </w:tcPr>
          <w:p>
            <w:pPr>
              <w:spacing w:after="0"/>
              <w:rPr>
                <w:sz w:val="1"/>
                <w:szCs w:val="1"/>
                <w:color w:val="auto"/>
              </w:rPr>
            </w:pPr>
          </w:p>
        </w:tc>
      </w:tr>
      <w:tr>
        <w:trPr>
          <w:trHeight w:val="276"/>
        </w:trPr>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135,020</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11,827</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45,364</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(57,191)</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135,020</w:t>
            </w:r>
          </w:p>
        </w:tc>
        <w:tc>
          <w:tcPr>
            <w:tcW w:w="0" w:type="dxa"/>
            <w:vAlign w:val="bottom"/>
          </w:tcPr>
          <w:p>
            <w:pPr>
              <w:spacing w:after="0"/>
              <w:rPr>
                <w:sz w:val="1"/>
                <w:szCs w:val="1"/>
                <w:color w:val="auto"/>
              </w:rPr>
            </w:pPr>
          </w:p>
        </w:tc>
      </w:tr>
      <w:tr>
        <w:trPr>
          <w:trHeight w:val="250"/>
        </w:trPr>
        <w:tc>
          <w:tcPr>
            <w:tcW w:w="2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1,428,295</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101,418</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223,583</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(325,001)</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1,428,295</w:t>
            </w:r>
          </w:p>
        </w:tc>
        <w:tc>
          <w:tcPr>
            <w:tcW w:w="0" w:type="dxa"/>
            <w:vAlign w:val="bottom"/>
          </w:tcPr>
          <w:p>
            <w:pPr>
              <w:spacing w:after="0"/>
              <w:rPr>
                <w:sz w:val="1"/>
                <w:szCs w:val="1"/>
                <w:color w:val="auto"/>
              </w:rPr>
            </w:pPr>
          </w:p>
        </w:tc>
      </w:tr>
      <w:tr>
        <w:trPr>
          <w:trHeight w:val="237"/>
        </w:trPr>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2,330,297</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101,418</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2,039,418</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(1,725,336)</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2,745,797</w:t>
            </w: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-8043545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-7700645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-7357110</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-7014210</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-6671310</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-6328410</wp:posOffset>
            </wp:positionV>
            <wp:extent cx="7246620"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-6002655</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-5659120</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-5316220</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-4973320</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-4613275</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-4270375</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-3926840</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-3583940</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-3241040</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-2898140</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-2572385</wp:posOffset>
            </wp:positionV>
            <wp:extent cx="72466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-2228850</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-1885950</wp:posOffset>
            </wp:positionV>
            <wp:extent cx="72466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-1543050</wp:posOffset>
            </wp:positionV>
            <wp:extent cx="72466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-1217295</wp:posOffset>
            </wp:positionV>
            <wp:extent cx="72466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-874395</wp:posOffset>
            </wp:positionV>
            <wp:extent cx="72466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-530860</wp:posOffset>
            </wp:positionV>
            <wp:extent cx="72466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-187960</wp:posOffset>
            </wp:positionV>
            <wp:extent cx="72466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720"/>
            <w:col w:w="67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Consolidating Statement of Cash Flows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Six Months Ended June 30, 2011</w:t>
      </w:r>
    </w:p>
    <w:p>
      <w:pPr>
        <w:sectPr>
          <w:pgSz w:w="11900" w:h="16838" w:orient="portrait"/>
          <w:cols w:equalWidth="0" w:num="1">
            <w:col w:w="11420"/>
          </w:cols>
          <w:pgMar w:left="240" w:top="125" w:right="239" w:bottom="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activities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Adjustments to reconcile net income to net cash provided by (used in)</w:t>
      </w:r>
    </w:p>
    <w:p>
      <w:pPr>
        <w:spacing w:after="0" w:line="1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operating activities:</w:t>
      </w:r>
    </w:p>
    <w:p>
      <w:pPr>
        <w:spacing w:after="0" w:line="3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Depreciation and amortization</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Stock-based compensation</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Amortization of prepaid debt fees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Amortization of convertible debt discount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Deferred taxes, net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Equity in losses of guarantor and non-guarantor subsidiaries, net</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 adjustments,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Changes in operating assets and liabilities, net of acquisitions: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Accounts receivable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Inventories</w:t>
      </w:r>
    </w:p>
    <w:p>
      <w:pPr>
        <w:spacing w:after="0" w:line="17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Other current assets</w:t>
      </w:r>
    </w:p>
    <w:p>
      <w:pPr>
        <w:spacing w:after="0" w:line="4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long-term assets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Accounts payables, other current liabilities, and taxes payable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Wages and benefits payable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Unearned revenue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Warranty</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Intercompany transactions, net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operating, net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cash provided by (used in) operating activities</w:t>
      </w:r>
    </w:p>
    <w:p>
      <w:pPr>
        <w:spacing w:after="0" w:line="352"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Investing activities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Acquisitions of property, plant, and equipment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Business acquisition, net of cash equivalents acquired</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Current intercompany notes, net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investing, net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cash provided by (used in) investing activities</w:t>
      </w:r>
    </w:p>
    <w:p>
      <w:pPr>
        <w:spacing w:after="0" w:line="352" w:lineRule="exact"/>
        <w:rPr>
          <w:sz w:val="20"/>
          <w:szCs w:val="20"/>
          <w:color w:val="auto"/>
        </w:rPr>
      </w:pPr>
    </w:p>
    <w:p>
      <w:pPr>
        <w:ind w:left="40"/>
        <w:spacing w:after="0"/>
        <w:rPr>
          <w:sz w:val="20"/>
          <w:szCs w:val="20"/>
          <w:color w:val="auto"/>
        </w:rPr>
      </w:pPr>
      <w:r>
        <w:rPr>
          <w:rFonts w:ascii="Arial" w:cs="Arial" w:eastAsia="Arial" w:hAnsi="Arial"/>
          <w:sz w:val="14"/>
          <w:szCs w:val="14"/>
          <w:color w:val="auto"/>
        </w:rPr>
        <w:t>Financing activities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Payments on debt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Issuance of common stock</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Current intercompany notes, net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financing, net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cash provided by (used in) financing activities</w:t>
      </w:r>
    </w:p>
    <w:p>
      <w:pPr>
        <w:spacing w:after="0" w:line="3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Effect of foreign exchange rate changes on cash and cash equivalents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Increase (decrease) in cash and cash equivalents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 at beginning of period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 at end of period</w:t>
      </w:r>
    </w:p>
    <w:p>
      <w:pPr>
        <w:spacing w:after="0" w:line="379"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Non-cash transactions: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Property, plant, and equipment purchased but not yet paid, net</w:t>
      </w:r>
    </w:p>
    <w:p>
      <w:pPr>
        <w:spacing w:after="0" w:line="109" w:lineRule="exact"/>
        <w:rPr>
          <w:sz w:val="20"/>
          <w:szCs w:val="20"/>
          <w:color w:val="auto"/>
        </w:rPr>
      </w:pPr>
    </w:p>
    <w:p>
      <w:pPr>
        <w:ind w:left="340" w:hanging="161"/>
        <w:spacing w:after="0" w:line="253" w:lineRule="auto"/>
        <w:rPr>
          <w:sz w:val="20"/>
          <w:szCs w:val="20"/>
          <w:color w:val="auto"/>
        </w:rPr>
      </w:pPr>
      <w:r>
        <w:rPr>
          <w:rFonts w:ascii="Arial" w:cs="Arial" w:eastAsia="Arial" w:hAnsi="Arial"/>
          <w:sz w:val="14"/>
          <w:szCs w:val="14"/>
          <w:color w:val="auto"/>
        </w:rPr>
        <w:t>Fair value of contingent and deferred consideration payable for business acquisition</w:t>
      </w:r>
    </w:p>
    <w:p>
      <w:pPr>
        <w:spacing w:after="0" w:line="255"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Supplemental disclosure of cash flow information:</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Cash paid during the period for:</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Income taxes, net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Interest, net of amounts capitalized</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Combined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102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Non-guarantor</w:t>
            </w:r>
          </w:p>
        </w:tc>
        <w:tc>
          <w:tcPr>
            <w:tcW w:w="180" w:type="dxa"/>
            <w:vAlign w:val="bottom"/>
          </w:tcPr>
          <w:p>
            <w:pPr>
              <w:spacing w:after="0"/>
              <w:rPr>
                <w:sz w:val="12"/>
                <w:szCs w:val="12"/>
                <w:color w:val="auto"/>
              </w:rPr>
            </w:pPr>
          </w:p>
        </w:tc>
        <w:tc>
          <w:tcPr>
            <w:tcW w:w="10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61,556</w:t>
            </w:r>
          </w:p>
        </w:tc>
        <w:tc>
          <w:tcPr>
            <w:tcW w:w="1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1,668</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22,199</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(23,867)</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61,556</w:t>
            </w:r>
          </w:p>
        </w:tc>
        <w:tc>
          <w:tcPr>
            <w:tcW w:w="0" w:type="dxa"/>
            <w:vAlign w:val="bottom"/>
          </w:tcPr>
          <w:p>
            <w:pPr>
              <w:spacing w:after="0"/>
              <w:rPr>
                <w:sz w:val="1"/>
                <w:szCs w:val="1"/>
                <w:color w:val="auto"/>
              </w:rPr>
            </w:pPr>
          </w:p>
        </w:tc>
      </w:tr>
      <w:tr>
        <w:trPr>
          <w:trHeight w:val="621"/>
        </w:trPr>
        <w:tc>
          <w:tcPr>
            <w:tcW w:w="260" w:type="dxa"/>
            <w:vAlign w:val="bottom"/>
          </w:tcPr>
          <w:p>
            <w:pPr>
              <w:spacing w:after="0"/>
              <w:rPr>
                <w:sz w:val="24"/>
                <w:szCs w:val="2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22,314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41,985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64,299</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9,518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9,518</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2,265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2,265</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5,336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5,336</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17,948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(11,867)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6,081</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(23,867)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23,867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494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285</w:t>
            </w:r>
          </w:p>
        </w:tc>
        <w:tc>
          <w:tcPr>
            <w:tcW w:w="0" w:type="dxa"/>
            <w:vAlign w:val="bottom"/>
          </w:tcPr>
          <w:p>
            <w:pPr>
              <w:spacing w:after="0"/>
              <w:rPr>
                <w:sz w:val="1"/>
                <w:szCs w:val="1"/>
                <w:color w:val="auto"/>
              </w:rPr>
            </w:pPr>
          </w:p>
        </w:tc>
      </w:tr>
      <w:tr>
        <w:trPr>
          <w:trHeight w:val="540"/>
        </w:trPr>
        <w:tc>
          <w:tcPr>
            <w:tcW w:w="260" w:type="dxa"/>
            <w:vAlign w:val="bottom"/>
          </w:tcPr>
          <w:p>
            <w:pPr>
              <w:spacing w:after="0"/>
              <w:rPr>
                <w:sz w:val="24"/>
                <w:szCs w:val="2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22,209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(34,315)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(12,106)</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(11,789)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(24,879)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(36,668)</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750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(22,018)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(21,268)</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(11,410)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(11,583)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(22,993)</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4,585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11,938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16,523</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(19,329)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(2,202)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(21,531)</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9,875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14,284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24,159</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9,540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9,510</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3,207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(3,207)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(1,159)</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3,885</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2,726</w:t>
            </w:r>
          </w:p>
        </w:tc>
        <w:tc>
          <w:tcPr>
            <w:tcW w:w="0" w:type="dxa"/>
            <w:vAlign w:val="bottom"/>
          </w:tcPr>
          <w:p>
            <w:pPr>
              <w:spacing w:after="0"/>
              <w:rPr>
                <w:sz w:val="1"/>
                <w:szCs w:val="1"/>
                <w:color w:val="auto"/>
              </w:rPr>
            </w:pPr>
          </w:p>
        </w:tc>
      </w:tr>
      <w:tr>
        <w:trPr>
          <w:trHeight w:val="244"/>
        </w:trPr>
        <w:tc>
          <w:tcPr>
            <w:tcW w:w="26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91,770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1,668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(5,746)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87,692</w:t>
            </w:r>
          </w:p>
        </w:tc>
        <w:tc>
          <w:tcPr>
            <w:tcW w:w="0" w:type="dxa"/>
            <w:vAlign w:val="bottom"/>
          </w:tcPr>
          <w:p>
            <w:pPr>
              <w:spacing w:after="0"/>
              <w:rPr>
                <w:sz w:val="1"/>
                <w:szCs w:val="1"/>
                <w:color w:val="auto"/>
              </w:rPr>
            </w:pPr>
          </w:p>
        </w:tc>
      </w:tr>
      <w:tr>
        <w:trPr>
          <w:trHeight w:val="783"/>
        </w:trPr>
        <w:tc>
          <w:tcPr>
            <w:tcW w:w="260" w:type="dxa"/>
            <w:vAlign w:val="bottom"/>
          </w:tcPr>
          <w:p>
            <w:pPr>
              <w:spacing w:after="0"/>
              <w:rPr>
                <w:sz w:val="24"/>
                <w:szCs w:val="2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(14,579)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(14,133)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(28,712)</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(14,635)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(14,635)</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(1,668)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1,562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60" w:type="dxa"/>
            <w:vAlign w:val="bottom"/>
          </w:tcPr>
          <w:p>
            <w:pPr>
              <w:spacing w:after="0"/>
              <w:rPr>
                <w:sz w:val="24"/>
                <w:szCs w:val="2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34,541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(34,028)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513</w:t>
            </w:r>
          </w:p>
        </w:tc>
        <w:tc>
          <w:tcPr>
            <w:tcW w:w="0" w:type="dxa"/>
            <w:vAlign w:val="bottom"/>
          </w:tcPr>
          <w:p>
            <w:pPr>
              <w:spacing w:after="0"/>
              <w:rPr>
                <w:sz w:val="1"/>
                <w:szCs w:val="1"/>
                <w:color w:val="auto"/>
              </w:rPr>
            </w:pPr>
          </w:p>
        </w:tc>
      </w:tr>
      <w:tr>
        <w:trPr>
          <w:trHeight w:val="244"/>
        </w:trPr>
        <w:tc>
          <w:tcPr>
            <w:tcW w:w="2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20,068</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(1,668)</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(62,796)</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1,562</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(42,834)</w:t>
            </w:r>
          </w:p>
        </w:tc>
        <w:tc>
          <w:tcPr>
            <w:tcW w:w="0" w:type="dxa"/>
            <w:vAlign w:val="bottom"/>
          </w:tcPr>
          <w:p>
            <w:pPr>
              <w:spacing w:after="0"/>
              <w:rPr>
                <w:sz w:val="1"/>
                <w:szCs w:val="1"/>
                <w:color w:val="auto"/>
              </w:rPr>
            </w:pPr>
          </w:p>
        </w:tc>
      </w:tr>
      <w:tr>
        <w:trPr>
          <w:trHeight w:val="783"/>
        </w:trPr>
        <w:tc>
          <w:tcPr>
            <w:tcW w:w="260" w:type="dxa"/>
            <w:vAlign w:val="bottom"/>
          </w:tcPr>
          <w:p>
            <w:pPr>
              <w:spacing w:after="0"/>
              <w:rPr>
                <w:sz w:val="24"/>
                <w:szCs w:val="2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(55,630)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(55,630)</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2,553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2,553</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1,668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(1,562)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(538)</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219</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w:t>
            </w:r>
          </w:p>
        </w:tc>
        <w:tc>
          <w:tcPr>
            <w:tcW w:w="0" w:type="dxa"/>
            <w:vAlign w:val="bottom"/>
          </w:tcPr>
          <w:p>
            <w:pPr>
              <w:spacing w:after="0"/>
              <w:rPr>
                <w:sz w:val="1"/>
                <w:szCs w:val="1"/>
                <w:color w:val="auto"/>
              </w:rPr>
            </w:pPr>
          </w:p>
        </w:tc>
      </w:tr>
      <w:tr>
        <w:trPr>
          <w:trHeight w:val="244"/>
        </w:trPr>
        <w:tc>
          <w:tcPr>
            <w:tcW w:w="26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(51,947)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(53,396)</w:t>
            </w:r>
          </w:p>
        </w:tc>
        <w:tc>
          <w:tcPr>
            <w:tcW w:w="0" w:type="dxa"/>
            <w:vAlign w:val="bottom"/>
          </w:tcPr>
          <w:p>
            <w:pPr>
              <w:spacing w:after="0"/>
              <w:rPr>
                <w:sz w:val="1"/>
                <w:szCs w:val="1"/>
                <w:color w:val="auto"/>
              </w:rPr>
            </w:pPr>
          </w:p>
        </w:tc>
      </w:tr>
      <w:tr>
        <w:trPr>
          <w:trHeight w:val="519"/>
        </w:trPr>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7,345</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7,345</w:t>
            </w:r>
          </w:p>
        </w:tc>
        <w:tc>
          <w:tcPr>
            <w:tcW w:w="0" w:type="dxa"/>
            <w:vAlign w:val="bottom"/>
          </w:tcPr>
          <w:p>
            <w:pPr>
              <w:spacing w:after="0"/>
              <w:rPr>
                <w:sz w:val="1"/>
                <w:szCs w:val="1"/>
                <w:color w:val="auto"/>
              </w:rPr>
            </w:pPr>
          </w:p>
        </w:tc>
      </w:tr>
      <w:tr>
        <w:trPr>
          <w:trHeight w:val="244"/>
        </w:trPr>
        <w:tc>
          <w:tcPr>
            <w:tcW w:w="26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59,891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(61,084)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(1,193)</w:t>
            </w:r>
          </w:p>
        </w:tc>
        <w:tc>
          <w:tcPr>
            <w:tcW w:w="0" w:type="dxa"/>
            <w:vAlign w:val="bottom"/>
          </w:tcPr>
          <w:p>
            <w:pPr>
              <w:spacing w:after="0"/>
              <w:rPr>
                <w:sz w:val="1"/>
                <w:szCs w:val="1"/>
                <w:color w:val="auto"/>
              </w:rPr>
            </w:pPr>
          </w:p>
        </w:tc>
      </w:tr>
      <w:tr>
        <w:trPr>
          <w:trHeight w:val="276"/>
        </w:trPr>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19,146</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150,331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169,477</w:t>
            </w:r>
          </w:p>
        </w:tc>
        <w:tc>
          <w:tcPr>
            <w:tcW w:w="0" w:type="dxa"/>
            <w:vAlign w:val="bottom"/>
          </w:tcPr>
          <w:p>
            <w:pPr>
              <w:spacing w:after="0"/>
              <w:rPr>
                <w:sz w:val="1"/>
                <w:szCs w:val="1"/>
                <w:color w:val="auto"/>
              </w:rPr>
            </w:pPr>
          </w:p>
        </w:tc>
      </w:tr>
      <w:tr>
        <w:trPr>
          <w:trHeight w:val="237"/>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79,037</w:t>
            </w:r>
          </w:p>
        </w:tc>
        <w:tc>
          <w:tcPr>
            <w:tcW w:w="12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89,247</w:t>
            </w:r>
          </w:p>
        </w:tc>
        <w:tc>
          <w:tcPr>
            <w:tcW w:w="100" w:type="dxa"/>
            <w:vAlign w:val="bottom"/>
          </w:tcPr>
          <w:p>
            <w:pPr>
              <w:spacing w:after="0"/>
              <w:rPr>
                <w:sz w:val="20"/>
                <w:szCs w:val="20"/>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168,284</w:t>
            </w:r>
          </w:p>
        </w:tc>
        <w:tc>
          <w:tcPr>
            <w:tcW w:w="0" w:type="dxa"/>
            <w:vAlign w:val="bottom"/>
          </w:tcPr>
          <w:p>
            <w:pPr>
              <w:spacing w:after="0"/>
              <w:rPr>
                <w:sz w:val="1"/>
                <w:szCs w:val="1"/>
                <w:color w:val="auto"/>
              </w:rPr>
            </w:pP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8"/>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2,114</w:t>
            </w:r>
          </w:p>
        </w:tc>
        <w:tc>
          <w:tcPr>
            <w:tcW w:w="1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(1,136)</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978</w:t>
            </w:r>
          </w:p>
        </w:tc>
        <w:tc>
          <w:tcPr>
            <w:tcW w:w="0" w:type="dxa"/>
            <w:vAlign w:val="bottom"/>
          </w:tcPr>
          <w:p>
            <w:pPr>
              <w:spacing w:after="0"/>
              <w:rPr>
                <w:sz w:val="1"/>
                <w:szCs w:val="1"/>
                <w:color w:val="auto"/>
              </w:rPr>
            </w:pPr>
          </w:p>
        </w:tc>
      </w:tr>
      <w:tr>
        <w:trPr>
          <w:trHeight w:val="351"/>
        </w:trPr>
        <w:tc>
          <w:tcPr>
            <w:tcW w:w="26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5,108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5,108</w:t>
            </w:r>
          </w:p>
        </w:tc>
        <w:tc>
          <w:tcPr>
            <w:tcW w:w="0" w:type="dxa"/>
            <w:vAlign w:val="bottom"/>
          </w:tcPr>
          <w:p>
            <w:pPr>
              <w:spacing w:after="0"/>
              <w:rPr>
                <w:sz w:val="1"/>
                <w:szCs w:val="1"/>
                <w:color w:val="auto"/>
              </w:rPr>
            </w:pPr>
          </w:p>
        </w:tc>
      </w:tr>
      <w:tr>
        <w:trPr>
          <w:trHeight w:val="1053"/>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(1,028)</w:t>
            </w:r>
          </w:p>
        </w:tc>
        <w:tc>
          <w:tcPr>
            <w:tcW w:w="1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7,870</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6,842</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15,719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15,927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-8601710</wp:posOffset>
            </wp:positionV>
            <wp:extent cx="72466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-8258810</wp:posOffset>
            </wp:positionV>
            <wp:extent cx="7246620" cy="2228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-7864475</wp:posOffset>
            </wp:positionV>
            <wp:extent cx="72466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-7521575</wp:posOffset>
            </wp:positionV>
            <wp:extent cx="72466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-7178040</wp:posOffset>
            </wp:positionV>
            <wp:extent cx="72466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-6835140</wp:posOffset>
            </wp:positionV>
            <wp:extent cx="72466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-6492240</wp:posOffset>
            </wp:positionV>
            <wp:extent cx="72466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-6149340</wp:posOffset>
            </wp:positionV>
            <wp:extent cx="72466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-5806440</wp:posOffset>
            </wp:positionV>
            <wp:extent cx="724662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-5462905</wp:posOffset>
            </wp:positionV>
            <wp:extent cx="72466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-5120005</wp:posOffset>
            </wp:positionV>
            <wp:extent cx="72466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-4777105</wp:posOffset>
            </wp:positionV>
            <wp:extent cx="724662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-4451350</wp:posOffset>
            </wp:positionV>
            <wp:extent cx="72466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-4107815</wp:posOffset>
            </wp:positionV>
            <wp:extent cx="72466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-3764915</wp:posOffset>
            </wp:positionV>
            <wp:extent cx="72466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-3439160</wp:posOffset>
            </wp:positionV>
            <wp:extent cx="72466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-3096260</wp:posOffset>
            </wp:positionV>
            <wp:extent cx="72466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-2753360</wp:posOffset>
            </wp:positionV>
            <wp:extent cx="72466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-2409825</wp:posOffset>
            </wp:positionV>
            <wp:extent cx="724662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-2084070</wp:posOffset>
            </wp:positionV>
            <wp:extent cx="72466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-1741170</wp:posOffset>
            </wp:positionV>
            <wp:extent cx="724662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-1398270</wp:posOffset>
            </wp:positionV>
            <wp:extent cx="724662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-1055370</wp:posOffset>
            </wp:positionV>
            <wp:extent cx="7246620" cy="2228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-677545</wp:posOffset>
            </wp:positionV>
            <wp:extent cx="724662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-334645</wp:posOffset>
            </wp:positionV>
            <wp:extent cx="724662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40" w:space="360"/>
            <w:col w:w="6720"/>
          </w:cols>
          <w:pgMar w:left="240" w:top="125" w:right="239" w:bottom="69" w:gutter="0" w:footer="0" w:header="0"/>
          <w:type w:val="continuous"/>
        </w:sect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69"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Consolidating Statement of Cash Flows</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Six Months Ended June 30, 2010</w:t>
      </w:r>
    </w:p>
    <w:p>
      <w:pPr>
        <w:sectPr>
          <w:pgSz w:w="11900" w:h="16838" w:orient="portrait"/>
          <w:cols w:equalWidth="0" w:num="1">
            <w:col w:w="11420"/>
          </w:cols>
          <w:pgMar w:left="240" w:top="125" w:right="239" w:bottom="69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activities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340" w:hanging="161"/>
        <w:spacing w:after="0" w:line="253" w:lineRule="auto"/>
        <w:rPr>
          <w:sz w:val="20"/>
          <w:szCs w:val="20"/>
          <w:color w:val="auto"/>
        </w:rPr>
      </w:pPr>
      <w:r>
        <w:rPr>
          <w:rFonts w:ascii="Arial" w:cs="Arial" w:eastAsia="Arial" w:hAnsi="Arial"/>
          <w:sz w:val="14"/>
          <w:szCs w:val="14"/>
          <w:color w:val="auto"/>
        </w:rPr>
        <w:t>Adjustments to reconcile net income to net cash provided by operating activities:</w:t>
      </w:r>
    </w:p>
    <w:p>
      <w:pPr>
        <w:spacing w:after="0" w:line="12"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Depreciation and amortization</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Stock-based compensation</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Amortization of prepaid debt fees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Amortization of convertible debt discount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Deferred income taxes, net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Equity in losses of guarantor and non-guarantor subsidiaries, net</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 adjustments,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Changes in operating assets and liabilities, net of acquisitions: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Accounts receivable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Inventories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current assets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long-term assets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Accounts payables, other current liabilities, and taxes payable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Wages and benefits payable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Unearned revenue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Warranty</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Intercompany transactions, net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operating, net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cash provided by operating activities</w:t>
      </w:r>
    </w:p>
    <w:p>
      <w:pPr>
        <w:spacing w:after="0" w:line="352"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Investing activities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Acquisitions of property, plant, and equipment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Current intercompany notes, net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investing, net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cash provided by (used in) investing activities</w:t>
      </w:r>
    </w:p>
    <w:p>
      <w:pPr>
        <w:spacing w:after="0" w:line="352" w:lineRule="exact"/>
        <w:rPr>
          <w:sz w:val="20"/>
          <w:szCs w:val="20"/>
          <w:color w:val="auto"/>
        </w:rPr>
      </w:pPr>
    </w:p>
    <w:p>
      <w:pPr>
        <w:ind w:left="40"/>
        <w:spacing w:after="0"/>
        <w:rPr>
          <w:sz w:val="20"/>
          <w:szCs w:val="20"/>
          <w:color w:val="auto"/>
        </w:rPr>
      </w:pPr>
      <w:r>
        <w:rPr>
          <w:rFonts w:ascii="Arial" w:cs="Arial" w:eastAsia="Arial" w:hAnsi="Arial"/>
          <w:sz w:val="14"/>
          <w:szCs w:val="14"/>
          <w:color w:val="auto"/>
        </w:rPr>
        <w:t>Financing activities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Payments on debt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Issuance of common stock</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Current intercompany notes, net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Other financing, net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cash used in financing activities</w:t>
      </w:r>
    </w:p>
    <w:p>
      <w:pPr>
        <w:spacing w:after="0" w:line="352" w:lineRule="exact"/>
        <w:rPr>
          <w:sz w:val="20"/>
          <w:szCs w:val="20"/>
          <w:color w:val="auto"/>
        </w:rPr>
      </w:pPr>
    </w:p>
    <w:p>
      <w:pPr>
        <w:ind w:left="40"/>
        <w:spacing w:after="0"/>
        <w:rPr>
          <w:sz w:val="20"/>
          <w:szCs w:val="20"/>
          <w:color w:val="auto"/>
        </w:rPr>
      </w:pPr>
      <w:r>
        <w:rPr>
          <w:rFonts w:ascii="Arial" w:cs="Arial" w:eastAsia="Arial" w:hAnsi="Arial"/>
          <w:sz w:val="13"/>
          <w:szCs w:val="13"/>
          <w:color w:val="auto"/>
        </w:rPr>
        <w:t>Effect of foreign exchange rate changes on cash and cash equivalents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Increase in cash and cash equivalents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 at beginning of period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Cash and cash equivalents at end of period</w:t>
      </w:r>
    </w:p>
    <w:p>
      <w:pPr>
        <w:spacing w:after="0" w:line="379"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Non-cash transactions: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Property, plant, and equipment purchased but not yet paid, net</w:t>
      </w:r>
    </w:p>
    <w:p>
      <w:pPr>
        <w:spacing w:after="0" w:line="352" w:lineRule="exact"/>
        <w:rPr>
          <w:sz w:val="20"/>
          <w:szCs w:val="20"/>
          <w:color w:val="auto"/>
        </w:rPr>
      </w:pPr>
    </w:p>
    <w:p>
      <w:pPr>
        <w:ind w:left="40"/>
        <w:spacing w:after="0"/>
        <w:rPr>
          <w:sz w:val="20"/>
          <w:szCs w:val="20"/>
          <w:color w:val="auto"/>
        </w:rPr>
      </w:pPr>
      <w:r>
        <w:rPr>
          <w:rFonts w:ascii="Arial" w:cs="Arial" w:eastAsia="Arial" w:hAnsi="Arial"/>
          <w:sz w:val="14"/>
          <w:szCs w:val="14"/>
          <w:i w:val="1"/>
          <w:iCs w:val="1"/>
          <w:color w:val="auto"/>
        </w:rPr>
        <w:t>Supplemental disclosure of cash flow information:</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Cash paid during the period for:</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Income taxes, net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Interest, net of amounts capitalized</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Combined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102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Non-guarantor</w:t>
            </w:r>
          </w:p>
        </w:tc>
        <w:tc>
          <w:tcPr>
            <w:tcW w:w="180" w:type="dxa"/>
            <w:vAlign w:val="bottom"/>
          </w:tcPr>
          <w:p>
            <w:pPr>
              <w:spacing w:after="0"/>
              <w:rPr>
                <w:sz w:val="12"/>
                <w:szCs w:val="12"/>
                <w:color w:val="auto"/>
              </w:rPr>
            </w:pPr>
          </w:p>
        </w:tc>
        <w:tc>
          <w:tcPr>
            <w:tcW w:w="10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0"/>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50,561</w:t>
            </w:r>
          </w:p>
        </w:tc>
        <w:tc>
          <w:tcPr>
            <w:tcW w:w="1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1,534</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13,015</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(14,549)</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50,561</w:t>
            </w:r>
          </w:p>
        </w:tc>
        <w:tc>
          <w:tcPr>
            <w:tcW w:w="0" w:type="dxa"/>
            <w:vAlign w:val="bottom"/>
          </w:tcPr>
          <w:p>
            <w:pPr>
              <w:spacing w:after="0"/>
              <w:rPr>
                <w:sz w:val="1"/>
                <w:szCs w:val="1"/>
                <w:color w:val="auto"/>
              </w:rPr>
            </w:pPr>
          </w:p>
        </w:tc>
      </w:tr>
      <w:tr>
        <w:trPr>
          <w:trHeight w:val="621"/>
        </w:trPr>
        <w:tc>
          <w:tcPr>
            <w:tcW w:w="260" w:type="dxa"/>
            <w:vAlign w:val="bottom"/>
          </w:tcPr>
          <w:p>
            <w:pPr>
              <w:spacing w:after="0"/>
              <w:rPr>
                <w:sz w:val="24"/>
                <w:szCs w:val="2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22,655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42,416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65,071</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9,121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9,121</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2,762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2,762</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4,957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4,957</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2,639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(10,771)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(8,132)</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(14,549)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14,549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1,972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1,334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3,306</w:t>
            </w:r>
          </w:p>
        </w:tc>
        <w:tc>
          <w:tcPr>
            <w:tcW w:w="0" w:type="dxa"/>
            <w:vAlign w:val="bottom"/>
          </w:tcPr>
          <w:p>
            <w:pPr>
              <w:spacing w:after="0"/>
              <w:rPr>
                <w:sz w:val="1"/>
                <w:szCs w:val="1"/>
                <w:color w:val="auto"/>
              </w:rPr>
            </w:pPr>
          </w:p>
        </w:tc>
      </w:tr>
      <w:tr>
        <w:trPr>
          <w:trHeight w:val="540"/>
        </w:trPr>
        <w:tc>
          <w:tcPr>
            <w:tcW w:w="260" w:type="dxa"/>
            <w:vAlign w:val="bottom"/>
          </w:tcPr>
          <w:p>
            <w:pPr>
              <w:spacing w:after="0"/>
              <w:rPr>
                <w:sz w:val="24"/>
                <w:szCs w:val="2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(33,080)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(19,044)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(52,124)</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(33,896)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(7,034)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(40,930)</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6,504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1,871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8,375</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1,215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(1,978)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(763)</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22,873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19,590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42,463</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16,928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2,720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19,648</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(330)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2,695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2,365</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3,692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10,663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14,355</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2,784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(2,784)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(4,017)</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(3,949)</w:t>
            </w:r>
          </w:p>
        </w:tc>
        <w:tc>
          <w:tcPr>
            <w:tcW w:w="0" w:type="dxa"/>
            <w:vAlign w:val="bottom"/>
          </w:tcPr>
          <w:p>
            <w:pPr>
              <w:spacing w:after="0"/>
              <w:rPr>
                <w:sz w:val="1"/>
                <w:szCs w:val="1"/>
                <w:color w:val="auto"/>
              </w:rPr>
            </w:pPr>
          </w:p>
        </w:tc>
      </w:tr>
      <w:tr>
        <w:trPr>
          <w:trHeight w:val="244"/>
        </w:trPr>
        <w:tc>
          <w:tcPr>
            <w:tcW w:w="26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66,876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1,534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48,676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117,086</w:t>
            </w:r>
          </w:p>
        </w:tc>
        <w:tc>
          <w:tcPr>
            <w:tcW w:w="0" w:type="dxa"/>
            <w:vAlign w:val="bottom"/>
          </w:tcPr>
          <w:p>
            <w:pPr>
              <w:spacing w:after="0"/>
              <w:rPr>
                <w:sz w:val="1"/>
                <w:szCs w:val="1"/>
                <w:color w:val="auto"/>
              </w:rPr>
            </w:pPr>
          </w:p>
        </w:tc>
      </w:tr>
      <w:tr>
        <w:trPr>
          <w:trHeight w:val="783"/>
        </w:trPr>
        <w:tc>
          <w:tcPr>
            <w:tcW w:w="260" w:type="dxa"/>
            <w:vAlign w:val="bottom"/>
          </w:tcPr>
          <w:p>
            <w:pPr>
              <w:spacing w:after="0"/>
              <w:rPr>
                <w:sz w:val="24"/>
                <w:szCs w:val="2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(15,490)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(12,226)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(27,716)</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27,259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(1,534)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5,000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(30,725)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60" w:type="dxa"/>
            <w:vAlign w:val="bottom"/>
          </w:tcPr>
          <w:p>
            <w:pPr>
              <w:spacing w:after="0"/>
              <w:rPr>
                <w:sz w:val="24"/>
                <w:szCs w:val="2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2,572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1,923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4,495</w:t>
            </w:r>
          </w:p>
        </w:tc>
        <w:tc>
          <w:tcPr>
            <w:tcW w:w="0" w:type="dxa"/>
            <w:vAlign w:val="bottom"/>
          </w:tcPr>
          <w:p>
            <w:pPr>
              <w:spacing w:after="0"/>
              <w:rPr>
                <w:sz w:val="1"/>
                <w:szCs w:val="1"/>
                <w:color w:val="auto"/>
              </w:rPr>
            </w:pPr>
          </w:p>
        </w:tc>
      </w:tr>
      <w:tr>
        <w:trPr>
          <w:trHeight w:val="244"/>
        </w:trPr>
        <w:tc>
          <w:tcPr>
            <w:tcW w:w="2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14,341</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(1,534)</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(5,303)</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(30,725)</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(23,221)</w:t>
            </w:r>
          </w:p>
        </w:tc>
        <w:tc>
          <w:tcPr>
            <w:tcW w:w="0" w:type="dxa"/>
            <w:vAlign w:val="bottom"/>
          </w:tcPr>
          <w:p>
            <w:pPr>
              <w:spacing w:after="0"/>
              <w:rPr>
                <w:sz w:val="1"/>
                <w:szCs w:val="1"/>
                <w:color w:val="auto"/>
              </w:rPr>
            </w:pPr>
          </w:p>
        </w:tc>
      </w:tr>
      <w:tr>
        <w:trPr>
          <w:trHeight w:val="783"/>
        </w:trPr>
        <w:tc>
          <w:tcPr>
            <w:tcW w:w="260" w:type="dxa"/>
            <w:vAlign w:val="bottom"/>
          </w:tcPr>
          <w:p>
            <w:pPr>
              <w:spacing w:after="0"/>
              <w:rPr>
                <w:sz w:val="24"/>
                <w:szCs w:val="2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(73,881)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(73,881)</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6,812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6,812</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(3,466)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(27,259)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30,725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(1,340)</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(897)</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(2,237)</w:t>
            </w:r>
          </w:p>
        </w:tc>
        <w:tc>
          <w:tcPr>
            <w:tcW w:w="0" w:type="dxa"/>
            <w:vAlign w:val="bottom"/>
          </w:tcPr>
          <w:p>
            <w:pPr>
              <w:spacing w:after="0"/>
              <w:rPr>
                <w:sz w:val="1"/>
                <w:szCs w:val="1"/>
                <w:color w:val="auto"/>
              </w:rPr>
            </w:pPr>
          </w:p>
        </w:tc>
      </w:tr>
      <w:tr>
        <w:trPr>
          <w:trHeight w:val="244"/>
        </w:trPr>
        <w:tc>
          <w:tcPr>
            <w:tcW w:w="26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(71,875)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(28,156)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30,725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(69,306)</w:t>
            </w:r>
          </w:p>
        </w:tc>
        <w:tc>
          <w:tcPr>
            <w:tcW w:w="0" w:type="dxa"/>
            <w:vAlign w:val="bottom"/>
          </w:tcPr>
          <w:p>
            <w:pPr>
              <w:spacing w:after="0"/>
              <w:rPr>
                <w:sz w:val="1"/>
                <w:szCs w:val="1"/>
                <w:color w:val="auto"/>
              </w:rPr>
            </w:pPr>
          </w:p>
        </w:tc>
      </w:tr>
      <w:tr>
        <w:trPr>
          <w:trHeight w:val="519"/>
        </w:trPr>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(9,081)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(9,081)</w:t>
            </w:r>
          </w:p>
        </w:tc>
        <w:tc>
          <w:tcPr>
            <w:tcW w:w="0" w:type="dxa"/>
            <w:vAlign w:val="bottom"/>
          </w:tcPr>
          <w:p>
            <w:pPr>
              <w:spacing w:after="0"/>
              <w:rPr>
                <w:sz w:val="1"/>
                <w:szCs w:val="1"/>
                <w:color w:val="auto"/>
              </w:rPr>
            </w:pPr>
          </w:p>
        </w:tc>
      </w:tr>
      <w:tr>
        <w:trPr>
          <w:trHeight w:val="244"/>
        </w:trPr>
        <w:tc>
          <w:tcPr>
            <w:tcW w:w="26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9,342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6,136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15,478</w:t>
            </w:r>
          </w:p>
        </w:tc>
        <w:tc>
          <w:tcPr>
            <w:tcW w:w="0" w:type="dxa"/>
            <w:vAlign w:val="bottom"/>
          </w:tcPr>
          <w:p>
            <w:pPr>
              <w:spacing w:after="0"/>
              <w:rPr>
                <w:sz w:val="1"/>
                <w:szCs w:val="1"/>
                <w:color w:val="auto"/>
              </w:rPr>
            </w:pPr>
          </w:p>
        </w:tc>
      </w:tr>
      <w:tr>
        <w:trPr>
          <w:trHeight w:val="276"/>
        </w:trPr>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16,385</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105,508</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121,893</w:t>
            </w:r>
          </w:p>
        </w:tc>
        <w:tc>
          <w:tcPr>
            <w:tcW w:w="0" w:type="dxa"/>
            <w:vAlign w:val="bottom"/>
          </w:tcPr>
          <w:p>
            <w:pPr>
              <w:spacing w:after="0"/>
              <w:rPr>
                <w:sz w:val="1"/>
                <w:szCs w:val="1"/>
                <w:color w:val="auto"/>
              </w:rPr>
            </w:pPr>
          </w:p>
        </w:tc>
      </w:tr>
      <w:tr>
        <w:trPr>
          <w:trHeight w:val="237"/>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25,727</w:t>
            </w:r>
          </w:p>
        </w:tc>
        <w:tc>
          <w:tcPr>
            <w:tcW w:w="12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111,644</w:t>
            </w:r>
          </w:p>
        </w:tc>
        <w:tc>
          <w:tcPr>
            <w:tcW w:w="100" w:type="dxa"/>
            <w:vAlign w:val="bottom"/>
          </w:tcPr>
          <w:p>
            <w:pPr>
              <w:spacing w:after="0"/>
              <w:rPr>
                <w:sz w:val="20"/>
                <w:szCs w:val="20"/>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137,371</w:t>
            </w:r>
          </w:p>
        </w:tc>
        <w:tc>
          <w:tcPr>
            <w:tcW w:w="0" w:type="dxa"/>
            <w:vAlign w:val="bottom"/>
          </w:tcPr>
          <w:p>
            <w:pPr>
              <w:spacing w:after="0"/>
              <w:rPr>
                <w:sz w:val="1"/>
                <w:szCs w:val="1"/>
                <w:color w:val="auto"/>
              </w:rPr>
            </w:pPr>
          </w:p>
        </w:tc>
      </w:tr>
      <w:tr>
        <w:trPr>
          <w:trHeight w:val="20"/>
        </w:trPr>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8"/>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(245)</w:t>
            </w:r>
          </w:p>
        </w:tc>
        <w:tc>
          <w:tcPr>
            <w:tcW w:w="1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(3,246)</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(3,491)</w:t>
            </w:r>
          </w:p>
        </w:tc>
        <w:tc>
          <w:tcPr>
            <w:tcW w:w="0" w:type="dxa"/>
            <w:vAlign w:val="bottom"/>
          </w:tcPr>
          <w:p>
            <w:pPr>
              <w:spacing w:after="0"/>
              <w:rPr>
                <w:sz w:val="1"/>
                <w:szCs w:val="1"/>
                <w:color w:val="auto"/>
              </w:rPr>
            </w:pPr>
          </w:p>
        </w:tc>
      </w:tr>
      <w:tr>
        <w:trPr>
          <w:trHeight w:val="1053"/>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9,191</w:t>
            </w:r>
          </w:p>
        </w:tc>
        <w:tc>
          <w:tcPr>
            <w:tcW w:w="1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9,355</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20,958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21,178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-8207375</wp:posOffset>
            </wp:positionV>
            <wp:extent cx="724662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-7864475</wp:posOffset>
            </wp:positionV>
            <wp:extent cx="7246620" cy="2228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-7470140</wp:posOffset>
            </wp:positionV>
            <wp:extent cx="724662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-7126605</wp:posOffset>
            </wp:positionV>
            <wp:extent cx="724662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-6783705</wp:posOffset>
            </wp:positionV>
            <wp:extent cx="724662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-6440805</wp:posOffset>
            </wp:positionV>
            <wp:extent cx="724662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-6097905</wp:posOffset>
            </wp:positionV>
            <wp:extent cx="724662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-5754370</wp:posOffset>
            </wp:positionV>
            <wp:extent cx="724662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-5411470</wp:posOffset>
            </wp:positionV>
            <wp:extent cx="724662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-5068570</wp:posOffset>
            </wp:positionV>
            <wp:extent cx="724662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-4725670</wp:posOffset>
            </wp:positionV>
            <wp:extent cx="7246620"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-4382770</wp:posOffset>
            </wp:positionV>
            <wp:extent cx="724662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-4056380</wp:posOffset>
            </wp:positionV>
            <wp:extent cx="7246620"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-3713480</wp:posOffset>
            </wp:positionV>
            <wp:extent cx="724662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-3370580</wp:posOffset>
            </wp:positionV>
            <wp:extent cx="724662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-3044825</wp:posOffset>
            </wp:positionV>
            <wp:extent cx="724662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-2701925</wp:posOffset>
            </wp:positionV>
            <wp:extent cx="724662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-2358390</wp:posOffset>
            </wp:positionV>
            <wp:extent cx="724662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-2032635</wp:posOffset>
            </wp:positionV>
            <wp:extent cx="724662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-1689735</wp:posOffset>
            </wp:positionV>
            <wp:extent cx="724662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-1346835</wp:posOffset>
            </wp:positionV>
            <wp:extent cx="724662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-1003935</wp:posOffset>
            </wp:positionV>
            <wp:extent cx="724662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-677545</wp:posOffset>
            </wp:positionV>
            <wp:extent cx="724662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-334645</wp:posOffset>
            </wp:positionV>
            <wp:extent cx="724662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40" w:space="460"/>
            <w:col w:w="6720"/>
          </w:cols>
          <w:pgMar w:left="240" w:top="125" w:right="239" w:bottom="690" w:gutter="0" w:footer="0" w:header="0"/>
          <w:type w:val="continuous"/>
        </w:sect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5" w:right="239" w:bottom="690" w:gutter="0" w:footer="0" w:header="0"/>
          <w:type w:val="continuous"/>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5"/>
          <w:szCs w:val="15"/>
          <w:b w:val="1"/>
          <w:bCs w:val="1"/>
          <w:color w:val="auto"/>
        </w:rPr>
        <w:t>Subsequent Event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1, 2011, in accordance with the terms of the convertible senior subordinated notes, at the option of the holders we repurchased $184.8 million of the convertible notes at their principal amount plus accrued and unpaid interest. The convertible notes were repurchased using a combination of cash on hand and borrowings under our multicurrency revolving line of credit.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the unaudited condensed consolidated financial statements and notes included in this report and with our Annual Report on Form 10-K for the year ended December 31, 2010, filed with the Securities and Exchange Commission (SEC) on February 25, 2011.</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Documents we provide to the SEC are available free of charge under the Investors section of our website at </w:t>
      </w:r>
      <w:r>
        <w:rPr>
          <w:rFonts w:ascii="Arial" w:cs="Arial" w:eastAsia="Arial" w:hAnsi="Arial"/>
          <w:sz w:val="18"/>
          <w:szCs w:val="18"/>
          <w:i w:val="1"/>
          <w:iCs w:val="1"/>
          <w:color w:val="auto"/>
        </w:rPr>
        <w:t>www.itron.com</w:t>
      </w:r>
      <w:r>
        <w:rPr>
          <w:rFonts w:ascii="Arial" w:cs="Arial" w:eastAsia="Arial" w:hAnsi="Arial"/>
          <w:sz w:val="18"/>
          <w:szCs w:val="18"/>
          <w:color w:val="auto"/>
        </w:rPr>
        <w:t xml:space="preserve"> as soon as practicable after they are filed with or furnished to the SEC. In addition, these documents are available at the SEC’s website (http://</w:t>
      </w:r>
      <w:r>
        <w:rPr>
          <w:rFonts w:ascii="Arial" w:cs="Arial" w:eastAsia="Arial" w:hAnsi="Arial"/>
          <w:sz w:val="18"/>
          <w:szCs w:val="18"/>
          <w:i w:val="1"/>
          <w:iCs w:val="1"/>
          <w:color w:val="auto"/>
        </w:rPr>
        <w:t>www.sec.gov</w:t>
      </w:r>
      <w:r>
        <w:rPr>
          <w:rFonts w:ascii="Arial" w:cs="Arial" w:eastAsia="Arial" w:hAnsi="Arial"/>
          <w:sz w:val="18"/>
          <w:szCs w:val="18"/>
          <w:color w:val="auto"/>
        </w:rPr>
        <w:t>) and at the SEC’s Headquarters at 100 F Street, NE, Washington, DC 20549, or by calling 1-800-SEC-0330.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This document contains forward-looking statements concerning our operations, financial performance, revenues, earnings growth, liquidity, and other items. This document reflects our current plans and expectations and is based on information currently available as of the date of this Quarterly Report on Form 10-Q. When we use the words “expect,” “intend,” “anticipate,” “believe,” “plan,” “project,” “estimate,” “future,” “objective,” “may,” “will,” “will continue,” and similar expressions, they are intended to identify forward-looking statements. Forward-looking statements rely on a number of assumptions and estimates. These assumptions and estimates could be inaccurate and cause our actual results to vary materially from expected results. Risks and uncertainties include 1) the rate and timing of customer demand for our products, 2) rescheduling or cancellations of current customer orders and commitments, 3) reliance on certain key vendors and components, 4) competition, 5) changes in estimated liabilities for product warranties and/or litigation,</w:t>
      </w:r>
    </w:p>
    <w:p>
      <w:pPr>
        <w:spacing w:after="0" w:line="3" w:lineRule="exact"/>
        <w:rPr>
          <w:sz w:val="20"/>
          <w:szCs w:val="20"/>
          <w:color w:val="auto"/>
        </w:rPr>
      </w:pPr>
    </w:p>
    <w:p>
      <w:pPr>
        <w:jc w:val="both"/>
        <w:ind w:firstLine="8"/>
        <w:spacing w:after="0" w:line="252" w:lineRule="auto"/>
        <w:tabs>
          <w:tab w:leader="none" w:pos="195"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our dependence on customers’ acceptance of new products and their performance, 7) changes in domestic and international laws and regulations, 8) future business combinations, 9) changes in foreign currency exchange rates and interest rates, 10) international business risks, 11) our own and our customers' or suppliers' access to and cost of capital, and 12) other factors. You should not solely rely on these forward-looking statements as they are only valid as of the date of this Quarterly Report on Form 10-Q. We do not have any obligation to publicly update or revise any forward-looking statement in this document. For a more complete description of these and other risks, refer to Item 1A: “Risk Factors” included in our Annual Report on Form 10-K for the fiscal year ended December 31, 2010, which was filed with the SEC on February 25, 2011, as well as Part II: Other Information Item 1A "Risk Factors" included in this Quarterly Report on Form 10-Q.</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derive the majority of our revenues from sales of products and services to utilities. Our products and services include hardware, software, managed services, and consulting. Cost of revenues includes materials, labor, overhead, warranty expense, and distribution and documentation costs for software.</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14, 2011, we announced a global reorganization in which the Company will be managed under two operating segments, Energy and Water. Although certain management positions of the Company’s two new operating segments have been identified, a transition to the new organizational structure, including changes to operations and financial and operational management systems will continue through the remainder of 2011. Throughout 2011, management and external financial reporting will be based on the current geographic operating segments, Itron North America and Itron International, as the new segment information will not be available until changes to the new operations have occurred and new systems and processes are deployed. Financial reporting of the Energy and Water operating segments is expected to commence in the first quarter of 2012.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for the three months ended June 30, 2011 increased 8% to $612 million, and revenues for the six months ended June 30, 2011 increased 10% to $1.2 billion, compared with the same periods last year. The revenue growth was driven by Itron International with 22% and 17% revenue increases for the three and six months ended June 30, 2011, compared with the same periods last year. Meter and communication module volumes increased 2% and 4% for the three and six months ended June 30, 2011, compared with the same periods last year. Gross margin was 50 and 80 basis points higher for the three and six months ended June 30, 2011, compared with the same periods last year. Diluted earnings per share were $0.84 and $1.50 for the three and six months ended June 30, 2011, compared with $0.61 and $1.23 for the same periods last year. Total backlog was $1.6 billion and twelve-month backlog was $1.0 billion at June 30, 2011.</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part of our global segment reorganization that was announced in March 2011, we are performing a comprehensive review of our cost structure. We are also completing a feasibility study of our manufacturing footprint to determine how to consolidate our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manufacturing operations to reduce costs and improve efficiency. Once these plans are formalized and approved by management, which we expect to be complete in October 2011, we will provide estimated charges by category. Restructuring costs of $1.9 million were recorded in the second quarter of 2011 primarily associated with severance for positions that were eliminated in the second quarter.</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three and six months ended June 30, 2011 included $7.8 million and $7.3 million of net discrete tax benefits due to the reduction of tax reserves for certain international subsidiaries, compared with minimal discrete tax benefits in the three months ended June 30, 2010 and approximately $11 million of discrete tax benefits related to the receipt of a clean energy manufacturing tax credit and reductions of tax reserves for certain international subsidiaries in the six months ended June 30, 2010.</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Term debt repayments during the six months ended June 30, 2011 were $55.6 million, bringing the total debt outstanding to $575.6 million at June 30, 2011.</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Revenues, Gross Profit and Margin, and Unit Shipments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20" w:type="dxa"/>
            <w:vAlign w:val="bottom"/>
            <w:gridSpan w:val="6"/>
          </w:tcPr>
          <w:p>
            <w:pPr>
              <w:ind w:left="68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8"/>
                <w:szCs w:val="18"/>
                <w:color w:val="auto"/>
              </w:rPr>
            </w:pPr>
          </w:p>
        </w:tc>
        <w:tc>
          <w:tcPr>
            <w:tcW w:w="2740" w:type="dxa"/>
            <w:vAlign w:val="bottom"/>
            <w:gridSpan w:val="5"/>
          </w:tcPr>
          <w:p>
            <w:pPr>
              <w:ind w:left="800"/>
              <w:spacing w:after="0"/>
              <w:rPr>
                <w:sz w:val="20"/>
                <w:szCs w:val="20"/>
                <w:color w:val="auto"/>
              </w:rPr>
            </w:pPr>
            <w:r>
              <w:rPr>
                <w:rFonts w:ascii="Arial" w:cs="Arial" w:eastAsia="Arial" w:hAnsi="Arial"/>
                <w:sz w:val="16"/>
                <w:szCs w:val="16"/>
                <w:b w:val="1"/>
                <w:bCs w:val="1"/>
                <w:color w:val="auto"/>
                <w:w w:val="92"/>
              </w:rPr>
              <w:t>Six Months Ended June 30,</w:t>
            </w:r>
          </w:p>
        </w:tc>
        <w:tc>
          <w:tcPr>
            <w:tcW w:w="1020" w:type="dxa"/>
            <w:vAlign w:val="bottom"/>
          </w:tcPr>
          <w:p>
            <w:pPr>
              <w:spacing w:after="0"/>
              <w:rPr>
                <w:sz w:val="18"/>
                <w:szCs w:val="18"/>
                <w:color w:val="auto"/>
              </w:rPr>
            </w:pPr>
          </w:p>
        </w:tc>
      </w:tr>
      <w:tr>
        <w:trPr>
          <w:trHeight w:val="33"/>
        </w:trPr>
        <w:tc>
          <w:tcPr>
            <w:tcW w:w="3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1"/>
        </w:trPr>
        <w:tc>
          <w:tcPr>
            <w:tcW w:w="3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59"/>
              <w:spacing w:after="0"/>
              <w:rPr>
                <w:sz w:val="20"/>
                <w:szCs w:val="20"/>
                <w:color w:val="auto"/>
              </w:rPr>
            </w:pPr>
            <w:r>
              <w:rPr>
                <w:rFonts w:ascii="Arial" w:cs="Arial" w:eastAsia="Arial" w:hAnsi="Arial"/>
                <w:sz w:val="16"/>
                <w:szCs w:val="16"/>
                <w:b w:val="1"/>
                <w:bCs w:val="1"/>
                <w:color w:val="auto"/>
              </w:rPr>
              <w:t>2011</w:t>
            </w:r>
          </w:p>
        </w:tc>
        <w:tc>
          <w:tcPr>
            <w:tcW w:w="520" w:type="dxa"/>
            <w:vAlign w:val="bottom"/>
          </w:tcPr>
          <w:p>
            <w:pPr>
              <w:spacing w:after="0"/>
              <w:rPr>
                <w:sz w:val="20"/>
                <w:szCs w:val="20"/>
                <w:color w:val="auto"/>
              </w:rPr>
            </w:pPr>
          </w:p>
        </w:tc>
        <w:tc>
          <w:tcPr>
            <w:tcW w:w="800" w:type="dxa"/>
            <w:vAlign w:val="bottom"/>
          </w:tcPr>
          <w:p>
            <w:pPr>
              <w:jc w:val="right"/>
              <w:ind w:right="379"/>
              <w:spacing w:after="0"/>
              <w:rPr>
                <w:sz w:val="20"/>
                <w:szCs w:val="20"/>
                <w:color w:val="auto"/>
              </w:rPr>
            </w:pPr>
            <w:r>
              <w:rPr>
                <w:rFonts w:ascii="Arial" w:cs="Arial" w:eastAsia="Arial" w:hAnsi="Arial"/>
                <w:sz w:val="16"/>
                <w:szCs w:val="16"/>
                <w:b w:val="1"/>
                <w:bCs w:val="1"/>
                <w:color w:val="auto"/>
                <w:w w:val="89"/>
              </w:rPr>
              <w:t>2010</w:t>
            </w:r>
          </w:p>
        </w:tc>
        <w:tc>
          <w:tcPr>
            <w:tcW w:w="120" w:type="dxa"/>
            <w:vAlign w:val="bottom"/>
          </w:tcPr>
          <w:p>
            <w:pPr>
              <w:spacing w:after="0"/>
              <w:rPr>
                <w:sz w:val="20"/>
                <w:szCs w:val="20"/>
                <w:color w:val="auto"/>
              </w:rPr>
            </w:pPr>
          </w:p>
        </w:tc>
        <w:tc>
          <w:tcPr>
            <w:tcW w:w="1340" w:type="dxa"/>
            <w:vAlign w:val="bottom"/>
            <w:gridSpan w:val="2"/>
          </w:tcPr>
          <w:p>
            <w:pPr>
              <w:ind w:left="260"/>
              <w:spacing w:after="0"/>
              <w:rPr>
                <w:sz w:val="20"/>
                <w:szCs w:val="20"/>
                <w:color w:val="auto"/>
              </w:rPr>
            </w:pPr>
            <w:r>
              <w:rPr>
                <w:rFonts w:ascii="Arial" w:cs="Arial" w:eastAsia="Arial" w:hAnsi="Arial"/>
                <w:sz w:val="16"/>
                <w:szCs w:val="16"/>
                <w:b w:val="1"/>
                <w:bCs w:val="1"/>
                <w:color w:val="auto"/>
              </w:rPr>
              <w:t>% Change</w:t>
            </w:r>
          </w:p>
        </w:tc>
        <w:tc>
          <w:tcPr>
            <w:tcW w:w="300" w:type="dxa"/>
            <w:vAlign w:val="bottom"/>
          </w:tcPr>
          <w:p>
            <w:pPr>
              <w:spacing w:after="0"/>
              <w:rPr>
                <w:sz w:val="20"/>
                <w:szCs w:val="20"/>
                <w:color w:val="auto"/>
              </w:rPr>
            </w:pPr>
          </w:p>
        </w:tc>
        <w:tc>
          <w:tcPr>
            <w:tcW w:w="1060" w:type="dxa"/>
            <w:vAlign w:val="bottom"/>
          </w:tcPr>
          <w:p>
            <w:pPr>
              <w:jc w:val="right"/>
              <w:ind w:right="459"/>
              <w:spacing w:after="0"/>
              <w:rPr>
                <w:sz w:val="20"/>
                <w:szCs w:val="20"/>
                <w:color w:val="auto"/>
              </w:rPr>
            </w:pPr>
            <w:r>
              <w:rPr>
                <w:rFonts w:ascii="Arial" w:cs="Arial" w:eastAsia="Arial" w:hAnsi="Arial"/>
                <w:sz w:val="16"/>
                <w:szCs w:val="16"/>
                <w:b w:val="1"/>
                <w:bCs w:val="1"/>
                <w:color w:val="auto"/>
              </w:rPr>
              <w:t>2011</w:t>
            </w:r>
          </w:p>
        </w:tc>
        <w:tc>
          <w:tcPr>
            <w:tcW w:w="520" w:type="dxa"/>
            <w:vAlign w:val="bottom"/>
          </w:tcPr>
          <w:p>
            <w:pPr>
              <w:spacing w:after="0"/>
              <w:rPr>
                <w:sz w:val="20"/>
                <w:szCs w:val="20"/>
                <w:color w:val="auto"/>
              </w:rPr>
            </w:pPr>
          </w:p>
        </w:tc>
        <w:tc>
          <w:tcPr>
            <w:tcW w:w="820" w:type="dxa"/>
            <w:vAlign w:val="bottom"/>
          </w:tcPr>
          <w:p>
            <w:pPr>
              <w:jc w:val="right"/>
              <w:ind w:right="399"/>
              <w:spacing w:after="0"/>
              <w:rPr>
                <w:sz w:val="20"/>
                <w:szCs w:val="20"/>
                <w:color w:val="auto"/>
              </w:rPr>
            </w:pPr>
            <w:r>
              <w:rPr>
                <w:rFonts w:ascii="Arial" w:cs="Arial" w:eastAsia="Arial" w:hAnsi="Arial"/>
                <w:sz w:val="16"/>
                <w:szCs w:val="16"/>
                <w:b w:val="1"/>
                <w:bCs w:val="1"/>
                <w:color w:val="auto"/>
                <w:w w:val="89"/>
              </w:rPr>
              <w:t>2010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center"/>
              <w:ind w:right="139"/>
              <w:spacing w:after="0"/>
              <w:rPr>
                <w:sz w:val="20"/>
                <w:szCs w:val="20"/>
                <w:color w:val="auto"/>
              </w:rPr>
            </w:pPr>
            <w:r>
              <w:rPr>
                <w:rFonts w:ascii="Arial" w:cs="Arial" w:eastAsia="Arial" w:hAnsi="Arial"/>
                <w:sz w:val="16"/>
                <w:szCs w:val="16"/>
                <w:b w:val="1"/>
                <w:bCs w:val="1"/>
                <w:color w:val="auto"/>
                <w:w w:val="93"/>
              </w:rPr>
              <w:t>% Change</w:t>
            </w:r>
          </w:p>
        </w:tc>
      </w:tr>
      <w:tr>
        <w:trPr>
          <w:trHeight w:val="33"/>
        </w:trPr>
        <w:tc>
          <w:tcPr>
            <w:tcW w:w="3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7"/>
        </w:trPr>
        <w:tc>
          <w:tcPr>
            <w:tcW w:w="3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6"/>
                <w:szCs w:val="16"/>
                <w:b w:val="1"/>
                <w:bCs w:val="1"/>
                <w:color w:val="auto"/>
              </w:rPr>
              <w:t>(in thousands)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70"/>
        </w:trPr>
        <w:tc>
          <w:tcPr>
            <w:tcW w:w="3240" w:type="dxa"/>
            <w:vAlign w:val="bottom"/>
          </w:tcPr>
          <w:p>
            <w:pPr>
              <w:ind w:left="40"/>
              <w:spacing w:after="0"/>
              <w:rPr>
                <w:sz w:val="20"/>
                <w:szCs w:val="20"/>
                <w:color w:val="auto"/>
              </w:rPr>
            </w:pPr>
            <w:r>
              <w:rPr>
                <w:rFonts w:ascii="Arial" w:cs="Arial" w:eastAsia="Arial" w:hAnsi="Arial"/>
                <w:sz w:val="16"/>
                <w:szCs w:val="16"/>
                <w:color w:val="auto"/>
              </w:rPr>
              <w:t>Revenues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612,401</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79"/>
              <w:spacing w:after="0"/>
              <w:rPr>
                <w:sz w:val="20"/>
                <w:szCs w:val="20"/>
                <w:color w:val="auto"/>
              </w:rPr>
            </w:pPr>
            <w:r>
              <w:rPr>
                <w:rFonts w:ascii="Arial" w:cs="Arial" w:eastAsia="Arial" w:hAnsi="Arial"/>
                <w:sz w:val="16"/>
                <w:szCs w:val="16"/>
                <w:color w:val="auto"/>
              </w:rPr>
              <w:t>567,339</w:t>
            </w:r>
          </w:p>
        </w:tc>
        <w:tc>
          <w:tcPr>
            <w:tcW w:w="120" w:type="dxa"/>
            <w:vAlign w:val="bottom"/>
          </w:tcPr>
          <w:p>
            <w:pPr>
              <w:spacing w:after="0"/>
              <w:rPr>
                <w:sz w:val="23"/>
                <w:szCs w:val="23"/>
                <w:color w:val="auto"/>
              </w:rPr>
            </w:pPr>
          </w:p>
        </w:tc>
        <w:tc>
          <w:tcPr>
            <w:tcW w:w="1240" w:type="dxa"/>
            <w:vAlign w:val="bottom"/>
          </w:tcPr>
          <w:p>
            <w:pPr>
              <w:jc w:val="right"/>
              <w:ind w:right="43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1,176,092</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w w:val="89"/>
              </w:rPr>
              <w:t>1,064,962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center"/>
              <w:ind w:right="139"/>
              <w:spacing w:after="0"/>
              <w:rPr>
                <w:sz w:val="20"/>
                <w:szCs w:val="20"/>
                <w:color w:val="auto"/>
              </w:rPr>
            </w:pPr>
            <w:r>
              <w:rPr>
                <w:rFonts w:ascii="Arial" w:cs="Arial" w:eastAsia="Arial" w:hAnsi="Arial"/>
                <w:sz w:val="16"/>
                <w:szCs w:val="16"/>
                <w:color w:val="auto"/>
                <w:w w:val="87"/>
              </w:rPr>
              <w:t>10%</w:t>
            </w:r>
          </w:p>
        </w:tc>
      </w:tr>
      <w:tr>
        <w:trPr>
          <w:trHeight w:val="33"/>
        </w:trPr>
        <w:tc>
          <w:tcPr>
            <w:tcW w:w="3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191,083</w:t>
            </w:r>
          </w:p>
        </w:tc>
        <w:tc>
          <w:tcPr>
            <w:tcW w:w="5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174,056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375,193</w:t>
            </w:r>
          </w:p>
        </w:tc>
        <w:tc>
          <w:tcPr>
            <w:tcW w:w="5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331,120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ind w:right="139"/>
              <w:spacing w:after="0"/>
              <w:rPr>
                <w:sz w:val="20"/>
                <w:szCs w:val="20"/>
                <w:color w:val="auto"/>
              </w:rPr>
            </w:pPr>
            <w:r>
              <w:rPr>
                <w:rFonts w:ascii="Arial" w:cs="Arial" w:eastAsia="Arial" w:hAnsi="Arial"/>
                <w:sz w:val="16"/>
                <w:szCs w:val="16"/>
                <w:color w:val="auto"/>
                <w:w w:val="87"/>
              </w:rPr>
              <w:t>13%</w:t>
            </w:r>
          </w:p>
        </w:tc>
      </w:tr>
      <w:tr>
        <w:trPr>
          <w:trHeight w:val="237"/>
        </w:trPr>
        <w:tc>
          <w:tcPr>
            <w:tcW w:w="3240" w:type="dxa"/>
            <w:vAlign w:val="bottom"/>
          </w:tcPr>
          <w:p>
            <w:pPr>
              <w:ind w:left="40"/>
              <w:spacing w:after="0"/>
              <w:rPr>
                <w:sz w:val="20"/>
                <w:szCs w:val="20"/>
                <w:color w:val="auto"/>
              </w:rPr>
            </w:pPr>
            <w:r>
              <w:rPr>
                <w:rFonts w:ascii="Arial" w:cs="Arial" w:eastAsia="Arial" w:hAnsi="Arial"/>
                <w:sz w:val="16"/>
                <w:szCs w:val="16"/>
                <w:color w:val="auto"/>
              </w:rPr>
              <w:t>Gross Margin</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31.2%</w:t>
            </w:r>
          </w:p>
        </w:tc>
        <w:tc>
          <w:tcPr>
            <w:tcW w:w="5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31.9%</w:t>
            </w:r>
          </w:p>
        </w:tc>
        <w:tc>
          <w:tcPr>
            <w:tcW w:w="5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12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560" w:type="dxa"/>
            <w:vAlign w:val="bottom"/>
          </w:tcPr>
          <w:p>
            <w:pPr>
              <w:spacing w:after="0"/>
              <w:rPr>
                <w:sz w:val="20"/>
                <w:szCs w:val="20"/>
                <w:color w:val="auto"/>
              </w:rPr>
            </w:pPr>
          </w:p>
        </w:tc>
        <w:tc>
          <w:tcPr>
            <w:tcW w:w="27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2010</w:t>
            </w: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0"/>
        </w:trPr>
        <w:tc>
          <w:tcPr>
            <w:tcW w:w="4700" w:type="dxa"/>
            <w:vAlign w:val="bottom"/>
          </w:tcPr>
          <w:p>
            <w:pPr>
              <w:ind w:left="40"/>
              <w:spacing w:after="0"/>
              <w:rPr>
                <w:sz w:val="20"/>
                <w:szCs w:val="20"/>
                <w:color w:val="auto"/>
              </w:rPr>
            </w:pPr>
            <w:r>
              <w:rPr>
                <w:rFonts w:ascii="Arial" w:cs="Arial" w:eastAsia="Arial" w:hAnsi="Arial"/>
                <w:sz w:val="18"/>
                <w:szCs w:val="18"/>
                <w:color w:val="auto"/>
              </w:rPr>
              <w:t>Revenues by region</w:t>
            </w: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United States and Canada</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285,931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299,502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560,393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538,502</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Europe</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228,354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192,864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431,185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388,348</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98,116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74,973</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184,514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138,112</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612,401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567,339</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1,176,092</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1,064,962</w:t>
            </w: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Revenues increased $45.1 million and $111.1 million, or 8% and 10%, for the three and six months ended June 30, 2011, compared with the same periods last year. The net translation effect of our operations denominated in foreign currencies to the U.S. dollar accounted for $35.8 million and $40.0 million of the increase in revenues for the three and six months ended June 30, 2011, compared with the same periods last year. A more detailed analysis of these fluctuations is provided in </w:t>
      </w:r>
      <w:r>
        <w:rPr>
          <w:rFonts w:ascii="Arial" w:cs="Arial" w:eastAsia="Arial" w:hAnsi="Arial"/>
          <w:sz w:val="18"/>
          <w:szCs w:val="18"/>
          <w:i w:val="1"/>
          <w:iCs w:val="1"/>
          <w:color w:val="auto"/>
        </w:rPr>
        <w:t>Operating Segment Results.</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 single customer represented more than 10% of total revenues for the three and six months ended June 30, 2011, and one customer represented more than 10% of total revenues for the three and six months ended June 30, 2010. Our 10 largest customers accounted for 30% and 31% of total revenues for the three and six months ended June 30, 2011, and 34% and 30% for the three and six months ended June 30, 2010, respectively.</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Gross Margins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 xml:space="preserve">Gross margin was 31.2% and 31.9% for the three and six months ended June 30, 2011, compared with 30.7% and 31.1% for the same periods last year due to improved Itron International margins and their relative contribution. A more detailed analysis of these fluctuations is provided in </w:t>
      </w:r>
      <w:r>
        <w:rPr>
          <w:rFonts w:ascii="Arial" w:cs="Arial" w:eastAsia="Arial" w:hAnsi="Arial"/>
          <w:sz w:val="16"/>
          <w:szCs w:val="16"/>
          <w:i w:val="1"/>
          <w:iCs w:val="1"/>
          <w:color w:val="auto"/>
        </w:rPr>
        <w:t>Operating Segment Results.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Meter and Module Summary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Meters can be broken down into three categories:</w:t>
      </w:r>
    </w:p>
    <w:p>
      <w:pPr>
        <w:spacing w:after="0" w:line="9"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Standard metering – no built-in remote reading communication capability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Advanced metering – one-way communication of meter data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Smart metering – two-way communication including remote meter configuration and upgrade (consisting primarily of our OpenWay® technology)</w:t>
      </w:r>
    </w:p>
    <w:p>
      <w:pPr>
        <w:spacing w:after="0" w:line="2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advanced and smart meter communication modules can be sold separately from the meter. Depending on customers’ preferences, we also incorporate other vendors’ communication technology in our meters. A summary of our meter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communication module shipments is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276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w w:val="93"/>
              </w:rPr>
              <w:t>Three Months Ended</w:t>
            </w:r>
          </w:p>
        </w:tc>
        <w:tc>
          <w:tcPr>
            <w:tcW w:w="26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Six Months Ended</w:t>
            </w:r>
          </w:p>
        </w:tc>
      </w:tr>
      <w:tr>
        <w:trPr>
          <w:trHeight w:val="210"/>
        </w:trPr>
        <w:tc>
          <w:tcPr>
            <w:tcW w:w="6060" w:type="dxa"/>
            <w:vAlign w:val="bottom"/>
          </w:tcPr>
          <w:p>
            <w:pPr>
              <w:spacing w:after="0"/>
              <w:rPr>
                <w:sz w:val="18"/>
                <w:szCs w:val="18"/>
                <w:color w:val="auto"/>
              </w:rPr>
            </w:pPr>
          </w:p>
        </w:tc>
        <w:tc>
          <w:tcPr>
            <w:tcW w:w="1740" w:type="dxa"/>
            <w:vAlign w:val="bottom"/>
            <w:gridSpan w:val="3"/>
          </w:tcPr>
          <w:p>
            <w:pPr>
              <w:jc w:val="center"/>
              <w:ind w:left="879"/>
              <w:spacing w:after="0"/>
              <w:rPr>
                <w:sz w:val="20"/>
                <w:szCs w:val="20"/>
                <w:color w:val="auto"/>
              </w:rPr>
            </w:pPr>
            <w:r>
              <w:rPr>
                <w:rFonts w:ascii="Arial" w:cs="Arial" w:eastAsia="Arial" w:hAnsi="Arial"/>
                <w:sz w:val="16"/>
                <w:szCs w:val="16"/>
                <w:b w:val="1"/>
                <w:bCs w:val="1"/>
                <w:color w:val="auto"/>
                <w:w w:val="90"/>
              </w:rPr>
              <w:t>June 30,</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3"/>
          </w:tcPr>
          <w:p>
            <w:pPr>
              <w:jc w:val="center"/>
              <w:ind w:left="819"/>
              <w:spacing w:after="0"/>
              <w:rPr>
                <w:sz w:val="20"/>
                <w:szCs w:val="20"/>
                <w:color w:val="auto"/>
              </w:rPr>
            </w:pPr>
            <w:r>
              <w:rPr>
                <w:rFonts w:ascii="Arial" w:cs="Arial" w:eastAsia="Arial" w:hAnsi="Arial"/>
                <w:sz w:val="16"/>
                <w:szCs w:val="16"/>
                <w:b w:val="1"/>
                <w:bCs w:val="1"/>
                <w:color w:val="auto"/>
                <w:w w:val="90"/>
              </w:rPr>
              <w:t>June 30,</w:t>
            </w:r>
          </w:p>
        </w:tc>
        <w:tc>
          <w:tcPr>
            <w:tcW w:w="88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1260" w:type="dxa"/>
            <w:vAlign w:val="bottom"/>
          </w:tcPr>
          <w:p>
            <w:pPr>
              <w:jc w:val="right"/>
              <w:ind w:right="37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399"/>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20"/>
                <w:szCs w:val="20"/>
                <w:color w:val="auto"/>
              </w:rPr>
            </w:pPr>
          </w:p>
        </w:tc>
        <w:tc>
          <w:tcPr>
            <w:tcW w:w="1240" w:type="dxa"/>
            <w:vAlign w:val="bottom"/>
          </w:tcPr>
          <w:p>
            <w:pPr>
              <w:jc w:val="right"/>
              <w:ind w:right="37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79"/>
              <w:spacing w:after="0"/>
              <w:rPr>
                <w:sz w:val="20"/>
                <w:szCs w:val="20"/>
                <w:color w:val="auto"/>
              </w:rPr>
            </w:pPr>
            <w:r>
              <w:rPr>
                <w:rFonts w:ascii="Arial" w:cs="Arial" w:eastAsia="Arial" w:hAnsi="Arial"/>
                <w:sz w:val="16"/>
                <w:szCs w:val="16"/>
                <w:b w:val="1"/>
                <w:bCs w:val="1"/>
                <w:color w:val="auto"/>
              </w:rPr>
              <w:t>2010</w:t>
            </w:r>
          </w:p>
        </w:tc>
      </w:tr>
      <w:tr>
        <w:trPr>
          <w:trHeight w:val="33"/>
        </w:trPr>
        <w:tc>
          <w:tcPr>
            <w:tcW w:w="60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gridSpan w:val="5"/>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60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40" w:type="dxa"/>
            <w:vAlign w:val="bottom"/>
            <w:gridSpan w:val="5"/>
          </w:tcPr>
          <w:p>
            <w:pPr>
              <w:ind w:left="260"/>
              <w:spacing w:after="0"/>
              <w:rPr>
                <w:sz w:val="20"/>
                <w:szCs w:val="20"/>
                <w:color w:val="auto"/>
              </w:rPr>
            </w:pPr>
            <w:r>
              <w:rPr>
                <w:rFonts w:ascii="Arial" w:cs="Arial" w:eastAsia="Arial" w:hAnsi="Arial"/>
                <w:sz w:val="16"/>
                <w:szCs w:val="16"/>
                <w:b w:val="1"/>
                <w:bCs w:val="1"/>
                <w:color w:val="auto"/>
              </w:rPr>
              <w:t>(units in thousands)</w:t>
            </w:r>
          </w:p>
        </w:tc>
        <w:tc>
          <w:tcPr>
            <w:tcW w:w="88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meters (standard, advanced, and smart)</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24"/>
        </w:trPr>
        <w:tc>
          <w:tcPr>
            <w:tcW w:w="6060" w:type="dxa"/>
            <w:vAlign w:val="bottom"/>
          </w:tcPr>
          <w:p>
            <w:pPr>
              <w:ind w:left="380"/>
              <w:spacing w:after="0"/>
              <w:rPr>
                <w:sz w:val="20"/>
                <w:szCs w:val="20"/>
                <w:color w:val="auto"/>
              </w:rPr>
            </w:pPr>
            <w:r>
              <w:rPr>
                <w:rFonts w:ascii="Arial" w:cs="Arial" w:eastAsia="Arial" w:hAnsi="Arial"/>
                <w:sz w:val="16"/>
                <w:szCs w:val="16"/>
                <w:color w:val="auto"/>
              </w:rPr>
              <w:t>Itron North America</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7"/>
        </w:trPr>
        <w:tc>
          <w:tcPr>
            <w:tcW w:w="60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Electricity</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1,740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3,090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3,190</w:t>
            </w:r>
          </w:p>
        </w:tc>
      </w:tr>
      <w:tr>
        <w:trPr>
          <w:trHeight w:val="237"/>
        </w:trPr>
        <w:tc>
          <w:tcPr>
            <w:tcW w:w="6060" w:type="dxa"/>
            <w:vAlign w:val="bottom"/>
          </w:tcPr>
          <w:p>
            <w:pPr>
              <w:ind w:left="720"/>
              <w:spacing w:after="0"/>
              <w:rPr>
                <w:sz w:val="20"/>
                <w:szCs w:val="20"/>
                <w:color w:val="auto"/>
              </w:rPr>
            </w:pPr>
            <w:r>
              <w:rPr>
                <w:rFonts w:ascii="Arial" w:cs="Arial" w:eastAsia="Arial" w:hAnsi="Arial"/>
                <w:sz w:val="16"/>
                <w:szCs w:val="16"/>
                <w:color w:val="auto"/>
              </w:rPr>
              <w:t>Gas</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260</w:t>
            </w:r>
          </w:p>
        </w:tc>
      </w:tr>
      <w:tr>
        <w:trPr>
          <w:trHeight w:val="33"/>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0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24"/>
        </w:trPr>
        <w:tc>
          <w:tcPr>
            <w:tcW w:w="6060" w:type="dxa"/>
            <w:vAlign w:val="bottom"/>
          </w:tcPr>
          <w:p>
            <w:pPr>
              <w:ind w:left="380"/>
              <w:spacing w:after="0"/>
              <w:rPr>
                <w:sz w:val="20"/>
                <w:szCs w:val="20"/>
                <w:color w:val="auto"/>
              </w:rPr>
            </w:pPr>
            <w:r>
              <w:rPr>
                <w:rFonts w:ascii="Arial" w:cs="Arial" w:eastAsia="Arial" w:hAnsi="Arial"/>
                <w:sz w:val="16"/>
                <w:szCs w:val="16"/>
                <w:color w:val="auto"/>
              </w:rPr>
              <w:t>Itron International</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7"/>
        </w:trPr>
        <w:tc>
          <w:tcPr>
            <w:tcW w:w="60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Electricity</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1,930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3,490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3,570</w:t>
            </w:r>
          </w:p>
        </w:tc>
      </w:tr>
      <w:tr>
        <w:trPr>
          <w:trHeight w:val="237"/>
        </w:trPr>
        <w:tc>
          <w:tcPr>
            <w:tcW w:w="6060" w:type="dxa"/>
            <w:vAlign w:val="bottom"/>
          </w:tcPr>
          <w:p>
            <w:pPr>
              <w:ind w:left="720"/>
              <w:spacing w:after="0"/>
              <w:rPr>
                <w:sz w:val="20"/>
                <w:szCs w:val="20"/>
                <w:color w:val="auto"/>
              </w:rPr>
            </w:pPr>
            <w:r>
              <w:rPr>
                <w:rFonts w:ascii="Arial" w:cs="Arial" w:eastAsia="Arial" w:hAnsi="Arial"/>
                <w:sz w:val="16"/>
                <w:szCs w:val="16"/>
                <w:color w:val="auto"/>
              </w:rPr>
              <w:t>Gas</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1,110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1,020</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2,050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2,000</w:t>
            </w:r>
          </w:p>
        </w:tc>
      </w:tr>
      <w:tr>
        <w:trPr>
          <w:trHeight w:val="33"/>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Water</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2,380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4,960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4,670</w:t>
            </w:r>
          </w:p>
        </w:tc>
      </w:tr>
      <w:tr>
        <w:trPr>
          <w:trHeight w:val="217"/>
        </w:trPr>
        <w:tc>
          <w:tcPr>
            <w:tcW w:w="6060" w:type="dxa"/>
            <w:vAlign w:val="bottom"/>
          </w:tcPr>
          <w:p>
            <w:pPr>
              <w:ind w:left="380"/>
              <w:spacing w:after="0"/>
              <w:rPr>
                <w:sz w:val="20"/>
                <w:szCs w:val="20"/>
                <w:color w:val="auto"/>
              </w:rPr>
            </w:pPr>
            <w:r>
              <w:rPr>
                <w:rFonts w:ascii="Arial" w:cs="Arial" w:eastAsia="Arial" w:hAnsi="Arial"/>
                <w:sz w:val="16"/>
                <w:szCs w:val="16"/>
                <w:color w:val="auto"/>
              </w:rPr>
              <w:t>Total meters</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7,110</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7,230</w:t>
            </w:r>
          </w:p>
        </w:tc>
        <w:tc>
          <w:tcPr>
            <w:tcW w:w="100" w:type="dxa"/>
            <w:vAlign w:val="bottom"/>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13,870</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13,690</w:t>
            </w:r>
          </w:p>
        </w:tc>
      </w:tr>
      <w:tr>
        <w:trPr>
          <w:trHeight w:val="73"/>
        </w:trPr>
        <w:tc>
          <w:tcPr>
            <w:tcW w:w="6060" w:type="dxa"/>
            <w:vAlign w:val="bottom"/>
            <w:tcBorders>
              <w:bottom w:val="single" w:sz="8" w:color="CCEEFF"/>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r>
      <w:tr>
        <w:trPr>
          <w:trHeight w:val="251"/>
        </w:trPr>
        <w:tc>
          <w:tcPr>
            <w:tcW w:w="60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color w:val="auto"/>
              </w:rPr>
              <w:t>Additional meter information (Total Company)</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7"/>
        </w:trPr>
        <w:tc>
          <w:tcPr>
            <w:tcW w:w="60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Advanced meters</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1,720</w:t>
            </w:r>
          </w:p>
        </w:tc>
      </w:tr>
      <w:tr>
        <w:trPr>
          <w:trHeight w:val="237"/>
        </w:trPr>
        <w:tc>
          <w:tcPr>
            <w:tcW w:w="6060" w:type="dxa"/>
            <w:vAlign w:val="bottom"/>
          </w:tcPr>
          <w:p>
            <w:pPr>
              <w:ind w:left="380"/>
              <w:spacing w:after="0"/>
              <w:rPr>
                <w:sz w:val="20"/>
                <w:szCs w:val="20"/>
                <w:color w:val="auto"/>
              </w:rPr>
            </w:pPr>
            <w:r>
              <w:rPr>
                <w:rFonts w:ascii="Arial" w:cs="Arial" w:eastAsia="Arial" w:hAnsi="Arial"/>
                <w:sz w:val="16"/>
                <w:szCs w:val="16"/>
                <w:color w:val="auto"/>
              </w:rPr>
              <w:t>Smart meters</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910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1,050</w:t>
            </w:r>
          </w:p>
        </w:tc>
        <w:tc>
          <w:tcPr>
            <w:tcW w:w="1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1,900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1,860</w:t>
            </w:r>
          </w:p>
        </w:tc>
      </w:tr>
      <w:tr>
        <w:trPr>
          <w:trHeight w:val="33"/>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Standalone advanced and smart communication modules</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1,600</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2,790</w:t>
            </w:r>
          </w:p>
        </w:tc>
      </w:tr>
      <w:tr>
        <w:trPr>
          <w:trHeight w:val="217"/>
        </w:trPr>
        <w:tc>
          <w:tcPr>
            <w:tcW w:w="6060" w:type="dxa"/>
            <w:vAlign w:val="bottom"/>
          </w:tcPr>
          <w:p>
            <w:pPr>
              <w:ind w:left="720"/>
              <w:spacing w:after="0"/>
              <w:rPr>
                <w:sz w:val="20"/>
                <w:szCs w:val="20"/>
                <w:color w:val="auto"/>
              </w:rPr>
            </w:pPr>
            <w:r>
              <w:rPr>
                <w:rFonts w:ascii="Arial" w:cs="Arial" w:eastAsia="Arial" w:hAnsi="Arial"/>
                <w:sz w:val="16"/>
                <w:szCs w:val="16"/>
                <w:color w:val="auto"/>
              </w:rPr>
              <w:t>Advanced and smart meters and communication modules</w:t>
            </w:r>
          </w:p>
        </w:tc>
        <w:tc>
          <w:tcPr>
            <w:tcW w:w="12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3,890</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3,700</w:t>
            </w:r>
          </w:p>
        </w:tc>
        <w:tc>
          <w:tcPr>
            <w:tcW w:w="100" w:type="dxa"/>
            <w:vAlign w:val="bottom"/>
          </w:tcPr>
          <w:p>
            <w:pPr>
              <w:spacing w:after="0"/>
              <w:rPr>
                <w:sz w:val="18"/>
                <w:szCs w:val="18"/>
                <w:color w:val="auto"/>
              </w:rPr>
            </w:pPr>
          </w:p>
        </w:tc>
        <w:tc>
          <w:tcPr>
            <w:tcW w:w="1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7,210</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6,370</w:t>
            </w:r>
          </w:p>
        </w:tc>
      </w:tr>
      <w:tr>
        <w:trPr>
          <w:trHeight w:val="73"/>
        </w:trPr>
        <w:tc>
          <w:tcPr>
            <w:tcW w:w="6060" w:type="dxa"/>
            <w:vAlign w:val="bottom"/>
            <w:tcBorders>
              <w:bottom w:val="single" w:sz="8" w:color="CCEEFF"/>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r>
      <w:tr>
        <w:trPr>
          <w:trHeight w:val="251"/>
        </w:trPr>
        <w:tc>
          <w:tcPr>
            <w:tcW w:w="60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color w:val="auto"/>
              </w:rPr>
              <w:t>Meters with other vendors’ advanced or smart communication technology</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260</w:t>
            </w:r>
          </w:p>
        </w:tc>
      </w:tr>
      <w:tr>
        <w:trPr>
          <w:trHeight w:val="33"/>
        </w:trPr>
        <w:tc>
          <w:tcPr>
            <w:tcW w:w="60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our operating segments, refer to Item 1: “Financial Statements Note 14: Segment Information”.</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6"/>
          </w:tcPr>
          <w:p>
            <w:pPr>
              <w:ind w:left="640"/>
              <w:spacing w:after="0"/>
              <w:rPr>
                <w:sz w:val="20"/>
                <w:szCs w:val="20"/>
                <w:color w:val="auto"/>
              </w:rPr>
            </w:pPr>
            <w:r>
              <w:rPr>
                <w:rFonts w:ascii="Arial" w:cs="Arial" w:eastAsia="Arial" w:hAnsi="Arial"/>
                <w:sz w:val="13"/>
                <w:szCs w:val="13"/>
                <w:b w:val="1"/>
                <w:bCs w:val="1"/>
                <w:color w:val="auto"/>
                <w:w w:val="89"/>
              </w:rPr>
              <w:t>Three Months Ended June 30,</w:t>
            </w:r>
          </w:p>
        </w:tc>
        <w:tc>
          <w:tcPr>
            <w:tcW w:w="820" w:type="dxa"/>
            <w:vAlign w:val="bottom"/>
            <w:tcBorders>
              <w:bottom w:val="single" w:sz="8" w:color="auto"/>
            </w:tcBorders>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6"/>
          </w:tcPr>
          <w:p>
            <w:pPr>
              <w:spacing w:after="0"/>
              <w:rPr>
                <w:sz w:val="20"/>
                <w:szCs w:val="20"/>
                <w:color w:val="auto"/>
              </w:rPr>
            </w:pPr>
            <w:r>
              <w:rPr>
                <w:rFonts w:ascii="Arial" w:cs="Arial" w:eastAsia="Arial" w:hAnsi="Arial"/>
                <w:sz w:val="13"/>
                <w:szCs w:val="13"/>
                <w:b w:val="1"/>
                <w:bCs w:val="1"/>
                <w:color w:val="auto"/>
                <w:w w:val="89"/>
              </w:rPr>
              <w:t>Six Months Ended June 30,</w:t>
            </w:r>
          </w:p>
        </w:tc>
        <w:tc>
          <w:tcPr>
            <w:tcW w:w="820" w:type="dxa"/>
            <w:vAlign w:val="bottom"/>
            <w:tcBorders>
              <w:bottom w:val="single" w:sz="8" w:color="auto"/>
            </w:tcBorders>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337"/>
              <w:spacing w:after="0"/>
              <w:rPr>
                <w:sz w:val="20"/>
                <w:szCs w:val="20"/>
                <w:color w:val="auto"/>
              </w:rPr>
            </w:pPr>
            <w:r>
              <w:rPr>
                <w:rFonts w:ascii="Arial" w:cs="Arial" w:eastAsia="Arial" w:hAnsi="Arial"/>
                <w:sz w:val="13"/>
                <w:szCs w:val="13"/>
                <w:b w:val="1"/>
                <w:bCs w:val="1"/>
                <w:color w:val="auto"/>
              </w:rPr>
              <w:t>2011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jc w:val="right"/>
              <w:ind w:right="337"/>
              <w:spacing w:after="0"/>
              <w:rPr>
                <w:sz w:val="20"/>
                <w:szCs w:val="20"/>
                <w:color w:val="auto"/>
              </w:rPr>
            </w:pPr>
            <w:r>
              <w:rPr>
                <w:rFonts w:ascii="Arial" w:cs="Arial" w:eastAsia="Arial" w:hAnsi="Arial"/>
                <w:sz w:val="13"/>
                <w:szCs w:val="13"/>
                <w:b w:val="1"/>
                <w:bCs w:val="1"/>
                <w:color w:val="auto"/>
                <w:w w:val="89"/>
              </w:rPr>
              <w:t>2010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80" w:type="dxa"/>
            <w:vAlign w:val="bottom"/>
            <w:gridSpan w:val="3"/>
          </w:tcPr>
          <w:p>
            <w:pPr>
              <w:ind w:left="20"/>
              <w:spacing w:after="0"/>
              <w:rPr>
                <w:sz w:val="20"/>
                <w:szCs w:val="20"/>
                <w:color w:val="auto"/>
              </w:rPr>
            </w:pPr>
            <w:r>
              <w:rPr>
                <w:rFonts w:ascii="Arial" w:cs="Arial" w:eastAsia="Arial" w:hAnsi="Arial"/>
                <w:sz w:val="13"/>
                <w:szCs w:val="13"/>
                <w:b w:val="1"/>
                <w:bCs w:val="1"/>
                <w:color w:val="auto"/>
              </w:rPr>
              <w:t>% Change</w:t>
            </w:r>
          </w:p>
        </w:tc>
        <w:tc>
          <w:tcPr>
            <w:tcW w:w="220" w:type="dxa"/>
            <w:vAlign w:val="bottom"/>
          </w:tcPr>
          <w:p>
            <w:pPr>
              <w:spacing w:after="0"/>
              <w:rPr>
                <w:sz w:val="22"/>
                <w:szCs w:val="22"/>
                <w:color w:val="auto"/>
              </w:rPr>
            </w:pPr>
          </w:p>
        </w:tc>
        <w:tc>
          <w:tcPr>
            <w:tcW w:w="680" w:type="dxa"/>
            <w:vAlign w:val="bottom"/>
          </w:tcPr>
          <w:p>
            <w:pPr>
              <w:jc w:val="right"/>
              <w:ind w:right="217"/>
              <w:spacing w:after="0"/>
              <w:rPr>
                <w:sz w:val="20"/>
                <w:szCs w:val="20"/>
                <w:color w:val="auto"/>
              </w:rPr>
            </w:pPr>
            <w:r>
              <w:rPr>
                <w:rFonts w:ascii="Arial" w:cs="Arial" w:eastAsia="Arial" w:hAnsi="Arial"/>
                <w:sz w:val="13"/>
                <w:szCs w:val="13"/>
                <w:b w:val="1"/>
                <w:bCs w:val="1"/>
                <w:color w:val="auto"/>
              </w:rPr>
              <w:t>2011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tcPr>
          <w:p>
            <w:pPr>
              <w:jc w:val="right"/>
              <w:ind w:right="317"/>
              <w:spacing w:after="0"/>
              <w:rPr>
                <w:sz w:val="20"/>
                <w:szCs w:val="20"/>
                <w:color w:val="auto"/>
              </w:rPr>
            </w:pPr>
            <w:r>
              <w:rPr>
                <w:rFonts w:ascii="Arial" w:cs="Arial" w:eastAsia="Arial" w:hAnsi="Arial"/>
                <w:sz w:val="13"/>
                <w:szCs w:val="13"/>
                <w:b w:val="1"/>
                <w:bCs w:val="1"/>
                <w:color w:val="auto"/>
                <w:w w:val="82"/>
              </w:rPr>
              <w:t>2010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60" w:type="dxa"/>
            <w:vAlign w:val="bottom"/>
            <w:gridSpan w:val="2"/>
          </w:tcPr>
          <w:p>
            <w:pPr>
              <w:ind w:left="40"/>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241"/>
        </w:trPr>
        <w:tc>
          <w:tcPr>
            <w:tcW w:w="2420" w:type="dxa"/>
            <w:vAlign w:val="bottom"/>
          </w:tcPr>
          <w:p>
            <w:pPr>
              <w:ind w:left="40"/>
              <w:spacing w:after="0"/>
              <w:rPr>
                <w:sz w:val="20"/>
                <w:szCs w:val="20"/>
                <w:color w:val="auto"/>
              </w:rPr>
            </w:pPr>
            <w:r>
              <w:rPr>
                <w:rFonts w:ascii="Arial" w:cs="Arial" w:eastAsia="Arial" w:hAnsi="Arial"/>
                <w:sz w:val="13"/>
                <w:szCs w:val="13"/>
                <w:b w:val="1"/>
                <w:bCs w:val="1"/>
                <w:i w:val="1"/>
                <w:iCs w:val="1"/>
                <w:color w:val="auto"/>
              </w:rPr>
              <w:t>Segment Revenues</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(in thousands)</w:t>
            </w:r>
          </w:p>
        </w:tc>
        <w:tc>
          <w:tcPr>
            <w:tcW w:w="6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3"/>
                <w:szCs w:val="13"/>
                <w:b w:val="1"/>
                <w:bCs w:val="1"/>
                <w:color w:val="auto"/>
              </w:rPr>
              <w:t>(in thousands)</w:t>
            </w:r>
          </w:p>
        </w:tc>
        <w:tc>
          <w:tcPr>
            <w:tcW w:w="6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420" w:type="dxa"/>
            <w:vAlign w:val="bottom"/>
          </w:tcPr>
          <w:p>
            <w:pPr>
              <w:ind w:left="380"/>
              <w:spacing w:after="0"/>
              <w:rPr>
                <w:sz w:val="20"/>
                <w:szCs w:val="20"/>
                <w:color w:val="auto"/>
              </w:rPr>
            </w:pPr>
            <w:r>
              <w:rPr>
                <w:rFonts w:ascii="Arial" w:cs="Arial" w:eastAsia="Arial" w:hAnsi="Arial"/>
                <w:sz w:val="13"/>
                <w:szCs w:val="13"/>
                <w:color w:val="auto"/>
              </w:rPr>
              <w:t>Itron North America</w:t>
            </w:r>
          </w:p>
        </w:tc>
        <w:tc>
          <w:tcPr>
            <w:tcW w:w="240" w:type="dxa"/>
            <w:vAlign w:val="bottom"/>
            <w:vMerge w:val="restart"/>
          </w:tcPr>
          <w:p>
            <w:pPr>
              <w:jc w:val="right"/>
              <w:ind w:right="97"/>
              <w:spacing w:after="0"/>
              <w:rPr>
                <w:sz w:val="20"/>
                <w:szCs w:val="20"/>
                <w:color w:val="auto"/>
              </w:rPr>
            </w:pPr>
            <w:r>
              <w:rPr>
                <w:rFonts w:ascii="Arial" w:cs="Arial" w:eastAsia="Arial" w:hAnsi="Arial"/>
                <w:sz w:val="13"/>
                <w:szCs w:val="13"/>
                <w:color w:val="auto"/>
                <w:w w:val="82"/>
              </w:rPr>
              <w:t>$</w:t>
            </w:r>
          </w:p>
        </w:tc>
        <w:tc>
          <w:tcPr>
            <w:tcW w:w="800" w:type="dxa"/>
            <w:vAlign w:val="bottom"/>
            <w:vMerge w:val="restart"/>
          </w:tcPr>
          <w:p>
            <w:pPr>
              <w:jc w:val="right"/>
              <w:ind w:right="57"/>
              <w:spacing w:after="0"/>
              <w:rPr>
                <w:sz w:val="20"/>
                <w:szCs w:val="20"/>
                <w:color w:val="auto"/>
              </w:rPr>
            </w:pPr>
            <w:r>
              <w:rPr>
                <w:rFonts w:ascii="Arial" w:cs="Arial" w:eastAsia="Arial" w:hAnsi="Arial"/>
                <w:sz w:val="13"/>
                <w:szCs w:val="13"/>
                <w:color w:val="auto"/>
              </w:rPr>
              <w:t>288,224</w:t>
            </w:r>
          </w:p>
        </w:tc>
        <w:tc>
          <w:tcPr>
            <w:tcW w:w="120" w:type="dxa"/>
            <w:vAlign w:val="bottom"/>
          </w:tcPr>
          <w:p>
            <w:pPr>
              <w:spacing w:after="0"/>
              <w:rPr>
                <w:sz w:val="16"/>
                <w:szCs w:val="16"/>
                <w:color w:val="auto"/>
              </w:rPr>
            </w:pPr>
          </w:p>
        </w:tc>
        <w:tc>
          <w:tcPr>
            <w:tcW w:w="380" w:type="dxa"/>
            <w:vAlign w:val="bottom"/>
            <w:vMerge w:val="restart"/>
          </w:tcPr>
          <w:p>
            <w:pPr>
              <w:jc w:val="right"/>
              <w:ind w:right="217"/>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ind w:right="57"/>
              <w:spacing w:after="0"/>
              <w:rPr>
                <w:sz w:val="20"/>
                <w:szCs w:val="20"/>
                <w:color w:val="auto"/>
              </w:rPr>
            </w:pPr>
            <w:r>
              <w:rPr>
                <w:rFonts w:ascii="Arial" w:cs="Arial" w:eastAsia="Arial" w:hAnsi="Arial"/>
                <w:sz w:val="13"/>
                <w:szCs w:val="13"/>
                <w:color w:val="auto"/>
              </w:rPr>
              <w:t>301,143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center"/>
              <w:ind w:right="137"/>
              <w:spacing w:after="0"/>
              <w:rPr>
                <w:sz w:val="20"/>
                <w:szCs w:val="20"/>
                <w:color w:val="auto"/>
              </w:rPr>
            </w:pPr>
            <w:r>
              <w:rPr>
                <w:rFonts w:ascii="Arial" w:cs="Arial" w:eastAsia="Arial" w:hAnsi="Arial"/>
                <w:sz w:val="13"/>
                <w:szCs w:val="13"/>
                <w:color w:val="auto"/>
                <w:w w:val="94"/>
              </w:rPr>
              <w:t>(4)%</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vMerge w:val="restart"/>
          </w:tcPr>
          <w:p>
            <w:pPr>
              <w:jc w:val="right"/>
              <w:ind w:right="77"/>
              <w:spacing w:after="0"/>
              <w:rPr>
                <w:sz w:val="20"/>
                <w:szCs w:val="20"/>
                <w:color w:val="auto"/>
              </w:rPr>
            </w:pPr>
            <w:r>
              <w:rPr>
                <w:rFonts w:ascii="Arial" w:cs="Arial" w:eastAsia="Arial" w:hAnsi="Arial"/>
                <w:sz w:val="13"/>
                <w:szCs w:val="13"/>
                <w:color w:val="auto"/>
                <w:w w:val="82"/>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565,206</w:t>
            </w:r>
          </w:p>
        </w:tc>
        <w:tc>
          <w:tcPr>
            <w:tcW w:w="580" w:type="dxa"/>
            <w:vAlign w:val="bottom"/>
            <w:gridSpan w:val="3"/>
            <w:vMerge w:val="restart"/>
          </w:tcPr>
          <w:p>
            <w:pPr>
              <w:jc w:val="right"/>
              <w:ind w:right="280"/>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ind w:right="37"/>
              <w:spacing w:after="0"/>
              <w:rPr>
                <w:sz w:val="20"/>
                <w:szCs w:val="20"/>
                <w:color w:val="auto"/>
              </w:rPr>
            </w:pPr>
            <w:r>
              <w:rPr>
                <w:rFonts w:ascii="Arial" w:cs="Arial" w:eastAsia="Arial" w:hAnsi="Arial"/>
                <w:sz w:val="13"/>
                <w:szCs w:val="13"/>
                <w:color w:val="auto"/>
              </w:rPr>
              <w:t>542,702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restart"/>
          </w:tcPr>
          <w:p>
            <w:pPr>
              <w:jc w:val="center"/>
              <w:ind w:right="117"/>
              <w:spacing w:after="0"/>
              <w:rPr>
                <w:sz w:val="20"/>
                <w:szCs w:val="20"/>
                <w:color w:val="auto"/>
              </w:rPr>
            </w:pPr>
            <w:r>
              <w:rPr>
                <w:rFonts w:ascii="Arial" w:cs="Arial" w:eastAsia="Arial" w:hAnsi="Arial"/>
                <w:sz w:val="13"/>
                <w:szCs w:val="13"/>
                <w:color w:val="auto"/>
                <w:w w:val="84"/>
              </w:rPr>
              <w:t>4%</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42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80" w:type="dxa"/>
            <w:vAlign w:val="bottom"/>
            <w:gridSpan w:val="3"/>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4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Itron International</w:t>
            </w:r>
          </w:p>
        </w:tc>
        <w:tc>
          <w:tcPr>
            <w:tcW w:w="2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324,177</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266,196</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center"/>
              <w:ind w:right="117"/>
              <w:spacing w:after="0"/>
              <w:rPr>
                <w:sz w:val="20"/>
                <w:szCs w:val="20"/>
                <w:color w:val="auto"/>
              </w:rPr>
            </w:pPr>
            <w:r>
              <w:rPr>
                <w:rFonts w:ascii="Arial" w:cs="Arial" w:eastAsia="Arial" w:hAnsi="Arial"/>
                <w:sz w:val="13"/>
                <w:szCs w:val="13"/>
                <w:color w:val="auto"/>
                <w:w w:val="92"/>
              </w:rPr>
              <w:t>22%</w:t>
            </w: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610,886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rPr>
              <w:t>522,260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center"/>
              <w:ind w:right="117"/>
              <w:spacing w:after="0"/>
              <w:rPr>
                <w:sz w:val="20"/>
                <w:szCs w:val="20"/>
                <w:color w:val="auto"/>
              </w:rPr>
            </w:pPr>
            <w:r>
              <w:rPr>
                <w:rFonts w:ascii="Arial" w:cs="Arial" w:eastAsia="Arial" w:hAnsi="Arial"/>
                <w:sz w:val="13"/>
                <w:szCs w:val="13"/>
                <w:color w:val="auto"/>
                <w:w w:val="92"/>
              </w:rPr>
              <w:t>17%</w:t>
            </w: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420" w:type="dxa"/>
            <w:vAlign w:val="bottom"/>
            <w:shd w:val="clear" w:color="auto" w:fill="CCEEFF"/>
          </w:tcPr>
          <w:p>
            <w:pPr>
              <w:spacing w:after="0"/>
              <w:rPr>
                <w:sz w:val="8"/>
                <w:szCs w:val="8"/>
                <w:color w:val="auto"/>
              </w:rPr>
            </w:pPr>
          </w:p>
        </w:tc>
        <w:tc>
          <w:tcPr>
            <w:tcW w:w="240" w:type="dxa"/>
            <w:vAlign w:val="bottom"/>
            <w:tcBorders>
              <w:bottom w:val="single" w:sz="8" w:color="auto"/>
            </w:tcBorders>
            <w:shd w:val="clear" w:color="auto" w:fill="CCEEFF"/>
          </w:tcPr>
          <w:p>
            <w:pPr>
              <w:spacing w:after="0"/>
              <w:rPr>
                <w:sz w:val="8"/>
                <w:szCs w:val="8"/>
                <w:color w:val="auto"/>
              </w:rPr>
            </w:pPr>
          </w:p>
        </w:tc>
        <w:tc>
          <w:tcPr>
            <w:tcW w:w="80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8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spacing w:after="0"/>
              <w:rPr>
                <w:sz w:val="8"/>
                <w:szCs w:val="8"/>
                <w:color w:val="auto"/>
              </w:rPr>
            </w:pPr>
          </w:p>
        </w:tc>
        <w:tc>
          <w:tcPr>
            <w:tcW w:w="64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420" w:type="dxa"/>
            <w:vAlign w:val="bottom"/>
          </w:tcPr>
          <w:p>
            <w:pPr>
              <w:ind w:left="540"/>
              <w:spacing w:after="0"/>
              <w:rPr>
                <w:sz w:val="20"/>
                <w:szCs w:val="20"/>
                <w:color w:val="auto"/>
              </w:rPr>
            </w:pPr>
            <w:r>
              <w:rPr>
                <w:rFonts w:ascii="Arial" w:cs="Arial" w:eastAsia="Arial" w:hAnsi="Arial"/>
                <w:sz w:val="13"/>
                <w:szCs w:val="13"/>
                <w:color w:val="auto"/>
              </w:rPr>
              <w:t>Total revenues</w:t>
            </w:r>
          </w:p>
        </w:tc>
        <w:tc>
          <w:tcPr>
            <w:tcW w:w="240" w:type="dxa"/>
            <w:vAlign w:val="bottom"/>
            <w:vMerge w:val="restart"/>
          </w:tcPr>
          <w:p>
            <w:pPr>
              <w:jc w:val="right"/>
              <w:ind w:right="97"/>
              <w:spacing w:after="0"/>
              <w:rPr>
                <w:sz w:val="20"/>
                <w:szCs w:val="20"/>
                <w:color w:val="auto"/>
              </w:rPr>
            </w:pPr>
            <w:r>
              <w:rPr>
                <w:rFonts w:ascii="Arial" w:cs="Arial" w:eastAsia="Arial" w:hAnsi="Arial"/>
                <w:sz w:val="13"/>
                <w:szCs w:val="13"/>
                <w:color w:val="auto"/>
                <w:w w:val="82"/>
              </w:rPr>
              <w:t>$</w:t>
            </w:r>
          </w:p>
        </w:tc>
        <w:tc>
          <w:tcPr>
            <w:tcW w:w="800" w:type="dxa"/>
            <w:vAlign w:val="bottom"/>
            <w:vMerge w:val="restart"/>
          </w:tcPr>
          <w:p>
            <w:pPr>
              <w:jc w:val="right"/>
              <w:ind w:right="57"/>
              <w:spacing w:after="0"/>
              <w:rPr>
                <w:sz w:val="20"/>
                <w:szCs w:val="20"/>
                <w:color w:val="auto"/>
              </w:rPr>
            </w:pPr>
            <w:r>
              <w:rPr>
                <w:rFonts w:ascii="Arial" w:cs="Arial" w:eastAsia="Arial" w:hAnsi="Arial"/>
                <w:sz w:val="13"/>
                <w:szCs w:val="13"/>
                <w:color w:val="auto"/>
              </w:rPr>
              <w:t>612,401</w:t>
            </w:r>
          </w:p>
        </w:tc>
        <w:tc>
          <w:tcPr>
            <w:tcW w:w="120" w:type="dxa"/>
            <w:vAlign w:val="bottom"/>
          </w:tcPr>
          <w:p>
            <w:pPr>
              <w:spacing w:after="0"/>
              <w:rPr>
                <w:sz w:val="13"/>
                <w:szCs w:val="13"/>
                <w:color w:val="auto"/>
              </w:rPr>
            </w:pPr>
          </w:p>
        </w:tc>
        <w:tc>
          <w:tcPr>
            <w:tcW w:w="380" w:type="dxa"/>
            <w:vAlign w:val="bottom"/>
            <w:vMerge w:val="restart"/>
          </w:tcPr>
          <w:p>
            <w:pPr>
              <w:jc w:val="right"/>
              <w:ind w:right="217"/>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ind w:right="57"/>
              <w:spacing w:after="0"/>
              <w:rPr>
                <w:sz w:val="20"/>
                <w:szCs w:val="20"/>
                <w:color w:val="auto"/>
              </w:rPr>
            </w:pPr>
            <w:r>
              <w:rPr>
                <w:rFonts w:ascii="Arial" w:cs="Arial" w:eastAsia="Arial" w:hAnsi="Arial"/>
                <w:sz w:val="13"/>
                <w:szCs w:val="13"/>
                <w:color w:val="auto"/>
              </w:rPr>
              <w:t>567,339</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vMerge w:val="restart"/>
          </w:tcPr>
          <w:p>
            <w:pPr>
              <w:jc w:val="center"/>
              <w:ind w:right="117"/>
              <w:spacing w:after="0"/>
              <w:rPr>
                <w:sz w:val="20"/>
                <w:szCs w:val="20"/>
                <w:color w:val="auto"/>
              </w:rPr>
            </w:pPr>
            <w:r>
              <w:rPr>
                <w:rFonts w:ascii="Arial" w:cs="Arial" w:eastAsia="Arial" w:hAnsi="Arial"/>
                <w:sz w:val="13"/>
                <w:szCs w:val="13"/>
                <w:color w:val="auto"/>
                <w:w w:val="84"/>
              </w:rPr>
              <w:t>8%</w:t>
            </w: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vMerge w:val="restart"/>
          </w:tcPr>
          <w:p>
            <w:pPr>
              <w:jc w:val="right"/>
              <w:ind w:right="77"/>
              <w:spacing w:after="0"/>
              <w:rPr>
                <w:sz w:val="20"/>
                <w:szCs w:val="20"/>
                <w:color w:val="auto"/>
              </w:rPr>
            </w:pPr>
            <w:r>
              <w:rPr>
                <w:rFonts w:ascii="Arial" w:cs="Arial" w:eastAsia="Arial" w:hAnsi="Arial"/>
                <w:sz w:val="13"/>
                <w:szCs w:val="13"/>
                <w:color w:val="auto"/>
                <w:w w:val="82"/>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1,176,092</w:t>
            </w:r>
          </w:p>
        </w:tc>
        <w:tc>
          <w:tcPr>
            <w:tcW w:w="580" w:type="dxa"/>
            <w:vAlign w:val="bottom"/>
            <w:gridSpan w:val="3"/>
            <w:vMerge w:val="restart"/>
          </w:tcPr>
          <w:p>
            <w:pPr>
              <w:jc w:val="right"/>
              <w:ind w:right="280"/>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jc w:val="right"/>
              <w:ind w:right="37"/>
              <w:spacing w:after="0"/>
              <w:rPr>
                <w:sz w:val="20"/>
                <w:szCs w:val="20"/>
                <w:color w:val="auto"/>
              </w:rPr>
            </w:pPr>
            <w:r>
              <w:rPr>
                <w:rFonts w:ascii="Arial" w:cs="Arial" w:eastAsia="Arial" w:hAnsi="Arial"/>
                <w:sz w:val="13"/>
                <w:szCs w:val="13"/>
                <w:color w:val="auto"/>
                <w:w w:val="89"/>
              </w:rPr>
              <w:t>1,064,962</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restart"/>
          </w:tcPr>
          <w:p>
            <w:pPr>
              <w:jc w:val="center"/>
              <w:ind w:right="117"/>
              <w:spacing w:after="0"/>
              <w:rPr>
                <w:sz w:val="20"/>
                <w:szCs w:val="20"/>
                <w:color w:val="auto"/>
              </w:rPr>
            </w:pPr>
            <w:r>
              <w:rPr>
                <w:rFonts w:ascii="Arial" w:cs="Arial" w:eastAsia="Arial" w:hAnsi="Arial"/>
                <w:sz w:val="13"/>
                <w:szCs w:val="13"/>
                <w:color w:val="auto"/>
                <w:w w:val="92"/>
              </w:rPr>
              <w:t>10%</w:t>
            </w: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420" w:type="dxa"/>
            <w:vAlign w:val="bottom"/>
          </w:tcPr>
          <w:p>
            <w:pPr>
              <w:spacing w:after="0"/>
              <w:rPr>
                <w:sz w:val="7"/>
                <w:szCs w:val="7"/>
                <w:color w:val="auto"/>
              </w:rPr>
            </w:pPr>
          </w:p>
        </w:tc>
        <w:tc>
          <w:tcPr>
            <w:tcW w:w="240" w:type="dxa"/>
            <w:vAlign w:val="bottom"/>
            <w:tcBorders>
              <w:bottom w:val="single" w:sz="8" w:color="auto"/>
            </w:tcBorders>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vMerge w:val="continue"/>
          </w:tcPr>
          <w:p>
            <w:pPr>
              <w:spacing w:after="0"/>
              <w:rPr>
                <w:sz w:val="7"/>
                <w:szCs w:val="7"/>
                <w:color w:val="auto"/>
              </w:rPr>
            </w:pPr>
          </w:p>
        </w:tc>
        <w:tc>
          <w:tcPr>
            <w:tcW w:w="68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vMerge w:val="continue"/>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Borders>
              <w:bottom w:val="single" w:sz="8" w:color="auto"/>
            </w:tcBorders>
            <w:vMerge w:val="continue"/>
          </w:tcPr>
          <w:p>
            <w:pPr>
              <w:spacing w:after="0"/>
              <w:rPr>
                <w:sz w:val="7"/>
                <w:szCs w:val="7"/>
                <w:color w:val="auto"/>
              </w:rPr>
            </w:pPr>
          </w:p>
        </w:tc>
        <w:tc>
          <w:tcPr>
            <w:tcW w:w="680" w:type="dxa"/>
            <w:vAlign w:val="bottom"/>
            <w:tcBorders>
              <w:bottom w:val="single" w:sz="8" w:color="auto"/>
            </w:tcBorders>
            <w:vMerge w:val="continue"/>
          </w:tcPr>
          <w:p>
            <w:pPr>
              <w:spacing w:after="0"/>
              <w:rPr>
                <w:sz w:val="7"/>
                <w:szCs w:val="7"/>
                <w:color w:val="auto"/>
              </w:rPr>
            </w:pPr>
          </w:p>
        </w:tc>
        <w:tc>
          <w:tcPr>
            <w:tcW w:w="580" w:type="dxa"/>
            <w:vAlign w:val="bottom"/>
            <w:tcBorders>
              <w:bottom w:val="single" w:sz="8" w:color="auto"/>
            </w:tcBorders>
            <w:gridSpan w:val="3"/>
            <w:vMerge w:val="continue"/>
          </w:tcPr>
          <w:p>
            <w:pPr>
              <w:spacing w:after="0"/>
              <w:rPr>
                <w:sz w:val="7"/>
                <w:szCs w:val="7"/>
                <w:color w:val="auto"/>
              </w:rPr>
            </w:pPr>
          </w:p>
        </w:tc>
        <w:tc>
          <w:tcPr>
            <w:tcW w:w="64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vMerge w:val="continue"/>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838" w:gutter="0" w:footer="0" w:header="0"/>
        </w:sectPr>
      </w:pPr>
    </w:p>
    <w:p>
      <w:pPr>
        <w:spacing w:after="0" w:line="133" w:lineRule="exact"/>
        <w:rPr>
          <w:sz w:val="20"/>
          <w:szCs w:val="20"/>
          <w:color w:val="auto"/>
        </w:rPr>
      </w:pPr>
    </w:p>
    <w:p>
      <w:pPr>
        <w:jc w:val="center"/>
        <w:ind w:left="210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19685</wp:posOffset>
            </wp:positionV>
            <wp:extent cx="286448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14" w:lineRule="exact"/>
        <w:rPr>
          <w:sz w:val="20"/>
          <w:szCs w:val="20"/>
          <w:color w:val="auto"/>
        </w:rPr>
      </w:pPr>
    </w:p>
    <w:p>
      <w:pPr>
        <w:ind w:left="3420"/>
        <w:spacing w:after="0"/>
        <w:tabs>
          <w:tab w:leader="none" w:pos="5700" w:val="left"/>
        </w:tabs>
        <w:rPr>
          <w:sz w:val="20"/>
          <w:szCs w:val="20"/>
          <w:color w:val="auto"/>
        </w:rPr>
      </w:pPr>
      <w:r>
        <w:rPr>
          <w:rFonts w:ascii="Arial" w:cs="Arial" w:eastAsia="Arial" w:hAnsi="Arial"/>
          <w:sz w:val="11"/>
          <w:szCs w:val="11"/>
          <w:b w:val="1"/>
          <w:bCs w:val="1"/>
          <w:color w:val="auto"/>
        </w:rPr>
        <w:t>2011</w:t>
      </w:r>
      <w:r>
        <w:rPr>
          <w:sz w:val="20"/>
          <w:szCs w:val="20"/>
          <w:color w:val="auto"/>
        </w:rPr>
        <w:tab/>
      </w:r>
      <w:r>
        <w:rPr>
          <w:rFonts w:ascii="Arial" w:cs="Arial" w:eastAsia="Arial" w:hAnsi="Arial"/>
          <w:sz w:val="11"/>
          <w:szCs w:val="11"/>
          <w:b w:val="1"/>
          <w:bCs w:val="1"/>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34290</wp:posOffset>
            </wp:positionV>
            <wp:extent cx="286448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jc w:val="center"/>
        <w:ind w:right="92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19685</wp:posOffset>
            </wp:positionV>
            <wp:extent cx="278701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14" w:lineRule="exact"/>
        <w:rPr>
          <w:sz w:val="20"/>
          <w:szCs w:val="20"/>
          <w:color w:val="auto"/>
        </w:rPr>
      </w:pPr>
    </w:p>
    <w:p>
      <w:pPr>
        <w:spacing w:after="0"/>
        <w:tabs>
          <w:tab w:leader="none" w:pos="2240" w:val="left"/>
        </w:tabs>
        <w:rPr>
          <w:sz w:val="20"/>
          <w:szCs w:val="20"/>
          <w:color w:val="auto"/>
        </w:rPr>
      </w:pPr>
      <w:r>
        <w:rPr>
          <w:rFonts w:ascii="Arial" w:cs="Arial" w:eastAsia="Arial" w:hAnsi="Arial"/>
          <w:sz w:val="9"/>
          <w:szCs w:val="9"/>
          <w:b w:val="1"/>
          <w:bCs w:val="1"/>
          <w:color w:val="auto"/>
        </w:rPr>
        <w:t>2011</w:t>
      </w:r>
      <w:r>
        <w:rPr>
          <w:sz w:val="20"/>
          <w:szCs w:val="20"/>
          <w:color w:val="auto"/>
        </w:rPr>
        <w:tab/>
      </w:r>
      <w:r>
        <w:rPr>
          <w:rFonts w:ascii="Arial" w:cs="Arial" w:eastAsia="Arial" w:hAnsi="Arial"/>
          <w:sz w:val="9"/>
          <w:szCs w:val="9"/>
          <w:b w:val="1"/>
          <w:bCs w:val="1"/>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48895</wp:posOffset>
            </wp:positionV>
            <wp:extent cx="278701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88" w:lineRule="exact"/>
        <w:rPr>
          <w:sz w:val="20"/>
          <w:szCs w:val="20"/>
          <w:color w:val="auto"/>
        </w:rPr>
      </w:pPr>
    </w:p>
    <w:p>
      <w:pPr>
        <w:sectPr>
          <w:pgSz w:w="11900" w:h="16838" w:orient="portrait"/>
          <w:cols w:equalWidth="0" w:num="2">
            <w:col w:w="7260" w:space="720"/>
            <w:col w:w="3440"/>
          </w:cols>
          <w:pgMar w:left="240" w:top="125" w:right="239" w:bottom="838"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98"/>
              <w:spacing w:after="0"/>
              <w:rPr>
                <w:sz w:val="20"/>
                <w:szCs w:val="20"/>
                <w:color w:val="auto"/>
              </w:rPr>
            </w:pPr>
            <w:r>
              <w:rPr>
                <w:rFonts w:ascii="Arial" w:cs="Arial" w:eastAsia="Arial" w:hAnsi="Arial"/>
                <w:sz w:val="13"/>
                <w:szCs w:val="13"/>
                <w:b w:val="1"/>
                <w:bCs w:val="1"/>
                <w:i w:val="1"/>
                <w:iCs w:val="1"/>
                <w:color w:val="auto"/>
                <w:w w:val="79"/>
              </w:rPr>
              <w:t>Gross</w:t>
            </w:r>
          </w:p>
        </w:tc>
        <w:tc>
          <w:tcPr>
            <w:tcW w:w="120" w:type="dxa"/>
            <w:vAlign w:val="bottom"/>
          </w:tcPr>
          <w:p>
            <w:pPr>
              <w:spacing w:after="0"/>
              <w:rPr>
                <w:sz w:val="12"/>
                <w:szCs w:val="12"/>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3"/>
                <w:szCs w:val="13"/>
                <w:b w:val="1"/>
                <w:bCs w:val="1"/>
                <w:i w:val="1"/>
                <w:iCs w:val="1"/>
                <w:color w:val="auto"/>
                <w:w w:val="79"/>
              </w:rPr>
              <w:t>Gross</w:t>
            </w:r>
          </w:p>
        </w:tc>
        <w:tc>
          <w:tcPr>
            <w:tcW w:w="140" w:type="dxa"/>
            <w:vAlign w:val="bottom"/>
          </w:tcPr>
          <w:p>
            <w:pPr>
              <w:spacing w:after="0"/>
              <w:rPr>
                <w:sz w:val="12"/>
                <w:szCs w:val="12"/>
                <w:color w:val="auto"/>
              </w:rPr>
            </w:pPr>
          </w:p>
        </w:tc>
        <w:tc>
          <w:tcPr>
            <w:tcW w:w="880" w:type="dxa"/>
            <w:vAlign w:val="bottom"/>
          </w:tcPr>
          <w:p>
            <w:pPr>
              <w:jc w:val="center"/>
              <w:ind w:right="78"/>
              <w:spacing w:after="0"/>
              <w:rPr>
                <w:sz w:val="20"/>
                <w:szCs w:val="20"/>
                <w:color w:val="auto"/>
              </w:rPr>
            </w:pPr>
            <w:r>
              <w:rPr>
                <w:rFonts w:ascii="Arial" w:cs="Arial" w:eastAsia="Arial" w:hAnsi="Arial"/>
                <w:sz w:val="13"/>
                <w:szCs w:val="13"/>
                <w:b w:val="1"/>
                <w:bCs w:val="1"/>
                <w:i w:val="1"/>
                <w:iCs w:val="1"/>
                <w:color w:val="auto"/>
                <w:w w:val="79"/>
              </w:rPr>
              <w:t>Gross</w:t>
            </w:r>
          </w:p>
        </w:tc>
        <w:tc>
          <w:tcPr>
            <w:tcW w:w="120" w:type="dxa"/>
            <w:vAlign w:val="bottom"/>
          </w:tcPr>
          <w:p>
            <w:pPr>
              <w:spacing w:after="0"/>
              <w:rPr>
                <w:sz w:val="12"/>
                <w:szCs w:val="12"/>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i w:val="1"/>
                <w:iCs w:val="1"/>
                <w:color w:val="auto"/>
                <w:w w:val="79"/>
              </w:rPr>
              <w:t>Gross</w:t>
            </w:r>
          </w:p>
        </w:tc>
        <w:tc>
          <w:tcPr>
            <w:tcW w:w="120" w:type="dxa"/>
            <w:vAlign w:val="bottom"/>
          </w:tcPr>
          <w:p>
            <w:pPr>
              <w:spacing w:after="0"/>
              <w:rPr>
                <w:sz w:val="12"/>
                <w:szCs w:val="12"/>
                <w:color w:val="auto"/>
              </w:rPr>
            </w:pPr>
          </w:p>
        </w:tc>
        <w:tc>
          <w:tcPr>
            <w:tcW w:w="880" w:type="dxa"/>
            <w:vAlign w:val="bottom"/>
          </w:tcPr>
          <w:p>
            <w:pPr>
              <w:jc w:val="center"/>
              <w:ind w:right="78"/>
              <w:spacing w:after="0"/>
              <w:rPr>
                <w:sz w:val="20"/>
                <w:szCs w:val="20"/>
                <w:color w:val="auto"/>
              </w:rPr>
            </w:pPr>
            <w:r>
              <w:rPr>
                <w:rFonts w:ascii="Arial" w:cs="Arial" w:eastAsia="Arial" w:hAnsi="Arial"/>
                <w:sz w:val="13"/>
                <w:szCs w:val="13"/>
                <w:b w:val="1"/>
                <w:bCs w:val="1"/>
                <w:i w:val="1"/>
                <w:iCs w:val="1"/>
                <w:color w:val="auto"/>
                <w:w w:val="79"/>
              </w:rPr>
              <w:t>Gross</w:t>
            </w:r>
          </w:p>
        </w:tc>
        <w:tc>
          <w:tcPr>
            <w:tcW w:w="120" w:type="dxa"/>
            <w:vAlign w:val="bottom"/>
          </w:tcPr>
          <w:p>
            <w:pPr>
              <w:spacing w:after="0"/>
              <w:rPr>
                <w:sz w:val="12"/>
                <w:szCs w:val="12"/>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3"/>
                <w:szCs w:val="13"/>
                <w:b w:val="1"/>
                <w:bCs w:val="1"/>
                <w:i w:val="1"/>
                <w:iCs w:val="1"/>
                <w:color w:val="auto"/>
                <w:w w:val="79"/>
              </w:rPr>
              <w:t>Gross</w:t>
            </w:r>
          </w:p>
        </w:tc>
        <w:tc>
          <w:tcPr>
            <w:tcW w:w="120" w:type="dxa"/>
            <w:vAlign w:val="bottom"/>
          </w:tcPr>
          <w:p>
            <w:pPr>
              <w:spacing w:after="0"/>
              <w:rPr>
                <w:sz w:val="12"/>
                <w:szCs w:val="12"/>
                <w:color w:val="auto"/>
              </w:rPr>
            </w:pPr>
          </w:p>
        </w:tc>
        <w:tc>
          <w:tcPr>
            <w:tcW w:w="880" w:type="dxa"/>
            <w:vAlign w:val="bottom"/>
          </w:tcPr>
          <w:p>
            <w:pPr>
              <w:jc w:val="center"/>
              <w:ind w:right="78"/>
              <w:spacing w:after="0"/>
              <w:rPr>
                <w:sz w:val="20"/>
                <w:szCs w:val="20"/>
                <w:color w:val="auto"/>
              </w:rPr>
            </w:pPr>
            <w:r>
              <w:rPr>
                <w:rFonts w:ascii="Arial" w:cs="Arial" w:eastAsia="Arial" w:hAnsi="Arial"/>
                <w:sz w:val="13"/>
                <w:szCs w:val="13"/>
                <w:b w:val="1"/>
                <w:bCs w:val="1"/>
                <w:i w:val="1"/>
                <w:iCs w:val="1"/>
                <w:color w:val="auto"/>
                <w:w w:val="79"/>
              </w:rPr>
              <w:t>Gross</w:t>
            </w:r>
          </w:p>
        </w:tc>
        <w:tc>
          <w:tcPr>
            <w:tcW w:w="1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i w:val="1"/>
                <w:iCs w:val="1"/>
                <w:color w:val="auto"/>
                <w:w w:val="79"/>
              </w:rPr>
              <w:t>Gross</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98"/>
              <w:spacing w:after="0"/>
              <w:rPr>
                <w:sz w:val="20"/>
                <w:szCs w:val="20"/>
                <w:color w:val="auto"/>
              </w:rPr>
            </w:pPr>
            <w:r>
              <w:rPr>
                <w:rFonts w:ascii="Arial" w:cs="Arial" w:eastAsia="Arial" w:hAnsi="Arial"/>
                <w:sz w:val="13"/>
                <w:szCs w:val="13"/>
                <w:b w:val="1"/>
                <w:bCs w:val="1"/>
                <w:i w:val="1"/>
                <w:iCs w:val="1"/>
                <w:color w:val="auto"/>
                <w:w w:val="88"/>
              </w:rPr>
              <w:t>Profit</w:t>
            </w:r>
          </w:p>
        </w:tc>
        <w:tc>
          <w:tcPr>
            <w:tcW w:w="12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3"/>
                <w:szCs w:val="13"/>
                <w:b w:val="1"/>
                <w:bCs w:val="1"/>
                <w:i w:val="1"/>
                <w:iCs w:val="1"/>
                <w:color w:val="auto"/>
                <w:w w:val="89"/>
              </w:rPr>
              <w:t>Margin</w:t>
            </w:r>
          </w:p>
        </w:tc>
        <w:tc>
          <w:tcPr>
            <w:tcW w:w="140" w:type="dxa"/>
            <w:vAlign w:val="bottom"/>
          </w:tcPr>
          <w:p>
            <w:pPr>
              <w:spacing w:after="0"/>
              <w:rPr>
                <w:sz w:val="14"/>
                <w:szCs w:val="14"/>
                <w:color w:val="auto"/>
              </w:rPr>
            </w:pPr>
          </w:p>
        </w:tc>
        <w:tc>
          <w:tcPr>
            <w:tcW w:w="880" w:type="dxa"/>
            <w:vAlign w:val="bottom"/>
          </w:tcPr>
          <w:p>
            <w:pPr>
              <w:jc w:val="center"/>
              <w:ind w:right="78"/>
              <w:spacing w:after="0"/>
              <w:rPr>
                <w:sz w:val="20"/>
                <w:szCs w:val="20"/>
                <w:color w:val="auto"/>
              </w:rPr>
            </w:pPr>
            <w:r>
              <w:rPr>
                <w:rFonts w:ascii="Arial" w:cs="Arial" w:eastAsia="Arial" w:hAnsi="Arial"/>
                <w:sz w:val="13"/>
                <w:szCs w:val="13"/>
                <w:b w:val="1"/>
                <w:bCs w:val="1"/>
                <w:i w:val="1"/>
                <w:iCs w:val="1"/>
                <w:color w:val="auto"/>
                <w:w w:val="88"/>
              </w:rPr>
              <w:t>Profit</w:t>
            </w:r>
          </w:p>
        </w:tc>
        <w:tc>
          <w:tcPr>
            <w:tcW w:w="12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i w:val="1"/>
                <w:iCs w:val="1"/>
                <w:color w:val="auto"/>
                <w:w w:val="89"/>
              </w:rPr>
              <w:t>Margin</w:t>
            </w:r>
          </w:p>
        </w:tc>
        <w:tc>
          <w:tcPr>
            <w:tcW w:w="120" w:type="dxa"/>
            <w:vAlign w:val="bottom"/>
          </w:tcPr>
          <w:p>
            <w:pPr>
              <w:spacing w:after="0"/>
              <w:rPr>
                <w:sz w:val="14"/>
                <w:szCs w:val="14"/>
                <w:color w:val="auto"/>
              </w:rPr>
            </w:pPr>
          </w:p>
        </w:tc>
        <w:tc>
          <w:tcPr>
            <w:tcW w:w="880" w:type="dxa"/>
            <w:vAlign w:val="bottom"/>
          </w:tcPr>
          <w:p>
            <w:pPr>
              <w:jc w:val="center"/>
              <w:ind w:right="78"/>
              <w:spacing w:after="0"/>
              <w:rPr>
                <w:sz w:val="20"/>
                <w:szCs w:val="20"/>
                <w:color w:val="auto"/>
              </w:rPr>
            </w:pPr>
            <w:r>
              <w:rPr>
                <w:rFonts w:ascii="Arial" w:cs="Arial" w:eastAsia="Arial" w:hAnsi="Arial"/>
                <w:sz w:val="13"/>
                <w:szCs w:val="13"/>
                <w:b w:val="1"/>
                <w:bCs w:val="1"/>
                <w:i w:val="1"/>
                <w:iCs w:val="1"/>
                <w:color w:val="auto"/>
                <w:w w:val="88"/>
              </w:rPr>
              <w:t>Profit</w:t>
            </w:r>
          </w:p>
        </w:tc>
        <w:tc>
          <w:tcPr>
            <w:tcW w:w="12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3"/>
                <w:szCs w:val="13"/>
                <w:b w:val="1"/>
                <w:bCs w:val="1"/>
                <w:i w:val="1"/>
                <w:iCs w:val="1"/>
                <w:color w:val="auto"/>
                <w:w w:val="93"/>
              </w:rPr>
              <w:t>Margin</w:t>
            </w:r>
          </w:p>
        </w:tc>
        <w:tc>
          <w:tcPr>
            <w:tcW w:w="120" w:type="dxa"/>
            <w:vAlign w:val="bottom"/>
          </w:tcPr>
          <w:p>
            <w:pPr>
              <w:spacing w:after="0"/>
              <w:rPr>
                <w:sz w:val="14"/>
                <w:szCs w:val="14"/>
                <w:color w:val="auto"/>
              </w:rPr>
            </w:pPr>
          </w:p>
        </w:tc>
        <w:tc>
          <w:tcPr>
            <w:tcW w:w="880" w:type="dxa"/>
            <w:vAlign w:val="bottom"/>
          </w:tcPr>
          <w:p>
            <w:pPr>
              <w:jc w:val="center"/>
              <w:ind w:right="78"/>
              <w:spacing w:after="0"/>
              <w:rPr>
                <w:sz w:val="20"/>
                <w:szCs w:val="20"/>
                <w:color w:val="auto"/>
              </w:rPr>
            </w:pPr>
            <w:r>
              <w:rPr>
                <w:rFonts w:ascii="Arial" w:cs="Arial" w:eastAsia="Arial" w:hAnsi="Arial"/>
                <w:sz w:val="13"/>
                <w:szCs w:val="13"/>
                <w:b w:val="1"/>
                <w:bCs w:val="1"/>
                <w:i w:val="1"/>
                <w:iCs w:val="1"/>
                <w:color w:val="auto"/>
                <w:w w:val="88"/>
              </w:rPr>
              <w:t>Profit</w:t>
            </w: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i w:val="1"/>
                <w:iCs w:val="1"/>
                <w:color w:val="auto"/>
                <w:w w:val="89"/>
              </w:rPr>
              <w:t>Margin</w:t>
            </w:r>
          </w:p>
        </w:tc>
        <w:tc>
          <w:tcPr>
            <w:tcW w:w="0" w:type="dxa"/>
            <w:vAlign w:val="bottom"/>
          </w:tcPr>
          <w:p>
            <w:pPr>
              <w:spacing w:after="0"/>
              <w:rPr>
                <w:sz w:val="1"/>
                <w:szCs w:val="1"/>
                <w:color w:val="auto"/>
              </w:rPr>
            </w:pPr>
          </w:p>
        </w:tc>
      </w:tr>
      <w:tr>
        <w:trPr>
          <w:trHeight w:val="249"/>
        </w:trPr>
        <w:tc>
          <w:tcPr>
            <w:tcW w:w="2420" w:type="dxa"/>
            <w:vAlign w:val="bottom"/>
          </w:tcPr>
          <w:p>
            <w:pPr>
              <w:ind w:left="40"/>
              <w:spacing w:after="0"/>
              <w:rPr>
                <w:sz w:val="20"/>
                <w:szCs w:val="20"/>
                <w:color w:val="auto"/>
              </w:rPr>
            </w:pPr>
            <w:r>
              <w:rPr>
                <w:rFonts w:ascii="Arial" w:cs="Arial" w:eastAsia="Arial" w:hAnsi="Arial"/>
                <w:sz w:val="13"/>
                <w:szCs w:val="13"/>
                <w:b w:val="1"/>
                <w:bCs w:val="1"/>
                <w:i w:val="1"/>
                <w:iCs w:val="1"/>
                <w:color w:val="auto"/>
              </w:rPr>
              <w:t>Segment Gross Profit and Margin</w:t>
            </w: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center"/>
              <w:ind w:right="78"/>
              <w:spacing w:after="0"/>
              <w:rPr>
                <w:sz w:val="20"/>
                <w:szCs w:val="20"/>
                <w:color w:val="auto"/>
              </w:rPr>
            </w:pPr>
            <w:r>
              <w:rPr>
                <w:rFonts w:ascii="Arial" w:cs="Arial" w:eastAsia="Arial" w:hAnsi="Arial"/>
                <w:sz w:val="11"/>
                <w:szCs w:val="11"/>
                <w:b w:val="1"/>
                <w:bCs w:val="1"/>
                <w:color w:val="auto"/>
                <w:w w:val="84"/>
              </w:rPr>
              <w:t>(in thousands)</w:t>
            </w:r>
          </w:p>
        </w:tc>
        <w:tc>
          <w:tcPr>
            <w:tcW w:w="120" w:type="dxa"/>
            <w:vAlign w:val="bottom"/>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center"/>
              <w:ind w:right="78"/>
              <w:spacing w:after="0"/>
              <w:rPr>
                <w:sz w:val="20"/>
                <w:szCs w:val="20"/>
                <w:color w:val="auto"/>
              </w:rPr>
            </w:pPr>
            <w:r>
              <w:rPr>
                <w:rFonts w:ascii="Arial" w:cs="Arial" w:eastAsia="Arial" w:hAnsi="Arial"/>
                <w:sz w:val="11"/>
                <w:szCs w:val="11"/>
                <w:b w:val="1"/>
                <w:bCs w:val="1"/>
                <w:color w:val="auto"/>
                <w:w w:val="87"/>
              </w:rPr>
              <w:t>(in thousands)</w:t>
            </w:r>
          </w:p>
        </w:tc>
        <w:tc>
          <w:tcPr>
            <w:tcW w:w="12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center"/>
              <w:ind w:right="78"/>
              <w:spacing w:after="0"/>
              <w:rPr>
                <w:sz w:val="20"/>
                <w:szCs w:val="20"/>
                <w:color w:val="auto"/>
              </w:rPr>
            </w:pPr>
            <w:r>
              <w:rPr>
                <w:rFonts w:ascii="Arial" w:cs="Arial" w:eastAsia="Arial" w:hAnsi="Arial"/>
                <w:sz w:val="11"/>
                <w:szCs w:val="11"/>
                <w:b w:val="1"/>
                <w:bCs w:val="1"/>
                <w:color w:val="auto"/>
                <w:w w:val="87"/>
              </w:rPr>
              <w:t>(in thousands)</w:t>
            </w:r>
          </w:p>
        </w:tc>
        <w:tc>
          <w:tcPr>
            <w:tcW w:w="120" w:type="dxa"/>
            <w:vAlign w:val="bottom"/>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center"/>
              <w:ind w:right="58"/>
              <w:spacing w:after="0"/>
              <w:rPr>
                <w:sz w:val="20"/>
                <w:szCs w:val="20"/>
                <w:color w:val="auto"/>
              </w:rPr>
            </w:pPr>
            <w:r>
              <w:rPr>
                <w:rFonts w:ascii="Arial" w:cs="Arial" w:eastAsia="Arial" w:hAnsi="Arial"/>
                <w:sz w:val="11"/>
                <w:szCs w:val="11"/>
                <w:b w:val="1"/>
                <w:bCs w:val="1"/>
                <w:color w:val="auto"/>
                <w:w w:val="84"/>
              </w:rPr>
              <w:t>(in thousands)</w:t>
            </w:r>
          </w:p>
        </w:tc>
        <w:tc>
          <w:tcPr>
            <w:tcW w:w="12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1"/>
        </w:trPr>
        <w:tc>
          <w:tcPr>
            <w:tcW w:w="24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Itron North America</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vMerge w:val="restart"/>
            <w:shd w:val="clear" w:color="auto" w:fill="CCEEFF"/>
          </w:tcPr>
          <w:p>
            <w:pPr>
              <w:jc w:val="right"/>
              <w:ind w:right="58"/>
              <w:spacing w:after="0"/>
              <w:rPr>
                <w:sz w:val="20"/>
                <w:szCs w:val="20"/>
                <w:color w:val="auto"/>
              </w:rPr>
            </w:pPr>
            <w:r>
              <w:rPr>
                <w:rFonts w:ascii="Arial" w:cs="Arial" w:eastAsia="Arial" w:hAnsi="Arial"/>
                <w:sz w:val="13"/>
                <w:szCs w:val="13"/>
                <w:color w:val="auto"/>
              </w:rPr>
              <w:t>96,958</w:t>
            </w:r>
          </w:p>
        </w:tc>
        <w:tc>
          <w:tcPr>
            <w:tcW w:w="1180" w:type="dxa"/>
            <w:vAlign w:val="bottom"/>
            <w:gridSpan w:val="2"/>
            <w:vMerge w:val="restart"/>
            <w:shd w:val="clear" w:color="auto" w:fill="CCEEFF"/>
          </w:tcPr>
          <w:p>
            <w:pPr>
              <w:jc w:val="center"/>
              <w:ind w:left="77"/>
              <w:spacing w:after="0"/>
              <w:rPr>
                <w:sz w:val="20"/>
                <w:szCs w:val="20"/>
                <w:color w:val="auto"/>
              </w:rPr>
            </w:pPr>
            <w:r>
              <w:rPr>
                <w:rFonts w:ascii="Arial" w:cs="Arial" w:eastAsia="Arial" w:hAnsi="Arial"/>
                <w:sz w:val="13"/>
                <w:szCs w:val="13"/>
                <w:color w:val="auto"/>
                <w:w w:val="86"/>
              </w:rPr>
              <w:t>33.6%</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100,972</w:t>
            </w:r>
          </w:p>
        </w:tc>
        <w:tc>
          <w:tcPr>
            <w:tcW w:w="1140" w:type="dxa"/>
            <w:vAlign w:val="bottom"/>
            <w:gridSpan w:val="2"/>
            <w:vMerge w:val="restart"/>
            <w:shd w:val="clear" w:color="auto" w:fill="CCEEFF"/>
          </w:tcPr>
          <w:p>
            <w:pPr>
              <w:jc w:val="center"/>
              <w:ind w:left="57"/>
              <w:spacing w:after="0"/>
              <w:rPr>
                <w:sz w:val="20"/>
                <w:szCs w:val="20"/>
                <w:color w:val="auto"/>
              </w:rPr>
            </w:pPr>
            <w:r>
              <w:rPr>
                <w:rFonts w:ascii="Arial" w:cs="Arial" w:eastAsia="Arial" w:hAnsi="Arial"/>
                <w:sz w:val="13"/>
                <w:szCs w:val="13"/>
                <w:color w:val="auto"/>
                <w:w w:val="92"/>
              </w:rPr>
              <w:t>33.5%</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191,680</w:t>
            </w:r>
          </w:p>
        </w:tc>
        <w:tc>
          <w:tcPr>
            <w:tcW w:w="1120" w:type="dxa"/>
            <w:vAlign w:val="bottom"/>
            <w:gridSpan w:val="2"/>
            <w:vMerge w:val="restart"/>
            <w:shd w:val="clear" w:color="auto" w:fill="CCEEFF"/>
          </w:tcPr>
          <w:p>
            <w:pPr>
              <w:jc w:val="center"/>
              <w:ind w:left="57"/>
              <w:spacing w:after="0"/>
              <w:rPr>
                <w:sz w:val="20"/>
                <w:szCs w:val="20"/>
                <w:color w:val="auto"/>
              </w:rPr>
            </w:pPr>
            <w:r>
              <w:rPr>
                <w:rFonts w:ascii="Arial" w:cs="Arial" w:eastAsia="Arial" w:hAnsi="Arial"/>
                <w:sz w:val="13"/>
                <w:szCs w:val="13"/>
                <w:color w:val="auto"/>
                <w:w w:val="86"/>
              </w:rPr>
              <w:t>33.9%</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179,131</w:t>
            </w:r>
          </w:p>
        </w:tc>
        <w:tc>
          <w:tcPr>
            <w:tcW w:w="1140" w:type="dxa"/>
            <w:vAlign w:val="bottom"/>
            <w:gridSpan w:val="2"/>
            <w:vMerge w:val="restart"/>
            <w:shd w:val="clear" w:color="auto" w:fill="CCEEFF"/>
          </w:tcPr>
          <w:p>
            <w:pPr>
              <w:jc w:val="center"/>
              <w:ind w:left="37"/>
              <w:spacing w:after="0"/>
              <w:rPr>
                <w:sz w:val="20"/>
                <w:szCs w:val="20"/>
                <w:color w:val="auto"/>
              </w:rPr>
            </w:pPr>
            <w:r>
              <w:rPr>
                <w:rFonts w:ascii="Arial" w:cs="Arial" w:eastAsia="Arial" w:hAnsi="Arial"/>
                <w:sz w:val="13"/>
                <w:szCs w:val="13"/>
                <w:color w:val="auto"/>
                <w:w w:val="86"/>
              </w:rPr>
              <w:t>33.0%</w:t>
            </w:r>
          </w:p>
        </w:tc>
        <w:tc>
          <w:tcPr>
            <w:tcW w:w="0" w:type="dxa"/>
            <w:vAlign w:val="bottom"/>
          </w:tcPr>
          <w:p>
            <w:pPr>
              <w:spacing w:after="0"/>
              <w:rPr>
                <w:sz w:val="1"/>
                <w:szCs w:val="1"/>
                <w:color w:val="auto"/>
              </w:rPr>
            </w:pPr>
          </w:p>
        </w:tc>
      </w:tr>
      <w:tr>
        <w:trPr>
          <w:trHeight w:val="97"/>
        </w:trPr>
        <w:tc>
          <w:tcPr>
            <w:tcW w:w="2420" w:type="dxa"/>
            <w:vAlign w:val="bottom"/>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1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11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11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1140" w:type="dxa"/>
            <w:vAlign w:val="bottom"/>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tcPr>
          <w:p>
            <w:pPr>
              <w:ind w:left="380"/>
              <w:spacing w:after="0"/>
              <w:rPr>
                <w:sz w:val="20"/>
                <w:szCs w:val="20"/>
                <w:color w:val="auto"/>
              </w:rPr>
            </w:pPr>
            <w:r>
              <w:rPr>
                <w:rFonts w:ascii="Arial" w:cs="Arial" w:eastAsia="Arial" w:hAnsi="Arial"/>
                <w:sz w:val="13"/>
                <w:szCs w:val="13"/>
                <w:color w:val="auto"/>
              </w:rPr>
              <w:t>Itron International</w:t>
            </w:r>
          </w:p>
        </w:tc>
        <w:tc>
          <w:tcPr>
            <w:tcW w:w="140" w:type="dxa"/>
            <w:vAlign w:val="bottom"/>
          </w:tcPr>
          <w:p>
            <w:pPr>
              <w:spacing w:after="0"/>
              <w:rPr>
                <w:sz w:val="15"/>
                <w:szCs w:val="15"/>
                <w:color w:val="auto"/>
              </w:rPr>
            </w:pPr>
          </w:p>
        </w:tc>
        <w:tc>
          <w:tcPr>
            <w:tcW w:w="900" w:type="dxa"/>
            <w:vAlign w:val="bottom"/>
            <w:vMerge w:val="restart"/>
          </w:tcPr>
          <w:p>
            <w:pPr>
              <w:jc w:val="right"/>
              <w:ind w:right="58"/>
              <w:spacing w:after="0"/>
              <w:rPr>
                <w:sz w:val="20"/>
                <w:szCs w:val="20"/>
                <w:color w:val="auto"/>
              </w:rPr>
            </w:pPr>
            <w:r>
              <w:rPr>
                <w:rFonts w:ascii="Arial" w:cs="Arial" w:eastAsia="Arial" w:hAnsi="Arial"/>
                <w:sz w:val="13"/>
                <w:szCs w:val="13"/>
                <w:color w:val="auto"/>
              </w:rPr>
              <w:t>94,125</w:t>
            </w:r>
          </w:p>
        </w:tc>
        <w:tc>
          <w:tcPr>
            <w:tcW w:w="1180" w:type="dxa"/>
            <w:vAlign w:val="bottom"/>
            <w:gridSpan w:val="2"/>
            <w:vMerge w:val="restart"/>
          </w:tcPr>
          <w:p>
            <w:pPr>
              <w:jc w:val="center"/>
              <w:ind w:left="77"/>
              <w:spacing w:after="0"/>
              <w:rPr>
                <w:sz w:val="20"/>
                <w:szCs w:val="20"/>
                <w:color w:val="auto"/>
              </w:rPr>
            </w:pPr>
            <w:r>
              <w:rPr>
                <w:rFonts w:ascii="Arial" w:cs="Arial" w:eastAsia="Arial" w:hAnsi="Arial"/>
                <w:sz w:val="13"/>
                <w:szCs w:val="13"/>
                <w:color w:val="auto"/>
                <w:w w:val="86"/>
              </w:rPr>
              <w:t>29.0%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vMerge w:val="restart"/>
          </w:tcPr>
          <w:p>
            <w:pPr>
              <w:jc w:val="right"/>
              <w:ind w:right="38"/>
              <w:spacing w:after="0"/>
              <w:rPr>
                <w:sz w:val="20"/>
                <w:szCs w:val="20"/>
                <w:color w:val="auto"/>
              </w:rPr>
            </w:pPr>
            <w:r>
              <w:rPr>
                <w:rFonts w:ascii="Arial" w:cs="Arial" w:eastAsia="Arial" w:hAnsi="Arial"/>
                <w:sz w:val="13"/>
                <w:szCs w:val="13"/>
                <w:color w:val="auto"/>
              </w:rPr>
              <w:t>73,084</w:t>
            </w:r>
          </w:p>
        </w:tc>
        <w:tc>
          <w:tcPr>
            <w:tcW w:w="1140" w:type="dxa"/>
            <w:vAlign w:val="bottom"/>
            <w:gridSpan w:val="2"/>
            <w:vMerge w:val="restart"/>
          </w:tcPr>
          <w:p>
            <w:pPr>
              <w:jc w:val="center"/>
              <w:ind w:left="57"/>
              <w:spacing w:after="0"/>
              <w:rPr>
                <w:sz w:val="20"/>
                <w:szCs w:val="20"/>
                <w:color w:val="auto"/>
              </w:rPr>
            </w:pPr>
            <w:r>
              <w:rPr>
                <w:rFonts w:ascii="Arial" w:cs="Arial" w:eastAsia="Arial" w:hAnsi="Arial"/>
                <w:sz w:val="13"/>
                <w:szCs w:val="13"/>
                <w:color w:val="auto"/>
                <w:w w:val="92"/>
              </w:rPr>
              <w:t>27.5%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ind w:right="38"/>
              <w:spacing w:after="0"/>
              <w:rPr>
                <w:sz w:val="20"/>
                <w:szCs w:val="20"/>
                <w:color w:val="auto"/>
              </w:rPr>
            </w:pPr>
            <w:r>
              <w:rPr>
                <w:rFonts w:ascii="Arial" w:cs="Arial" w:eastAsia="Arial" w:hAnsi="Arial"/>
                <w:sz w:val="13"/>
                <w:szCs w:val="13"/>
                <w:color w:val="auto"/>
              </w:rPr>
              <w:t>183,513</w:t>
            </w:r>
          </w:p>
        </w:tc>
        <w:tc>
          <w:tcPr>
            <w:tcW w:w="1120" w:type="dxa"/>
            <w:vAlign w:val="bottom"/>
            <w:gridSpan w:val="2"/>
            <w:vMerge w:val="restart"/>
          </w:tcPr>
          <w:p>
            <w:pPr>
              <w:jc w:val="center"/>
              <w:ind w:left="57"/>
              <w:spacing w:after="0"/>
              <w:rPr>
                <w:sz w:val="20"/>
                <w:szCs w:val="20"/>
                <w:color w:val="auto"/>
              </w:rPr>
            </w:pPr>
            <w:r>
              <w:rPr>
                <w:rFonts w:ascii="Arial" w:cs="Arial" w:eastAsia="Arial" w:hAnsi="Arial"/>
                <w:sz w:val="13"/>
                <w:szCs w:val="13"/>
                <w:color w:val="auto"/>
                <w:w w:val="86"/>
              </w:rPr>
              <w:t>30.0%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vMerge w:val="restart"/>
          </w:tcPr>
          <w:p>
            <w:pPr>
              <w:jc w:val="right"/>
              <w:ind w:right="38"/>
              <w:spacing w:after="0"/>
              <w:rPr>
                <w:sz w:val="20"/>
                <w:szCs w:val="20"/>
                <w:color w:val="auto"/>
              </w:rPr>
            </w:pPr>
            <w:r>
              <w:rPr>
                <w:rFonts w:ascii="Arial" w:cs="Arial" w:eastAsia="Arial" w:hAnsi="Arial"/>
                <w:sz w:val="13"/>
                <w:szCs w:val="13"/>
                <w:color w:val="auto"/>
              </w:rPr>
              <w:t>151,989</w:t>
            </w:r>
          </w:p>
        </w:tc>
        <w:tc>
          <w:tcPr>
            <w:tcW w:w="1140" w:type="dxa"/>
            <w:vAlign w:val="bottom"/>
            <w:gridSpan w:val="2"/>
            <w:vMerge w:val="restart"/>
          </w:tcPr>
          <w:p>
            <w:pPr>
              <w:jc w:val="center"/>
              <w:ind w:left="37"/>
              <w:spacing w:after="0"/>
              <w:rPr>
                <w:sz w:val="20"/>
                <w:szCs w:val="20"/>
                <w:color w:val="auto"/>
              </w:rPr>
            </w:pPr>
            <w:r>
              <w:rPr>
                <w:rFonts w:ascii="Arial" w:cs="Arial" w:eastAsia="Arial" w:hAnsi="Arial"/>
                <w:sz w:val="13"/>
                <w:szCs w:val="13"/>
                <w:color w:val="auto"/>
                <w:w w:val="86"/>
              </w:rPr>
              <w:t>29.1%</w:t>
            </w:r>
          </w:p>
        </w:tc>
        <w:tc>
          <w:tcPr>
            <w:tcW w:w="0" w:type="dxa"/>
            <w:vAlign w:val="bottom"/>
          </w:tcPr>
          <w:p>
            <w:pPr>
              <w:spacing w:after="0"/>
              <w:rPr>
                <w:sz w:val="1"/>
                <w:szCs w:val="1"/>
                <w:color w:val="auto"/>
              </w:rPr>
            </w:pPr>
          </w:p>
        </w:tc>
      </w:tr>
      <w:tr>
        <w:trPr>
          <w:trHeight w:val="91"/>
        </w:trPr>
        <w:tc>
          <w:tcPr>
            <w:tcW w:w="242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1180" w:type="dxa"/>
            <w:vAlign w:val="bottom"/>
            <w:tcBorders>
              <w:bottom w:val="single" w:sz="8" w:color="CCEEFF"/>
            </w:tcBorders>
            <w:gridSpan w:val="2"/>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1140" w:type="dxa"/>
            <w:vAlign w:val="bottom"/>
            <w:tcBorders>
              <w:bottom w:val="single" w:sz="8" w:color="CCEEFF"/>
            </w:tcBorders>
            <w:gridSpan w:val="2"/>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1120" w:type="dxa"/>
            <w:vAlign w:val="bottom"/>
            <w:tcBorders>
              <w:bottom w:val="single" w:sz="8" w:color="CCEEFF"/>
            </w:tcBorders>
            <w:gridSpan w:val="2"/>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vMerge w:val="continue"/>
          </w:tcPr>
          <w:p>
            <w:pPr>
              <w:spacing w:after="0"/>
              <w:rPr>
                <w:sz w:val="7"/>
                <w:szCs w:val="7"/>
                <w:color w:val="auto"/>
              </w:rPr>
            </w:pPr>
          </w:p>
        </w:tc>
        <w:tc>
          <w:tcPr>
            <w:tcW w:w="1140" w:type="dxa"/>
            <w:vAlign w:val="bottom"/>
            <w:tcBorders>
              <w:bottom w:val="single" w:sz="8" w:color="CCEEFF"/>
            </w:tcBorders>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420" w:type="dxa"/>
            <w:vAlign w:val="bottom"/>
            <w:shd w:val="clear" w:color="auto" w:fill="CCEEFF"/>
          </w:tcPr>
          <w:p>
            <w:pPr>
              <w:ind w:left="540"/>
              <w:spacing w:after="0"/>
              <w:rPr>
                <w:sz w:val="20"/>
                <w:szCs w:val="20"/>
                <w:color w:val="auto"/>
              </w:rPr>
            </w:pPr>
            <w:r>
              <w:rPr>
                <w:rFonts w:ascii="Arial" w:cs="Arial" w:eastAsia="Arial" w:hAnsi="Arial"/>
                <w:sz w:val="13"/>
                <w:szCs w:val="13"/>
                <w:color w:val="auto"/>
              </w:rPr>
              <w:t>Total gross profit and margin</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vMerge w:val="restart"/>
            <w:shd w:val="clear" w:color="auto" w:fill="CCEEFF"/>
          </w:tcPr>
          <w:p>
            <w:pPr>
              <w:jc w:val="right"/>
              <w:ind w:right="58"/>
              <w:spacing w:after="0"/>
              <w:rPr>
                <w:sz w:val="20"/>
                <w:szCs w:val="20"/>
                <w:color w:val="auto"/>
              </w:rPr>
            </w:pPr>
            <w:r>
              <w:rPr>
                <w:rFonts w:ascii="Arial" w:cs="Arial" w:eastAsia="Arial" w:hAnsi="Arial"/>
                <w:sz w:val="13"/>
                <w:szCs w:val="13"/>
                <w:color w:val="auto"/>
              </w:rPr>
              <w:t>191,083</w:t>
            </w:r>
          </w:p>
        </w:tc>
        <w:tc>
          <w:tcPr>
            <w:tcW w:w="1180" w:type="dxa"/>
            <w:vAlign w:val="bottom"/>
            <w:gridSpan w:val="2"/>
            <w:vMerge w:val="restart"/>
            <w:shd w:val="clear" w:color="auto" w:fill="CCEEFF"/>
          </w:tcPr>
          <w:p>
            <w:pPr>
              <w:jc w:val="center"/>
              <w:ind w:left="77"/>
              <w:spacing w:after="0"/>
              <w:rPr>
                <w:sz w:val="20"/>
                <w:szCs w:val="20"/>
                <w:color w:val="auto"/>
              </w:rPr>
            </w:pPr>
            <w:r>
              <w:rPr>
                <w:rFonts w:ascii="Arial" w:cs="Arial" w:eastAsia="Arial" w:hAnsi="Arial"/>
                <w:sz w:val="13"/>
                <w:szCs w:val="13"/>
                <w:color w:val="auto"/>
                <w:w w:val="86"/>
              </w:rPr>
              <w:t>31.2%</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174,056</w:t>
            </w:r>
          </w:p>
        </w:tc>
        <w:tc>
          <w:tcPr>
            <w:tcW w:w="1140" w:type="dxa"/>
            <w:vAlign w:val="bottom"/>
            <w:gridSpan w:val="2"/>
            <w:vMerge w:val="restart"/>
            <w:shd w:val="clear" w:color="auto" w:fill="CCEEFF"/>
          </w:tcPr>
          <w:p>
            <w:pPr>
              <w:jc w:val="center"/>
              <w:ind w:left="57"/>
              <w:spacing w:after="0"/>
              <w:rPr>
                <w:sz w:val="20"/>
                <w:szCs w:val="20"/>
                <w:color w:val="auto"/>
              </w:rPr>
            </w:pPr>
            <w:r>
              <w:rPr>
                <w:rFonts w:ascii="Arial" w:cs="Arial" w:eastAsia="Arial" w:hAnsi="Arial"/>
                <w:sz w:val="13"/>
                <w:szCs w:val="13"/>
                <w:color w:val="auto"/>
                <w:w w:val="92"/>
              </w:rPr>
              <w:t>30.7%</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375,193</w:t>
            </w:r>
          </w:p>
        </w:tc>
        <w:tc>
          <w:tcPr>
            <w:tcW w:w="1120" w:type="dxa"/>
            <w:vAlign w:val="bottom"/>
            <w:gridSpan w:val="2"/>
            <w:vMerge w:val="restart"/>
            <w:shd w:val="clear" w:color="auto" w:fill="CCEEFF"/>
          </w:tcPr>
          <w:p>
            <w:pPr>
              <w:jc w:val="center"/>
              <w:ind w:left="57"/>
              <w:spacing w:after="0"/>
              <w:rPr>
                <w:sz w:val="20"/>
                <w:szCs w:val="20"/>
                <w:color w:val="auto"/>
              </w:rPr>
            </w:pPr>
            <w:r>
              <w:rPr>
                <w:rFonts w:ascii="Arial" w:cs="Arial" w:eastAsia="Arial" w:hAnsi="Arial"/>
                <w:sz w:val="13"/>
                <w:szCs w:val="13"/>
                <w:color w:val="auto"/>
                <w:w w:val="86"/>
              </w:rPr>
              <w:t>31.9%</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331,120</w:t>
            </w:r>
          </w:p>
        </w:tc>
        <w:tc>
          <w:tcPr>
            <w:tcW w:w="1140" w:type="dxa"/>
            <w:vAlign w:val="bottom"/>
            <w:gridSpan w:val="2"/>
            <w:vMerge w:val="restart"/>
            <w:shd w:val="clear" w:color="auto" w:fill="CCEEFF"/>
          </w:tcPr>
          <w:p>
            <w:pPr>
              <w:jc w:val="center"/>
              <w:ind w:left="37"/>
              <w:spacing w:after="0"/>
              <w:rPr>
                <w:sz w:val="20"/>
                <w:szCs w:val="20"/>
                <w:color w:val="auto"/>
              </w:rPr>
            </w:pPr>
            <w:r>
              <w:rPr>
                <w:rFonts w:ascii="Arial" w:cs="Arial" w:eastAsia="Arial" w:hAnsi="Arial"/>
                <w:sz w:val="13"/>
                <w:szCs w:val="13"/>
                <w:color w:val="auto"/>
                <w:w w:val="86"/>
              </w:rPr>
              <w:t>31.1%</w:t>
            </w:r>
          </w:p>
        </w:tc>
        <w:tc>
          <w:tcPr>
            <w:tcW w:w="0" w:type="dxa"/>
            <w:vAlign w:val="bottom"/>
          </w:tcPr>
          <w:p>
            <w:pPr>
              <w:spacing w:after="0"/>
              <w:rPr>
                <w:sz w:val="1"/>
                <w:szCs w:val="1"/>
                <w:color w:val="auto"/>
              </w:rPr>
            </w:pPr>
          </w:p>
        </w:tc>
      </w:tr>
      <w:tr>
        <w:trPr>
          <w:trHeight w:val="82"/>
        </w:trPr>
        <w:tc>
          <w:tcPr>
            <w:tcW w:w="242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auto"/>
            </w:tcBorders>
            <w:vMerge w:val="continue"/>
            <w:shd w:val="clear" w:color="auto" w:fill="CCEEFF"/>
          </w:tcPr>
          <w:p>
            <w:pPr>
              <w:spacing w:after="0"/>
              <w:rPr>
                <w:sz w:val="7"/>
                <w:szCs w:val="7"/>
                <w:color w:val="auto"/>
              </w:rPr>
            </w:pPr>
          </w:p>
        </w:tc>
        <w:tc>
          <w:tcPr>
            <w:tcW w:w="900" w:type="dxa"/>
            <w:vAlign w:val="bottom"/>
            <w:tcBorders>
              <w:bottom w:val="single" w:sz="8" w:color="auto"/>
            </w:tcBorders>
            <w:vMerge w:val="continue"/>
            <w:shd w:val="clear" w:color="auto" w:fill="CCEEFF"/>
          </w:tcPr>
          <w:p>
            <w:pPr>
              <w:spacing w:after="0"/>
              <w:rPr>
                <w:sz w:val="7"/>
                <w:szCs w:val="7"/>
                <w:color w:val="auto"/>
              </w:rPr>
            </w:pPr>
          </w:p>
        </w:tc>
        <w:tc>
          <w:tcPr>
            <w:tcW w:w="1180" w:type="dxa"/>
            <w:vAlign w:val="bottom"/>
            <w:tcBorders>
              <w:bottom w:val="single" w:sz="8" w:color="auto"/>
            </w:tcBorders>
            <w:gridSpan w:val="2"/>
            <w:vMerge w:val="continue"/>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40" w:type="dxa"/>
            <w:vAlign w:val="bottom"/>
            <w:tcBorders>
              <w:bottom w:val="single" w:sz="8" w:color="auto"/>
            </w:tcBorders>
            <w:vMerge w:val="continue"/>
            <w:shd w:val="clear" w:color="auto" w:fill="CCEEFF"/>
          </w:tcPr>
          <w:p>
            <w:pPr>
              <w:spacing w:after="0"/>
              <w:rPr>
                <w:sz w:val="7"/>
                <w:szCs w:val="7"/>
                <w:color w:val="auto"/>
              </w:rPr>
            </w:pPr>
          </w:p>
        </w:tc>
        <w:tc>
          <w:tcPr>
            <w:tcW w:w="880" w:type="dxa"/>
            <w:vAlign w:val="bottom"/>
            <w:tcBorders>
              <w:bottom w:val="single" w:sz="8" w:color="auto"/>
            </w:tcBorders>
            <w:vMerge w:val="continue"/>
            <w:shd w:val="clear" w:color="auto" w:fill="CCEEFF"/>
          </w:tcPr>
          <w:p>
            <w:pPr>
              <w:spacing w:after="0"/>
              <w:rPr>
                <w:sz w:val="7"/>
                <w:szCs w:val="7"/>
                <w:color w:val="auto"/>
              </w:rPr>
            </w:pPr>
          </w:p>
        </w:tc>
        <w:tc>
          <w:tcPr>
            <w:tcW w:w="1140" w:type="dxa"/>
            <w:vAlign w:val="bottom"/>
            <w:tcBorders>
              <w:bottom w:val="single" w:sz="8" w:color="auto"/>
            </w:tcBorders>
            <w:gridSpan w:val="2"/>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auto"/>
            </w:tcBorders>
            <w:vMerge w:val="continue"/>
            <w:shd w:val="clear" w:color="auto" w:fill="CCEEFF"/>
          </w:tcPr>
          <w:p>
            <w:pPr>
              <w:spacing w:after="0"/>
              <w:rPr>
                <w:sz w:val="7"/>
                <w:szCs w:val="7"/>
                <w:color w:val="auto"/>
              </w:rPr>
            </w:pPr>
          </w:p>
        </w:tc>
        <w:tc>
          <w:tcPr>
            <w:tcW w:w="880" w:type="dxa"/>
            <w:vAlign w:val="bottom"/>
            <w:tcBorders>
              <w:bottom w:val="single" w:sz="8" w:color="auto"/>
            </w:tcBorders>
            <w:vMerge w:val="continue"/>
            <w:shd w:val="clear" w:color="auto" w:fill="CCEEFF"/>
          </w:tcPr>
          <w:p>
            <w:pPr>
              <w:spacing w:after="0"/>
              <w:rPr>
                <w:sz w:val="7"/>
                <w:szCs w:val="7"/>
                <w:color w:val="auto"/>
              </w:rPr>
            </w:pPr>
          </w:p>
        </w:tc>
        <w:tc>
          <w:tcPr>
            <w:tcW w:w="1120" w:type="dxa"/>
            <w:vAlign w:val="bottom"/>
            <w:tcBorders>
              <w:bottom w:val="single" w:sz="8" w:color="auto"/>
            </w:tcBorders>
            <w:gridSpan w:val="2"/>
            <w:vMerge w:val="continue"/>
            <w:shd w:val="clear" w:color="auto" w:fill="CCEEFF"/>
          </w:tcPr>
          <w:p>
            <w:pPr>
              <w:spacing w:after="0"/>
              <w:rPr>
                <w:sz w:val="7"/>
                <w:szCs w:val="7"/>
                <w:color w:val="auto"/>
              </w:rPr>
            </w:pPr>
          </w:p>
        </w:tc>
        <w:tc>
          <w:tcPr>
            <w:tcW w:w="12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auto"/>
            </w:tcBorders>
            <w:vMerge w:val="continue"/>
            <w:shd w:val="clear" w:color="auto" w:fill="CCEEFF"/>
          </w:tcPr>
          <w:p>
            <w:pPr>
              <w:spacing w:after="0"/>
              <w:rPr>
                <w:sz w:val="7"/>
                <w:szCs w:val="7"/>
                <w:color w:val="auto"/>
              </w:rPr>
            </w:pPr>
          </w:p>
        </w:tc>
        <w:tc>
          <w:tcPr>
            <w:tcW w:w="880" w:type="dxa"/>
            <w:vAlign w:val="bottom"/>
            <w:tcBorders>
              <w:bottom w:val="single" w:sz="8" w:color="auto"/>
            </w:tcBorders>
            <w:vMerge w:val="continue"/>
            <w:shd w:val="clear" w:color="auto" w:fill="CCEEFF"/>
          </w:tcPr>
          <w:p>
            <w:pPr>
              <w:spacing w:after="0"/>
              <w:rPr>
                <w:sz w:val="7"/>
                <w:szCs w:val="7"/>
                <w:color w:val="auto"/>
              </w:rPr>
            </w:pPr>
          </w:p>
        </w:tc>
        <w:tc>
          <w:tcPr>
            <w:tcW w:w="1140" w:type="dxa"/>
            <w:vAlign w:val="bottom"/>
            <w:tcBorders>
              <w:bottom w:val="single" w:sz="8" w:color="auto"/>
            </w:tcBorders>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838" w:gutter="0" w:footer="0" w:header="0"/>
          <w:type w:val="continuous"/>
        </w:sectPr>
      </w:pPr>
    </w:p>
    <w:p>
      <w:pPr>
        <w:spacing w:after="0" w:line="133" w:lineRule="exact"/>
        <w:rPr>
          <w:sz w:val="20"/>
          <w:szCs w:val="20"/>
          <w:color w:val="auto"/>
        </w:rPr>
      </w:pPr>
    </w:p>
    <w:p>
      <w:pPr>
        <w:jc w:val="center"/>
        <w:ind w:left="210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19685</wp:posOffset>
            </wp:positionV>
            <wp:extent cx="286448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14" w:lineRule="exact"/>
        <w:rPr>
          <w:sz w:val="20"/>
          <w:szCs w:val="20"/>
          <w:color w:val="auto"/>
        </w:rPr>
      </w:pPr>
    </w:p>
    <w:p>
      <w:pPr>
        <w:ind w:left="3420"/>
        <w:spacing w:after="0"/>
        <w:tabs>
          <w:tab w:leader="none" w:pos="5700" w:val="left"/>
        </w:tabs>
        <w:rPr>
          <w:sz w:val="20"/>
          <w:szCs w:val="20"/>
          <w:color w:val="auto"/>
        </w:rPr>
      </w:pPr>
      <w:r>
        <w:rPr>
          <w:rFonts w:ascii="Arial" w:cs="Arial" w:eastAsia="Arial" w:hAnsi="Arial"/>
          <w:sz w:val="11"/>
          <w:szCs w:val="11"/>
          <w:b w:val="1"/>
          <w:bCs w:val="1"/>
          <w:color w:val="auto"/>
        </w:rPr>
        <w:t>2011</w:t>
      </w:r>
      <w:r>
        <w:rPr>
          <w:sz w:val="20"/>
          <w:szCs w:val="20"/>
          <w:color w:val="auto"/>
        </w:rPr>
        <w:tab/>
      </w:r>
      <w:r>
        <w:rPr>
          <w:rFonts w:ascii="Arial" w:cs="Arial" w:eastAsia="Arial" w:hAnsi="Arial"/>
          <w:sz w:val="11"/>
          <w:szCs w:val="11"/>
          <w:b w:val="1"/>
          <w:bCs w:val="1"/>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34290</wp:posOffset>
            </wp:positionV>
            <wp:extent cx="286448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jc w:val="center"/>
        <w:ind w:right="92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19685</wp:posOffset>
            </wp:positionV>
            <wp:extent cx="278701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114" w:lineRule="exact"/>
        <w:rPr>
          <w:sz w:val="20"/>
          <w:szCs w:val="20"/>
          <w:color w:val="auto"/>
        </w:rPr>
      </w:pPr>
    </w:p>
    <w:p>
      <w:pPr>
        <w:spacing w:after="0"/>
        <w:tabs>
          <w:tab w:leader="none" w:pos="2240" w:val="left"/>
        </w:tabs>
        <w:rPr>
          <w:sz w:val="20"/>
          <w:szCs w:val="20"/>
          <w:color w:val="auto"/>
        </w:rPr>
      </w:pPr>
      <w:r>
        <w:rPr>
          <w:rFonts w:ascii="Arial" w:cs="Arial" w:eastAsia="Arial" w:hAnsi="Arial"/>
          <w:sz w:val="9"/>
          <w:szCs w:val="9"/>
          <w:b w:val="1"/>
          <w:bCs w:val="1"/>
          <w:color w:val="auto"/>
        </w:rPr>
        <w:t>2011</w:t>
      </w:r>
      <w:r>
        <w:rPr>
          <w:sz w:val="20"/>
          <w:szCs w:val="20"/>
          <w:color w:val="auto"/>
        </w:rPr>
        <w:tab/>
      </w:r>
      <w:r>
        <w:rPr>
          <w:rFonts w:ascii="Arial" w:cs="Arial" w:eastAsia="Arial" w:hAnsi="Arial"/>
          <w:sz w:val="9"/>
          <w:szCs w:val="9"/>
          <w:b w:val="1"/>
          <w:bCs w:val="1"/>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48895</wp:posOffset>
            </wp:positionV>
            <wp:extent cx="278701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88" w:lineRule="exact"/>
        <w:rPr>
          <w:sz w:val="20"/>
          <w:szCs w:val="20"/>
          <w:color w:val="auto"/>
        </w:rPr>
      </w:pPr>
    </w:p>
    <w:p>
      <w:pPr>
        <w:sectPr>
          <w:pgSz w:w="11900" w:h="16838" w:orient="portrait"/>
          <w:cols w:equalWidth="0" w:num="2">
            <w:col w:w="7260" w:space="720"/>
            <w:col w:w="3440"/>
          </w:cols>
          <w:pgMar w:left="240" w:top="125" w:right="239" w:bottom="838"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58"/>
              <w:spacing w:after="0"/>
              <w:rPr>
                <w:sz w:val="20"/>
                <w:szCs w:val="20"/>
                <w:color w:val="auto"/>
              </w:rPr>
            </w:pPr>
            <w:r>
              <w:rPr>
                <w:rFonts w:ascii="Arial" w:cs="Arial" w:eastAsia="Arial" w:hAnsi="Arial"/>
                <w:sz w:val="13"/>
                <w:szCs w:val="13"/>
                <w:b w:val="1"/>
                <w:bCs w:val="1"/>
                <w:i w:val="1"/>
                <w:iCs w:val="1"/>
                <w:color w:val="auto"/>
                <w:w w:val="84"/>
              </w:rPr>
              <w:t>Operating</w:t>
            </w:r>
          </w:p>
        </w:tc>
        <w:tc>
          <w:tcPr>
            <w:tcW w:w="120" w:type="dxa"/>
            <w:vAlign w:val="bottom"/>
          </w:tcPr>
          <w:p>
            <w:pPr>
              <w:spacing w:after="0"/>
              <w:rPr>
                <w:sz w:val="12"/>
                <w:szCs w:val="12"/>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3"/>
                <w:szCs w:val="13"/>
                <w:b w:val="1"/>
                <w:bCs w:val="1"/>
                <w:i w:val="1"/>
                <w:iCs w:val="1"/>
                <w:color w:val="auto"/>
                <w:w w:val="84"/>
              </w:rPr>
              <w:t>Operating</w:t>
            </w:r>
          </w:p>
        </w:tc>
        <w:tc>
          <w:tcPr>
            <w:tcW w:w="120" w:type="dxa"/>
            <w:vAlign w:val="bottom"/>
          </w:tcPr>
          <w:p>
            <w:pPr>
              <w:spacing w:after="0"/>
              <w:rPr>
                <w:sz w:val="12"/>
                <w:szCs w:val="12"/>
                <w:color w:val="auto"/>
              </w:rPr>
            </w:pPr>
          </w:p>
        </w:tc>
        <w:tc>
          <w:tcPr>
            <w:tcW w:w="900" w:type="dxa"/>
            <w:vAlign w:val="bottom"/>
          </w:tcPr>
          <w:p>
            <w:pPr>
              <w:jc w:val="center"/>
              <w:ind w:right="38"/>
              <w:spacing w:after="0"/>
              <w:rPr>
                <w:sz w:val="20"/>
                <w:szCs w:val="20"/>
                <w:color w:val="auto"/>
              </w:rPr>
            </w:pPr>
            <w:r>
              <w:rPr>
                <w:rFonts w:ascii="Arial" w:cs="Arial" w:eastAsia="Arial" w:hAnsi="Arial"/>
                <w:sz w:val="13"/>
                <w:szCs w:val="13"/>
                <w:b w:val="1"/>
                <w:bCs w:val="1"/>
                <w:i w:val="1"/>
                <w:iCs w:val="1"/>
                <w:color w:val="auto"/>
                <w:w w:val="84"/>
              </w:rPr>
              <w:t>Operating</w:t>
            </w:r>
          </w:p>
        </w:tc>
        <w:tc>
          <w:tcPr>
            <w:tcW w:w="120" w:type="dxa"/>
            <w:vAlign w:val="bottom"/>
          </w:tcPr>
          <w:p>
            <w:pPr>
              <w:spacing w:after="0"/>
              <w:rPr>
                <w:sz w:val="12"/>
                <w:szCs w:val="12"/>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i w:val="1"/>
                <w:iCs w:val="1"/>
                <w:color w:val="auto"/>
                <w:w w:val="87"/>
              </w:rPr>
              <w:t>Operating</w:t>
            </w:r>
          </w:p>
        </w:tc>
        <w:tc>
          <w:tcPr>
            <w:tcW w:w="100" w:type="dxa"/>
            <w:vAlign w:val="bottom"/>
          </w:tcPr>
          <w:p>
            <w:pPr>
              <w:spacing w:after="0"/>
              <w:rPr>
                <w:sz w:val="12"/>
                <w:szCs w:val="12"/>
                <w:color w:val="auto"/>
              </w:rPr>
            </w:pPr>
          </w:p>
        </w:tc>
        <w:tc>
          <w:tcPr>
            <w:tcW w:w="900" w:type="dxa"/>
            <w:vAlign w:val="bottom"/>
          </w:tcPr>
          <w:p>
            <w:pPr>
              <w:jc w:val="center"/>
              <w:ind w:right="38"/>
              <w:spacing w:after="0"/>
              <w:rPr>
                <w:sz w:val="20"/>
                <w:szCs w:val="20"/>
                <w:color w:val="auto"/>
              </w:rPr>
            </w:pPr>
            <w:r>
              <w:rPr>
                <w:rFonts w:ascii="Arial" w:cs="Arial" w:eastAsia="Arial" w:hAnsi="Arial"/>
                <w:sz w:val="13"/>
                <w:szCs w:val="13"/>
                <w:b w:val="1"/>
                <w:bCs w:val="1"/>
                <w:i w:val="1"/>
                <w:iCs w:val="1"/>
                <w:color w:val="auto"/>
                <w:w w:val="84"/>
              </w:rPr>
              <w:t>Operating</w:t>
            </w:r>
          </w:p>
        </w:tc>
        <w:tc>
          <w:tcPr>
            <w:tcW w:w="120" w:type="dxa"/>
            <w:vAlign w:val="bottom"/>
          </w:tcPr>
          <w:p>
            <w:pPr>
              <w:spacing w:after="0"/>
              <w:rPr>
                <w:sz w:val="12"/>
                <w:szCs w:val="12"/>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3"/>
                <w:szCs w:val="13"/>
                <w:b w:val="1"/>
                <w:bCs w:val="1"/>
                <w:i w:val="1"/>
                <w:iCs w:val="1"/>
                <w:color w:val="auto"/>
                <w:w w:val="84"/>
              </w:rPr>
              <w:t>Operating</w:t>
            </w:r>
          </w:p>
        </w:tc>
        <w:tc>
          <w:tcPr>
            <w:tcW w:w="100" w:type="dxa"/>
            <w:vAlign w:val="bottom"/>
          </w:tcPr>
          <w:p>
            <w:pPr>
              <w:spacing w:after="0"/>
              <w:rPr>
                <w:sz w:val="12"/>
                <w:szCs w:val="12"/>
                <w:color w:val="auto"/>
              </w:rPr>
            </w:pPr>
          </w:p>
        </w:tc>
        <w:tc>
          <w:tcPr>
            <w:tcW w:w="900" w:type="dxa"/>
            <w:vAlign w:val="bottom"/>
          </w:tcPr>
          <w:p>
            <w:pPr>
              <w:jc w:val="center"/>
              <w:ind w:right="38"/>
              <w:spacing w:after="0"/>
              <w:rPr>
                <w:sz w:val="20"/>
                <w:szCs w:val="20"/>
                <w:color w:val="auto"/>
              </w:rPr>
            </w:pPr>
            <w:r>
              <w:rPr>
                <w:rFonts w:ascii="Arial" w:cs="Arial" w:eastAsia="Arial" w:hAnsi="Arial"/>
                <w:sz w:val="13"/>
                <w:szCs w:val="13"/>
                <w:b w:val="1"/>
                <w:bCs w:val="1"/>
                <w:i w:val="1"/>
                <w:iCs w:val="1"/>
                <w:color w:val="auto"/>
                <w:w w:val="84"/>
              </w:rPr>
              <w:t>Operating</w:t>
            </w:r>
          </w:p>
        </w:tc>
        <w:tc>
          <w:tcPr>
            <w:tcW w:w="1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i w:val="1"/>
                <w:iCs w:val="1"/>
                <w:color w:val="auto"/>
                <w:w w:val="84"/>
              </w:rPr>
              <w:t>Operating</w:t>
            </w:r>
          </w:p>
        </w:tc>
        <w:tc>
          <w:tcPr>
            <w:tcW w:w="0" w:type="dxa"/>
            <w:vAlign w:val="bottom"/>
          </w:tcPr>
          <w:p>
            <w:pPr>
              <w:spacing w:after="0"/>
              <w:rPr>
                <w:sz w:val="1"/>
                <w:szCs w:val="1"/>
                <w:color w:val="auto"/>
              </w:rPr>
            </w:pPr>
          </w:p>
        </w:tc>
      </w:tr>
      <w:tr>
        <w:trPr>
          <w:trHeight w:val="170"/>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center"/>
              <w:ind w:right="58"/>
              <w:spacing w:after="0"/>
              <w:rPr>
                <w:sz w:val="20"/>
                <w:szCs w:val="20"/>
                <w:color w:val="auto"/>
              </w:rPr>
            </w:pPr>
            <w:r>
              <w:rPr>
                <w:rFonts w:ascii="Arial" w:cs="Arial" w:eastAsia="Arial" w:hAnsi="Arial"/>
                <w:sz w:val="13"/>
                <w:szCs w:val="13"/>
                <w:b w:val="1"/>
                <w:bCs w:val="1"/>
                <w:i w:val="1"/>
                <w:iCs w:val="1"/>
                <w:color w:val="auto"/>
                <w:w w:val="86"/>
              </w:rPr>
              <w:t>Income (Loss)</w:t>
            </w:r>
          </w:p>
        </w:tc>
        <w:tc>
          <w:tcPr>
            <w:tcW w:w="120" w:type="dxa"/>
            <w:vAlign w:val="bottom"/>
          </w:tcPr>
          <w:p>
            <w:pPr>
              <w:spacing w:after="0"/>
              <w:rPr>
                <w:sz w:val="14"/>
                <w:szCs w:val="14"/>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3"/>
                <w:szCs w:val="13"/>
                <w:b w:val="1"/>
                <w:bCs w:val="1"/>
                <w:i w:val="1"/>
                <w:iCs w:val="1"/>
                <w:color w:val="auto"/>
                <w:w w:val="89"/>
              </w:rPr>
              <w:t>Margin</w:t>
            </w:r>
          </w:p>
        </w:tc>
        <w:tc>
          <w:tcPr>
            <w:tcW w:w="120" w:type="dxa"/>
            <w:vAlign w:val="bottom"/>
          </w:tcPr>
          <w:p>
            <w:pPr>
              <w:spacing w:after="0"/>
              <w:rPr>
                <w:sz w:val="14"/>
                <w:szCs w:val="14"/>
                <w:color w:val="auto"/>
              </w:rPr>
            </w:pPr>
          </w:p>
        </w:tc>
        <w:tc>
          <w:tcPr>
            <w:tcW w:w="900" w:type="dxa"/>
            <w:vAlign w:val="bottom"/>
          </w:tcPr>
          <w:p>
            <w:pPr>
              <w:jc w:val="center"/>
              <w:ind w:right="58"/>
              <w:spacing w:after="0"/>
              <w:rPr>
                <w:sz w:val="20"/>
                <w:szCs w:val="20"/>
                <w:color w:val="auto"/>
              </w:rPr>
            </w:pPr>
            <w:r>
              <w:rPr>
                <w:rFonts w:ascii="Arial" w:cs="Arial" w:eastAsia="Arial" w:hAnsi="Arial"/>
                <w:sz w:val="13"/>
                <w:szCs w:val="13"/>
                <w:b w:val="1"/>
                <w:bCs w:val="1"/>
                <w:i w:val="1"/>
                <w:iCs w:val="1"/>
                <w:color w:val="auto"/>
                <w:w w:val="83"/>
              </w:rPr>
              <w:t>Income (Loss)</w:t>
            </w:r>
          </w:p>
        </w:tc>
        <w:tc>
          <w:tcPr>
            <w:tcW w:w="12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3"/>
                <w:szCs w:val="13"/>
                <w:b w:val="1"/>
                <w:bCs w:val="1"/>
                <w:i w:val="1"/>
                <w:iCs w:val="1"/>
                <w:color w:val="auto"/>
                <w:w w:val="89"/>
              </w:rPr>
              <w:t>Margin</w:t>
            </w:r>
          </w:p>
        </w:tc>
        <w:tc>
          <w:tcPr>
            <w:tcW w:w="100" w:type="dxa"/>
            <w:vAlign w:val="bottom"/>
          </w:tcPr>
          <w:p>
            <w:pPr>
              <w:spacing w:after="0"/>
              <w:rPr>
                <w:sz w:val="14"/>
                <w:szCs w:val="14"/>
                <w:color w:val="auto"/>
              </w:rPr>
            </w:pPr>
          </w:p>
        </w:tc>
        <w:tc>
          <w:tcPr>
            <w:tcW w:w="900" w:type="dxa"/>
            <w:vAlign w:val="bottom"/>
          </w:tcPr>
          <w:p>
            <w:pPr>
              <w:jc w:val="center"/>
              <w:ind w:right="58"/>
              <w:spacing w:after="0"/>
              <w:rPr>
                <w:sz w:val="20"/>
                <w:szCs w:val="20"/>
                <w:color w:val="auto"/>
              </w:rPr>
            </w:pPr>
            <w:r>
              <w:rPr>
                <w:rFonts w:ascii="Arial" w:cs="Arial" w:eastAsia="Arial" w:hAnsi="Arial"/>
                <w:sz w:val="13"/>
                <w:szCs w:val="13"/>
                <w:b w:val="1"/>
                <w:bCs w:val="1"/>
                <w:i w:val="1"/>
                <w:iCs w:val="1"/>
                <w:color w:val="auto"/>
                <w:w w:val="83"/>
              </w:rPr>
              <w:t>Income (Loss)</w:t>
            </w:r>
          </w:p>
        </w:tc>
        <w:tc>
          <w:tcPr>
            <w:tcW w:w="120" w:type="dxa"/>
            <w:vAlign w:val="bottom"/>
          </w:tcPr>
          <w:p>
            <w:pPr>
              <w:spacing w:after="0"/>
              <w:rPr>
                <w:sz w:val="14"/>
                <w:szCs w:val="1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3"/>
                <w:szCs w:val="13"/>
                <w:b w:val="1"/>
                <w:bCs w:val="1"/>
                <w:i w:val="1"/>
                <w:iCs w:val="1"/>
                <w:color w:val="auto"/>
                <w:w w:val="93"/>
              </w:rPr>
              <w:t>Margin</w:t>
            </w:r>
          </w:p>
        </w:tc>
        <w:tc>
          <w:tcPr>
            <w:tcW w:w="100" w:type="dxa"/>
            <w:vAlign w:val="bottom"/>
          </w:tcPr>
          <w:p>
            <w:pPr>
              <w:spacing w:after="0"/>
              <w:rPr>
                <w:sz w:val="14"/>
                <w:szCs w:val="14"/>
                <w:color w:val="auto"/>
              </w:rPr>
            </w:pPr>
          </w:p>
        </w:tc>
        <w:tc>
          <w:tcPr>
            <w:tcW w:w="900" w:type="dxa"/>
            <w:vAlign w:val="bottom"/>
          </w:tcPr>
          <w:p>
            <w:pPr>
              <w:jc w:val="center"/>
              <w:ind w:right="38"/>
              <w:spacing w:after="0"/>
              <w:rPr>
                <w:sz w:val="20"/>
                <w:szCs w:val="20"/>
                <w:color w:val="auto"/>
              </w:rPr>
            </w:pPr>
            <w:r>
              <w:rPr>
                <w:rFonts w:ascii="Arial" w:cs="Arial" w:eastAsia="Arial" w:hAnsi="Arial"/>
                <w:sz w:val="13"/>
                <w:szCs w:val="13"/>
                <w:b w:val="1"/>
                <w:bCs w:val="1"/>
                <w:i w:val="1"/>
                <w:iCs w:val="1"/>
                <w:color w:val="auto"/>
                <w:w w:val="86"/>
              </w:rPr>
              <w:t>Income (Loss)</w:t>
            </w: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i w:val="1"/>
                <w:iCs w:val="1"/>
                <w:color w:val="auto"/>
                <w:w w:val="89"/>
              </w:rPr>
              <w:t>Margin</w:t>
            </w:r>
          </w:p>
        </w:tc>
        <w:tc>
          <w:tcPr>
            <w:tcW w:w="0" w:type="dxa"/>
            <w:vAlign w:val="bottom"/>
          </w:tcPr>
          <w:p>
            <w:pPr>
              <w:spacing w:after="0"/>
              <w:rPr>
                <w:sz w:val="1"/>
                <w:szCs w:val="1"/>
                <w:color w:val="auto"/>
              </w:rPr>
            </w:pPr>
          </w:p>
        </w:tc>
      </w:tr>
      <w:tr>
        <w:trPr>
          <w:trHeight w:val="134"/>
        </w:trPr>
        <w:tc>
          <w:tcPr>
            <w:tcW w:w="2420" w:type="dxa"/>
            <w:vAlign w:val="bottom"/>
          </w:tcPr>
          <w:p>
            <w:pPr>
              <w:ind w:left="40"/>
              <w:spacing w:after="0" w:line="134" w:lineRule="exact"/>
              <w:rPr>
                <w:sz w:val="20"/>
                <w:szCs w:val="20"/>
                <w:color w:val="auto"/>
              </w:rPr>
            </w:pPr>
            <w:r>
              <w:rPr>
                <w:rFonts w:ascii="Arial" w:cs="Arial" w:eastAsia="Arial" w:hAnsi="Arial"/>
                <w:sz w:val="13"/>
                <w:szCs w:val="13"/>
                <w:b w:val="1"/>
                <w:bCs w:val="1"/>
                <w:i w:val="1"/>
                <w:iCs w:val="1"/>
                <w:color w:val="auto"/>
                <w:w w:val="98"/>
              </w:rPr>
              <w:t>Segment Operating Income (Loss) and</w:t>
            </w: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vMerge w:val="restart"/>
          </w:tcPr>
          <w:p>
            <w:pPr>
              <w:jc w:val="center"/>
              <w:ind w:right="58"/>
              <w:spacing w:after="0"/>
              <w:rPr>
                <w:sz w:val="20"/>
                <w:szCs w:val="20"/>
                <w:color w:val="auto"/>
              </w:rPr>
            </w:pPr>
            <w:r>
              <w:rPr>
                <w:rFonts w:ascii="Arial" w:cs="Arial" w:eastAsia="Arial" w:hAnsi="Arial"/>
                <w:sz w:val="11"/>
                <w:szCs w:val="11"/>
                <w:b w:val="1"/>
                <w:bCs w:val="1"/>
                <w:color w:val="auto"/>
                <w:w w:val="84"/>
              </w:rPr>
              <w:t>(in thousands)</w:t>
            </w:r>
          </w:p>
        </w:tc>
        <w:tc>
          <w:tcPr>
            <w:tcW w:w="120" w:type="dxa"/>
            <w:vAlign w:val="bottom"/>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center"/>
              <w:ind w:right="58"/>
              <w:spacing w:after="0"/>
              <w:rPr>
                <w:sz w:val="20"/>
                <w:szCs w:val="20"/>
                <w:color w:val="auto"/>
              </w:rPr>
            </w:pPr>
            <w:r>
              <w:rPr>
                <w:rFonts w:ascii="Arial" w:cs="Arial" w:eastAsia="Arial" w:hAnsi="Arial"/>
                <w:sz w:val="11"/>
                <w:szCs w:val="11"/>
                <w:b w:val="1"/>
                <w:bCs w:val="1"/>
                <w:color w:val="auto"/>
                <w:w w:val="87"/>
              </w:rPr>
              <w:t>(in thousands)</w:t>
            </w:r>
          </w:p>
        </w:tc>
        <w:tc>
          <w:tcPr>
            <w:tcW w:w="12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center"/>
              <w:ind w:right="58"/>
              <w:spacing w:after="0"/>
              <w:rPr>
                <w:sz w:val="20"/>
                <w:szCs w:val="20"/>
                <w:color w:val="auto"/>
              </w:rPr>
            </w:pPr>
            <w:r>
              <w:rPr>
                <w:rFonts w:ascii="Arial" w:cs="Arial" w:eastAsia="Arial" w:hAnsi="Arial"/>
                <w:sz w:val="11"/>
                <w:szCs w:val="11"/>
                <w:b w:val="1"/>
                <w:bCs w:val="1"/>
                <w:color w:val="auto"/>
                <w:w w:val="87"/>
              </w:rPr>
              <w:t>(in thousands)</w:t>
            </w:r>
          </w:p>
        </w:tc>
        <w:tc>
          <w:tcPr>
            <w:tcW w:w="12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center"/>
              <w:ind w:right="38"/>
              <w:spacing w:after="0"/>
              <w:rPr>
                <w:sz w:val="20"/>
                <w:szCs w:val="20"/>
                <w:color w:val="auto"/>
              </w:rPr>
            </w:pPr>
            <w:r>
              <w:rPr>
                <w:rFonts w:ascii="Arial" w:cs="Arial" w:eastAsia="Arial" w:hAnsi="Arial"/>
                <w:sz w:val="11"/>
                <w:szCs w:val="11"/>
                <w:b w:val="1"/>
                <w:bCs w:val="1"/>
                <w:color w:val="auto"/>
                <w:w w:val="84"/>
              </w:rPr>
              <w:t>(in thousands)</w:t>
            </w:r>
          </w:p>
        </w:tc>
        <w:tc>
          <w:tcPr>
            <w:tcW w:w="120" w:type="dxa"/>
            <w:vAlign w:val="bottom"/>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420" w:type="dxa"/>
            <w:vAlign w:val="bottom"/>
            <w:vMerge w:val="restart"/>
          </w:tcPr>
          <w:p>
            <w:pPr>
              <w:ind w:left="40"/>
              <w:spacing w:after="0"/>
              <w:rPr>
                <w:sz w:val="20"/>
                <w:szCs w:val="20"/>
                <w:color w:val="auto"/>
              </w:rPr>
            </w:pPr>
            <w:r>
              <w:rPr>
                <w:rFonts w:ascii="Arial" w:cs="Arial" w:eastAsia="Arial" w:hAnsi="Arial"/>
                <w:sz w:val="13"/>
                <w:szCs w:val="13"/>
                <w:b w:val="1"/>
                <w:bCs w:val="1"/>
                <w:i w:val="1"/>
                <w:iCs w:val="1"/>
                <w:color w:val="auto"/>
              </w:rPr>
              <w:t>Operating Margin</w:t>
            </w:r>
          </w:p>
        </w:tc>
        <w:tc>
          <w:tcPr>
            <w:tcW w:w="12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4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2420" w:type="dxa"/>
            <w:vAlign w:val="bottom"/>
          </w:tcPr>
          <w:p>
            <w:pPr>
              <w:ind w:left="380"/>
              <w:spacing w:after="0"/>
              <w:rPr>
                <w:sz w:val="20"/>
                <w:szCs w:val="20"/>
                <w:color w:val="auto"/>
              </w:rPr>
            </w:pPr>
            <w:r>
              <w:rPr>
                <w:rFonts w:ascii="Arial" w:cs="Arial" w:eastAsia="Arial" w:hAnsi="Arial"/>
                <w:sz w:val="13"/>
                <w:szCs w:val="13"/>
                <w:color w:val="auto"/>
              </w:rPr>
              <w:t>Itron North America</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vMerge w:val="restart"/>
          </w:tcPr>
          <w:p>
            <w:pPr>
              <w:jc w:val="right"/>
              <w:ind w:right="58"/>
              <w:spacing w:after="0"/>
              <w:rPr>
                <w:sz w:val="20"/>
                <w:szCs w:val="20"/>
                <w:color w:val="auto"/>
              </w:rPr>
            </w:pPr>
            <w:r>
              <w:rPr>
                <w:rFonts w:ascii="Arial" w:cs="Arial" w:eastAsia="Arial" w:hAnsi="Arial"/>
                <w:sz w:val="13"/>
                <w:szCs w:val="13"/>
                <w:color w:val="auto"/>
              </w:rPr>
              <w:t>42,739</w:t>
            </w:r>
          </w:p>
        </w:tc>
        <w:tc>
          <w:tcPr>
            <w:tcW w:w="1180" w:type="dxa"/>
            <w:vAlign w:val="bottom"/>
            <w:gridSpan w:val="2"/>
            <w:vMerge w:val="restart"/>
          </w:tcPr>
          <w:p>
            <w:pPr>
              <w:jc w:val="center"/>
              <w:ind w:left="57"/>
              <w:spacing w:after="0"/>
              <w:rPr>
                <w:sz w:val="20"/>
                <w:szCs w:val="20"/>
                <w:color w:val="auto"/>
              </w:rPr>
            </w:pPr>
            <w:r>
              <w:rPr>
                <w:rFonts w:ascii="Arial" w:cs="Arial" w:eastAsia="Arial" w:hAnsi="Arial"/>
                <w:sz w:val="13"/>
                <w:szCs w:val="13"/>
                <w:color w:val="auto"/>
                <w:w w:val="84"/>
              </w:rPr>
              <w:t>15%</w:t>
            </w:r>
          </w:p>
        </w:tc>
        <w:tc>
          <w:tcPr>
            <w:tcW w:w="1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900" w:type="dxa"/>
            <w:vAlign w:val="bottom"/>
            <w:vMerge w:val="restart"/>
          </w:tcPr>
          <w:p>
            <w:pPr>
              <w:jc w:val="right"/>
              <w:ind w:right="38"/>
              <w:spacing w:after="0"/>
              <w:rPr>
                <w:sz w:val="20"/>
                <w:szCs w:val="20"/>
                <w:color w:val="auto"/>
              </w:rPr>
            </w:pPr>
            <w:r>
              <w:rPr>
                <w:rFonts w:ascii="Arial" w:cs="Arial" w:eastAsia="Arial" w:hAnsi="Arial"/>
                <w:sz w:val="13"/>
                <w:szCs w:val="13"/>
                <w:color w:val="auto"/>
              </w:rPr>
              <w:t>55,384</w:t>
            </w:r>
          </w:p>
        </w:tc>
        <w:tc>
          <w:tcPr>
            <w:tcW w:w="1140" w:type="dxa"/>
            <w:vAlign w:val="bottom"/>
            <w:gridSpan w:val="2"/>
            <w:vMerge w:val="restart"/>
          </w:tcPr>
          <w:p>
            <w:pPr>
              <w:jc w:val="center"/>
              <w:ind w:left="57"/>
              <w:spacing w:after="0"/>
              <w:rPr>
                <w:sz w:val="20"/>
                <w:szCs w:val="20"/>
                <w:color w:val="auto"/>
              </w:rPr>
            </w:pPr>
            <w:r>
              <w:rPr>
                <w:rFonts w:ascii="Arial" w:cs="Arial" w:eastAsia="Arial" w:hAnsi="Arial"/>
                <w:sz w:val="13"/>
                <w:szCs w:val="13"/>
                <w:color w:val="auto"/>
                <w:w w:val="84"/>
              </w:rPr>
              <w:t>18%</w:t>
            </w:r>
          </w:p>
        </w:tc>
        <w:tc>
          <w:tcPr>
            <w:tcW w:w="12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vMerge w:val="restart"/>
          </w:tcPr>
          <w:p>
            <w:pPr>
              <w:jc w:val="right"/>
              <w:ind w:right="38"/>
              <w:spacing w:after="0"/>
              <w:rPr>
                <w:sz w:val="20"/>
                <w:szCs w:val="20"/>
                <w:color w:val="auto"/>
              </w:rPr>
            </w:pPr>
            <w:r>
              <w:rPr>
                <w:rFonts w:ascii="Arial" w:cs="Arial" w:eastAsia="Arial" w:hAnsi="Arial"/>
                <w:sz w:val="13"/>
                <w:szCs w:val="13"/>
                <w:color w:val="auto"/>
              </w:rPr>
              <w:t>86,532</w:t>
            </w:r>
          </w:p>
        </w:tc>
        <w:tc>
          <w:tcPr>
            <w:tcW w:w="1120" w:type="dxa"/>
            <w:vAlign w:val="bottom"/>
            <w:gridSpan w:val="2"/>
            <w:vMerge w:val="restart"/>
          </w:tcPr>
          <w:p>
            <w:pPr>
              <w:jc w:val="center"/>
              <w:ind w:left="57"/>
              <w:spacing w:after="0"/>
              <w:rPr>
                <w:sz w:val="20"/>
                <w:szCs w:val="20"/>
                <w:color w:val="auto"/>
              </w:rPr>
            </w:pPr>
            <w:r>
              <w:rPr>
                <w:rFonts w:ascii="Arial" w:cs="Arial" w:eastAsia="Arial" w:hAnsi="Arial"/>
                <w:sz w:val="13"/>
                <w:szCs w:val="13"/>
                <w:color w:val="auto"/>
                <w:w w:val="92"/>
              </w:rPr>
              <w:t>15%</w:t>
            </w:r>
          </w:p>
        </w:tc>
        <w:tc>
          <w:tcPr>
            <w:tcW w:w="120" w:type="dxa"/>
            <w:vAlign w:val="bottom"/>
          </w:tcPr>
          <w:p>
            <w:pPr>
              <w:spacing w:after="0"/>
              <w:rPr>
                <w:sz w:val="16"/>
                <w:szCs w:val="16"/>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vMerge w:val="restart"/>
          </w:tcPr>
          <w:p>
            <w:pPr>
              <w:jc w:val="right"/>
              <w:ind w:right="38"/>
              <w:spacing w:after="0"/>
              <w:rPr>
                <w:sz w:val="20"/>
                <w:szCs w:val="20"/>
                <w:color w:val="auto"/>
              </w:rPr>
            </w:pPr>
            <w:r>
              <w:rPr>
                <w:rFonts w:ascii="Arial" w:cs="Arial" w:eastAsia="Arial" w:hAnsi="Arial"/>
                <w:sz w:val="13"/>
                <w:szCs w:val="13"/>
                <w:color w:val="auto"/>
              </w:rPr>
              <w:t>87,420</w:t>
            </w:r>
          </w:p>
        </w:tc>
        <w:tc>
          <w:tcPr>
            <w:tcW w:w="1140" w:type="dxa"/>
            <w:vAlign w:val="bottom"/>
            <w:gridSpan w:val="2"/>
            <w:vMerge w:val="restart"/>
          </w:tcPr>
          <w:p>
            <w:pPr>
              <w:jc w:val="center"/>
              <w:ind w:left="57"/>
              <w:spacing w:after="0"/>
              <w:rPr>
                <w:sz w:val="20"/>
                <w:szCs w:val="20"/>
                <w:color w:val="auto"/>
              </w:rPr>
            </w:pPr>
            <w:r>
              <w:rPr>
                <w:rFonts w:ascii="Arial" w:cs="Arial" w:eastAsia="Arial" w:hAnsi="Arial"/>
                <w:sz w:val="13"/>
                <w:szCs w:val="13"/>
                <w:color w:val="auto"/>
                <w:w w:val="84"/>
              </w:rPr>
              <w:t>16%</w:t>
            </w:r>
          </w:p>
        </w:tc>
        <w:tc>
          <w:tcPr>
            <w:tcW w:w="0" w:type="dxa"/>
            <w:vAlign w:val="bottom"/>
          </w:tcPr>
          <w:p>
            <w:pPr>
              <w:spacing w:after="0"/>
              <w:rPr>
                <w:sz w:val="1"/>
                <w:szCs w:val="1"/>
                <w:color w:val="auto"/>
              </w:rPr>
            </w:pPr>
          </w:p>
        </w:tc>
      </w:tr>
      <w:tr>
        <w:trPr>
          <w:trHeight w:val="89"/>
        </w:trPr>
        <w:tc>
          <w:tcPr>
            <w:tcW w:w="242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4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Itron International</w:t>
            </w: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ind w:right="58"/>
              <w:spacing w:after="0"/>
              <w:rPr>
                <w:sz w:val="20"/>
                <w:szCs w:val="20"/>
                <w:color w:val="auto"/>
              </w:rPr>
            </w:pPr>
            <w:r>
              <w:rPr>
                <w:rFonts w:ascii="Arial" w:cs="Arial" w:eastAsia="Arial" w:hAnsi="Arial"/>
                <w:sz w:val="13"/>
                <w:szCs w:val="13"/>
                <w:color w:val="auto"/>
              </w:rPr>
              <w:t>16,483</w:t>
            </w:r>
          </w:p>
        </w:tc>
        <w:tc>
          <w:tcPr>
            <w:tcW w:w="1180" w:type="dxa"/>
            <w:vAlign w:val="bottom"/>
            <w:gridSpan w:val="2"/>
            <w:vMerge w:val="restart"/>
            <w:shd w:val="clear" w:color="auto" w:fill="CCEEFF"/>
          </w:tcPr>
          <w:p>
            <w:pPr>
              <w:jc w:val="center"/>
              <w:ind w:left="57"/>
              <w:spacing w:after="0"/>
              <w:rPr>
                <w:sz w:val="20"/>
                <w:szCs w:val="20"/>
                <w:color w:val="auto"/>
              </w:rPr>
            </w:pPr>
            <w:r>
              <w:rPr>
                <w:rFonts w:ascii="Arial" w:cs="Arial" w:eastAsia="Arial" w:hAnsi="Arial"/>
                <w:sz w:val="13"/>
                <w:szCs w:val="13"/>
                <w:color w:val="auto"/>
                <w:w w:val="95"/>
              </w:rPr>
              <w:t>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5,017</w:t>
            </w:r>
          </w:p>
        </w:tc>
        <w:tc>
          <w:tcPr>
            <w:tcW w:w="1140" w:type="dxa"/>
            <w:vAlign w:val="bottom"/>
            <w:gridSpan w:val="2"/>
            <w:vMerge w:val="restart"/>
            <w:shd w:val="clear" w:color="auto" w:fill="CCEEFF"/>
          </w:tcPr>
          <w:p>
            <w:pPr>
              <w:jc w:val="center"/>
              <w:ind w:left="57"/>
              <w:spacing w:after="0"/>
              <w:rPr>
                <w:sz w:val="20"/>
                <w:szCs w:val="20"/>
                <w:color w:val="auto"/>
              </w:rPr>
            </w:pPr>
            <w:r>
              <w:rPr>
                <w:rFonts w:ascii="Arial" w:cs="Arial" w:eastAsia="Arial" w:hAnsi="Arial"/>
                <w:sz w:val="13"/>
                <w:szCs w:val="13"/>
                <w:color w:val="auto"/>
                <w:w w:val="95"/>
              </w:rPr>
              <w:t>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32,711</w:t>
            </w:r>
          </w:p>
        </w:tc>
        <w:tc>
          <w:tcPr>
            <w:tcW w:w="1120" w:type="dxa"/>
            <w:vAlign w:val="bottom"/>
            <w:gridSpan w:val="2"/>
            <w:vMerge w:val="restart"/>
            <w:shd w:val="clear" w:color="auto" w:fill="CCEEFF"/>
          </w:tcPr>
          <w:p>
            <w:pPr>
              <w:jc w:val="center"/>
              <w:ind w:left="57"/>
              <w:spacing w:after="0"/>
              <w:rPr>
                <w:sz w:val="20"/>
                <w:szCs w:val="20"/>
                <w:color w:val="auto"/>
              </w:rPr>
            </w:pPr>
            <w:r>
              <w:rPr>
                <w:rFonts w:ascii="Arial" w:cs="Arial" w:eastAsia="Arial" w:hAnsi="Arial"/>
                <w:sz w:val="13"/>
                <w:szCs w:val="13"/>
                <w:color w:val="auto"/>
                <w:w w:val="84"/>
              </w:rPr>
              <w:t>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15,454</w:t>
            </w:r>
          </w:p>
        </w:tc>
        <w:tc>
          <w:tcPr>
            <w:tcW w:w="1140" w:type="dxa"/>
            <w:vAlign w:val="bottom"/>
            <w:gridSpan w:val="2"/>
            <w:vMerge w:val="restart"/>
            <w:shd w:val="clear" w:color="auto" w:fill="CCEEFF"/>
          </w:tcPr>
          <w:p>
            <w:pPr>
              <w:jc w:val="center"/>
              <w:ind w:left="57"/>
              <w:spacing w:after="0"/>
              <w:rPr>
                <w:sz w:val="20"/>
                <w:szCs w:val="20"/>
                <w:color w:val="auto"/>
              </w:rPr>
            </w:pPr>
            <w:r>
              <w:rPr>
                <w:rFonts w:ascii="Arial" w:cs="Arial" w:eastAsia="Arial" w:hAnsi="Arial"/>
                <w:sz w:val="13"/>
                <w:szCs w:val="13"/>
                <w:color w:val="auto"/>
                <w:w w:val="95"/>
              </w:rPr>
              <w:t>3%</w:t>
            </w:r>
          </w:p>
        </w:tc>
        <w:tc>
          <w:tcPr>
            <w:tcW w:w="0" w:type="dxa"/>
            <w:vAlign w:val="bottom"/>
          </w:tcPr>
          <w:p>
            <w:pPr>
              <w:spacing w:after="0"/>
              <w:rPr>
                <w:sz w:val="1"/>
                <w:szCs w:val="1"/>
                <w:color w:val="auto"/>
              </w:rPr>
            </w:pPr>
          </w:p>
        </w:tc>
      </w:tr>
      <w:tr>
        <w:trPr>
          <w:trHeight w:val="97"/>
        </w:trPr>
        <w:tc>
          <w:tcPr>
            <w:tcW w:w="2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11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14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1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vMerge w:val="continue"/>
            <w:shd w:val="clear" w:color="auto" w:fill="CCEEFF"/>
          </w:tcPr>
          <w:p>
            <w:pPr>
              <w:spacing w:after="0"/>
              <w:rPr>
                <w:sz w:val="8"/>
                <w:szCs w:val="8"/>
                <w:color w:val="auto"/>
              </w:rPr>
            </w:pPr>
          </w:p>
        </w:tc>
        <w:tc>
          <w:tcPr>
            <w:tcW w:w="1140" w:type="dxa"/>
            <w:vAlign w:val="bottom"/>
            <w:gridSpan w:val="2"/>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420" w:type="dxa"/>
            <w:vAlign w:val="bottom"/>
          </w:tcPr>
          <w:p>
            <w:pPr>
              <w:ind w:left="380"/>
              <w:spacing w:after="0"/>
              <w:rPr>
                <w:sz w:val="20"/>
                <w:szCs w:val="20"/>
                <w:color w:val="auto"/>
              </w:rPr>
            </w:pPr>
            <w:r>
              <w:rPr>
                <w:rFonts w:ascii="Arial" w:cs="Arial" w:eastAsia="Arial" w:hAnsi="Arial"/>
                <w:sz w:val="13"/>
                <w:szCs w:val="13"/>
                <w:color w:val="auto"/>
              </w:rPr>
              <w:t>Corporate unallocated</w:t>
            </w:r>
          </w:p>
        </w:tc>
        <w:tc>
          <w:tcPr>
            <w:tcW w:w="120" w:type="dxa"/>
            <w:vAlign w:val="bottom"/>
          </w:tcPr>
          <w:p>
            <w:pPr>
              <w:spacing w:after="0"/>
              <w:rPr>
                <w:sz w:val="15"/>
                <w:szCs w:val="15"/>
                <w:color w:val="auto"/>
              </w:rPr>
            </w:pPr>
          </w:p>
        </w:tc>
        <w:tc>
          <w:tcPr>
            <w:tcW w:w="920" w:type="dxa"/>
            <w:vAlign w:val="bottom"/>
            <w:vMerge w:val="restart"/>
          </w:tcPr>
          <w:p>
            <w:pPr>
              <w:jc w:val="right"/>
              <w:ind w:right="18"/>
              <w:spacing w:after="0"/>
              <w:rPr>
                <w:sz w:val="20"/>
                <w:szCs w:val="20"/>
                <w:color w:val="auto"/>
              </w:rPr>
            </w:pPr>
            <w:r>
              <w:rPr>
                <w:rFonts w:ascii="Arial" w:cs="Arial" w:eastAsia="Arial" w:hAnsi="Arial"/>
                <w:sz w:val="13"/>
                <w:szCs w:val="13"/>
                <w:color w:val="auto"/>
              </w:rPr>
              <w:t>(11,137)</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(10,392)</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(21,069)</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(21,246)</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4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6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2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0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2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420" w:type="dxa"/>
            <w:vAlign w:val="bottom"/>
            <w:shd w:val="clear" w:color="auto" w:fill="CCEEFF"/>
          </w:tcPr>
          <w:p>
            <w:pPr>
              <w:ind w:left="540"/>
              <w:spacing w:after="0"/>
              <w:rPr>
                <w:sz w:val="20"/>
                <w:szCs w:val="20"/>
                <w:color w:val="auto"/>
              </w:rPr>
            </w:pPr>
            <w:r>
              <w:rPr>
                <w:rFonts w:ascii="Arial" w:cs="Arial" w:eastAsia="Arial" w:hAnsi="Arial"/>
                <w:sz w:val="13"/>
                <w:szCs w:val="13"/>
                <w:color w:val="auto"/>
              </w:rPr>
              <w:t>Total Company</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vMerge w:val="restart"/>
            <w:shd w:val="clear" w:color="auto" w:fill="CCEEFF"/>
          </w:tcPr>
          <w:p>
            <w:pPr>
              <w:jc w:val="right"/>
              <w:ind w:right="58"/>
              <w:spacing w:after="0"/>
              <w:rPr>
                <w:sz w:val="20"/>
                <w:szCs w:val="20"/>
                <w:color w:val="auto"/>
              </w:rPr>
            </w:pPr>
            <w:r>
              <w:rPr>
                <w:rFonts w:ascii="Arial" w:cs="Arial" w:eastAsia="Arial" w:hAnsi="Arial"/>
                <w:sz w:val="13"/>
                <w:szCs w:val="13"/>
                <w:color w:val="auto"/>
              </w:rPr>
              <w:t>48,085</w:t>
            </w:r>
          </w:p>
        </w:tc>
        <w:tc>
          <w:tcPr>
            <w:tcW w:w="1180" w:type="dxa"/>
            <w:vAlign w:val="bottom"/>
            <w:gridSpan w:val="2"/>
            <w:vMerge w:val="restart"/>
            <w:shd w:val="clear" w:color="auto" w:fill="CCEEFF"/>
          </w:tcPr>
          <w:p>
            <w:pPr>
              <w:jc w:val="center"/>
              <w:ind w:left="57"/>
              <w:spacing w:after="0"/>
              <w:rPr>
                <w:sz w:val="20"/>
                <w:szCs w:val="20"/>
                <w:color w:val="auto"/>
              </w:rPr>
            </w:pPr>
            <w:r>
              <w:rPr>
                <w:rFonts w:ascii="Arial" w:cs="Arial" w:eastAsia="Arial" w:hAnsi="Arial"/>
                <w:sz w:val="13"/>
                <w:szCs w:val="13"/>
                <w:color w:val="auto"/>
                <w:w w:val="95"/>
              </w:rPr>
              <w:t>8%</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50,009</w:t>
            </w:r>
          </w:p>
        </w:tc>
        <w:tc>
          <w:tcPr>
            <w:tcW w:w="1140" w:type="dxa"/>
            <w:vAlign w:val="bottom"/>
            <w:gridSpan w:val="2"/>
            <w:vMerge w:val="restart"/>
            <w:shd w:val="clear" w:color="auto" w:fill="CCEEFF"/>
          </w:tcPr>
          <w:p>
            <w:pPr>
              <w:jc w:val="center"/>
              <w:ind w:left="57"/>
              <w:spacing w:after="0"/>
              <w:rPr>
                <w:sz w:val="20"/>
                <w:szCs w:val="20"/>
                <w:color w:val="auto"/>
              </w:rPr>
            </w:pPr>
            <w:r>
              <w:rPr>
                <w:rFonts w:ascii="Arial" w:cs="Arial" w:eastAsia="Arial" w:hAnsi="Arial"/>
                <w:sz w:val="13"/>
                <w:szCs w:val="13"/>
                <w:color w:val="auto"/>
                <w:w w:val="95"/>
              </w:rPr>
              <w:t>9%</w:t>
            </w:r>
          </w:p>
        </w:tc>
        <w:tc>
          <w:tcPr>
            <w:tcW w:w="12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98,174</w:t>
            </w:r>
          </w:p>
        </w:tc>
        <w:tc>
          <w:tcPr>
            <w:tcW w:w="1120" w:type="dxa"/>
            <w:vAlign w:val="bottom"/>
            <w:gridSpan w:val="2"/>
            <w:vMerge w:val="restart"/>
            <w:shd w:val="clear" w:color="auto" w:fill="CCEEFF"/>
          </w:tcPr>
          <w:p>
            <w:pPr>
              <w:jc w:val="center"/>
              <w:ind w:left="57"/>
              <w:spacing w:after="0"/>
              <w:rPr>
                <w:sz w:val="20"/>
                <w:szCs w:val="20"/>
                <w:color w:val="auto"/>
              </w:rPr>
            </w:pPr>
            <w:r>
              <w:rPr>
                <w:rFonts w:ascii="Arial" w:cs="Arial" w:eastAsia="Arial" w:hAnsi="Arial"/>
                <w:sz w:val="13"/>
                <w:szCs w:val="13"/>
                <w:color w:val="auto"/>
                <w:w w:val="84"/>
              </w:rPr>
              <w:t>8%</w:t>
            </w:r>
          </w:p>
        </w:tc>
        <w:tc>
          <w:tcPr>
            <w:tcW w:w="12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vMerge w:val="restart"/>
            <w:shd w:val="clear" w:color="auto" w:fill="CCEEFF"/>
          </w:tcPr>
          <w:p>
            <w:pPr>
              <w:jc w:val="right"/>
              <w:ind w:right="38"/>
              <w:spacing w:after="0"/>
              <w:rPr>
                <w:sz w:val="20"/>
                <w:szCs w:val="20"/>
                <w:color w:val="auto"/>
              </w:rPr>
            </w:pPr>
            <w:r>
              <w:rPr>
                <w:rFonts w:ascii="Arial" w:cs="Arial" w:eastAsia="Arial" w:hAnsi="Arial"/>
                <w:sz w:val="13"/>
                <w:szCs w:val="13"/>
                <w:color w:val="auto"/>
              </w:rPr>
              <w:t>81,628</w:t>
            </w:r>
          </w:p>
        </w:tc>
        <w:tc>
          <w:tcPr>
            <w:tcW w:w="1140" w:type="dxa"/>
            <w:vAlign w:val="bottom"/>
            <w:gridSpan w:val="2"/>
            <w:vMerge w:val="restart"/>
            <w:shd w:val="clear" w:color="auto" w:fill="CCEEFF"/>
          </w:tcPr>
          <w:p>
            <w:pPr>
              <w:jc w:val="center"/>
              <w:ind w:left="57"/>
              <w:spacing w:after="0"/>
              <w:rPr>
                <w:sz w:val="20"/>
                <w:szCs w:val="20"/>
                <w:color w:val="auto"/>
              </w:rPr>
            </w:pPr>
            <w:r>
              <w:rPr>
                <w:rFonts w:ascii="Arial" w:cs="Arial" w:eastAsia="Arial" w:hAnsi="Arial"/>
                <w:sz w:val="13"/>
                <w:szCs w:val="13"/>
                <w:color w:val="auto"/>
                <w:w w:val="95"/>
              </w:rPr>
              <w:t>8%</w:t>
            </w:r>
          </w:p>
        </w:tc>
        <w:tc>
          <w:tcPr>
            <w:tcW w:w="0" w:type="dxa"/>
            <w:vAlign w:val="bottom"/>
          </w:tcPr>
          <w:p>
            <w:pPr>
              <w:spacing w:after="0"/>
              <w:rPr>
                <w:sz w:val="1"/>
                <w:szCs w:val="1"/>
                <w:color w:val="auto"/>
              </w:rPr>
            </w:pPr>
          </w:p>
        </w:tc>
      </w:tr>
      <w:tr>
        <w:trPr>
          <w:trHeight w:val="82"/>
        </w:trPr>
        <w:tc>
          <w:tcPr>
            <w:tcW w:w="24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auto"/>
            </w:tcBorders>
            <w:vMerge w:val="continue"/>
            <w:shd w:val="clear" w:color="auto" w:fill="CCEEFF"/>
          </w:tcPr>
          <w:p>
            <w:pPr>
              <w:spacing w:after="0"/>
              <w:rPr>
                <w:sz w:val="7"/>
                <w:szCs w:val="7"/>
                <w:color w:val="auto"/>
              </w:rPr>
            </w:pPr>
          </w:p>
        </w:tc>
        <w:tc>
          <w:tcPr>
            <w:tcW w:w="920" w:type="dxa"/>
            <w:vAlign w:val="bottom"/>
            <w:tcBorders>
              <w:bottom w:val="single" w:sz="8" w:color="auto"/>
            </w:tcBorders>
            <w:vMerge w:val="continue"/>
            <w:shd w:val="clear" w:color="auto" w:fill="CCEEFF"/>
          </w:tcPr>
          <w:p>
            <w:pPr>
              <w:spacing w:after="0"/>
              <w:rPr>
                <w:sz w:val="7"/>
                <w:szCs w:val="7"/>
                <w:color w:val="auto"/>
              </w:rPr>
            </w:pPr>
          </w:p>
        </w:tc>
        <w:tc>
          <w:tcPr>
            <w:tcW w:w="1180" w:type="dxa"/>
            <w:vAlign w:val="bottom"/>
            <w:tcBorders>
              <w:bottom w:val="single" w:sz="8" w:color="CCEEFF"/>
            </w:tcBorders>
            <w:gridSpan w:val="2"/>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auto"/>
            </w:tcBorders>
            <w:vMerge w:val="continue"/>
            <w:shd w:val="clear" w:color="auto" w:fill="CCEEFF"/>
          </w:tcPr>
          <w:p>
            <w:pPr>
              <w:spacing w:after="0"/>
              <w:rPr>
                <w:sz w:val="7"/>
                <w:szCs w:val="7"/>
                <w:color w:val="auto"/>
              </w:rPr>
            </w:pPr>
          </w:p>
        </w:tc>
        <w:tc>
          <w:tcPr>
            <w:tcW w:w="900" w:type="dxa"/>
            <w:vAlign w:val="bottom"/>
            <w:tcBorders>
              <w:bottom w:val="single" w:sz="8" w:color="auto"/>
            </w:tcBorders>
            <w:vMerge w:val="continue"/>
            <w:shd w:val="clear" w:color="auto" w:fill="CCEEFF"/>
          </w:tcPr>
          <w:p>
            <w:pPr>
              <w:spacing w:after="0"/>
              <w:rPr>
                <w:sz w:val="7"/>
                <w:szCs w:val="7"/>
                <w:color w:val="auto"/>
              </w:rPr>
            </w:pPr>
          </w:p>
        </w:tc>
        <w:tc>
          <w:tcPr>
            <w:tcW w:w="1140" w:type="dxa"/>
            <w:vAlign w:val="bottom"/>
            <w:tcBorders>
              <w:bottom w:val="single" w:sz="8" w:color="CCEEFF"/>
            </w:tcBorders>
            <w:gridSpan w:val="2"/>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auto"/>
            </w:tcBorders>
            <w:vMerge w:val="continue"/>
            <w:shd w:val="clear" w:color="auto" w:fill="CCEEFF"/>
          </w:tcPr>
          <w:p>
            <w:pPr>
              <w:spacing w:after="0"/>
              <w:rPr>
                <w:sz w:val="7"/>
                <w:szCs w:val="7"/>
                <w:color w:val="auto"/>
              </w:rPr>
            </w:pPr>
          </w:p>
        </w:tc>
        <w:tc>
          <w:tcPr>
            <w:tcW w:w="900" w:type="dxa"/>
            <w:vAlign w:val="bottom"/>
            <w:tcBorders>
              <w:bottom w:val="single" w:sz="8" w:color="auto"/>
            </w:tcBorders>
            <w:vMerge w:val="continue"/>
            <w:shd w:val="clear" w:color="auto" w:fill="CCEEFF"/>
          </w:tcPr>
          <w:p>
            <w:pPr>
              <w:spacing w:after="0"/>
              <w:rPr>
                <w:sz w:val="7"/>
                <w:szCs w:val="7"/>
                <w:color w:val="auto"/>
              </w:rPr>
            </w:pPr>
          </w:p>
        </w:tc>
        <w:tc>
          <w:tcPr>
            <w:tcW w:w="1120" w:type="dxa"/>
            <w:vAlign w:val="bottom"/>
            <w:tcBorders>
              <w:bottom w:val="single" w:sz="8" w:color="CCEEFF"/>
            </w:tcBorders>
            <w:gridSpan w:val="2"/>
            <w:vMerge w:val="continue"/>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auto"/>
            </w:tcBorders>
            <w:vMerge w:val="continue"/>
            <w:shd w:val="clear" w:color="auto" w:fill="CCEEFF"/>
          </w:tcPr>
          <w:p>
            <w:pPr>
              <w:spacing w:after="0"/>
              <w:rPr>
                <w:sz w:val="7"/>
                <w:szCs w:val="7"/>
                <w:color w:val="auto"/>
              </w:rPr>
            </w:pPr>
          </w:p>
        </w:tc>
        <w:tc>
          <w:tcPr>
            <w:tcW w:w="900" w:type="dxa"/>
            <w:vAlign w:val="bottom"/>
            <w:tcBorders>
              <w:bottom w:val="single" w:sz="8" w:color="auto"/>
            </w:tcBorders>
            <w:vMerge w:val="continue"/>
            <w:shd w:val="clear" w:color="auto" w:fill="CCEEFF"/>
          </w:tcPr>
          <w:p>
            <w:pPr>
              <w:spacing w:after="0"/>
              <w:rPr>
                <w:sz w:val="7"/>
                <w:szCs w:val="7"/>
                <w:color w:val="auto"/>
              </w:rPr>
            </w:pPr>
          </w:p>
        </w:tc>
        <w:tc>
          <w:tcPr>
            <w:tcW w:w="1140" w:type="dxa"/>
            <w:vAlign w:val="bottom"/>
            <w:tcBorders>
              <w:bottom w:val="single" w:sz="8" w:color="CCEEFF"/>
            </w:tcBorders>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838"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5" w:right="239" w:bottom="838" w:gutter="0" w:footer="0" w:header="0"/>
          <w:type w:val="continuous"/>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Itron North America:</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June 30, 2011 vs. Three months ended June 30, 2010</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Revenues decreased $12.9 million, or 4%, for the three months ended June 30, 2011, compared with the same period last year. The decrease in revenues was primarily due to a 23% decline in OpenWay meter and communication module volumes, which is the result of the timing of certain projects nearing completion and others commencing rollouts. OpenWay products and services accounted for 39% of operating segment revenues for the three months ended June 30, 2011, compared with 46% for the same period last year. Non-OpenWay product and service revenues, including smart gas communication modules, increased 11% for the three months ended June 30, 2011, compared with the same period last year.</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Two customers each represented more than 10% of Itron North America revenues in the three months ended June 30, 2011, and three customers each represented more than 10% of Itron North America revenues in the three months ended June 30, 2010.</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Six months ended June 30, 2011 vs. Six months ended June 30, 2010</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Revenues increased $22.5 million, or 4%, for the six months ended June 30, 2011, compared with the same period last year. The increase in revenues was primarily due to a 11% increase in non-OpenWay product and service revenues, including smart gas communication modules.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Two customers each represented more than 10% of Itron North America revenues in the six months ended June 30, 2011, and three customers each represented more than 10% of Itron North America revenues in the six months ended June 30, 2010.</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June 30, 2011 vs. Three months ended June 30, 2010</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Gross margin was 33.6% for the three months ended June 30, 2011, compared with gross margin of 33.5% for the same period last year. Increased revenues and margins for non-OpenWay smart gas communication modules and non-OpenWay services were offset by higher OpenWay project costs.</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Six months ended June 30, 2011 vs. Six months ended June 30, 2010</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Gross margin increased to 33.9% for the six months ended June 30, 2011, compared with gross margin of 33.0% for the same period last year. Increased revenues and margins for smart gas communication modules and non-OpenWay services were partially offset by higher OpenWay project costs.</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June 30, 2011 vs. Three months ended June 30, 2010</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Itron North America operating expenses increased $8.6 million, or 19%, for the three months ended June 30, 2011, compared with the same period last year, primarily due to increased product development costs for new and enhanced products, as well as higher marketing expense associated with the pursuit of smart grid opportunities. These higher costs were partially offset by a scheduled decrease in amortization of intangible assets. Operating expenses as a percentage of revenues were 19% for the three months ended June 30, 2011, compared with 15% for the same period last year.</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Six months ended June 30, 2011 vs. Six months ended June 30, 2010</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Itron North America operating expenses increased $13.4 million, or 15%, for the six months ended June 30, 2011, compared with the same period last year, primarily due to increased product development costs for new and enhanced products, as well as higher marketing expense associated with the pursuit of smart grid opportunities. These higher costs were partially offset by a scheduled decrease in amortization of intangible assets. Operating expenses as a percentage of revenues were 19% for the six months ended June 30, 2011, compared with 17% for the same period last year.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Itron International</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Itron International business line revenues were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310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Three Months Ended June 30,</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140" w:type="dxa"/>
            <w:vAlign w:val="bottom"/>
            <w:gridSpan w:val="4"/>
          </w:tcPr>
          <w:p>
            <w:pPr>
              <w:jc w:val="right"/>
              <w:ind w:right="81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37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2010</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20" w:type="dxa"/>
            <w:vAlign w:val="bottom"/>
          </w:tcPr>
          <w:p>
            <w:pPr>
              <w:jc w:val="right"/>
              <w:ind w:right="65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2010</w:t>
            </w:r>
          </w:p>
        </w:tc>
      </w:tr>
      <w:tr>
        <w:trPr>
          <w:trHeight w:val="33"/>
        </w:trPr>
        <w:tc>
          <w:tcPr>
            <w:tcW w:w="37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(in thousands)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70"/>
        </w:trPr>
        <w:tc>
          <w:tcPr>
            <w:tcW w:w="3780" w:type="dxa"/>
            <w:vAlign w:val="bottom"/>
          </w:tcPr>
          <w:p>
            <w:pPr>
              <w:ind w:left="40"/>
              <w:spacing w:after="0"/>
              <w:rPr>
                <w:sz w:val="20"/>
                <w:szCs w:val="20"/>
                <w:color w:val="auto"/>
              </w:rPr>
            </w:pPr>
            <w:r>
              <w:rPr>
                <w:rFonts w:ascii="Arial" w:cs="Arial" w:eastAsia="Arial" w:hAnsi="Arial"/>
                <w:sz w:val="16"/>
                <w:szCs w:val="16"/>
                <w:color w:val="auto"/>
              </w:rPr>
              <w:t>Electricity</w:t>
            </w: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w w:val="96"/>
              </w:rPr>
              <w:t>117,549</w:t>
            </w:r>
          </w:p>
        </w:tc>
        <w:tc>
          <w:tcPr>
            <w:tcW w:w="120" w:type="dxa"/>
            <w:vAlign w:val="bottom"/>
          </w:tcPr>
          <w:p>
            <w:pPr>
              <w:spacing w:after="0"/>
              <w:rPr>
                <w:sz w:val="23"/>
                <w:szCs w:val="23"/>
                <w:color w:val="auto"/>
              </w:rPr>
            </w:pPr>
          </w:p>
        </w:tc>
        <w:tc>
          <w:tcPr>
            <w:tcW w:w="1140" w:type="dxa"/>
            <w:vAlign w:val="bottom"/>
          </w:tcPr>
          <w:p>
            <w:pPr>
              <w:jc w:val="right"/>
              <w:ind w:right="93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104,066</w:t>
            </w:r>
          </w:p>
        </w:tc>
        <w:tc>
          <w:tcPr>
            <w:tcW w:w="120" w:type="dxa"/>
            <w:vAlign w:val="bottom"/>
          </w:tcPr>
          <w:p>
            <w:pPr>
              <w:spacing w:after="0"/>
              <w:rPr>
                <w:sz w:val="23"/>
                <w:szCs w:val="23"/>
                <w:color w:val="auto"/>
              </w:rPr>
            </w:pPr>
          </w:p>
        </w:tc>
        <w:tc>
          <w:tcPr>
            <w:tcW w:w="580" w:type="dxa"/>
            <w:vAlign w:val="bottom"/>
          </w:tcPr>
          <w:p>
            <w:pPr>
              <w:jc w:val="right"/>
              <w:ind w:right="3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215,235</w:t>
            </w:r>
          </w:p>
        </w:tc>
        <w:tc>
          <w:tcPr>
            <w:tcW w:w="120" w:type="dxa"/>
            <w:vAlign w:val="bottom"/>
          </w:tcPr>
          <w:p>
            <w:pPr>
              <w:spacing w:after="0"/>
              <w:rPr>
                <w:sz w:val="23"/>
                <w:szCs w:val="23"/>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199,727</w:t>
            </w:r>
          </w:p>
        </w:tc>
      </w:tr>
      <w:tr>
        <w:trPr>
          <w:trHeight w:val="33"/>
        </w:trPr>
        <w:tc>
          <w:tcPr>
            <w:tcW w:w="3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Water</w:t>
            </w: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6"/>
              </w:rPr>
              <w:t>106,709</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81,564</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213,196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173,881</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Gas</w:t>
            </w:r>
          </w:p>
        </w:tc>
        <w:tc>
          <w:tcPr>
            <w:tcW w:w="114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99,919</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80,566</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182,455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148,652</w:t>
            </w:r>
          </w:p>
        </w:tc>
      </w:tr>
      <w:tr>
        <w:trPr>
          <w:trHeight w:val="33"/>
        </w:trPr>
        <w:tc>
          <w:tcPr>
            <w:tcW w:w="37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Itron International revenues</w:t>
            </w: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6"/>
              </w:rPr>
              <w:t>324,177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266,196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610,886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522,260</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Three months ended June 30, 2011 vs. Three months ended June 30, 2010</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Revenues increased $58.0 million, or 22%, for the three months ended June 30, 2011, compared with the same period last year. The net translation effect of our operations denominated in foreign currencies to the U.S. dollar accounted for $34.4 million of the increase in revenues. Meter and communication module volumes increased 3% for the three months ended June 30, 2011, compared with the same period last year primarily due to increased gas and water advanced metering projects. Itron International experiences variability in revenues as a result of the diverse economies in which it operates and sells its products.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represented more than 10% of Itron International revenues in the three months ended June 30, 2011 and 2010.</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Six months ended June 30, 2011 vs. Six months ended June 30, 2010</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Revenues increased $88.6 million, or 17%, for the six months ended June 30, 2011, compared with the same period last year. The net translation effect of our operations denominated in foreign currencies to the U.S. dollar accounted for $37.4 million of the increase in revenues. Meter and communication module volumes increased 5% for the six months ended June 30, 2011, compared with the same period last year primarily due to increased gas and water advanced metering projects.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represented more than 10% of Itron International revenues in the six months ended June 30, 2011 and 2010.</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Three months ended June 30, 2011 vs. Three months ended June 30, 2010</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Itron International gross margin increased to 29.0% for the three months ended June 30, 2011, compared with gross margin of 27.5% for the same period last year. Gross margin for the three months ended June 30, 2010 was impacted by warranty expense of $9.6 million associated with claims in Sweden that meters were adversely affected by high frequency pollution from third party devices in the home environment.</w:t>
      </w:r>
    </w:p>
    <w:p>
      <w:pPr>
        <w:spacing w:after="0" w:line="190" w:lineRule="exact"/>
        <w:rPr>
          <w:sz w:val="20"/>
          <w:szCs w:val="20"/>
          <w:color w:val="auto"/>
        </w:rPr>
      </w:pPr>
    </w:p>
    <w:p>
      <w:pPr>
        <w:ind w:left="660" w:hanging="328"/>
        <w:spacing w:after="0" w:line="291"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Electricity margins were favorably impacted by lower warranty expense, and unfavorably impacted primarily by lower service margin associated with implementation of complex systems. The second quarter of 2010 included $9.6 million of warranty expense associated with claims in Sweden.</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Gas margins increased due to a favorable product mix of higher margin Commercial and Industrial (C&amp;I)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Water margins decreased primarily due to higher material costs, including brass.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Six months ended June 30, 2011 vs. Six months ended June 30, 2010</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Itron International gross margin increased to 30.0% for the six months ended June 30, 2011, compared with gross margin of 29.1% for the same period last year. Gross margin for the six months ended June 30, 2010 was impacted by warranty expense of $9.6 million associated with claims in Sweden described above.</w:t>
      </w:r>
    </w:p>
    <w:p>
      <w:pPr>
        <w:spacing w:after="0" w:line="190" w:lineRule="exact"/>
        <w:rPr>
          <w:sz w:val="20"/>
          <w:szCs w:val="20"/>
          <w:color w:val="auto"/>
        </w:rPr>
      </w:pPr>
    </w:p>
    <w:p>
      <w:pPr>
        <w:jc w:val="both"/>
        <w:ind w:left="660" w:hanging="328"/>
        <w:spacing w:after="0" w:line="25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Electricity margins were impacted favorably by lower warranty expense. Warranty expense in 2011 included an $8.6 million recovery from a third party associated with claims in Sweden and a $7.7 million charge related to certain products in Brazil. The second quarter of 2010 included $9.6 million of warranty expense associated with claims in Sweden.</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Gas margins increased due to a favorable product mix of higher margin C&amp;I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Water margins decreased primarily due to higher material costs, including brass.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Three months ended June 30, 2011 vs. Three months ended June 30, 2010</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Itron International operating expenses increased $9.6 million, or 14%, for the three months ended June 30, 2011, compared with the same period last year. The net translation effect of foreign currency to the U.S. dollar accounted for $8.2 million of the increase in operating expenses. Restructuring charges of $1.4 million were recorded in the second quarter of 2011 primarily associated with severance for positions that were eliminated. Operating expenses as a percentage of revenues were 24% for the three months ended June 30, 2011, compared with 26% for the same period last year.</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Six months ended June 30, 2011 vs. Six months ended June 30, 2010</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Itron International operating expenses increased $14.3 million, or 10%, for the six months ended June 30, 2011, compared with the same period last year. The net translation effect of foreign currency to the U.S. dollar accounted for $8.3 million of the increase in operating expenses. The remaining increase was primarily due to higher sales and marketing expense associated with higher revenues and investment in product development related to smart metering. Restructuring charges of $1.4 million were recorded in the second quarter of 2011 primarily associated with severance for positions that were eliminated. Operating expenses as a percentage of revenues were 25% for the six months ended June 30, 2011, compared with 26% for the same period last year.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unallocated: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not directly associated with an operating segment are classified as “Corporate unallocated.” These expenses increased 7% to $11.1 million in the three months ended June 30, 2011, compared with the same period last year, primarily due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$500,000 in severance for positions that were eliminated. Corporate unallocated expenses remained relatively constant at $21.1 million in the six months ended June 30, 2011, compared with the same period last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Bookings and Backlog of Orders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Bookings for a reported period represent customer contracts and purchase orders received during the period that have met certain conditions, such as regulatory and/or contractual approval. Total backlog represents committed but undelivered contracts and purchase orders at period-end. Twelve-month backlog represents the portion of total backlog that we estimate will be recognized as revenue over the next 12 months. Backlog is not a complete measure of our future business as we have significant book-and-ship orders. Bookings and backlog may fluctuate significantly due to the timing of large project awards. In addition, annual or multi-year contracts are subject to rescheduling and cancellation by customers due to the long-term nature of the contracts. Beginning total backlog, plus bookings, minus revenues, will not equal ending total backlog due to miscellaneous contract adjustments, foreign currency fluctuations, and other factors.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bookings and backlog is summarized as follows: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80" w:type="dxa"/>
            <w:vAlign w:val="bottom"/>
          </w:tcPr>
          <w:p>
            <w:pPr>
              <w:jc w:val="center"/>
              <w:ind w:right="339"/>
              <w:spacing w:after="0"/>
              <w:rPr>
                <w:sz w:val="20"/>
                <w:szCs w:val="20"/>
                <w:color w:val="auto"/>
              </w:rPr>
            </w:pPr>
            <w:r>
              <w:rPr>
                <w:rFonts w:ascii="Arial" w:cs="Arial" w:eastAsia="Arial" w:hAnsi="Arial"/>
                <w:sz w:val="16"/>
                <w:szCs w:val="16"/>
                <w:b w:val="1"/>
                <w:bCs w:val="1"/>
                <w:color w:val="auto"/>
                <w:w w:val="92"/>
              </w:rPr>
              <w:t>Ending</w:t>
            </w:r>
          </w:p>
        </w:tc>
        <w:tc>
          <w:tcPr>
            <w:tcW w:w="540" w:type="dxa"/>
            <w:vAlign w:val="bottom"/>
          </w:tcPr>
          <w:p>
            <w:pPr>
              <w:spacing w:after="0"/>
              <w:rPr>
                <w:sz w:val="17"/>
                <w:szCs w:val="17"/>
                <w:color w:val="auto"/>
              </w:rPr>
            </w:pPr>
          </w:p>
        </w:tc>
        <w:tc>
          <w:tcPr>
            <w:tcW w:w="1820" w:type="dxa"/>
            <w:vAlign w:val="bottom"/>
          </w:tcPr>
          <w:p>
            <w:pPr>
              <w:jc w:val="center"/>
              <w:ind w:right="359"/>
              <w:spacing w:after="0"/>
              <w:rPr>
                <w:sz w:val="20"/>
                <w:szCs w:val="20"/>
                <w:color w:val="auto"/>
              </w:rPr>
            </w:pPr>
            <w:r>
              <w:rPr>
                <w:rFonts w:ascii="Arial" w:cs="Arial" w:eastAsia="Arial" w:hAnsi="Arial"/>
                <w:sz w:val="16"/>
                <w:szCs w:val="16"/>
                <w:b w:val="1"/>
                <w:bCs w:val="1"/>
                <w:color w:val="auto"/>
                <w:w w:val="92"/>
              </w:rPr>
              <w:t>Ending</w:t>
            </w:r>
          </w:p>
        </w:tc>
      </w:tr>
      <w:tr>
        <w:trPr>
          <w:trHeight w:val="203"/>
        </w:trPr>
        <w:tc>
          <w:tcPr>
            <w:tcW w:w="4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ind w:left="499"/>
              <w:spacing w:after="0"/>
              <w:rPr>
                <w:sz w:val="20"/>
                <w:szCs w:val="20"/>
                <w:color w:val="auto"/>
              </w:rPr>
            </w:pPr>
            <w:r>
              <w:rPr>
                <w:rFonts w:ascii="Arial" w:cs="Arial" w:eastAsia="Arial" w:hAnsi="Arial"/>
                <w:sz w:val="16"/>
                <w:szCs w:val="16"/>
                <w:b w:val="1"/>
                <w:bCs w:val="1"/>
                <w:color w:val="auto"/>
                <w:w w:val="98"/>
              </w:rPr>
              <w:t>Quarterly</w:t>
            </w: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80" w:type="dxa"/>
            <w:vAlign w:val="bottom"/>
          </w:tcPr>
          <w:p>
            <w:pPr>
              <w:jc w:val="center"/>
              <w:ind w:right="339"/>
              <w:spacing w:after="0"/>
              <w:rPr>
                <w:sz w:val="20"/>
                <w:szCs w:val="20"/>
                <w:color w:val="auto"/>
              </w:rPr>
            </w:pPr>
            <w:r>
              <w:rPr>
                <w:rFonts w:ascii="Arial" w:cs="Arial" w:eastAsia="Arial" w:hAnsi="Arial"/>
                <w:sz w:val="16"/>
                <w:szCs w:val="16"/>
                <w:b w:val="1"/>
                <w:bCs w:val="1"/>
                <w:color w:val="auto"/>
                <w:w w:val="88"/>
              </w:rPr>
              <w:t>Total</w:t>
            </w:r>
          </w:p>
        </w:tc>
        <w:tc>
          <w:tcPr>
            <w:tcW w:w="540" w:type="dxa"/>
            <w:vAlign w:val="bottom"/>
          </w:tcPr>
          <w:p>
            <w:pPr>
              <w:spacing w:after="0"/>
              <w:rPr>
                <w:sz w:val="17"/>
                <w:szCs w:val="17"/>
                <w:color w:val="auto"/>
              </w:rPr>
            </w:pPr>
          </w:p>
        </w:tc>
        <w:tc>
          <w:tcPr>
            <w:tcW w:w="1820" w:type="dxa"/>
            <w:vAlign w:val="bottom"/>
          </w:tcPr>
          <w:p>
            <w:pPr>
              <w:jc w:val="center"/>
              <w:ind w:right="379"/>
              <w:spacing w:after="0"/>
              <w:rPr>
                <w:sz w:val="20"/>
                <w:szCs w:val="20"/>
                <w:color w:val="auto"/>
              </w:rPr>
            </w:pPr>
            <w:r>
              <w:rPr>
                <w:rFonts w:ascii="Arial" w:cs="Arial" w:eastAsia="Arial" w:hAnsi="Arial"/>
                <w:sz w:val="16"/>
                <w:szCs w:val="16"/>
                <w:b w:val="1"/>
                <w:bCs w:val="1"/>
                <w:color w:val="auto"/>
                <w:w w:val="95"/>
              </w:rPr>
              <w:t>12-Month</w:t>
            </w:r>
          </w:p>
        </w:tc>
      </w:tr>
      <w:tr>
        <w:trPr>
          <w:trHeight w:val="210"/>
        </w:trPr>
        <w:tc>
          <w:tcPr>
            <w:tcW w:w="4360" w:type="dxa"/>
            <w:vAlign w:val="bottom"/>
            <w:gridSpan w:val="2"/>
          </w:tcPr>
          <w:p>
            <w:pPr>
              <w:ind w:left="40"/>
              <w:spacing w:after="0"/>
              <w:rPr>
                <w:sz w:val="20"/>
                <w:szCs w:val="20"/>
                <w:color w:val="auto"/>
              </w:rPr>
            </w:pPr>
            <w:r>
              <w:rPr>
                <w:rFonts w:ascii="Arial" w:cs="Arial" w:eastAsia="Arial" w:hAnsi="Arial"/>
                <w:sz w:val="16"/>
                <w:szCs w:val="16"/>
                <w:b w:val="1"/>
                <w:bCs w:val="1"/>
                <w:color w:val="auto"/>
              </w:rPr>
              <w:t>Quarter Ended</w:t>
            </w:r>
          </w:p>
        </w:tc>
        <w:tc>
          <w:tcPr>
            <w:tcW w:w="1720" w:type="dxa"/>
            <w:vAlign w:val="bottom"/>
          </w:tcPr>
          <w:p>
            <w:pPr>
              <w:jc w:val="center"/>
              <w:ind w:left="519"/>
              <w:spacing w:after="0"/>
              <w:rPr>
                <w:sz w:val="20"/>
                <w:szCs w:val="20"/>
                <w:color w:val="auto"/>
              </w:rPr>
            </w:pPr>
            <w:r>
              <w:rPr>
                <w:rFonts w:ascii="Arial" w:cs="Arial" w:eastAsia="Arial" w:hAnsi="Arial"/>
                <w:sz w:val="16"/>
                <w:szCs w:val="16"/>
                <w:b w:val="1"/>
                <w:bCs w:val="1"/>
                <w:color w:val="auto"/>
                <w:w w:val="87"/>
              </w:rPr>
              <w:t>Bookings</w:t>
            </w: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80" w:type="dxa"/>
            <w:vAlign w:val="bottom"/>
          </w:tcPr>
          <w:p>
            <w:pPr>
              <w:jc w:val="center"/>
              <w:ind w:right="359"/>
              <w:spacing w:after="0"/>
              <w:rPr>
                <w:sz w:val="20"/>
                <w:szCs w:val="20"/>
                <w:color w:val="auto"/>
              </w:rPr>
            </w:pPr>
            <w:r>
              <w:rPr>
                <w:rFonts w:ascii="Arial" w:cs="Arial" w:eastAsia="Arial" w:hAnsi="Arial"/>
                <w:sz w:val="16"/>
                <w:szCs w:val="16"/>
                <w:b w:val="1"/>
                <w:bCs w:val="1"/>
                <w:color w:val="auto"/>
                <w:w w:val="89"/>
              </w:rPr>
              <w:t>Backlog</w:t>
            </w:r>
          </w:p>
        </w:tc>
        <w:tc>
          <w:tcPr>
            <w:tcW w:w="540" w:type="dxa"/>
            <w:vAlign w:val="bottom"/>
          </w:tcPr>
          <w:p>
            <w:pPr>
              <w:spacing w:after="0"/>
              <w:rPr>
                <w:sz w:val="18"/>
                <w:szCs w:val="18"/>
                <w:color w:val="auto"/>
              </w:rPr>
            </w:pPr>
          </w:p>
        </w:tc>
        <w:tc>
          <w:tcPr>
            <w:tcW w:w="1820" w:type="dxa"/>
            <w:vAlign w:val="bottom"/>
          </w:tcPr>
          <w:p>
            <w:pPr>
              <w:jc w:val="center"/>
              <w:ind w:right="379"/>
              <w:spacing w:after="0"/>
              <w:rPr>
                <w:sz w:val="20"/>
                <w:szCs w:val="20"/>
                <w:color w:val="auto"/>
              </w:rPr>
            </w:pPr>
            <w:r>
              <w:rPr>
                <w:rFonts w:ascii="Arial" w:cs="Arial" w:eastAsia="Arial" w:hAnsi="Arial"/>
                <w:sz w:val="16"/>
                <w:szCs w:val="16"/>
                <w:b w:val="1"/>
                <w:bCs w:val="1"/>
                <w:color w:val="auto"/>
                <w:w w:val="89"/>
              </w:rPr>
              <w:t>Backlog</w:t>
            </w:r>
          </w:p>
        </w:tc>
      </w:tr>
      <w:tr>
        <w:trPr>
          <w:trHeight w:val="33"/>
        </w:trPr>
        <w:tc>
          <w:tcPr>
            <w:tcW w:w="4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80" w:type="dxa"/>
            <w:vAlign w:val="bottom"/>
          </w:tcPr>
          <w:p>
            <w:pPr>
              <w:jc w:val="center"/>
              <w:ind w:right="359"/>
              <w:spacing w:after="0"/>
              <w:rPr>
                <w:sz w:val="20"/>
                <w:szCs w:val="20"/>
                <w:color w:val="auto"/>
              </w:rPr>
            </w:pPr>
            <w:r>
              <w:rPr>
                <w:rFonts w:ascii="Arial" w:cs="Arial" w:eastAsia="Arial" w:hAnsi="Arial"/>
                <w:sz w:val="16"/>
                <w:szCs w:val="16"/>
                <w:b w:val="1"/>
                <w:bCs w:val="1"/>
                <w:color w:val="auto"/>
                <w:w w:val="93"/>
              </w:rPr>
              <w:t>(in millions)</w:t>
            </w:r>
          </w:p>
        </w:tc>
        <w:tc>
          <w:tcPr>
            <w:tcW w:w="54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June 30, 2011</w:t>
            </w:r>
          </w:p>
        </w:tc>
        <w:tc>
          <w:tcPr>
            <w:tcW w:w="1720" w:type="dxa"/>
            <w:vAlign w:val="bottom"/>
            <w:tcBorders>
              <w:bottom w:val="single" w:sz="8" w:color="CCEEFF"/>
            </w:tcBorders>
            <w:shd w:val="clear" w:color="auto" w:fill="CCEEFF"/>
          </w:tcPr>
          <w:p>
            <w:pPr>
              <w:jc w:val="right"/>
              <w:ind w:right="1539"/>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483</w:t>
            </w:r>
          </w:p>
        </w:tc>
        <w:tc>
          <w:tcPr>
            <w:tcW w:w="5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1,622</w:t>
            </w:r>
          </w:p>
        </w:tc>
        <w:tc>
          <w:tcPr>
            <w:tcW w:w="5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1,049</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March 31, 2011</w:t>
            </w:r>
          </w:p>
        </w:tc>
        <w:tc>
          <w:tcPr>
            <w:tcW w:w="172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681</w:t>
            </w:r>
          </w:p>
        </w:tc>
        <w:tc>
          <w:tcPr>
            <w:tcW w:w="500" w:type="dxa"/>
            <w:vAlign w:val="bottom"/>
          </w:tcPr>
          <w:p>
            <w:pPr>
              <w:spacing w:after="0"/>
              <w:rPr>
                <w:sz w:val="20"/>
                <w:szCs w:val="20"/>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1,747</w:t>
            </w:r>
          </w:p>
        </w:tc>
        <w:tc>
          <w:tcPr>
            <w:tcW w:w="54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989</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December 31, 2010</w:t>
            </w:r>
          </w:p>
        </w:tc>
        <w:tc>
          <w:tcPr>
            <w:tcW w:w="17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581</w:t>
            </w:r>
          </w:p>
        </w:tc>
        <w:tc>
          <w:tcPr>
            <w:tcW w:w="5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1,620</w:t>
            </w:r>
          </w:p>
        </w:tc>
        <w:tc>
          <w:tcPr>
            <w:tcW w:w="5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913</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September 30, 2010</w:t>
            </w:r>
          </w:p>
        </w:tc>
        <w:tc>
          <w:tcPr>
            <w:tcW w:w="1720" w:type="dxa"/>
            <w:vAlign w:val="bottom"/>
          </w:tcPr>
          <w:p>
            <w:pPr>
              <w:spacing w:after="0"/>
              <w:rPr>
                <w:sz w:val="20"/>
                <w:szCs w:val="20"/>
                <w:color w:val="auto"/>
              </w:rPr>
            </w:pPr>
          </w:p>
        </w:tc>
        <w:tc>
          <w:tcPr>
            <w:tcW w:w="600" w:type="dxa"/>
            <w:vAlign w:val="bottom"/>
          </w:tcPr>
          <w:p>
            <w:pPr>
              <w:jc w:val="right"/>
              <w:ind w:right="59"/>
              <w:spacing w:after="0"/>
              <w:rPr>
                <w:sz w:val="20"/>
                <w:szCs w:val="20"/>
                <w:color w:val="auto"/>
              </w:rPr>
            </w:pPr>
            <w:r>
              <w:rPr>
                <w:rFonts w:ascii="Arial" w:cs="Arial" w:eastAsia="Arial" w:hAnsi="Arial"/>
                <w:sz w:val="16"/>
                <w:szCs w:val="16"/>
                <w:color w:val="auto"/>
              </w:rPr>
              <w:t>528</w:t>
            </w:r>
          </w:p>
        </w:tc>
        <w:tc>
          <w:tcPr>
            <w:tcW w:w="500" w:type="dxa"/>
            <w:vAlign w:val="bottom"/>
          </w:tcPr>
          <w:p>
            <w:pPr>
              <w:spacing w:after="0"/>
              <w:rPr>
                <w:sz w:val="20"/>
                <w:szCs w:val="20"/>
                <w:color w:val="auto"/>
              </w:rPr>
            </w:pPr>
          </w:p>
        </w:tc>
        <w:tc>
          <w:tcPr>
            <w:tcW w:w="1880" w:type="dxa"/>
            <w:vAlign w:val="bottom"/>
          </w:tcPr>
          <w:p>
            <w:pPr>
              <w:jc w:val="right"/>
              <w:ind w:right="39"/>
              <w:spacing w:after="0"/>
              <w:rPr>
                <w:sz w:val="20"/>
                <w:szCs w:val="20"/>
                <w:color w:val="auto"/>
              </w:rPr>
            </w:pPr>
            <w:r>
              <w:rPr>
                <w:rFonts w:ascii="Arial" w:cs="Arial" w:eastAsia="Arial" w:hAnsi="Arial"/>
                <w:sz w:val="16"/>
                <w:szCs w:val="16"/>
                <w:color w:val="auto"/>
              </w:rPr>
              <w:t>1,663</w:t>
            </w:r>
          </w:p>
        </w:tc>
        <w:tc>
          <w:tcPr>
            <w:tcW w:w="54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958</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7"/>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June 30, 2010</w:t>
            </w:r>
          </w:p>
        </w:tc>
        <w:tc>
          <w:tcPr>
            <w:tcW w:w="17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806</w:t>
            </w:r>
          </w:p>
        </w:tc>
        <w:tc>
          <w:tcPr>
            <w:tcW w:w="500" w:type="dxa"/>
            <w:vAlign w:val="bottom"/>
            <w:shd w:val="clear" w:color="auto" w:fill="CCEEFF"/>
          </w:tcPr>
          <w:p>
            <w:pPr>
              <w:spacing w:after="0"/>
              <w:rPr>
                <w:sz w:val="20"/>
                <w:szCs w:val="20"/>
                <w:color w:val="auto"/>
              </w:rPr>
            </w:pPr>
          </w:p>
        </w:tc>
        <w:tc>
          <w:tcPr>
            <w:tcW w:w="1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1,691</w:t>
            </w:r>
          </w:p>
        </w:tc>
        <w:tc>
          <w:tcPr>
            <w:tcW w:w="540" w:type="dxa"/>
            <w:vAlign w:val="bottom"/>
            <w:shd w:val="clear" w:color="auto" w:fill="CCEEFF"/>
          </w:tcPr>
          <w:p>
            <w:pPr>
              <w:spacing w:after="0"/>
              <w:rPr>
                <w:sz w:val="20"/>
                <w:szCs w:val="20"/>
                <w:color w:val="auto"/>
              </w:rPr>
            </w:pPr>
          </w:p>
        </w:tc>
        <w:tc>
          <w:tcPr>
            <w:tcW w:w="1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1,017</w:t>
            </w:r>
          </w:p>
        </w:tc>
      </w:tr>
      <w:tr>
        <w:trPr>
          <w:trHeight w:val="33"/>
        </w:trPr>
        <w:tc>
          <w:tcPr>
            <w:tcW w:w="4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bookings by our operating segments is as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gridSpan w:val="2"/>
          </w:tcPr>
          <w:p>
            <w:pPr>
              <w:ind w:left="40"/>
              <w:spacing w:after="0"/>
              <w:rPr>
                <w:sz w:val="20"/>
                <w:szCs w:val="20"/>
                <w:color w:val="auto"/>
              </w:rPr>
            </w:pPr>
            <w:r>
              <w:rPr>
                <w:rFonts w:ascii="Arial" w:cs="Arial" w:eastAsia="Arial" w:hAnsi="Arial"/>
                <w:sz w:val="16"/>
                <w:szCs w:val="16"/>
                <w:b w:val="1"/>
                <w:bCs w:val="1"/>
                <w:color w:val="auto"/>
              </w:rPr>
              <w:t>Quarter Ended</w:t>
            </w:r>
          </w:p>
        </w:tc>
        <w:tc>
          <w:tcPr>
            <w:tcW w:w="360" w:type="dxa"/>
            <w:vAlign w:val="bottom"/>
          </w:tcPr>
          <w:p>
            <w:pPr>
              <w:spacing w:after="0"/>
              <w:rPr>
                <w:sz w:val="18"/>
                <w:szCs w:val="18"/>
                <w:color w:val="auto"/>
              </w:rPr>
            </w:pPr>
          </w:p>
        </w:tc>
        <w:tc>
          <w:tcPr>
            <w:tcW w:w="1960" w:type="dxa"/>
            <w:vAlign w:val="bottom"/>
          </w:tcPr>
          <w:p>
            <w:pPr>
              <w:jc w:val="right"/>
              <w:ind w:right="579"/>
              <w:spacing w:after="0"/>
              <w:rPr>
                <w:sz w:val="20"/>
                <w:szCs w:val="20"/>
                <w:color w:val="auto"/>
              </w:rPr>
            </w:pPr>
            <w:r>
              <w:rPr>
                <w:rFonts w:ascii="Arial" w:cs="Arial" w:eastAsia="Arial" w:hAnsi="Arial"/>
                <w:sz w:val="16"/>
                <w:szCs w:val="16"/>
                <w:b w:val="1"/>
                <w:bCs w:val="1"/>
                <w:color w:val="auto"/>
              </w:rPr>
              <w:t>Total Bookings</w:t>
            </w:r>
          </w:p>
        </w:tc>
        <w:tc>
          <w:tcPr>
            <w:tcW w:w="360" w:type="dxa"/>
            <w:vAlign w:val="bottom"/>
          </w:tcPr>
          <w:p>
            <w:pPr>
              <w:spacing w:after="0"/>
              <w:rPr>
                <w:sz w:val="18"/>
                <w:szCs w:val="18"/>
                <w:color w:val="auto"/>
              </w:rPr>
            </w:pPr>
          </w:p>
        </w:tc>
        <w:tc>
          <w:tcPr>
            <w:tcW w:w="2020" w:type="dxa"/>
            <w:vAlign w:val="bottom"/>
          </w:tcPr>
          <w:p>
            <w:pPr>
              <w:jc w:val="right"/>
              <w:ind w:right="359"/>
              <w:spacing w:after="0"/>
              <w:rPr>
                <w:sz w:val="20"/>
                <w:szCs w:val="20"/>
                <w:color w:val="auto"/>
              </w:rPr>
            </w:pPr>
            <w:r>
              <w:rPr>
                <w:rFonts w:ascii="Arial" w:cs="Arial" w:eastAsia="Arial" w:hAnsi="Arial"/>
                <w:sz w:val="16"/>
                <w:szCs w:val="16"/>
                <w:b w:val="1"/>
                <w:bCs w:val="1"/>
                <w:color w:val="auto"/>
              </w:rPr>
              <w:t>Itron North America</w:t>
            </w:r>
          </w:p>
        </w:tc>
        <w:tc>
          <w:tcPr>
            <w:tcW w:w="380" w:type="dxa"/>
            <w:vAlign w:val="bottom"/>
          </w:tcPr>
          <w:p>
            <w:pPr>
              <w:spacing w:after="0"/>
              <w:rPr>
                <w:sz w:val="18"/>
                <w:szCs w:val="18"/>
                <w:color w:val="auto"/>
              </w:rPr>
            </w:pPr>
          </w:p>
        </w:tc>
        <w:tc>
          <w:tcPr>
            <w:tcW w:w="1980" w:type="dxa"/>
            <w:vAlign w:val="bottom"/>
          </w:tcPr>
          <w:p>
            <w:pPr>
              <w:jc w:val="right"/>
              <w:ind w:right="399"/>
              <w:spacing w:after="0"/>
              <w:rPr>
                <w:sz w:val="20"/>
                <w:szCs w:val="20"/>
                <w:color w:val="auto"/>
              </w:rPr>
            </w:pPr>
            <w:r>
              <w:rPr>
                <w:rFonts w:ascii="Arial" w:cs="Arial" w:eastAsia="Arial" w:hAnsi="Arial"/>
                <w:sz w:val="16"/>
                <w:szCs w:val="16"/>
                <w:b w:val="1"/>
                <w:bCs w:val="1"/>
                <w:color w:val="auto"/>
              </w:rPr>
              <w:t>Itron International</w:t>
            </w:r>
          </w:p>
        </w:tc>
      </w:tr>
      <w:tr>
        <w:trPr>
          <w:trHeight w:val="33"/>
        </w:trPr>
        <w:tc>
          <w:tcPr>
            <w:tcW w:w="4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17"/>
        </w:trPr>
        <w:tc>
          <w:tcPr>
            <w:tcW w:w="4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tcPr>
          <w:p>
            <w:pPr>
              <w:jc w:val="right"/>
              <w:ind w:right="659"/>
              <w:spacing w:after="0"/>
              <w:rPr>
                <w:sz w:val="20"/>
                <w:szCs w:val="20"/>
                <w:color w:val="auto"/>
              </w:rPr>
            </w:pPr>
            <w:r>
              <w:rPr>
                <w:rFonts w:ascii="Arial" w:cs="Arial" w:eastAsia="Arial" w:hAnsi="Arial"/>
                <w:sz w:val="16"/>
                <w:szCs w:val="16"/>
                <w:b w:val="1"/>
                <w:bCs w:val="1"/>
                <w:color w:val="auto"/>
              </w:rPr>
              <w:t>(in millions)</w:t>
            </w:r>
          </w:p>
        </w:tc>
        <w:tc>
          <w:tcPr>
            <w:tcW w:w="38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June 30, 2011</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483</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335</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March 31, 2011</w:t>
            </w:r>
          </w:p>
        </w:tc>
        <w:tc>
          <w:tcPr>
            <w:tcW w:w="360" w:type="dxa"/>
            <w:vAlign w:val="bottom"/>
          </w:tcPr>
          <w:p>
            <w:pPr>
              <w:spacing w:after="0"/>
              <w:rPr>
                <w:sz w:val="20"/>
                <w:szCs w:val="20"/>
                <w:color w:val="auto"/>
              </w:rPr>
            </w:pPr>
          </w:p>
        </w:tc>
        <w:tc>
          <w:tcPr>
            <w:tcW w:w="1960" w:type="dxa"/>
            <w:vAlign w:val="bottom"/>
          </w:tcPr>
          <w:p>
            <w:pPr>
              <w:jc w:val="right"/>
              <w:ind w:right="59"/>
              <w:spacing w:after="0"/>
              <w:rPr>
                <w:sz w:val="20"/>
                <w:szCs w:val="20"/>
                <w:color w:val="auto"/>
              </w:rPr>
            </w:pPr>
            <w:r>
              <w:rPr>
                <w:rFonts w:ascii="Arial" w:cs="Arial" w:eastAsia="Arial" w:hAnsi="Arial"/>
                <w:sz w:val="16"/>
                <w:szCs w:val="16"/>
                <w:color w:val="auto"/>
              </w:rPr>
              <w:t>681</w:t>
            </w:r>
          </w:p>
        </w:tc>
        <w:tc>
          <w:tcPr>
            <w:tcW w:w="360" w:type="dxa"/>
            <w:vAlign w:val="bottom"/>
          </w:tcPr>
          <w:p>
            <w:pPr>
              <w:spacing w:after="0"/>
              <w:rPr>
                <w:sz w:val="20"/>
                <w:szCs w:val="20"/>
                <w:color w:val="auto"/>
              </w:rPr>
            </w:pPr>
          </w:p>
        </w:tc>
        <w:tc>
          <w:tcPr>
            <w:tcW w:w="2020" w:type="dxa"/>
            <w:vAlign w:val="bottom"/>
          </w:tcPr>
          <w:p>
            <w:pPr>
              <w:jc w:val="right"/>
              <w:ind w:right="39"/>
              <w:spacing w:after="0"/>
              <w:rPr>
                <w:sz w:val="20"/>
                <w:szCs w:val="20"/>
                <w:color w:val="auto"/>
              </w:rPr>
            </w:pPr>
            <w:r>
              <w:rPr>
                <w:rFonts w:ascii="Arial" w:cs="Arial" w:eastAsia="Arial" w:hAnsi="Arial"/>
                <w:sz w:val="16"/>
                <w:szCs w:val="16"/>
                <w:color w:val="auto"/>
              </w:rPr>
              <w:t>379</w:t>
            </w:r>
          </w:p>
        </w:tc>
        <w:tc>
          <w:tcPr>
            <w:tcW w:w="38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302</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December 31, 2010</w:t>
            </w:r>
          </w:p>
        </w:tc>
        <w:tc>
          <w:tcPr>
            <w:tcW w:w="36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581</w:t>
            </w:r>
          </w:p>
        </w:tc>
        <w:tc>
          <w:tcPr>
            <w:tcW w:w="3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301</w:t>
            </w:r>
          </w:p>
        </w:tc>
        <w:tc>
          <w:tcPr>
            <w:tcW w:w="3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280</w:t>
            </w: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September 30, 2010</w:t>
            </w:r>
          </w:p>
        </w:tc>
        <w:tc>
          <w:tcPr>
            <w:tcW w:w="360" w:type="dxa"/>
            <w:vAlign w:val="bottom"/>
          </w:tcPr>
          <w:p>
            <w:pPr>
              <w:spacing w:after="0"/>
              <w:rPr>
                <w:sz w:val="20"/>
                <w:szCs w:val="20"/>
                <w:color w:val="auto"/>
              </w:rPr>
            </w:pPr>
          </w:p>
        </w:tc>
        <w:tc>
          <w:tcPr>
            <w:tcW w:w="1960" w:type="dxa"/>
            <w:vAlign w:val="bottom"/>
          </w:tcPr>
          <w:p>
            <w:pPr>
              <w:jc w:val="right"/>
              <w:ind w:right="59"/>
              <w:spacing w:after="0"/>
              <w:rPr>
                <w:sz w:val="20"/>
                <w:szCs w:val="20"/>
                <w:color w:val="auto"/>
              </w:rPr>
            </w:pPr>
            <w:r>
              <w:rPr>
                <w:rFonts w:ascii="Arial" w:cs="Arial" w:eastAsia="Arial" w:hAnsi="Arial"/>
                <w:sz w:val="16"/>
                <w:szCs w:val="16"/>
                <w:color w:val="auto"/>
              </w:rPr>
              <w:t>528</w:t>
            </w:r>
          </w:p>
        </w:tc>
        <w:tc>
          <w:tcPr>
            <w:tcW w:w="360" w:type="dxa"/>
            <w:vAlign w:val="bottom"/>
          </w:tcPr>
          <w:p>
            <w:pPr>
              <w:spacing w:after="0"/>
              <w:rPr>
                <w:sz w:val="20"/>
                <w:szCs w:val="20"/>
                <w:color w:val="auto"/>
              </w:rPr>
            </w:pPr>
          </w:p>
        </w:tc>
        <w:tc>
          <w:tcPr>
            <w:tcW w:w="2020" w:type="dxa"/>
            <w:vAlign w:val="bottom"/>
          </w:tcPr>
          <w:p>
            <w:pPr>
              <w:jc w:val="right"/>
              <w:ind w:right="39"/>
              <w:spacing w:after="0"/>
              <w:rPr>
                <w:sz w:val="20"/>
                <w:szCs w:val="20"/>
                <w:color w:val="auto"/>
              </w:rPr>
            </w:pPr>
            <w:r>
              <w:rPr>
                <w:rFonts w:ascii="Arial" w:cs="Arial" w:eastAsia="Arial" w:hAnsi="Arial"/>
                <w:sz w:val="16"/>
                <w:szCs w:val="16"/>
                <w:color w:val="auto"/>
              </w:rPr>
              <w:t>272</w:t>
            </w:r>
          </w:p>
        </w:tc>
        <w:tc>
          <w:tcPr>
            <w:tcW w:w="380" w:type="dxa"/>
            <w:vAlign w:val="bottom"/>
          </w:tcPr>
          <w:p>
            <w:pPr>
              <w:spacing w:after="0"/>
              <w:rPr>
                <w:sz w:val="20"/>
                <w:szCs w:val="20"/>
                <w:color w:val="auto"/>
              </w:rPr>
            </w:pPr>
          </w:p>
        </w:tc>
        <w:tc>
          <w:tcPr>
            <w:tcW w:w="1980" w:type="dxa"/>
            <w:vAlign w:val="bottom"/>
          </w:tcPr>
          <w:p>
            <w:pPr>
              <w:jc w:val="right"/>
              <w:ind w:right="19"/>
              <w:spacing w:after="0"/>
              <w:rPr>
                <w:sz w:val="20"/>
                <w:szCs w:val="20"/>
                <w:color w:val="auto"/>
              </w:rPr>
            </w:pPr>
            <w:r>
              <w:rPr>
                <w:rFonts w:ascii="Arial" w:cs="Arial" w:eastAsia="Arial" w:hAnsi="Arial"/>
                <w:sz w:val="16"/>
                <w:szCs w:val="16"/>
                <w:color w:val="auto"/>
              </w:rPr>
              <w:t>256</w:t>
            </w:r>
          </w:p>
        </w:tc>
      </w:tr>
      <w:tr>
        <w:trPr>
          <w:trHeight w:val="33"/>
        </w:trPr>
        <w:tc>
          <w:tcPr>
            <w:tcW w:w="4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June 30, 2010</w:t>
            </w:r>
          </w:p>
        </w:tc>
        <w:tc>
          <w:tcPr>
            <w:tcW w:w="360" w:type="dxa"/>
            <w:vAlign w:val="bottom"/>
            <w:shd w:val="clear" w:color="auto" w:fill="CCEEFF"/>
          </w:tcPr>
          <w:p>
            <w:pPr>
              <w:spacing w:after="0"/>
              <w:rPr>
                <w:sz w:val="20"/>
                <w:szCs w:val="20"/>
                <w:color w:val="auto"/>
              </w:rPr>
            </w:pPr>
          </w:p>
        </w:tc>
        <w:tc>
          <w:tcPr>
            <w:tcW w:w="19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806</w:t>
            </w:r>
          </w:p>
        </w:tc>
        <w:tc>
          <w:tcPr>
            <w:tcW w:w="360" w:type="dxa"/>
            <w:vAlign w:val="bottom"/>
            <w:shd w:val="clear" w:color="auto" w:fill="CCEEFF"/>
          </w:tcPr>
          <w:p>
            <w:pPr>
              <w:spacing w:after="0"/>
              <w:rPr>
                <w:sz w:val="20"/>
                <w:szCs w:val="20"/>
                <w:color w:val="auto"/>
              </w:rPr>
            </w:pPr>
          </w:p>
        </w:tc>
        <w:tc>
          <w:tcPr>
            <w:tcW w:w="2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517</w:t>
            </w:r>
          </w:p>
        </w:tc>
        <w:tc>
          <w:tcPr>
            <w:tcW w:w="380" w:type="dxa"/>
            <w:vAlign w:val="bottom"/>
            <w:shd w:val="clear" w:color="auto" w:fill="CCEEFF"/>
          </w:tcPr>
          <w:p>
            <w:pPr>
              <w:spacing w:after="0"/>
              <w:rPr>
                <w:sz w:val="20"/>
                <w:szCs w:val="20"/>
                <w:color w:val="auto"/>
              </w:rPr>
            </w:pPr>
          </w:p>
        </w:tc>
        <w:tc>
          <w:tcPr>
            <w:tcW w:w="1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289</w:t>
            </w:r>
          </w:p>
        </w:tc>
      </w:tr>
      <w:tr>
        <w:trPr>
          <w:trHeight w:val="33"/>
        </w:trPr>
        <w:tc>
          <w:tcPr>
            <w:tcW w:w="4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we sign project agreements to deploy our meter and communication systems, we include these contracts in bookings and backlog when regulatory approvals are received and/or contractual conditions are satisfied. For the quarter ended March 31, 2011, bookings and backlog included an OpenWay contract for $268 million with BC Hydro. For the quarter ended June 30, 2010, bookings and backlog included an OpenWay contract for $339 million with Detroit Edison.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our total operating expenses in dollars and as a percentage of revenues: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Six Months Ended June 30,</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right"/>
              <w:ind w:right="310"/>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3"/>
                <w:szCs w:val="13"/>
                <w:color w:val="auto"/>
              </w:rPr>
            </w:pPr>
          </w:p>
        </w:tc>
        <w:tc>
          <w:tcPr>
            <w:tcW w:w="11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3"/>
                <w:szCs w:val="13"/>
                <w:color w:val="auto"/>
              </w:rPr>
            </w:pPr>
          </w:p>
        </w:tc>
        <w:tc>
          <w:tcPr>
            <w:tcW w:w="880" w:type="dxa"/>
            <w:vAlign w:val="bottom"/>
            <w:vMerge w:val="restart"/>
          </w:tcPr>
          <w:p>
            <w:pPr>
              <w:jc w:val="right"/>
              <w:ind w:right="310"/>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3"/>
                <w:szCs w:val="13"/>
                <w:color w:val="auto"/>
              </w:rPr>
            </w:pPr>
          </w:p>
        </w:tc>
        <w:tc>
          <w:tcPr>
            <w:tcW w:w="11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3"/>
                <w:szCs w:val="13"/>
                <w:color w:val="auto"/>
              </w:rPr>
            </w:pPr>
          </w:p>
        </w:tc>
        <w:tc>
          <w:tcPr>
            <w:tcW w:w="880" w:type="dxa"/>
            <w:vAlign w:val="bottom"/>
            <w:vMerge w:val="restart"/>
          </w:tcPr>
          <w:p>
            <w:pPr>
              <w:jc w:val="right"/>
              <w:ind w:right="31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3"/>
                <w:szCs w:val="13"/>
                <w:color w:val="auto"/>
              </w:rPr>
            </w:pPr>
          </w:p>
        </w:tc>
        <w:tc>
          <w:tcPr>
            <w:tcW w:w="11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3"/>
                <w:szCs w:val="13"/>
                <w:color w:val="auto"/>
              </w:rPr>
            </w:pPr>
          </w:p>
        </w:tc>
        <w:tc>
          <w:tcPr>
            <w:tcW w:w="860" w:type="dxa"/>
            <w:vAlign w:val="bottom"/>
            <w:vMerge w:val="restart"/>
          </w:tcPr>
          <w:p>
            <w:pPr>
              <w:jc w:val="right"/>
              <w:ind w:right="290"/>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3"/>
                <w:szCs w:val="13"/>
                <w:color w:val="auto"/>
              </w:rPr>
            </w:pP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34"/>
        </w:trPr>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(in thousands)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(in thousands)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(in thousands)</w:t>
            </w: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(in thousands)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Sales and marketing</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48,845</w:t>
            </w:r>
          </w:p>
        </w:tc>
        <w:tc>
          <w:tcPr>
            <w:tcW w:w="12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12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40,974</w:t>
            </w:r>
          </w:p>
        </w:tc>
        <w:tc>
          <w:tcPr>
            <w:tcW w:w="10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8"/>
              </w:rPr>
              <w:t>7%</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93,493</w:t>
            </w:r>
          </w:p>
        </w:tc>
        <w:tc>
          <w:tcPr>
            <w:tcW w:w="10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82,511</w:t>
            </w:r>
          </w:p>
        </w:tc>
        <w:tc>
          <w:tcPr>
            <w:tcW w:w="12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40"/>
              <w:spacing w:after="0"/>
              <w:rPr>
                <w:sz w:val="20"/>
                <w:szCs w:val="20"/>
                <w:color w:val="auto"/>
              </w:rPr>
            </w:pPr>
            <w:r>
              <w:rPr>
                <w:rFonts w:ascii="Arial" w:cs="Arial" w:eastAsia="Arial" w:hAnsi="Arial"/>
                <w:sz w:val="14"/>
                <w:szCs w:val="14"/>
                <w:color w:val="auto"/>
              </w:rPr>
              <w:t>Product development</w:t>
            </w:r>
          </w:p>
        </w:tc>
        <w:tc>
          <w:tcPr>
            <w:tcW w:w="140" w:type="dxa"/>
            <w:vAlign w:val="bottom"/>
          </w:tcPr>
          <w:p>
            <w:pPr>
              <w:spacing w:after="0"/>
              <w:rPr>
                <w:sz w:val="16"/>
                <w:szCs w:val="16"/>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4"/>
                <w:szCs w:val="14"/>
                <w:color w:val="auto"/>
              </w:rPr>
              <w:t>40,931</w:t>
            </w:r>
          </w:p>
        </w:tc>
        <w:tc>
          <w:tcPr>
            <w:tcW w:w="120" w:type="dxa"/>
            <w:vAlign w:val="bottom"/>
          </w:tcPr>
          <w:p>
            <w:pPr>
              <w:spacing w:after="0"/>
              <w:rPr>
                <w:sz w:val="16"/>
                <w:szCs w:val="16"/>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88"/>
              </w:rPr>
              <w:t>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50"/>
              <w:spacing w:after="0"/>
              <w:rPr>
                <w:sz w:val="20"/>
                <w:szCs w:val="20"/>
                <w:color w:val="auto"/>
              </w:rPr>
            </w:pPr>
            <w:r>
              <w:rPr>
                <w:rFonts w:ascii="Arial" w:cs="Arial" w:eastAsia="Arial" w:hAnsi="Arial"/>
                <w:sz w:val="14"/>
                <w:szCs w:val="14"/>
                <w:color w:val="auto"/>
              </w:rPr>
              <w:t>33,022</w:t>
            </w:r>
          </w:p>
        </w:tc>
        <w:tc>
          <w:tcPr>
            <w:tcW w:w="100" w:type="dxa"/>
            <w:vAlign w:val="bottom"/>
          </w:tcPr>
          <w:p>
            <w:pPr>
              <w:spacing w:after="0"/>
              <w:rPr>
                <w:sz w:val="16"/>
                <w:szCs w:val="16"/>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8"/>
              </w:rPr>
              <w:t>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50"/>
              <w:spacing w:after="0"/>
              <w:rPr>
                <w:sz w:val="20"/>
                <w:szCs w:val="20"/>
                <w:color w:val="auto"/>
              </w:rPr>
            </w:pPr>
            <w:r>
              <w:rPr>
                <w:rFonts w:ascii="Arial" w:cs="Arial" w:eastAsia="Arial" w:hAnsi="Arial"/>
                <w:sz w:val="14"/>
                <w:szCs w:val="14"/>
                <w:color w:val="auto"/>
              </w:rPr>
              <w:t>81,376</w:t>
            </w:r>
          </w:p>
        </w:tc>
        <w:tc>
          <w:tcPr>
            <w:tcW w:w="100" w:type="dxa"/>
            <w:vAlign w:val="bottom"/>
          </w:tcPr>
          <w:p>
            <w:pPr>
              <w:spacing w:after="0"/>
              <w:rPr>
                <w:sz w:val="16"/>
                <w:szCs w:val="16"/>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88"/>
              </w:rPr>
              <w:t>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66,062</w:t>
            </w:r>
          </w:p>
        </w:tc>
        <w:tc>
          <w:tcPr>
            <w:tcW w:w="120" w:type="dxa"/>
            <w:vAlign w:val="bottom"/>
          </w:tcPr>
          <w:p>
            <w:pPr>
              <w:spacing w:after="0"/>
              <w:rPr>
                <w:sz w:val="16"/>
                <w:szCs w:val="16"/>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General and administrative</w:t>
            </w:r>
          </w:p>
        </w:tc>
        <w:tc>
          <w:tcPr>
            <w:tcW w:w="1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35,118</w:t>
            </w:r>
          </w:p>
        </w:tc>
        <w:tc>
          <w:tcPr>
            <w:tcW w:w="1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33,285</w:t>
            </w:r>
          </w:p>
        </w:tc>
        <w:tc>
          <w:tcPr>
            <w:tcW w:w="1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8"/>
              </w:rPr>
              <w:t>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68,449</w:t>
            </w:r>
          </w:p>
        </w:tc>
        <w:tc>
          <w:tcPr>
            <w:tcW w:w="10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66,342</w:t>
            </w:r>
          </w:p>
        </w:tc>
        <w:tc>
          <w:tcPr>
            <w:tcW w:w="12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40"/>
              <w:spacing w:after="0"/>
              <w:rPr>
                <w:sz w:val="20"/>
                <w:szCs w:val="20"/>
                <w:color w:val="auto"/>
              </w:rPr>
            </w:pPr>
            <w:r>
              <w:rPr>
                <w:rFonts w:ascii="Arial" w:cs="Arial" w:eastAsia="Arial" w:hAnsi="Arial"/>
                <w:sz w:val="14"/>
                <w:szCs w:val="14"/>
                <w:color w:val="auto"/>
              </w:rPr>
              <w:t>Amortization of intangible assets</w:t>
            </w:r>
          </w:p>
        </w:tc>
        <w:tc>
          <w:tcPr>
            <w:tcW w:w="140" w:type="dxa"/>
            <w:vAlign w:val="bottom"/>
          </w:tcPr>
          <w:p>
            <w:pPr>
              <w:spacing w:after="0"/>
              <w:rPr>
                <w:sz w:val="16"/>
                <w:szCs w:val="16"/>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4"/>
                <w:szCs w:val="14"/>
                <w:color w:val="auto"/>
              </w:rPr>
              <w:t>16,197</w:t>
            </w:r>
          </w:p>
        </w:tc>
        <w:tc>
          <w:tcPr>
            <w:tcW w:w="120" w:type="dxa"/>
            <w:vAlign w:val="bottom"/>
          </w:tcPr>
          <w:p>
            <w:pPr>
              <w:spacing w:after="0"/>
              <w:rPr>
                <w:sz w:val="16"/>
                <w:szCs w:val="16"/>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88"/>
              </w:rPr>
              <w:t>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50"/>
              <w:spacing w:after="0"/>
              <w:rPr>
                <w:sz w:val="20"/>
                <w:szCs w:val="20"/>
                <w:color w:val="auto"/>
              </w:rPr>
            </w:pPr>
            <w:r>
              <w:rPr>
                <w:rFonts w:ascii="Arial" w:cs="Arial" w:eastAsia="Arial" w:hAnsi="Arial"/>
                <w:sz w:val="14"/>
                <w:szCs w:val="14"/>
                <w:color w:val="auto"/>
              </w:rPr>
              <w:t>16,766</w:t>
            </w:r>
          </w:p>
        </w:tc>
        <w:tc>
          <w:tcPr>
            <w:tcW w:w="100" w:type="dxa"/>
            <w:vAlign w:val="bottom"/>
          </w:tcPr>
          <w:p>
            <w:pPr>
              <w:spacing w:after="0"/>
              <w:rPr>
                <w:sz w:val="16"/>
                <w:szCs w:val="16"/>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98"/>
              </w:rPr>
              <w:t>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restart"/>
          </w:tcPr>
          <w:p>
            <w:pPr>
              <w:jc w:val="right"/>
              <w:ind w:right="50"/>
              <w:spacing w:after="0"/>
              <w:rPr>
                <w:sz w:val="20"/>
                <w:szCs w:val="20"/>
                <w:color w:val="auto"/>
              </w:rPr>
            </w:pPr>
            <w:r>
              <w:rPr>
                <w:rFonts w:ascii="Arial" w:cs="Arial" w:eastAsia="Arial" w:hAnsi="Arial"/>
                <w:sz w:val="14"/>
                <w:szCs w:val="14"/>
                <w:color w:val="auto"/>
              </w:rPr>
              <w:t>31,794</w:t>
            </w:r>
          </w:p>
        </w:tc>
        <w:tc>
          <w:tcPr>
            <w:tcW w:w="100" w:type="dxa"/>
            <w:vAlign w:val="bottom"/>
          </w:tcPr>
          <w:p>
            <w:pPr>
              <w:spacing w:after="0"/>
              <w:rPr>
                <w:sz w:val="16"/>
                <w:szCs w:val="16"/>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88"/>
              </w:rPr>
              <w:t>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34,577</w:t>
            </w:r>
          </w:p>
        </w:tc>
        <w:tc>
          <w:tcPr>
            <w:tcW w:w="120" w:type="dxa"/>
            <w:vAlign w:val="bottom"/>
          </w:tcPr>
          <w:p>
            <w:pPr>
              <w:spacing w:after="0"/>
              <w:rPr>
                <w:sz w:val="16"/>
                <w:szCs w:val="16"/>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color w:val="auto"/>
                <w:w w:val="88"/>
              </w:rPr>
              <w:t>3%</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Restructuring</w:t>
            </w:r>
          </w:p>
        </w:tc>
        <w:tc>
          <w:tcPr>
            <w:tcW w:w="1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1,907</w:t>
            </w:r>
          </w:p>
        </w:tc>
        <w:tc>
          <w:tcPr>
            <w:tcW w:w="12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color w:val="auto"/>
                <w:w w:val="98"/>
              </w:rPr>
              <w:t>—%</w:t>
            </w:r>
          </w:p>
        </w:tc>
        <w:tc>
          <w:tcPr>
            <w:tcW w:w="16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8"/>
              </w:rPr>
              <w:t>—%</w:t>
            </w:r>
          </w:p>
        </w:tc>
        <w:tc>
          <w:tcPr>
            <w:tcW w:w="14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1,907</w:t>
            </w:r>
          </w:p>
        </w:tc>
        <w:tc>
          <w:tcPr>
            <w:tcW w:w="10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color w:val="auto"/>
                <w:w w:val="98"/>
              </w:rPr>
              <w:t>—%</w:t>
            </w:r>
          </w:p>
        </w:tc>
        <w:tc>
          <w:tcPr>
            <w:tcW w:w="1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gridSpan w:val="2"/>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420" w:type="dxa"/>
            <w:vAlign w:val="bottom"/>
          </w:tcPr>
          <w:p>
            <w:pPr>
              <w:ind w:left="380"/>
              <w:spacing w:after="0"/>
              <w:rPr>
                <w:sz w:val="20"/>
                <w:szCs w:val="20"/>
                <w:color w:val="auto"/>
              </w:rPr>
            </w:pPr>
            <w:r>
              <w:rPr>
                <w:rFonts w:ascii="Arial" w:cs="Arial" w:eastAsia="Arial" w:hAnsi="Arial"/>
                <w:sz w:val="14"/>
                <w:szCs w:val="14"/>
                <w:color w:val="auto"/>
              </w:rPr>
              <w:t>Total operating expenses</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4"/>
                <w:szCs w:val="14"/>
                <w:color w:val="auto"/>
              </w:rPr>
              <w:t>142,998</w:t>
            </w:r>
          </w:p>
        </w:tc>
        <w:tc>
          <w:tcPr>
            <w:tcW w:w="120" w:type="dxa"/>
            <w:vAlign w:val="bottom"/>
          </w:tcPr>
          <w:p>
            <w:pPr>
              <w:spacing w:after="0"/>
              <w:rPr>
                <w:sz w:val="14"/>
                <w:szCs w:val="14"/>
                <w:color w:val="auto"/>
              </w:rPr>
            </w:pPr>
          </w:p>
        </w:tc>
        <w:tc>
          <w:tcPr>
            <w:tcW w:w="10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23%</w:t>
            </w:r>
          </w:p>
        </w:tc>
        <w:tc>
          <w:tcPr>
            <w:tcW w:w="12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4"/>
                <w:szCs w:val="14"/>
                <w:color w:val="auto"/>
              </w:rPr>
              <w:t>124,047</w:t>
            </w:r>
          </w:p>
        </w:tc>
        <w:tc>
          <w:tcPr>
            <w:tcW w:w="100" w:type="dxa"/>
            <w:vAlign w:val="bottom"/>
          </w:tcPr>
          <w:p>
            <w:pPr>
              <w:spacing w:after="0"/>
              <w:rPr>
                <w:sz w:val="14"/>
                <w:szCs w:val="14"/>
                <w:color w:val="auto"/>
              </w:rPr>
            </w:pPr>
          </w:p>
        </w:tc>
        <w:tc>
          <w:tcPr>
            <w:tcW w:w="10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22%</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4"/>
                <w:szCs w:val="14"/>
                <w:color w:val="auto"/>
              </w:rPr>
              <w:t>277,019</w:t>
            </w:r>
          </w:p>
        </w:tc>
        <w:tc>
          <w:tcPr>
            <w:tcW w:w="100" w:type="dxa"/>
            <w:vAlign w:val="bottom"/>
          </w:tcPr>
          <w:p>
            <w:pPr>
              <w:spacing w:after="0"/>
              <w:rPr>
                <w:sz w:val="14"/>
                <w:szCs w:val="14"/>
                <w:color w:val="auto"/>
              </w:rPr>
            </w:pPr>
          </w:p>
        </w:tc>
        <w:tc>
          <w:tcPr>
            <w:tcW w:w="10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24%</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4"/>
                <w:szCs w:val="14"/>
                <w:color w:val="auto"/>
              </w:rPr>
              <w:t>249,492</w:t>
            </w:r>
          </w:p>
        </w:tc>
        <w:tc>
          <w:tcPr>
            <w:tcW w:w="120" w:type="dxa"/>
            <w:vAlign w:val="bottom"/>
          </w:tcPr>
          <w:p>
            <w:pPr>
              <w:spacing w:after="0"/>
              <w:rPr>
                <w:sz w:val="14"/>
                <w:szCs w:val="14"/>
                <w:color w:val="auto"/>
              </w:rPr>
            </w:pPr>
          </w:p>
        </w:tc>
        <w:tc>
          <w:tcPr>
            <w:tcW w:w="10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23%</w:t>
            </w:r>
          </w:p>
        </w:tc>
        <w:tc>
          <w:tcPr>
            <w:tcW w:w="0" w:type="dxa"/>
            <w:vAlign w:val="bottom"/>
          </w:tcPr>
          <w:p>
            <w:pPr>
              <w:spacing w:after="0"/>
              <w:rPr>
                <w:sz w:val="1"/>
                <w:szCs w:val="1"/>
                <w:color w:val="auto"/>
              </w:rPr>
            </w:pPr>
          </w:p>
        </w:tc>
      </w:tr>
      <w:tr>
        <w:trPr>
          <w:trHeight w:val="65"/>
        </w:trPr>
        <w:tc>
          <w:tcPr>
            <w:tcW w:w="24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increased $19.0 million, or 15%, for the three months ended June 30, 2011 and $27.5 million, or 11%, for the</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5" w:right="2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six months ended June 30, 2011, compared with the same periods last year. The impact on operating expenses from translation of foreign currencies was $8.4 million and $8.7 million for the three and six months ended June 30, 2011. The net increase in operating expenses was primarily due to product development costs for new and enhanced products, higher marketing expense associated with the pursuit of smart grid opportunities, and increased sales commission expense associated with higher revenues. Restructuring charges of $1.9 million were accrued in the second quarter of 2011 primarily associated with severance forpositions that were eliminated.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312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rPr>
              <w:t>Three Months Ended June 30,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140" w:type="dxa"/>
            <w:vAlign w:val="bottom"/>
            <w:gridSpan w:val="4"/>
          </w:tcPr>
          <w:p>
            <w:pPr>
              <w:jc w:val="right"/>
              <w:ind w:right="81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37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2010</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20" w:type="dxa"/>
            <w:vAlign w:val="bottom"/>
          </w:tcPr>
          <w:p>
            <w:pPr>
              <w:jc w:val="right"/>
              <w:ind w:right="65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59"/>
              <w:spacing w:after="0"/>
              <w:rPr>
                <w:sz w:val="20"/>
                <w:szCs w:val="20"/>
                <w:color w:val="auto"/>
              </w:rPr>
            </w:pPr>
            <w:r>
              <w:rPr>
                <w:rFonts w:ascii="Arial" w:cs="Arial" w:eastAsia="Arial" w:hAnsi="Arial"/>
                <w:sz w:val="16"/>
                <w:szCs w:val="16"/>
                <w:b w:val="1"/>
                <w:bCs w:val="1"/>
                <w:color w:val="auto"/>
              </w:rPr>
              <w:t>2010</w:t>
            </w:r>
          </w:p>
        </w:tc>
      </w:tr>
      <w:tr>
        <w:trPr>
          <w:trHeight w:val="33"/>
        </w:trPr>
        <w:tc>
          <w:tcPr>
            <w:tcW w:w="37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(in thousands)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16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278</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(10,460)</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(12,455)</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(21,269)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(26,126)</w:t>
            </w:r>
          </w:p>
        </w:tc>
      </w:tr>
      <w:tr>
        <w:trPr>
          <w:trHeight w:val="33"/>
        </w:trPr>
        <w:tc>
          <w:tcPr>
            <w:tcW w:w="3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prepaid debt fees</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(1,510)</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(2,762)</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1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(2,477)</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(425)</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(4,073)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(1,017)</w:t>
            </w:r>
          </w:p>
        </w:tc>
      </w:tr>
      <w:tr>
        <w:trPr>
          <w:trHeight w:val="33"/>
        </w:trPr>
        <w:tc>
          <w:tcPr>
            <w:tcW w:w="37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5"/>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other income (expense)</w:t>
            </w:r>
          </w:p>
        </w:tc>
        <w:tc>
          <w:tcPr>
            <w:tcW w:w="116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(13,729)</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(14,279)</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(27,131)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(29,627)</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is generated from our cash and cash equivalents. Interest rates have continued to remain low.</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continues to decline each period as a result of our declining principal balance of debt outstanding. Total debt was $575.6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$610.9 million at June 30, 2011 and December 31, 2010, respectively. Refer to Item 1: “Financial Statements Note 6: Debt” for additional details related to our long-term borrowings.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Amortization of prepaid debt fees</w:t>
      </w:r>
      <w:r>
        <w:rPr>
          <w:rFonts w:ascii="Arial" w:cs="Arial" w:eastAsia="Arial" w:hAnsi="Arial"/>
          <w:sz w:val="18"/>
          <w:szCs w:val="18"/>
          <w:color w:val="auto"/>
        </w:rPr>
        <w:t>: Amortization of prepaid debt fees for the three and six months ended June 30, 2011 was lower than the same periods last</w:t>
      </w:r>
      <w:r>
        <w:rPr>
          <w:rFonts w:ascii="Arial" w:cs="Arial" w:eastAsia="Arial" w:hAnsi="Arial"/>
          <w:sz w:val="18"/>
          <w:szCs w:val="18"/>
          <w:i w:val="1"/>
          <w:iCs w:val="1"/>
          <w:color w:val="auto"/>
        </w:rPr>
        <w:t xml:space="preserve"> </w:t>
      </w:r>
      <w:r>
        <w:rPr>
          <w:rFonts w:ascii="Arial" w:cs="Arial" w:eastAsia="Arial" w:hAnsi="Arial"/>
          <w:sz w:val="18"/>
          <w:szCs w:val="18"/>
          <w:color w:val="auto"/>
        </w:rPr>
        <w:t>year due to lower repayments on our borrowings of $55.6 million and $73.9 million for the respective periods. When debt is repaid early, the related portion of unamortized prepaid debt fees is written off and included in interest expense.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Other income (expense</w:t>
      </w:r>
      <w:r>
        <w:rPr>
          <w:rFonts w:ascii="Arial" w:cs="Arial" w:eastAsia="Arial" w:hAnsi="Arial"/>
          <w:sz w:val="18"/>
          <w:szCs w:val="18"/>
          <w:color w:val="auto"/>
        </w:rPr>
        <w:t>)</w:t>
      </w:r>
      <w:r>
        <w:rPr>
          <w:rFonts w:ascii="Arial" w:cs="Arial" w:eastAsia="Arial" w:hAnsi="Arial"/>
          <w:sz w:val="18"/>
          <w:szCs w:val="18"/>
          <w:i w:val="1"/>
          <w:iCs w:val="1"/>
          <w:color w:val="auto"/>
        </w:rPr>
        <w:t>, net</w:t>
      </w:r>
      <w:r>
        <w:rPr>
          <w:rFonts w:ascii="Arial" w:cs="Arial" w:eastAsia="Arial" w:hAnsi="Arial"/>
          <w:sz w:val="18"/>
          <w:szCs w:val="18"/>
          <w:color w:val="auto"/>
        </w:rPr>
        <w:t>: Other expenses, net, consist primarily of unrealized and realized foreign currency gains and losses due to balances denominated</w:t>
      </w:r>
      <w:r>
        <w:rPr>
          <w:rFonts w:ascii="Arial" w:cs="Arial" w:eastAsia="Arial" w:hAnsi="Arial"/>
          <w:sz w:val="18"/>
          <w:szCs w:val="18"/>
          <w:i w:val="1"/>
          <w:iCs w:val="1"/>
          <w:color w:val="auto"/>
        </w:rPr>
        <w:t xml:space="preserve"> </w:t>
      </w:r>
      <w:r>
        <w:rPr>
          <w:rFonts w:ascii="Arial" w:cs="Arial" w:eastAsia="Arial" w:hAnsi="Arial"/>
          <w:sz w:val="18"/>
          <w:szCs w:val="18"/>
          <w:color w:val="auto"/>
        </w:rPr>
        <w:t>in a currency other than the reporting entity's functional currency and other non-operating income (expenses). Foreign currency losses, net of hedging, were $770,000 and $1.9 million for the three and six months ended June 30, 2011, compared with net foreign currency gains of $450,000 and $670,000 in the same periods last year.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Information:</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Arial" w:cs="Arial" w:eastAsia="Arial" w:hAnsi="Arial"/>
                <w:sz w:val="16"/>
                <w:szCs w:val="16"/>
                <w:b w:val="1"/>
                <w:bCs w:val="1"/>
                <w:color w:val="auto"/>
                <w:w w:val="92"/>
              </w:rPr>
              <w:t>Six Months Ended June 30,</w:t>
            </w:r>
          </w:p>
        </w:tc>
        <w:tc>
          <w:tcPr>
            <w:tcW w:w="134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40" w:type="dxa"/>
            <w:vAlign w:val="bottom"/>
          </w:tcPr>
          <w:p>
            <w:pPr>
              <w:jc w:val="right"/>
              <w:ind w:right="899"/>
              <w:spacing w:after="0"/>
              <w:rPr>
                <w:sz w:val="20"/>
                <w:szCs w:val="20"/>
                <w:color w:val="auto"/>
              </w:rPr>
            </w:pPr>
            <w:r>
              <w:rPr>
                <w:rFonts w:ascii="Arial" w:cs="Arial" w:eastAsia="Arial" w:hAnsi="Arial"/>
                <w:sz w:val="16"/>
                <w:szCs w:val="16"/>
                <w:b w:val="1"/>
                <w:bCs w:val="1"/>
                <w:color w:val="auto"/>
                <w:w w:val="95"/>
              </w:rPr>
              <w:t>2010</w:t>
            </w:r>
          </w:p>
        </w:tc>
      </w:tr>
      <w:tr>
        <w:trPr>
          <w:trHeight w:val="33"/>
        </w:trPr>
        <w:tc>
          <w:tcPr>
            <w:tcW w:w="67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8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auto"/>
              </w:rPr>
              <w:t>(in thousands)</w:t>
            </w:r>
          </w:p>
        </w:tc>
        <w:tc>
          <w:tcPr>
            <w:tcW w:w="134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360" w:type="dxa"/>
            <w:vAlign w:val="bottom"/>
            <w:tcBorders>
              <w:bottom w:val="single" w:sz="8" w:color="CCEEFF"/>
            </w:tcBorders>
            <w:shd w:val="clear" w:color="auto" w:fill="CCEEFF"/>
          </w:tcPr>
          <w:p>
            <w:pPr>
              <w:jc w:val="right"/>
              <w:ind w:right="1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87,692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117,086</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1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(42,834)</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(23,221)</w:t>
            </w:r>
          </w:p>
        </w:tc>
      </w:tr>
      <w:tr>
        <w:trPr>
          <w:trHeight w:val="33"/>
        </w:trPr>
        <w:tc>
          <w:tcPr>
            <w:tcW w:w="6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1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(53,396)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(69,306)</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136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7,345</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(9,081)</w:t>
            </w:r>
          </w:p>
        </w:tc>
      </w:tr>
      <w:tr>
        <w:trPr>
          <w:trHeight w:val="33"/>
        </w:trPr>
        <w:tc>
          <w:tcPr>
            <w:tcW w:w="67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cash and cash equivalents</w:t>
            </w:r>
          </w:p>
        </w:tc>
        <w:tc>
          <w:tcPr>
            <w:tcW w:w="1360" w:type="dxa"/>
            <w:vAlign w:val="bottom"/>
            <w:tcBorders>
              <w:bottom w:val="single" w:sz="8" w:color="CCEEFF"/>
            </w:tcBorders>
            <w:shd w:val="clear" w:color="auto" w:fill="CCEEFF"/>
          </w:tcPr>
          <w:p>
            <w:pPr>
              <w:jc w:val="right"/>
              <w:ind w:right="11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15,478</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was $168.3 million at June 30, 2011, compared with $169.5 million at December 31, 2010. The balance remained relatively constant as a result of increased working capital and offset by lower debt repayments and a minor business acquisition in 2011.</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provided by operating activities during the first half of 2011 was $29.4 million lower, compared with the same period in 2010, primarily due to the payment of accrued bonus and profit sharing expenses during the six months ended June 30, 2011 and an increase in raw materials and finished goods inventory.</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used in investing activities during the first half of 2011 was $19.6 million higher, compared with the same period in 2010. The acquisition of property, plant, and equipment was stable for the comparative period while other investing activities, such as a minor business acquisition, provided the increase in investing activities.</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3" w:lineRule="exact"/>
        <w:rPr>
          <w:sz w:val="20"/>
          <w:szCs w:val="20"/>
          <w:color w:val="auto"/>
        </w:rPr>
      </w:pPr>
    </w:p>
    <w:p>
      <w:pPr>
        <w:jc w:val="both"/>
        <w:ind w:right="20"/>
        <w:spacing w:after="0" w:line="290" w:lineRule="auto"/>
        <w:rPr>
          <w:sz w:val="20"/>
          <w:szCs w:val="20"/>
          <w:color w:val="auto"/>
        </w:rPr>
      </w:pPr>
      <w:r>
        <w:rPr>
          <w:rFonts w:ascii="Arial" w:cs="Arial" w:eastAsia="Arial" w:hAnsi="Arial"/>
          <w:sz w:val="17"/>
          <w:szCs w:val="17"/>
          <w:color w:val="auto"/>
        </w:rPr>
        <w:t>During the first half of 2011, we repaid $55.6 million in borrowings, compared with $73.9 million during the same period in 2010. Cash generated from the exercise of stock-based awards was $2.6 million for the first half of 2011, compared with $6.8 million during the same period in 2010.</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Effect of exchange rates on cash and cash equivalents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effect of exchange rates on the cash balances of currencies held in foreign denominations for the first half of 2011 was an increase of $7.3 million, compared with a decrease of $9.1 million for the same period in 2010.</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Off-balance sheet arrangements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have no off-balance sheet financing agreements or guarantees as defined by Item 303 of Regulation S-K at June 30, 2011 and December 31, 2010 that we believe are reasonably likely to have a current or future effect on our financial condition, results of operations, or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Sources and Uses of Capital:</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principal sources of liquidity are cash flows from operations, borrowings, and sales of common stock. Cash flows may fluctuate and are sensitive to many factors including changes in working capital and the timing and magnitude of capital expenditures and payments on debt. Working capital, which represents current assets less current liabilities, was $211.7 million at June 30, 2011, compared with $178.5 million at December 31, 2010.</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20, 2011, we increased our multicurrency revolving line of credit to $315 million. This expansion provides us with increased flexibility and liquidity for general corporate purposes. At June 30, 2011, there were no borrowings outstanding under the revolver, and $40.0 million was utilized by outstanding standby letters of credit.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 2011, in accordance with the terms of the convertible senior subordinated notes, at the option of the holders we repurchased $184.8 million of the convertible notes at their principal amount plus accrued and unpaid interest. The convertible notes were repurchased using a combination of cash on hand and borrowings under our multicurrency revolving line of credit. As a result of our repurchase of $184.8 million of the convertible notes as detailed above, we expect our tax payments to increase by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$5 million to $7.5 million in 2011.</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net deferred tax assets consist primarily of tax credits and net operating loss carryforwards. The utilization of some of the net operating loss carryforwards are limited by Internal Revenue Code Section 382. Based on current projections, excluding the impact of the purchase of $184.8 million of the convertible notes, we expect to pay approximately $1.9 million in U.S. federal and state taxes and $16.5 million in local and foreign taxes in 2011. See Item 1: “Financial Statements Note 10: Income Taxes” for a discussion of our tax provision (benefit) and unrecognized tax benefits.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For a description of the term loans under our credit facility and convertible senior subordinated notes, refer to Item 1: “Financial Statements Note 6: Debt”.</w:t>
      </w:r>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a description of our letters of credit and performance bonds, and the amounts available for additional borrowings or letters of credit under our lines of credit, including the multicurrency revolving line of credit that is part of our credit facility, refer to Item 1: “Financial Statements Note 11: Commitments and Contingencies”.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For a description of our funded and unfunded non-U.S. defined benefit pension plans and our expected 2011 contributions, refer to Item 1: “Financial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Statements Note 8: Defined Benefit Pension Plans”.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a description of our bonus and profit sharing plans, including the amounts accrued at June 30, 2011 and the expected timing of payment, refer to </w:t>
      </w:r>
      <w:r>
        <w:rPr>
          <w:rFonts w:ascii="Arial" w:cs="Arial" w:eastAsia="Arial" w:hAnsi="Arial"/>
          <w:sz w:val="18"/>
          <w:szCs w:val="18"/>
          <w:i w:val="1"/>
          <w:iCs w:val="1"/>
          <w:color w:val="auto"/>
        </w:rPr>
        <w:t>Bonus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Profit Sharing </w:t>
      </w:r>
      <w:r>
        <w:rPr>
          <w:rFonts w:ascii="Arial" w:cs="Arial" w:eastAsia="Arial" w:hAnsi="Arial"/>
          <w:sz w:val="18"/>
          <w:szCs w:val="18"/>
          <w:color w:val="auto"/>
        </w:rPr>
        <w:t>within Critical Accounting Estimates below.</w:t>
      </w:r>
    </w:p>
    <w:p>
      <w:pPr>
        <w:spacing w:after="0" w:line="170"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We expect to grow through a combination of internal new product development, licensing technology from and to others, distribution agreements, partnership arrangements, and acquisitions of technology or other companies. We expect these activities to be funded with existing cash, cash flow from operations, borrowings, and the sale of common stock or other securities. We believe existing sources of liquidity will be sufficient to fund our existing operations and obligations for the next 12 months and into the foreseeable future, but offer no assurances. Our liquidity could be affected by the stability of the energy and water industries, competitive pressures, changes in estimated liabilities for product warranties and/or litigation, future business combinations, capital market fluctuations, international risks, and other factors described under “Risk Factors” within Item 1A of Part I of our Annual Report on Form 10-K for the fiscal year ended December 31, 2010, which was filed with the SEC on February 25, 2011, and Part II: Other Information Item 1A "Risk Factors" included in this Quarterly Report on Form 10-Q, as well as in our “Quantitative and Qualitative Disclosures About Market Risk” within Item 3 of Part 1, included in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 to Item 1: “Financial Statements Note 11: Commitments and Contingencies”.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majority of our revenue arrangements involve multiple deliverables, which require us to determine the fair value of each deliverable and then allocate the total arrangement consideration among the separate deliverables based on the relative fair value percentages. Revenues for each deliverable are then recognized based on the type of deliverable, such as 1) when the products are shipped, 2) services are delivered, 3) percentage-of-completion when implementation services are essential to other deliverables in the arrangements, 4) upon receipt of customer acceptance, or 5) transfer of title. A majority of our revenue is recognized when products are shipped to or received by a customer or when services are provided.</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represents the estimated price charged if an element were sold separately. If the fair value of any undelivered element included in a multiple deliverable arrangement cannot be objectively determined, revenue is deferred until all elements are delivered and services have been performed, or until the fair value can be objectively determined for any remaining undelivered elements. We review our fair values on an annual basis or more frequently if a significant trend is noted.</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If implementation services are essential to a software arrangement, revenue is recognized using either the percentage-of-completion methodology if project costs can be reliably estimated or the completed contract methodology if project costs cannot be reliably estimated. The estimation of costs through completion of a project is subject to many variables such as the length of time to complete, changes in wages, subcontractor performance, supplier information, and business volume assumptions. Changes in underlying assumptions/estimates may adversely or positively affect financial performance.</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our revenue arrangements include an extended or noncustomary warranty provision which covers all or a portion of a customer’s replacement or repair costs beyond the standard or customary warranty period. Whether or not the extended warranty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is separately priced in the arrangement, a portion of the arrangement’s total consideration is allocated to this extended warranty deliverable. This revenue is deferred and recognized over the extended warranty coverage period. Extended or noncustomary warranties do not represent a significant portion of our revenue.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allocate consideration to each deliverable in an arrangement based on its relative selling price. We determine selling price using vendor specific objective evidence (VSOE), if it exists, otherwise third-party evidence (TPE). If neither VSOE nor TPE of selling price exists for a unit of accounting, we use estimated selling price (ESP).</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VSOE is generally limited to the price charged when the same or similar product is sold separately or, if applicable, the stated renewal rate in the agreement. If a product or service is seldom sold separately, it is unlikely that we can determine VSOE for the product or service. We define VSOE as a median price of recent standalone transactions that are priced within a narrow range. TPE is determined based on the prices charged by our competitors for a similar deliverable when sold separately.</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we are unable to establish selling price using VSOE or TPE, we use ESP in the allocation of arrangement consideration. The objective of ESP is to determine the price at which we would transact if the product or service were sold by us on a standalone basis. Our determination of ESP involves a weighting of several factors based on the specific facts and circumstances of the arrangement. Specifically, we consider the cost to produce the deliverable, the anticipated margin on that deliverable, the selling price and profit margin for similar parts, our ongoing pricing strategy and policies (as evident in the price list established and updated by management on a regular basis), the value of any enhancements that have been built into the deliverable, and the characteristics of the varying markets in which the deliverable is sold. We analyze the selling prices used in our allocation of arrangement consideration on an annual basis. Selling prices are analyzed on a more frequent basis if a significant change in our business necessitates a more timely analysis or if we experience significant variances in our selling prices.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offer standard warranties on our hardware products and large application software products. We accrue the estimated cost of warranty claims based on historical and projected product performance trends and costs. Testing of new products in the development stage helps identify and correct potential warranty issues prior to manufacturing. Continuing quality control efforts during manufacturing reduce our exposure to warranty claims. If our quality control efforts fail to detect a fault in one of our products, we could experience an increase in warranty claims. We track warranty claims to identify potential warranty trends. If an unusual trend is noted, an additional warranty accrual may be assessed and recorded when a failure event is probable and the cost can be reasonably estimated. When new products are introduced, our process relies on historical averages until sufficient data are available. As actual experience becomes available, it is used to modify the historical averages to ensure the expected warranty costs are within a range of likely outcomes. Management continually evaluates the sufficiency of the warranty provisions and makes adjustments when necessary. The warranty allowances may fluctuate due to changes in estimates for material, labor, and other costs we may incur to repair or replace projected product failures, and we may incur additional warranty and related expenses in the future with respect to new or established products, which could adversely affect our gross margin. The long-term warranty balance includes estimated warranty claims beyond one year.</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annual estimated effective tax rate requires significant judgment and is subject to several factors, including fluctuations in the forecasted mix of earnings in domestic and international jurisdictions, new or revised tax legislation and accounting pronouncements, tax credits, state income taxes, adjustments to valuation allowances, and interest expense and penalties related to uncertain tax positions, among other items. Changes in tax laws and unanticipated tax liabilities could significantly impact our tax rate.</w:t>
      </w:r>
    </w:p>
    <w:p>
      <w:pPr>
        <w:spacing w:after="0" w:line="1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record valuation allowances to reduce deferred tax assets to the extent we believe it is more likely than not that a portion of such assets will not be realized. In making such determinations, we consider all available positive and negative evidence, including scheduled reversals of deferred tax liabilities, projected future taxable income, tax planning strategies, and our ability to carry back losses to prior years. We are required to make assumptions and judgments about potential outcomes that lie outside management’s control. Our most sensitive and critical factors are the projection, source, and character of future taxable income. Although realization is not assured, management believes it is more likely than not that deferred tax assets will be realized. The amount of deferred tax assets considered realizable, however, could be reduced in the near term if estimates of future taxable income during the carryforward periods are reduced or current tax planning strategies are not implemented.</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subject to audit in multiple taxing jurisdictions in which we operate. These audits may involve complex issues, which may require an extended period of time to resolve. We believe we have recorded adequate income tax provisions and reserves for uncertain tax positions.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evaluating uncertain tax positions, we consider the relative risks and merits of positions taken in tax returns filed and to be filed,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considering statutory, judicial, and regulatory guidance applicable to those positions. We make assumptions and judgments about potential outcomes that lie outside management’s control. To the extent the tax authorities disagree with our conclusions and depending on the final resolution of those disagreements, our actual tax rate may be materially affected in the period of final settlement with the tax authorities.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Inventories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Items are removed from inventory using the first-in, first-out method. Inventories include raw materials, sub-assemblies, and finished goods. Inventory amounts include the cost to manufacture the item, such as the cost of raw materials, labor, and other applied direct and indirect costs. We also review idle facility expense, freight, handling costs, and wasted materials to determine if abnormal amounts should be recognized as current-period charges. We review our inventory for obsolescence and marketability. If the estimated market value, which is based upon assumptions about future demand and market conditions, falls below the original cost, the inventory value is reduced to the market value. If technology rapidly changes or actual market conditions are less favorable than those projected by management, inventory write-downs may be required. Our inventory levels may vary period to period as a result of our factory scheduling and timing of contract fulfillments.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 and Intangible Assets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Goodwill and intangible assets result from our acquisitions. We use estimates, including estimates of useful lives of intangible assets, the amount and timing of related future cash flows, and fair values of the related operations, in determining the value assigned to goodwill and intangible assets. Our intangible assets have a finite life and are amortized over their estimated useful lives based on estimated discounted cash flows. Intangible assets are tested for impairment when events or changes in circumstances indicate the carrying value may not be recoverable.</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test goodwill for impairment each year as of October 1, or more frequently should a significant impairment indicator occur. Our Itron North America operating segment represents one reporting unit, while our Itron International operating segment has three reporting units. Based on the relative fair values, we will reallocate our goodwill from our existing reporting units to the new reporting units within the Energy and Water operating segments in the first quarter of 2012.</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the reporting units. These combined fair values are then reconciled to our October1 aggregate market value of our shares of common stock, while considering a reasonable control premium. Our 2010 annual goodwill impairment analysis did not result in an impairment charge as the fair value of each reporting unit exceeded its carrying value. The percentage by which the fair value of each reporting unit exceeded its carrying value and the amount of goodwill allocated to each reporting unit at October 1, 2010 was as follows: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180" w:type="dxa"/>
            <w:vAlign w:val="bottom"/>
            <w:gridSpan w:val="3"/>
          </w:tcPr>
          <w:p>
            <w:pPr>
              <w:ind w:left="320"/>
              <w:spacing w:after="0"/>
              <w:rPr>
                <w:sz w:val="20"/>
                <w:szCs w:val="20"/>
                <w:color w:val="auto"/>
              </w:rPr>
            </w:pPr>
            <w:r>
              <w:rPr>
                <w:rFonts w:ascii="Arial" w:cs="Arial" w:eastAsia="Arial" w:hAnsi="Arial"/>
                <w:sz w:val="16"/>
                <w:szCs w:val="16"/>
                <w:b w:val="1"/>
                <w:bCs w:val="1"/>
                <w:color w:val="auto"/>
              </w:rPr>
              <w:t>October 1, 2010</w:t>
            </w:r>
          </w:p>
        </w:tc>
      </w:tr>
      <w:tr>
        <w:trPr>
          <w:trHeight w:val="33"/>
        </w:trPr>
        <w:tc>
          <w:tcPr>
            <w:tcW w:w="674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09"/>
        </w:trPr>
        <w:tc>
          <w:tcPr>
            <w:tcW w:w="67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6"/>
                <w:szCs w:val="16"/>
                <w:b w:val="1"/>
                <w:bCs w:val="1"/>
                <w:color w:val="auto"/>
                <w:w w:val="91"/>
              </w:rPr>
              <w:t>Fair Value Exceeded</w:t>
            </w:r>
          </w:p>
        </w:tc>
      </w:tr>
      <w:tr>
        <w:trPr>
          <w:trHeight w:val="210"/>
        </w:trPr>
        <w:tc>
          <w:tcPr>
            <w:tcW w:w="67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Goodwill</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center"/>
              <w:spacing w:after="0"/>
              <w:rPr>
                <w:sz w:val="20"/>
                <w:szCs w:val="20"/>
                <w:color w:val="auto"/>
              </w:rPr>
            </w:pPr>
            <w:r>
              <w:rPr>
                <w:rFonts w:ascii="Arial" w:cs="Arial" w:eastAsia="Arial" w:hAnsi="Arial"/>
                <w:sz w:val="16"/>
                <w:szCs w:val="16"/>
                <w:b w:val="1"/>
                <w:bCs w:val="1"/>
                <w:color w:val="auto"/>
                <w:w w:val="95"/>
              </w:rPr>
              <w:t>Carrying Value</w:t>
            </w:r>
          </w:p>
        </w:tc>
      </w:tr>
      <w:tr>
        <w:trPr>
          <w:trHeight w:val="33"/>
        </w:trPr>
        <w:tc>
          <w:tcPr>
            <w:tcW w:w="6740" w:type="dxa"/>
            <w:vAlign w:val="bottom"/>
          </w:tcPr>
          <w:p>
            <w:pPr>
              <w:spacing w:after="0"/>
              <w:rPr>
                <w:sz w:val="2"/>
                <w:szCs w:val="2"/>
                <w:color w:val="auto"/>
              </w:rPr>
            </w:pPr>
          </w:p>
        </w:tc>
        <w:tc>
          <w:tcPr>
            <w:tcW w:w="22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17"/>
        </w:trPr>
        <w:tc>
          <w:tcPr>
            <w:tcW w:w="6740" w:type="dxa"/>
            <w:vAlign w:val="bottom"/>
          </w:tcPr>
          <w:p>
            <w:pPr>
              <w:spacing w:after="0"/>
              <w:rPr>
                <w:sz w:val="18"/>
                <w:szCs w:val="18"/>
                <w:color w:val="auto"/>
              </w:rPr>
            </w:pPr>
          </w:p>
        </w:tc>
        <w:tc>
          <w:tcPr>
            <w:tcW w:w="2280" w:type="dxa"/>
            <w:vAlign w:val="bottom"/>
            <w:gridSpan w:val="2"/>
          </w:tcPr>
          <w:p>
            <w:pPr>
              <w:jc w:val="right"/>
              <w:ind w:right="559"/>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Itron North America</w:t>
            </w:r>
          </w:p>
        </w:tc>
        <w:tc>
          <w:tcPr>
            <w:tcW w:w="1500" w:type="dxa"/>
            <w:vAlign w:val="bottom"/>
            <w:tcBorders>
              <w:bottom w:val="single" w:sz="8" w:color="CCEEFF"/>
            </w:tcBorders>
            <w:shd w:val="clear" w:color="auto" w:fill="CCEEFF"/>
          </w:tcPr>
          <w:p>
            <w:pPr>
              <w:jc w:val="right"/>
              <w:ind w:right="12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197,645</w:t>
            </w:r>
          </w:p>
        </w:tc>
        <w:tc>
          <w:tcPr>
            <w:tcW w:w="240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2"/>
              </w:rPr>
              <w:t>229%</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Itron International - Electricity</w:t>
            </w:r>
          </w:p>
        </w:tc>
        <w:tc>
          <w:tcPr>
            <w:tcW w:w="15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347,299</w:t>
            </w:r>
          </w:p>
        </w:tc>
        <w:tc>
          <w:tcPr>
            <w:tcW w:w="2400" w:type="dxa"/>
            <w:vAlign w:val="bottom"/>
            <w:gridSpan w:val="2"/>
          </w:tcPr>
          <w:p>
            <w:pPr>
              <w:jc w:val="center"/>
              <w:ind w:left="39"/>
              <w:spacing w:after="0"/>
              <w:rPr>
                <w:sz w:val="20"/>
                <w:szCs w:val="20"/>
                <w:color w:val="auto"/>
              </w:rPr>
            </w:pPr>
            <w:r>
              <w:rPr>
                <w:rFonts w:ascii="Arial" w:cs="Arial" w:eastAsia="Arial" w:hAnsi="Arial"/>
                <w:sz w:val="16"/>
                <w:szCs w:val="16"/>
                <w:color w:val="auto"/>
                <w:w w:val="87"/>
              </w:rPr>
              <w:t>14%</w:t>
            </w:r>
          </w:p>
        </w:tc>
      </w:tr>
      <w:tr>
        <w:trPr>
          <w:trHeight w:val="33"/>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Itron International - Water</w:t>
            </w:r>
          </w:p>
        </w:tc>
        <w:tc>
          <w:tcPr>
            <w:tcW w:w="15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383,194</w:t>
            </w:r>
          </w:p>
        </w:tc>
        <w:tc>
          <w:tcPr>
            <w:tcW w:w="2400" w:type="dxa"/>
            <w:vAlign w:val="bottom"/>
            <w:tcBorders>
              <w:bottom w:val="single" w:sz="8" w:color="CCEEFF"/>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7"/>
              </w:rPr>
              <w:t>29%</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Itron International - Gas</w:t>
            </w:r>
          </w:p>
        </w:tc>
        <w:tc>
          <w:tcPr>
            <w:tcW w:w="150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308,445</w:t>
            </w:r>
          </w:p>
        </w:tc>
        <w:tc>
          <w:tcPr>
            <w:tcW w:w="2400" w:type="dxa"/>
            <w:vAlign w:val="bottom"/>
            <w:gridSpan w:val="2"/>
          </w:tcPr>
          <w:p>
            <w:pPr>
              <w:jc w:val="center"/>
              <w:ind w:left="39"/>
              <w:spacing w:after="0"/>
              <w:rPr>
                <w:sz w:val="20"/>
                <w:szCs w:val="20"/>
                <w:color w:val="auto"/>
              </w:rPr>
            </w:pPr>
            <w:r>
              <w:rPr>
                <w:rFonts w:ascii="Arial" w:cs="Arial" w:eastAsia="Arial" w:hAnsi="Arial"/>
                <w:sz w:val="16"/>
                <w:szCs w:val="16"/>
                <w:color w:val="auto"/>
                <w:w w:val="87"/>
              </w:rPr>
              <w:t>55%</w:t>
            </w:r>
          </w:p>
        </w:tc>
      </w:tr>
      <w:tr>
        <w:trPr>
          <w:trHeight w:val="33"/>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r>
      <w:tr>
        <w:trPr>
          <w:trHeight w:val="255"/>
        </w:trPr>
        <w:tc>
          <w:tcPr>
            <w:tcW w:w="67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9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2"/>
              </w:rPr>
              <w:t>1,236,583</w:t>
            </w:r>
          </w:p>
        </w:tc>
        <w:tc>
          <w:tcPr>
            <w:tcW w:w="12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Changes in market demand and the economies in which we operate across local markets, the volatility and decline in the worldwide equity markets, and the decline in our market capitalization could negatively impact our annual goodwill impairment test, which could have a significant effect on our current and future results of operations and financial condition.</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 Instruments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derivative instruments, whether designated in hedging relationships or not, are recorded on the Consolidated Balance Sheets at fair value as either assets or liabilities. The components and fair values of our derivative instruments, which are primarily interest rate swaps, are determined using the fair value measurements of significant other observable inputs (also known as “Level 2”), as defined by U.S. generally accepted accounting principles. We include the effect of our counterparty credit risk based on current published credit default swap rates when the net fair value of our derivative instruments is in a net asset position and the effect of</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own nonperformance risk when the net fair value of our derivative instruments is in a net liability position. Level 2 inputs consist of quoted prices for similar assets and liabilities in active markets; quoted prices for identical or similar assets and liabilities in non-active markets; and model-derived valuations in which significant inputs are corroborated by observable market data either directly or indirectly through correlation or other means (inputs may include yield curves, volatility, credit risks, and default rates). Derivatives are not used for trading or speculative purposes. Our derivatives are with major international financial institutions, with whom we have master netting agreements; however, our derivative positions are not disclosed on a net basis. There are no credit-risk-related contingent features within our derivative instruments.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Benefit Pension Plans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sponsor both funded and unfunded defined benefit pension plans for our international employees, primarily in Germany, France, Italy, Indonesia, and Spain.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other comprehensive income (OCI), net of tax, the actuarial gains or losses and prior service costs or credits, if any, that arise during the period but are not recognized as components of net periodic benefit cost.</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Several economic assumptions and actuarial data are used in calculating the expense and obligations related to these plans. The assumptions are updated annually at December 31 and include the discount rate, the expected remaining service life, the expected rate of return on plan assets, and rate of future compensation increase. The discount rate is a significant assumption used to value our pension benefit obligation. We determine a discount rate for our plans based on the estimated duration of each plan’s liabilities. For our euro denominated defined benefit pension plans, which represent 94% of our benefit obligation, we use two discount rates, (separated between shorter and longer duration plans), using a hypothetical yield curve developed from euro-denominated AA-rated corporate bond issues, partially weighted for market value, with minimum amounts outstanding of €250 million for bonds with less than 10 years to maturity and €50 million for bonds with 10 or more years to maturity, and excluding 10% of the highest and lowest yielding bonds within each maturity group. The discount rates derived for our shorter duration euro denominated plans (less than 10 years) and longer duration plans (greater than 10 years) were 4.50% and 5.25%, respectively. The weighted average discount rate used to measure the projected benefit obligation for all of the plans at December 31, 2010 was 5.35%. A change of 25 basis points in the discount rate would change our pension benefit obligation by approximately $2.5 million. The financial and actuarial assumptions used at December 31, 2010 may differ materially from actual results due to changing market and economic conditions and other factors. These differences could result in a significant change in the amount of pension expense recorded in future periods. Gains and losses resulting from changes in actuarial assumptions, including the discount rate, are recognized in OCI in the period in which they occur.</w:t>
      </w:r>
    </w:p>
    <w:p>
      <w:pPr>
        <w:spacing w:after="0" w:line="17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Our general funding policy for these qualified pension plans is to contribute amounts at least sufficient to satisfy funding standards of the respective countries for each plan. Refer to Item 1: “Financial Statements, Note 8: Defined Benefit Pension Plans” for our expected contributions for 2011.</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Bonus and Profit Sharing</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have various employee bonus and profit sharing plans, which provide award amounts for the achievement of annual financial and nonfinancial targets. If management determines it probable that the targets will be achieved and the amounts can be reasonably estimated, a compensation accrual is recorded based on the proportional achievement of the financial and nonfinancial targets. Although we monitor and accrue expenses quarterly based on our estimated progress toward the achievement of the annual targets, the actual results at the end of the year may require awards that are significantly greater or less than the estimates made in earlier quarters. For the three and six months ended June 30, 2011, we accrued $7.8 million and $15.1 million for such awards, compared with $11.8 million and $24 million in the same periods in 2010. Awards are typically distributed in the first quarter of the following year.</w:t>
      </w:r>
    </w:p>
    <w:p>
      <w:pPr>
        <w:spacing w:after="0" w:line="16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measure and recognize compensation expense for all stock-based awards made to employees and directors, including awards of stock options, stock sold pursuant to our Employee Stock Purchase Plan (ESPP), and the issuance of restricted stock units and unrestricted stock awards, based on estimated fair values. The fair value of stock options is estimated at the date of grant using the Black-Scholes option-pricing model, which includes assumptions for the dividend yield, expected volatility, risk-free interest rate, and expected life. In valuing our stock options, significant judgment is required in determining the expected volatility of our common stock and the expected life that individuals will hold their stock options prior to exercising. Expected volatility is based on the historical and implied volatility of our own common stock. The expected life of stock option grants is derived from the historical actual term of option grants and an estimate of future exercises during the remaining contractual period of the option. While volatility and estimated life are assumptions that do not bear the risk of change subsequent to the grant date of stock options, these assumptions may be difficult to measure as they represent future expectations based on historical experience. Further, our expected volatility and expected life may change in the future, which could substantially change the grant-date fair value of future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awards of stock options and ultimately the expense we record. For ESPP awards, the fair value is the difference between the market close price of our common stock on the date of purchase and the discounted purchase price. For restricted stock units and unrestricted stock awards, the fair value is the market close price of our common stock on the date of grant. We consider many factors when estimating expected forfeitures, including types of awards, employee class, and historical experience. Actual results and future estimates may differ substantially from our current estimates. We expense stock-based compensation at the date of grant for unrestricted stock awards. For awards with only a service condition, we expense stock-based compensation, adjusted for estimated forfeitures, using the straight-line method over the requisite service period for the entire award. For awards with both performance and service conditions, we expense the stock-based compensation, adjusted for estimated forfeitures, on a straight-line basis over the requisite service period for each separately vesting portion of the award. Excess tax benefits are credited to common stock when the deduction reduces cash taxes payable. When we have tax deductions in excess of the compensation cost, they are classified as financing cash inflows in the Consolidated Statements of Cash Flows.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4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normal course of business, we are exposed to interest rate and foreign currency exchange rate risks that could impact our financial position and results of operations. As part of our risk management strategy, we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Risk</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table below provides information about our financial instruments that are sensitive to changes in interest rates and the scheduled minimum repayment of principal and estimated cash interest payments over the remaining lives of our debt at June 30, 2011. Our one-year pay-fixed receive one-month LIBOR interest rate swaps, which converted $100 million of our U.S. dollar term loan from a floating LIBOR interest rate to a fixed interest rate, expired on June 30, 2011. As a result of the expiration of our interest rate swaps, 59% of our borrowings are at fixed rates. We will continue to monitor and assess our interest rate risk and may institute additional interest rate swaps or other derivative instruments to manage such risk in the future.</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Weighted average variable rates in the table are based on implied forward rates in the Reuters U.S. dollar yield curve as of June 30, 2011, our estimated leverage ratio, which determines our additional interest rate margin, and a static foreign exchange rate at June 30, 2011.</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2011</w:t>
            </w:r>
          </w:p>
        </w:tc>
        <w:tc>
          <w:tcPr>
            <w:tcW w:w="380" w:type="dxa"/>
            <w:vAlign w:val="bottom"/>
          </w:tcPr>
          <w:p>
            <w:pPr>
              <w:spacing w:after="0"/>
              <w:rPr>
                <w:sz w:val="18"/>
                <w:szCs w:val="18"/>
                <w:color w:val="auto"/>
              </w:rPr>
            </w:pPr>
          </w:p>
        </w:tc>
        <w:tc>
          <w:tcPr>
            <w:tcW w:w="1080" w:type="dxa"/>
            <w:vAlign w:val="bottom"/>
          </w:tcPr>
          <w:p>
            <w:pPr>
              <w:jc w:val="right"/>
              <w:ind w:right="479"/>
              <w:spacing w:after="0"/>
              <w:rPr>
                <w:sz w:val="20"/>
                <w:szCs w:val="20"/>
                <w:color w:val="auto"/>
              </w:rPr>
            </w:pPr>
            <w:r>
              <w:rPr>
                <w:rFonts w:ascii="Arial" w:cs="Arial" w:eastAsia="Arial" w:hAnsi="Arial"/>
                <w:sz w:val="16"/>
                <w:szCs w:val="16"/>
                <w:b w:val="1"/>
                <w:bCs w:val="1"/>
                <w:color w:val="auto"/>
              </w:rPr>
              <w:t>2012</w:t>
            </w:r>
          </w:p>
        </w:tc>
        <w:tc>
          <w:tcPr>
            <w:tcW w:w="34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2013</w:t>
            </w:r>
          </w:p>
        </w:tc>
        <w:tc>
          <w:tcPr>
            <w:tcW w:w="360" w:type="dxa"/>
            <w:vAlign w:val="bottom"/>
          </w:tcPr>
          <w:p>
            <w:pPr>
              <w:spacing w:after="0"/>
              <w:rPr>
                <w:sz w:val="18"/>
                <w:szCs w:val="18"/>
                <w:color w:val="auto"/>
              </w:rPr>
            </w:pPr>
          </w:p>
        </w:tc>
        <w:tc>
          <w:tcPr>
            <w:tcW w:w="1040" w:type="dxa"/>
            <w:vAlign w:val="bottom"/>
          </w:tcPr>
          <w:p>
            <w:pPr>
              <w:jc w:val="right"/>
              <w:ind w:right="459"/>
              <w:spacing w:after="0"/>
              <w:rPr>
                <w:sz w:val="20"/>
                <w:szCs w:val="20"/>
                <w:color w:val="auto"/>
              </w:rPr>
            </w:pPr>
            <w:r>
              <w:rPr>
                <w:rFonts w:ascii="Arial" w:cs="Arial" w:eastAsia="Arial" w:hAnsi="Arial"/>
                <w:sz w:val="16"/>
                <w:szCs w:val="16"/>
                <w:b w:val="1"/>
                <w:bCs w:val="1"/>
                <w:color w:val="auto"/>
              </w:rPr>
              <w:t>2014</w:t>
            </w:r>
          </w:p>
        </w:tc>
        <w:tc>
          <w:tcPr>
            <w:tcW w:w="320" w:type="dxa"/>
            <w:vAlign w:val="bottom"/>
          </w:tcPr>
          <w:p>
            <w:pPr>
              <w:spacing w:after="0"/>
              <w:rPr>
                <w:sz w:val="18"/>
                <w:szCs w:val="18"/>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8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w w:val="99"/>
              </w:rPr>
              <w:t>(in thousands)</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Fixed Rate Debt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3"/>
        </w:trPr>
        <w:tc>
          <w:tcPr>
            <w:tcW w:w="4520" w:type="dxa"/>
            <w:vAlign w:val="bottom"/>
          </w:tcPr>
          <w:p>
            <w:pPr>
              <w:ind w:left="380"/>
              <w:spacing w:after="0"/>
              <w:rPr>
                <w:sz w:val="20"/>
                <w:szCs w:val="20"/>
                <w:color w:val="auto"/>
              </w:rPr>
            </w:pPr>
            <w:r>
              <w:rPr>
                <w:rFonts w:ascii="Arial" w:cs="Arial" w:eastAsia="Arial" w:hAnsi="Arial"/>
                <w:sz w:val="16"/>
                <w:szCs w:val="16"/>
                <w:color w:val="auto"/>
              </w:rPr>
              <w:t>Principal: Convertible notes</w:t>
            </w:r>
            <w:r>
              <w:rPr>
                <w:rFonts w:ascii="Arial" w:cs="Arial" w:eastAsia="Arial" w:hAnsi="Arial"/>
                <w:sz w:val="21"/>
                <w:szCs w:val="21"/>
                <w:color w:val="auto"/>
                <w:vertAlign w:val="superscript"/>
              </w:rPr>
              <w:t>(1)</w:t>
            </w:r>
          </w:p>
        </w:tc>
        <w:tc>
          <w:tcPr>
            <w:tcW w:w="300" w:type="dxa"/>
            <w:vAlign w:val="bottom"/>
            <w:vMerge w:val="restart"/>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vMerge w:val="restart"/>
          </w:tcPr>
          <w:p>
            <w:pPr>
              <w:jc w:val="right"/>
              <w:ind w:right="179"/>
              <w:spacing w:after="0"/>
              <w:rPr>
                <w:sz w:val="20"/>
                <w:szCs w:val="20"/>
                <w:color w:val="auto"/>
              </w:rPr>
            </w:pPr>
            <w:r>
              <w:rPr>
                <w:rFonts w:ascii="Arial" w:cs="Arial" w:eastAsia="Arial" w:hAnsi="Arial"/>
                <w:sz w:val="16"/>
                <w:szCs w:val="16"/>
                <w:color w:val="auto"/>
              </w:rPr>
              <w:t>223,604</w:t>
            </w:r>
          </w:p>
        </w:tc>
        <w:tc>
          <w:tcPr>
            <w:tcW w:w="38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ind w:right="199"/>
              <w:spacing w:after="0"/>
              <w:rPr>
                <w:sz w:val="20"/>
                <w:szCs w:val="20"/>
                <w:color w:val="auto"/>
              </w:rPr>
            </w:pPr>
            <w:r>
              <w:rPr>
                <w:rFonts w:ascii="Arial" w:cs="Arial" w:eastAsia="Arial" w:hAnsi="Arial"/>
                <w:sz w:val="16"/>
                <w:szCs w:val="16"/>
                <w:color w:val="auto"/>
              </w:rPr>
              <w:t>—</w:t>
            </w:r>
          </w:p>
        </w:tc>
        <w:tc>
          <w:tcPr>
            <w:tcW w:w="340" w:type="dxa"/>
            <w:vAlign w:val="bottom"/>
            <w:vMerge w:val="restart"/>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36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ind w:right="139"/>
              <w:spacing w:after="0"/>
              <w:rPr>
                <w:sz w:val="20"/>
                <w:szCs w:val="20"/>
                <w:color w:val="auto"/>
              </w:rPr>
            </w:pPr>
            <w:r>
              <w:rPr>
                <w:rFonts w:ascii="Arial" w:cs="Arial" w:eastAsia="Arial" w:hAnsi="Arial"/>
                <w:sz w:val="16"/>
                <w:szCs w:val="16"/>
                <w:color w:val="auto"/>
              </w:rPr>
              <w:t>—</w:t>
            </w:r>
          </w:p>
        </w:tc>
        <w:tc>
          <w:tcPr>
            <w:tcW w:w="320" w:type="dxa"/>
            <w:vAlign w:val="bottom"/>
            <w:vMerge w:val="restart"/>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ind w:right="19"/>
              <w:spacing w:after="0"/>
              <w:rPr>
                <w:sz w:val="20"/>
                <w:szCs w:val="20"/>
                <w:color w:val="auto"/>
              </w:rPr>
            </w:pPr>
            <w:r>
              <w:rPr>
                <w:rFonts w:ascii="Arial" w:cs="Arial" w:eastAsia="Arial" w:hAnsi="Arial"/>
                <w:sz w:val="16"/>
                <w:szCs w:val="16"/>
                <w:color w:val="auto"/>
              </w:rPr>
              <w:t>223,604</w:t>
            </w:r>
          </w:p>
        </w:tc>
        <w:tc>
          <w:tcPr>
            <w:tcW w:w="0" w:type="dxa"/>
            <w:vAlign w:val="bottom"/>
          </w:tcPr>
          <w:p>
            <w:pPr>
              <w:spacing w:after="0"/>
              <w:rPr>
                <w:sz w:val="1"/>
                <w:szCs w:val="1"/>
                <w:color w:val="auto"/>
              </w:rPr>
            </w:pPr>
          </w:p>
        </w:tc>
      </w:tr>
      <w:tr>
        <w:trPr>
          <w:trHeight w:val="61"/>
        </w:trPr>
        <w:tc>
          <w:tcPr>
            <w:tcW w:w="452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4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Interest rate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2.50 %</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Variable Rate Debt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20" w:type="dxa"/>
            <w:vAlign w:val="bottom"/>
          </w:tcPr>
          <w:p>
            <w:pPr>
              <w:ind w:left="380"/>
              <w:spacing w:after="0"/>
              <w:rPr>
                <w:sz w:val="20"/>
                <w:szCs w:val="20"/>
                <w:color w:val="auto"/>
              </w:rPr>
            </w:pPr>
            <w:r>
              <w:rPr>
                <w:rFonts w:ascii="Arial" w:cs="Arial" w:eastAsia="Arial" w:hAnsi="Arial"/>
                <w:sz w:val="16"/>
                <w:szCs w:val="16"/>
                <w:color w:val="auto"/>
              </w:rPr>
              <w:t>Principal: U.S. dollar term loan</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79"/>
              <w:spacing w:after="0"/>
              <w:rPr>
                <w:sz w:val="20"/>
                <w:szCs w:val="20"/>
                <w:color w:val="auto"/>
              </w:rPr>
            </w:pPr>
            <w:r>
              <w:rPr>
                <w:rFonts w:ascii="Arial" w:cs="Arial" w:eastAsia="Arial" w:hAnsi="Arial"/>
                <w:sz w:val="16"/>
                <w:szCs w:val="16"/>
                <w:color w:val="auto"/>
              </w:rPr>
              <w:t>3,025</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9"/>
              <w:spacing w:after="0"/>
              <w:rPr>
                <w:sz w:val="20"/>
                <w:szCs w:val="20"/>
                <w:color w:val="auto"/>
              </w:rPr>
            </w:pPr>
            <w:r>
              <w:rPr>
                <w:rFonts w:ascii="Arial" w:cs="Arial" w:eastAsia="Arial" w:hAnsi="Arial"/>
                <w:sz w:val="16"/>
                <w:szCs w:val="16"/>
                <w:color w:val="auto"/>
              </w:rPr>
              <w:t>6,051</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6,051</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39"/>
              <w:spacing w:after="0"/>
              <w:rPr>
                <w:sz w:val="20"/>
                <w:szCs w:val="20"/>
                <w:color w:val="auto"/>
              </w:rPr>
            </w:pPr>
            <w:r>
              <w:rPr>
                <w:rFonts w:ascii="Arial" w:cs="Arial" w:eastAsia="Arial" w:hAnsi="Arial"/>
                <w:sz w:val="16"/>
                <w:szCs w:val="16"/>
                <w:color w:val="auto"/>
              </w:rPr>
              <w:t>185,489</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200,616</w:t>
            </w:r>
          </w:p>
        </w:tc>
        <w:tc>
          <w:tcPr>
            <w:tcW w:w="0" w:type="dxa"/>
            <w:vAlign w:val="bottom"/>
          </w:tcPr>
          <w:p>
            <w:pPr>
              <w:spacing w:after="0"/>
              <w:rPr>
                <w:sz w:val="1"/>
                <w:szCs w:val="1"/>
                <w:color w:val="auto"/>
              </w:rPr>
            </w:pPr>
          </w:p>
        </w:tc>
      </w:tr>
      <w:tr>
        <w:trPr>
          <w:trHeight w:val="33"/>
        </w:trPr>
        <w:tc>
          <w:tcPr>
            <w:tcW w:w="4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Average interest rate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3.75 %</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4.04 %</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Principal: Euro term loan</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2,397</w:t>
            </w:r>
          </w:p>
        </w:tc>
        <w:tc>
          <w:tcPr>
            <w:tcW w:w="3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4,794</w:t>
            </w:r>
          </w:p>
        </w:tc>
        <w:tc>
          <w:tcPr>
            <w:tcW w:w="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4,794</w:t>
            </w:r>
          </w:p>
        </w:tc>
        <w:tc>
          <w:tcPr>
            <w:tcW w:w="36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139,365</w:t>
            </w:r>
          </w:p>
        </w:tc>
        <w:tc>
          <w:tcPr>
            <w:tcW w:w="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151,350</w:t>
            </w:r>
          </w:p>
        </w:tc>
        <w:tc>
          <w:tcPr>
            <w:tcW w:w="0" w:type="dxa"/>
            <w:vAlign w:val="bottom"/>
          </w:tcPr>
          <w:p>
            <w:pPr>
              <w:spacing w:after="0"/>
              <w:rPr>
                <w:sz w:val="1"/>
                <w:szCs w:val="1"/>
                <w:color w:val="auto"/>
              </w:rPr>
            </w:pPr>
          </w:p>
        </w:tc>
      </w:tr>
      <w:tr>
        <w:trPr>
          <w:trHeight w:val="237"/>
        </w:trPr>
        <w:tc>
          <w:tcPr>
            <w:tcW w:w="4520" w:type="dxa"/>
            <w:vAlign w:val="bottom"/>
          </w:tcPr>
          <w:p>
            <w:pPr>
              <w:ind w:left="380"/>
              <w:spacing w:after="0"/>
              <w:rPr>
                <w:sz w:val="20"/>
                <w:szCs w:val="20"/>
                <w:color w:val="auto"/>
              </w:rPr>
            </w:pPr>
            <w:r>
              <w:rPr>
                <w:rFonts w:ascii="Arial" w:cs="Arial" w:eastAsia="Arial" w:hAnsi="Arial"/>
                <w:sz w:val="16"/>
                <w:szCs w:val="16"/>
                <w:color w:val="auto"/>
              </w:rPr>
              <w:t>Average interest rate</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4.86 %</w:t>
            </w:r>
          </w:p>
        </w:tc>
        <w:tc>
          <w:tcPr>
            <w:tcW w:w="3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5.42 %</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5.86%</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6.59%</w:t>
            </w: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433"/>
        </w:trPr>
        <w:tc>
          <w:tcPr>
            <w:tcW w:w="4520" w:type="dxa"/>
            <w:vAlign w:val="bottom"/>
          </w:tcPr>
          <w:p>
            <w:pPr>
              <w:ind w:left="360"/>
              <w:spacing w:after="0"/>
              <w:rPr>
                <w:sz w:val="20"/>
                <w:szCs w:val="20"/>
                <w:color w:val="auto"/>
              </w:rPr>
            </w:pPr>
            <w:r>
              <w:rPr>
                <w:rFonts w:ascii="Arial" w:cs="Arial" w:eastAsia="Arial" w:hAnsi="Arial"/>
                <w:sz w:val="16"/>
                <w:szCs w:val="16"/>
                <w:color w:val="auto"/>
              </w:rPr>
              <w:t>Interest rate swap on euro term loan</w:t>
            </w:r>
            <w:r>
              <w:rPr>
                <w:rFonts w:ascii="Arial" w:cs="Arial" w:eastAsia="Arial" w:hAnsi="Arial"/>
                <w:sz w:val="21"/>
                <w:szCs w:val="21"/>
                <w:color w:val="auto"/>
                <w:vertAlign w:val="superscript"/>
              </w:rPr>
              <w:t>(2)</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4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Average interest rate (Pay)</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6.59 %</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6.59 %</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20" w:type="dxa"/>
            <w:vAlign w:val="bottom"/>
          </w:tcPr>
          <w:p>
            <w:pPr>
              <w:ind w:left="380"/>
              <w:spacing w:after="0"/>
              <w:rPr>
                <w:sz w:val="20"/>
                <w:szCs w:val="20"/>
                <w:color w:val="auto"/>
              </w:rPr>
            </w:pPr>
            <w:r>
              <w:rPr>
                <w:rFonts w:ascii="Arial" w:cs="Arial" w:eastAsia="Arial" w:hAnsi="Arial"/>
                <w:sz w:val="16"/>
                <w:szCs w:val="16"/>
                <w:color w:val="auto"/>
              </w:rPr>
              <w:t>Average interest rate (Receive)</w:t>
            </w: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3.61 %</w:t>
            </w:r>
          </w:p>
        </w:tc>
        <w:tc>
          <w:tcPr>
            <w:tcW w:w="380" w:type="dxa"/>
            <w:vAlign w:val="bottom"/>
          </w:tcPr>
          <w:p>
            <w:pPr>
              <w:spacing w:after="0"/>
              <w:rPr>
                <w:sz w:val="20"/>
                <w:szCs w:val="20"/>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3.90 %</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5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Net/Spread</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3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660" w:hanging="328"/>
        <w:spacing w:after="0" w:line="224" w:lineRule="auto"/>
        <w:tabs>
          <w:tab w:leader="none" w:pos="66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Our convertible notes mature in August 2026, however due to the combination of put, call, and conversion options in 2011, the notes are classified as current, (refer to Item 1: “Financial Statements, Note 6: Debt”).</w:t>
      </w:r>
    </w:p>
    <w:p>
      <w:pPr>
        <w:spacing w:after="0" w:line="186" w:lineRule="exact"/>
        <w:rPr>
          <w:rFonts w:ascii="Arial" w:cs="Arial" w:eastAsia="Arial" w:hAnsi="Arial"/>
          <w:sz w:val="22"/>
          <w:szCs w:val="22"/>
          <w:color w:val="auto"/>
          <w:vertAlign w:val="superscript"/>
        </w:rPr>
      </w:pPr>
    </w:p>
    <w:p>
      <w:pPr>
        <w:jc w:val="both"/>
        <w:ind w:left="660" w:hanging="328"/>
        <w:spacing w:after="0" w:line="262" w:lineRule="auto"/>
        <w:tabs>
          <w:tab w:leader="none" w:pos="660" w:val="left"/>
        </w:tabs>
        <w:numPr>
          <w:ilvl w:val="0"/>
          <w:numId w:val="17"/>
        </w:numPr>
        <w:rPr>
          <w:rFonts w:ascii="Arial" w:cs="Arial" w:eastAsia="Arial" w:hAnsi="Arial"/>
          <w:sz w:val="21"/>
          <w:szCs w:val="21"/>
          <w:color w:val="auto"/>
          <w:vertAlign w:val="superscript"/>
        </w:rPr>
      </w:pPr>
      <w:r>
        <w:rPr>
          <w:rFonts w:ascii="Arial" w:cs="Arial" w:eastAsia="Arial" w:hAnsi="Arial"/>
          <w:sz w:val="15"/>
          <w:szCs w:val="15"/>
          <w:color w:val="auto"/>
        </w:rPr>
        <w:t>The amortizing euro denominated interest rate swap is used to convert $115.6 million (€80.8 million) of our $151.4 million (€105.8 million) euro denominated variable rate term loan from a floating Euro Interbank Offered Rate (EURIBOR), plus the applicable margin, to a fixed interest rate of 6.59%, through December 31, 2012, plus or minus the variance in the applicable margin from 2%. As a result of the amortization schedule, the interest rate swap will terminate before the stated maturity of the term loan (Refer to Item 1: “Financial Statements, Note 7: Derivative Financial Instruments and Hedging Activities”).</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a sensitivity analysis as of June 30, 2011, we estimate that if market interest rates average one percentage point higher in 2011 than in the table above, our earnings in 2011 would not be materially impacted due to our interest rate swap in place at June 30, 2011.</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continually monitor and assess our interest rate risk and may institute additional interest rate swaps or other derivative instruments to manage such risk in the future.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Exchange Rate Risk</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conduct business in a number of countries. As a result, over half of our revenues and operating expenses are denominated in foreign currencies, which expose our account balances to movements in foreign currency exchange rates that could have a material</w:t>
      </w:r>
    </w:p>
    <w:p>
      <w:pPr>
        <w:sectPr>
          <w:pgSz w:w="11900" w:h="16838" w:orient="portrait"/>
          <w:cols w:equalWidth="0" w:num="1">
            <w:col w:w="11420"/>
          </w:cols>
          <w:pgMar w:left="240" w:top="125"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25" w:right="2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effect on our financial results. Our primary foreign currency exposure relates to non-U.S. dollar denominated transactions in our international subsidiary operations, the most significant of which is the euro. Revenues denominated in functional currencies other than the U.S. dollar were 56% and 55% of total revenues for the three and six months ended June 30, 2011, compared with 50% and 52% for the same periods in 2010.</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conjunction with our acquisition of Actaris Metering Systems SA, we entered into a euro denominated term loan in 2007 that exposes us to fluctuations in the euro foreign exchange rate. We have designated this foreign currency denominated term loan as a hedge of our net investment in international operations. The non-functional currency term loan is revalued into U.S. dollar at each balance sheet date, and the changes in value associated with currency fluctuations are recorded as adjustments to long-term debt with offsetting gains and losses recorded in other comprehensive income. We had no hedge ineffectiveness (refer to Item 1: “Financial Statements, Note 7: Derivative Financial Instruments and Hedging Activities”).</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also exposed to foreign exchange risk when we enter into non-functional currency transactions, both intercompany and third-party. At each period-end, foreign currency monetary assets and liabilities are revalued with the change recorded to other income and expense. We enter into monthly foreign exchange forward contracts (a total of 257 contracts were entered into during the six months ended June 30, 2011), not designated for hedge accounting, with the intent to reduce earnings volatility associated with certain of these balances. The notional amounts of the contracts ranged from $50,000 to $72 million, offsetting our exposures from the euro, British pound, Canadian dollar, Czech koruna, Hungarian forint, and various other currencies.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future periods, we may use additional derivative contracts to protect against foreign currency exchange rate risks.</w:t>
      </w:r>
    </w:p>
    <w:p>
      <w:pPr>
        <w:spacing w:after="0" w:line="383"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56" w:lineRule="exact"/>
        <w:rPr>
          <w:sz w:val="20"/>
          <w:szCs w:val="20"/>
          <w:color w:val="auto"/>
        </w:rPr>
      </w:pPr>
    </w:p>
    <w:p>
      <w:pPr>
        <w:jc w:val="both"/>
        <w:ind w:left="660" w:hanging="328"/>
        <w:spacing w:after="0" w:line="288"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Evaluation of disclosure controls and procedures</w:t>
      </w:r>
      <w:r>
        <w:rPr>
          <w:rFonts w:ascii="Arial" w:cs="Arial" w:eastAsia="Arial" w:hAnsi="Arial"/>
          <w:sz w:val="16"/>
          <w:szCs w:val="16"/>
          <w:color w:val="auto"/>
        </w:rPr>
        <w:t>. At June 30, 2011, an evaluation was performed under the supervision and with the participation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June 30, 2011,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69" w:lineRule="exact"/>
        <w:rPr>
          <w:rFonts w:ascii="Arial" w:cs="Arial" w:eastAsia="Arial" w:hAnsi="Arial"/>
          <w:sz w:val="16"/>
          <w:szCs w:val="16"/>
          <w:color w:val="auto"/>
        </w:rPr>
      </w:pPr>
    </w:p>
    <w:p>
      <w:pPr>
        <w:ind w:left="66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Changes in internal controls over financial reporting. </w:t>
      </w:r>
      <w:r>
        <w:rPr>
          <w:rFonts w:ascii="Arial" w:cs="Arial" w:eastAsia="Arial" w:hAnsi="Arial"/>
          <w:sz w:val="17"/>
          <w:szCs w:val="17"/>
          <w:color w:val="auto"/>
        </w:rPr>
        <w:t>There have been no changes in internal control over financial reporting during the quarter</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2011 that have materially affected, or are reasonably likely to materially affect, our internal controls over financial reporting.</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as defined by Item 103 of Regulation S-K, during the second quarter of 2011.</w:t>
      </w:r>
    </w:p>
    <w:p>
      <w:pPr>
        <w:spacing w:after="0" w:line="200" w:lineRule="exact"/>
        <w:rPr>
          <w:sz w:val="20"/>
          <w:szCs w:val="20"/>
          <w:color w:val="auto"/>
        </w:rPr>
      </w:pPr>
    </w:p>
    <w:p>
      <w:pPr>
        <w:spacing w:after="0" w:line="26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Material changes to risk factors during the second quarter of 2011 from those previously disclosed in Item 1A of Part I of our Annual Report on Form 10-K for the fiscal year ended December 31, 2010, which was filed with the SEC on February 25, 2011 are as follows: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international sales and operations are subject to complex laws relating to foreign corrupt practices and anti-bribery laws among many others, and a violation of, or change in, these laws could adversely affect our operations.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Foreign Corrupt Practices Act in the United States requires United States companies to comply with an extensive legal framework to prevent bribery of foreign officials. The laws are complex and require that we closely monitor local practices of our overseas offices. The United States Department of Justice has recently heightened enforcement of these laws. In addition, other countries continue to implement similar laws that may have extra-territorial effect. The United Kingdom, where we have operations, has recently implemented the U.K. Bribery Act that could impose significant oversight obligations on us and could have application to our operations outside of the United Kingdom. The costs for complying with these and similar laws may be significant and could reasonably be expected to require significant management time and focus. Any violation of these or similar laws, intentional or unintentional, could have a material adverse effect on our business, financial condition, or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a variety of litigation that could adversely affect our results of operations and financial condition.</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From time to time, we are involved in litigation that arises from our business. Litigation may, for example, relate to product failure or product liability claims, alleged infringements of intellectual property rights of others, contractual disputes, or employment matters. We are also subject to securities litigation.</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Litigation can be expensive to defend and can divert the attention of management and other personnel for long periods of time, regardless of the ultimate outcome. We may be required to pay damage awards or settlements or become subject to equitable remedies that could adversely affect our financial condition and results of operations. While we currently maintain insurance coverage, such insurance may not provide adequate coverage against potential claims.</w:t>
      </w:r>
    </w:p>
    <w:p>
      <w:pPr>
        <w:spacing w:after="0" w:line="34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information was required to be disclosed in a report on Form 8-K during the second quarter of 2011 that was not reported.</w:t>
      </w:r>
    </w:p>
    <w:p>
      <w:pPr>
        <w:spacing w:after="0" w:line="387"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tcPr>
          <w:p>
            <w:pPr>
              <w:spacing w:after="0"/>
              <w:rPr>
                <w:rFonts w:ascii="Arial" w:cs="Arial" w:eastAsia="Arial" w:hAnsi="Arial"/>
                <w:sz w:val="18"/>
                <w:szCs w:val="18"/>
                <w:color w:val="0000FF"/>
                <w:w w:val="88"/>
              </w:rPr>
            </w:pPr>
            <w:hyperlink w:anchor="page1">
              <w:r>
                <w:rPr>
                  <w:rFonts w:ascii="Arial" w:cs="Arial" w:eastAsia="Arial" w:hAnsi="Arial"/>
                  <w:sz w:val="18"/>
                  <w:szCs w:val="18"/>
                  <w:color w:val="0000FF"/>
                  <w:w w:val="88"/>
                </w:rPr>
                <w:t>Table of Contents</w:t>
              </w:r>
            </w:hyperlink>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00" w:type="dxa"/>
            <w:vAlign w:val="bottom"/>
          </w:tcPr>
          <w:p>
            <w:pPr>
              <w:spacing w:after="0"/>
              <w:rPr>
                <w:sz w:val="17"/>
                <w:szCs w:val="17"/>
                <w:color w:val="auto"/>
              </w:rPr>
            </w:pPr>
          </w:p>
        </w:tc>
      </w:tr>
      <w:tr>
        <w:trPr>
          <w:trHeight w:val="939"/>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Item 6:</w:t>
            </w:r>
          </w:p>
        </w:tc>
        <w:tc>
          <w:tcPr>
            <w:tcW w:w="10140" w:type="dxa"/>
            <w:vAlign w:val="bottom"/>
            <w:gridSpan w:val="3"/>
          </w:tcPr>
          <w:p>
            <w:pPr>
              <w:ind w:left="20"/>
              <w:spacing w:after="0"/>
              <w:rPr>
                <w:sz w:val="20"/>
                <w:szCs w:val="20"/>
                <w:color w:val="auto"/>
              </w:rPr>
            </w:pPr>
            <w:r>
              <w:rPr>
                <w:rFonts w:ascii="Arial" w:cs="Arial" w:eastAsia="Arial" w:hAnsi="Arial"/>
                <w:sz w:val="18"/>
                <w:szCs w:val="18"/>
                <w:b w:val="1"/>
                <w:bCs w:val="1"/>
                <w:color w:val="auto"/>
              </w:rPr>
              <w:t>Exhibits</w:t>
            </w:r>
          </w:p>
        </w:tc>
      </w:tr>
      <w:tr>
        <w:trPr>
          <w:trHeight w:val="927"/>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00" w:type="dxa"/>
            <w:vAlign w:val="bottom"/>
          </w:tcPr>
          <w:p>
            <w:pPr>
              <w:spacing w:after="0"/>
              <w:rPr>
                <w:sz w:val="24"/>
                <w:szCs w:val="24"/>
                <w:color w:val="auto"/>
              </w:rPr>
            </w:pPr>
          </w:p>
        </w:tc>
      </w:tr>
      <w:tr>
        <w:trPr>
          <w:trHeight w:val="234"/>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700" w:type="dxa"/>
            <w:vAlign w:val="bottom"/>
          </w:tcPr>
          <w:p>
            <w:pPr>
              <w:ind w:left="40"/>
              <w:spacing w:after="0"/>
              <w:rPr>
                <w:sz w:val="20"/>
                <w:szCs w:val="20"/>
                <w:color w:val="auto"/>
              </w:rPr>
            </w:pPr>
            <w:r>
              <w:rPr>
                <w:rFonts w:ascii="Arial" w:cs="Arial" w:eastAsia="Arial" w:hAnsi="Arial"/>
                <w:sz w:val="18"/>
                <w:szCs w:val="18"/>
                <w:b w:val="1"/>
                <w:bCs w:val="1"/>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700" w:type="dxa"/>
            <w:vAlign w:val="bottom"/>
            <w:tcBorders>
              <w:bottom w:val="single" w:sz="8" w:color="auto"/>
            </w:tcBorders>
          </w:tcPr>
          <w:p>
            <w:pPr>
              <w:spacing w:after="0"/>
              <w:rPr>
                <w:sz w:val="2"/>
                <w:szCs w:val="2"/>
                <w:color w:val="auto"/>
              </w:rPr>
            </w:pPr>
          </w:p>
        </w:tc>
      </w:tr>
      <w:tr>
        <w:trPr>
          <w:trHeight w:val="561"/>
        </w:trPr>
        <w:tc>
          <w:tcPr>
            <w:tcW w:w="1280" w:type="dxa"/>
            <w:vAlign w:val="bottom"/>
          </w:tcPr>
          <w:p>
            <w:pPr>
              <w:ind w:left="180"/>
              <w:spacing w:after="0"/>
              <w:rPr>
                <w:sz w:val="20"/>
                <w:szCs w:val="20"/>
                <w:color w:val="auto"/>
              </w:rPr>
            </w:pPr>
            <w:r>
              <w:rPr>
                <w:rFonts w:ascii="Arial" w:cs="Arial" w:eastAsia="Arial" w:hAnsi="Arial"/>
                <w:sz w:val="18"/>
                <w:szCs w:val="18"/>
                <w:color w:val="auto"/>
              </w:rPr>
              <w:t>12.1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Statement re Computation of Ratios</w:t>
            </w:r>
          </w:p>
        </w:tc>
      </w:tr>
      <w:tr>
        <w:trPr>
          <w:trHeight w:val="594"/>
        </w:trPr>
        <w:tc>
          <w:tcPr>
            <w:tcW w:w="1280" w:type="dxa"/>
            <w:vAlign w:val="bottom"/>
          </w:tcPr>
          <w:p>
            <w:pPr>
              <w:ind w:left="180"/>
              <w:spacing w:after="0"/>
              <w:rPr>
                <w:sz w:val="20"/>
                <w:szCs w:val="20"/>
                <w:color w:val="auto"/>
              </w:rPr>
            </w:pPr>
            <w:r>
              <w:rPr>
                <w:rFonts w:ascii="Arial" w:cs="Arial" w:eastAsia="Arial" w:hAnsi="Arial"/>
                <w:sz w:val="18"/>
                <w:szCs w:val="18"/>
                <w:color w:val="auto"/>
              </w:rPr>
              <w:t>31.1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594"/>
        </w:trPr>
        <w:tc>
          <w:tcPr>
            <w:tcW w:w="1280" w:type="dxa"/>
            <w:vAlign w:val="bottom"/>
          </w:tcPr>
          <w:p>
            <w:pPr>
              <w:ind w:left="180"/>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594"/>
        </w:trPr>
        <w:tc>
          <w:tcPr>
            <w:tcW w:w="1280" w:type="dxa"/>
            <w:vAlign w:val="bottom"/>
          </w:tcPr>
          <w:p>
            <w:pPr>
              <w:ind w:left="180"/>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594"/>
        </w:trPr>
        <w:tc>
          <w:tcPr>
            <w:tcW w:w="1280" w:type="dxa"/>
            <w:vAlign w:val="bottom"/>
          </w:tcPr>
          <w:p>
            <w:pPr>
              <w:ind w:left="40"/>
              <w:spacing w:after="0"/>
              <w:rPr>
                <w:sz w:val="20"/>
                <w:szCs w:val="20"/>
                <w:color w:val="auto"/>
              </w:rPr>
            </w:pPr>
            <w:r>
              <w:rPr>
                <w:rFonts w:ascii="Arial" w:cs="Arial" w:eastAsia="Arial" w:hAnsi="Arial"/>
                <w:sz w:val="18"/>
                <w:szCs w:val="18"/>
                <w:color w:val="auto"/>
              </w:rPr>
              <w:t>101.INS*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594"/>
        </w:trPr>
        <w:tc>
          <w:tcPr>
            <w:tcW w:w="1280" w:type="dxa"/>
            <w:vAlign w:val="bottom"/>
          </w:tcPr>
          <w:p>
            <w:pPr>
              <w:ind w:left="40"/>
              <w:spacing w:after="0"/>
              <w:rPr>
                <w:sz w:val="20"/>
                <w:szCs w:val="20"/>
                <w:color w:val="auto"/>
              </w:rPr>
            </w:pPr>
            <w:r>
              <w:rPr>
                <w:rFonts w:ascii="Arial" w:cs="Arial" w:eastAsia="Arial" w:hAnsi="Arial"/>
                <w:sz w:val="18"/>
                <w:szCs w:val="18"/>
                <w:color w:val="auto"/>
              </w:rPr>
              <w:t>101.SCH*</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XBRL Taxonomy Extension Schema</w:t>
            </w:r>
          </w:p>
        </w:tc>
      </w:tr>
      <w:tr>
        <w:trPr>
          <w:trHeight w:val="594"/>
        </w:trPr>
        <w:tc>
          <w:tcPr>
            <w:tcW w:w="1280" w:type="dxa"/>
            <w:vAlign w:val="bottom"/>
          </w:tcPr>
          <w:p>
            <w:pPr>
              <w:ind w:left="40"/>
              <w:spacing w:after="0"/>
              <w:rPr>
                <w:sz w:val="20"/>
                <w:szCs w:val="20"/>
                <w:color w:val="auto"/>
              </w:rPr>
            </w:pPr>
            <w:r>
              <w:rPr>
                <w:rFonts w:ascii="Arial" w:cs="Arial" w:eastAsia="Arial" w:hAnsi="Arial"/>
                <w:sz w:val="18"/>
                <w:szCs w:val="18"/>
                <w:color w:val="auto"/>
              </w:rPr>
              <w:t>101.CAL*</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w:t>
            </w:r>
          </w:p>
        </w:tc>
      </w:tr>
      <w:tr>
        <w:trPr>
          <w:trHeight w:val="594"/>
        </w:trPr>
        <w:tc>
          <w:tcPr>
            <w:tcW w:w="1280" w:type="dxa"/>
            <w:vAlign w:val="bottom"/>
          </w:tcPr>
          <w:p>
            <w:pPr>
              <w:ind w:left="40"/>
              <w:spacing w:after="0"/>
              <w:rPr>
                <w:sz w:val="20"/>
                <w:szCs w:val="20"/>
                <w:color w:val="auto"/>
              </w:rPr>
            </w:pPr>
            <w:r>
              <w:rPr>
                <w:rFonts w:ascii="Arial" w:cs="Arial" w:eastAsia="Arial" w:hAnsi="Arial"/>
                <w:sz w:val="18"/>
                <w:szCs w:val="18"/>
                <w:color w:val="auto"/>
              </w:rPr>
              <w:t>101.LAB*</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XBRL Taxonomy Extension Label Linkbase</w:t>
            </w:r>
          </w:p>
        </w:tc>
      </w:tr>
      <w:tr>
        <w:trPr>
          <w:trHeight w:val="594"/>
        </w:trPr>
        <w:tc>
          <w:tcPr>
            <w:tcW w:w="1280" w:type="dxa"/>
            <w:vAlign w:val="bottom"/>
          </w:tcPr>
          <w:p>
            <w:pPr>
              <w:ind w:left="40"/>
              <w:spacing w:after="0"/>
              <w:rPr>
                <w:sz w:val="20"/>
                <w:szCs w:val="20"/>
                <w:color w:val="auto"/>
              </w:rPr>
            </w:pPr>
            <w:r>
              <w:rPr>
                <w:rFonts w:ascii="Arial" w:cs="Arial" w:eastAsia="Arial" w:hAnsi="Arial"/>
                <w:sz w:val="18"/>
                <w:szCs w:val="18"/>
                <w:color w:val="auto"/>
              </w:rPr>
              <w:t>101.PRE*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70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364" w:lineRule="exact"/>
        <w:rPr>
          <w:sz w:val="20"/>
          <w:szCs w:val="20"/>
          <w:color w:val="auto"/>
        </w:rPr>
      </w:pPr>
    </w:p>
    <w:p>
      <w:pPr>
        <w:jc w:val="both"/>
        <w:ind w:left="500" w:right="20" w:hanging="465"/>
        <w:spacing w:after="0" w:line="25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Pursuant to applicable securities laws and regulations, we are deemed to have complied with the reporting obligation relating to the submission of interactive data files in such exhibits and are not subject to liability under any anti-fraud provisions of the federal securities laws as long as we have made a good faith attempt to comply with the submission requirements and promptly amend the interactive data files after becoming aware that the interactive data files fail to comply with the submission requirements. Users of this data are advised that, pursuant to Rule 406T, these interactive data files are deemed not filed and otherwise are not subject to liability.</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08" w:right="2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500" w:type="dxa"/>
            <w:vAlign w:val="bottom"/>
          </w:tcPr>
          <w:p>
            <w:pPr>
              <w:jc w:val="right"/>
              <w:ind w:right="3050"/>
              <w:spacing w:after="0"/>
              <w:rPr>
                <w:sz w:val="20"/>
                <w:szCs w:val="20"/>
                <w:color w:val="auto"/>
              </w:rPr>
            </w:pPr>
            <w:r>
              <w:rPr>
                <w:rFonts w:ascii="Arial" w:cs="Arial" w:eastAsia="Arial" w:hAnsi="Arial"/>
                <w:sz w:val="18"/>
                <w:szCs w:val="18"/>
                <w:color w:val="auto"/>
              </w:rPr>
              <w:t>ITRON, INC.</w:t>
            </w:r>
          </w:p>
        </w:tc>
      </w:tr>
      <w:tr>
        <w:trPr>
          <w:trHeight w:val="594"/>
        </w:trPr>
        <w:tc>
          <w:tcPr>
            <w:tcW w:w="3660" w:type="dxa"/>
            <w:vAlign w:val="bottom"/>
          </w:tcPr>
          <w:p>
            <w:pPr>
              <w:jc w:val="center"/>
              <w:spacing w:after="0"/>
              <w:rPr>
                <w:sz w:val="20"/>
                <w:szCs w:val="20"/>
                <w:color w:val="auto"/>
              </w:rPr>
            </w:pPr>
            <w:r>
              <w:rPr>
                <w:rFonts w:ascii="Arial" w:cs="Arial" w:eastAsia="Arial" w:hAnsi="Arial"/>
                <w:sz w:val="18"/>
                <w:szCs w:val="18"/>
                <w:color w:val="auto"/>
                <w:w w:val="90"/>
              </w:rPr>
              <w:t>August 1, 2011</w:t>
            </w:r>
          </w:p>
        </w:tc>
        <w:tc>
          <w:tcPr>
            <w:tcW w:w="1260" w:type="dxa"/>
            <w:vAlign w:val="bottom"/>
          </w:tcPr>
          <w:p>
            <w:pPr>
              <w:ind w:left="500"/>
              <w:spacing w:after="0"/>
              <w:rPr>
                <w:sz w:val="20"/>
                <w:szCs w:val="20"/>
                <w:color w:val="auto"/>
              </w:rPr>
            </w:pPr>
            <w:r>
              <w:rPr>
                <w:rFonts w:ascii="Arial" w:cs="Arial" w:eastAsia="Arial" w:hAnsi="Arial"/>
                <w:sz w:val="18"/>
                <w:szCs w:val="18"/>
                <w:color w:val="auto"/>
              </w:rPr>
              <w:t>By:</w:t>
            </w:r>
          </w:p>
        </w:tc>
        <w:tc>
          <w:tcPr>
            <w:tcW w:w="6500" w:type="dxa"/>
            <w:vAlign w:val="bottom"/>
          </w:tcPr>
          <w:p>
            <w:pPr>
              <w:jc w:val="center"/>
              <w:spacing w:after="0"/>
              <w:rPr>
                <w:sz w:val="20"/>
                <w:szCs w:val="20"/>
                <w:color w:val="auto"/>
              </w:rPr>
            </w:pPr>
            <w:r>
              <w:rPr>
                <w:rFonts w:ascii="Arial" w:cs="Arial" w:eastAsia="Arial" w:hAnsi="Arial"/>
                <w:sz w:val="18"/>
                <w:szCs w:val="18"/>
                <w:color w:val="auto"/>
                <w:w w:val="96"/>
              </w:rPr>
              <w:t>/s/ STEVEN M. HELMBRECHT</w:t>
            </w:r>
          </w:p>
        </w:tc>
      </w:tr>
      <w:tr>
        <w:trPr>
          <w:trHeight w:val="27"/>
        </w:trPr>
        <w:tc>
          <w:tcPr>
            <w:tcW w:w="3660" w:type="dxa"/>
            <w:vAlign w:val="bottom"/>
            <w:tcBorders>
              <w:bottom w:val="single" w:sz="8" w:color="auto"/>
            </w:tcBorders>
          </w:tcPr>
          <w:p>
            <w:pPr>
              <w:spacing w:after="0"/>
              <w:rPr>
                <w:sz w:val="2"/>
                <w:szCs w:val="2"/>
                <w:color w:val="auto"/>
              </w:rPr>
            </w:pPr>
          </w:p>
        </w:tc>
        <w:tc>
          <w:tcPr>
            <w:tcW w:w="1260" w:type="dxa"/>
            <w:vAlign w:val="bottom"/>
          </w:tcPr>
          <w:p>
            <w:pPr>
              <w:spacing w:after="0"/>
              <w:rPr>
                <w:sz w:val="2"/>
                <w:szCs w:val="2"/>
                <w:color w:val="auto"/>
              </w:rPr>
            </w:pPr>
          </w:p>
        </w:tc>
        <w:tc>
          <w:tcPr>
            <w:tcW w:w="6500" w:type="dxa"/>
            <w:vAlign w:val="bottom"/>
            <w:tcBorders>
              <w:bottom w:val="single" w:sz="8" w:color="auto"/>
            </w:tcBorders>
          </w:tcPr>
          <w:p>
            <w:pPr>
              <w:spacing w:after="0"/>
              <w:rPr>
                <w:sz w:val="2"/>
                <w:szCs w:val="2"/>
                <w:color w:val="auto"/>
              </w:rPr>
            </w:pPr>
          </w:p>
        </w:tc>
      </w:tr>
      <w:tr>
        <w:trPr>
          <w:trHeight w:val="237"/>
        </w:trPr>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1260" w:type="dxa"/>
            <w:vAlign w:val="bottom"/>
          </w:tcPr>
          <w:p>
            <w:pPr>
              <w:spacing w:after="0"/>
              <w:rPr>
                <w:sz w:val="20"/>
                <w:szCs w:val="20"/>
                <w:color w:val="auto"/>
              </w:rPr>
            </w:pPr>
          </w:p>
        </w:tc>
        <w:tc>
          <w:tcPr>
            <w:tcW w:w="6500" w:type="dxa"/>
            <w:vAlign w:val="bottom"/>
          </w:tcPr>
          <w:p>
            <w:pPr>
              <w:jc w:val="center"/>
              <w:spacing w:after="0"/>
              <w:rPr>
                <w:sz w:val="20"/>
                <w:szCs w:val="20"/>
                <w:color w:val="auto"/>
              </w:rPr>
            </w:pPr>
            <w:r>
              <w:rPr>
                <w:rFonts w:ascii="Arial" w:cs="Arial" w:eastAsia="Arial" w:hAnsi="Arial"/>
                <w:sz w:val="18"/>
                <w:szCs w:val="18"/>
                <w:b w:val="1"/>
                <w:bCs w:val="1"/>
                <w:color w:val="auto"/>
                <w:w w:val="92"/>
              </w:rPr>
              <w:t>Steven M. Helmbrecht</w:t>
            </w:r>
          </w:p>
        </w:tc>
      </w:tr>
      <w:tr>
        <w:trPr>
          <w:trHeight w:val="270"/>
        </w:trPr>
        <w:tc>
          <w:tcPr>
            <w:tcW w:w="36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6500" w:type="dxa"/>
            <w:vAlign w:val="bottom"/>
          </w:tcPr>
          <w:p>
            <w:pPr>
              <w:jc w:val="center"/>
              <w:spacing w:after="0"/>
              <w:rPr>
                <w:sz w:val="20"/>
                <w:szCs w:val="20"/>
                <w:color w:val="auto"/>
              </w:rPr>
            </w:pPr>
            <w:r>
              <w:rPr>
                <w:rFonts w:ascii="Arial" w:cs="Arial" w:eastAsia="Arial" w:hAnsi="Arial"/>
                <w:sz w:val="18"/>
                <w:szCs w:val="18"/>
                <w:b w:val="1"/>
                <w:bCs w:val="1"/>
                <w:color w:val="auto"/>
                <w:w w:val="91"/>
              </w:rPr>
              <w:t>Sr. Vice President and Chief Financial Officer</w:t>
            </w:r>
          </w:p>
        </w:tc>
      </w:tr>
      <w:tr>
        <w:trPr>
          <w:trHeight w:val="486"/>
        </w:trPr>
        <w:tc>
          <w:tcPr>
            <w:tcW w:w="3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500" w:type="dxa"/>
            <w:vAlign w:val="bottom"/>
          </w:tcPr>
          <w:p>
            <w:pPr>
              <w:jc w:val="right"/>
              <w:ind w:right="5530"/>
              <w:spacing w:after="0"/>
              <w:rPr>
                <w:sz w:val="20"/>
                <w:szCs w:val="20"/>
                <w:color w:val="auto"/>
              </w:rPr>
            </w:pPr>
            <w:r>
              <w:rPr>
                <w:rFonts w:ascii="Arial" w:cs="Arial" w:eastAsia="Arial" w:hAnsi="Arial"/>
                <w:sz w:val="18"/>
                <w:szCs w:val="18"/>
                <w:color w:val="auto"/>
              </w:rPr>
              <w:t>45</w:t>
            </w:r>
          </w:p>
        </w:tc>
      </w:tr>
    </w:tbl>
    <w:p>
      <w:pPr>
        <w:sectPr>
          <w:pgSz w:w="11900" w:h="16838" w:orient="portrait"/>
          <w:cols w:equalWidth="0" w:num="1">
            <w:col w:w="11420"/>
          </w:cols>
          <w:pgMar w:left="240" w:top="125" w:right="23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00" w:type="dxa"/>
            <w:vAlign w:val="bottom"/>
            <w:gridSpan w:val="10"/>
            <w:vMerge w:val="restart"/>
          </w:tcPr>
          <w:p>
            <w:pPr>
              <w:jc w:val="right"/>
              <w:ind w:right="160"/>
              <w:spacing w:after="0"/>
              <w:rPr>
                <w:sz w:val="20"/>
                <w:szCs w:val="20"/>
                <w:color w:val="auto"/>
              </w:rPr>
            </w:pPr>
            <w:r>
              <w:rPr>
                <w:rFonts w:ascii="Arial" w:cs="Arial" w:eastAsia="Arial" w:hAnsi="Arial"/>
                <w:sz w:val="18"/>
                <w:szCs w:val="18"/>
                <w:b w:val="1"/>
                <w:bCs w:val="1"/>
                <w:color w:val="auto"/>
              </w:rPr>
              <w:t>STATEMENT RE COMPUTATION OF RATIOS</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w w:val="91"/>
              </w:rPr>
              <w:t>Exhibit 12.1</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00" w:type="dxa"/>
            <w:vAlign w:val="bottom"/>
            <w:gridSpan w:val="10"/>
            <w:vMerge w:val="continue"/>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2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Six Months Ended</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6"/>
          </w:tcPr>
          <w:p>
            <w:pPr>
              <w:jc w:val="right"/>
              <w:ind w:right="148"/>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2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2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vMerge w:val="restart"/>
          </w:tcPr>
          <w:p>
            <w:pPr>
              <w:jc w:val="right"/>
              <w:ind w:right="326"/>
              <w:spacing w:after="0"/>
              <w:rPr>
                <w:sz w:val="20"/>
                <w:szCs w:val="20"/>
                <w:color w:val="auto"/>
              </w:rPr>
            </w:pPr>
            <w:r>
              <w:rPr>
                <w:rFonts w:ascii="Arial" w:cs="Arial" w:eastAsia="Arial" w:hAnsi="Arial"/>
                <w:sz w:val="14"/>
                <w:szCs w:val="14"/>
                <w:b w:val="1"/>
                <w:bCs w:val="1"/>
                <w:color w:val="auto"/>
              </w:rPr>
              <w:t xml:space="preserve">2006 </w:t>
            </w:r>
            <w:r>
              <w:rPr>
                <w:rFonts w:ascii="Arial" w:cs="Arial" w:eastAsia="Arial" w:hAnsi="Arial"/>
                <w:sz w:val="8"/>
                <w:szCs w:val="8"/>
                <w:b w:val="1"/>
                <w:bCs w:val="1"/>
                <w:color w:val="auto"/>
              </w:rPr>
              <w:t>(5)</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0"/>
              </w:rPr>
              <w:t>June 30, 2011</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0" w:type="dxa"/>
            <w:vAlign w:val="bottom"/>
            <w:gridSpan w:val="6"/>
          </w:tcPr>
          <w:p>
            <w:pPr>
              <w:ind w:left="80"/>
              <w:spacing w:after="0"/>
              <w:rPr>
                <w:sz w:val="20"/>
                <w:szCs w:val="20"/>
                <w:color w:val="auto"/>
              </w:rPr>
            </w:pPr>
            <w:r>
              <w:rPr>
                <w:rFonts w:ascii="Arial" w:cs="Arial" w:eastAsia="Arial" w:hAnsi="Arial"/>
                <w:sz w:val="14"/>
                <w:szCs w:val="14"/>
                <w:b w:val="1"/>
                <w:bCs w:val="1"/>
                <w:color w:val="auto"/>
              </w:rPr>
              <w:t>(in thousands, except ratios)</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Earnings:</w:t>
            </w: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900" w:type="dxa"/>
            <w:vAlign w:val="bottom"/>
          </w:tcPr>
          <w:p>
            <w:pPr>
              <w:ind w:left="220"/>
              <w:spacing w:after="0"/>
              <w:rPr>
                <w:sz w:val="20"/>
                <w:szCs w:val="20"/>
                <w:color w:val="auto"/>
              </w:rPr>
            </w:pPr>
            <w:r>
              <w:rPr>
                <w:rFonts w:ascii="Arial" w:cs="Arial" w:eastAsia="Arial" w:hAnsi="Arial"/>
                <w:sz w:val="14"/>
                <w:szCs w:val="14"/>
                <w:color w:val="auto"/>
              </w:rPr>
              <w:t>Pre-tax income (loss)</w:t>
            </w:r>
          </w:p>
        </w:tc>
        <w:tc>
          <w:tcPr>
            <w:tcW w:w="160" w:type="dxa"/>
            <w:vAlign w:val="bottom"/>
          </w:tcPr>
          <w:p>
            <w:pPr>
              <w:spacing w:after="0"/>
              <w:rPr>
                <w:sz w:val="22"/>
                <w:szCs w:val="22"/>
                <w:color w:val="auto"/>
              </w:rPr>
            </w:pPr>
          </w:p>
        </w:tc>
        <w:tc>
          <w:tcPr>
            <w:tcW w:w="1420" w:type="dxa"/>
            <w:vAlign w:val="bottom"/>
          </w:tcPr>
          <w:p>
            <w:pPr>
              <w:jc w:val="right"/>
              <w:ind w:right="27"/>
              <w:spacing w:after="0"/>
              <w:rPr>
                <w:sz w:val="20"/>
                <w:szCs w:val="20"/>
                <w:color w:val="auto"/>
              </w:rPr>
            </w:pPr>
            <w:r>
              <w:rPr>
                <w:rFonts w:ascii="Arial" w:cs="Arial" w:eastAsia="Arial" w:hAnsi="Arial"/>
                <w:sz w:val="14"/>
                <w:szCs w:val="14"/>
                <w:color w:val="auto"/>
              </w:rPr>
              <w:t>71,043</w:t>
            </w:r>
          </w:p>
        </w:tc>
        <w:tc>
          <w:tcPr>
            <w:tcW w:w="2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120,744</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(46,074)</w:t>
            </w:r>
          </w:p>
        </w:tc>
        <w:tc>
          <w:tcPr>
            <w:tcW w:w="5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18,582</w:t>
            </w:r>
          </w:p>
        </w:tc>
        <w:tc>
          <w:tcPr>
            <w:tcW w:w="2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(43,550)</w:t>
            </w:r>
          </w:p>
        </w:tc>
        <w:tc>
          <w:tcPr>
            <w:tcW w:w="2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6"/>
              <w:spacing w:after="0"/>
              <w:rPr>
                <w:sz w:val="20"/>
                <w:szCs w:val="20"/>
                <w:color w:val="auto"/>
              </w:rPr>
            </w:pPr>
            <w:r>
              <w:rPr>
                <w:rFonts w:ascii="Arial" w:cs="Arial" w:eastAsia="Arial" w:hAnsi="Arial"/>
                <w:sz w:val="14"/>
                <w:szCs w:val="14"/>
                <w:color w:val="auto"/>
              </w:rPr>
              <w:t>52,235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Less: income from equity investees</w:t>
            </w:r>
          </w:p>
        </w:tc>
        <w:tc>
          <w:tcPr>
            <w:tcW w:w="16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108</w:t>
            </w:r>
          </w:p>
        </w:tc>
        <w:tc>
          <w:tcPr>
            <w:tcW w:w="2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277</w:t>
            </w:r>
          </w:p>
        </w:tc>
        <w:tc>
          <w:tcPr>
            <w:tcW w:w="20" w:type="dxa"/>
            <w:vAlign w:val="bottom"/>
            <w:tcBorders>
              <w:bottom w:val="single" w:sz="8" w:color="auto"/>
            </w:tcBorders>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93</w:t>
            </w:r>
          </w:p>
        </w:tc>
        <w:tc>
          <w:tcPr>
            <w:tcW w:w="2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358</w:t>
            </w:r>
          </w:p>
        </w:tc>
        <w:tc>
          <w:tcPr>
            <w:tcW w:w="2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4"/>
                <w:szCs w:val="14"/>
                <w:color w:val="auto"/>
              </w:rPr>
              <w:t>33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27"/>
              <w:spacing w:after="0"/>
              <w:rPr>
                <w:sz w:val="20"/>
                <w:szCs w:val="20"/>
                <w:color w:val="auto"/>
              </w:rPr>
            </w:pPr>
            <w:r>
              <w:rPr>
                <w:rFonts w:ascii="Arial" w:cs="Arial" w:eastAsia="Arial" w:hAnsi="Arial"/>
                <w:sz w:val="14"/>
                <w:szCs w:val="14"/>
                <w:color w:val="auto"/>
              </w:rPr>
              <w:t>70,935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120,130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(46,351)</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18,489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(43,908)</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26"/>
              <w:spacing w:after="0"/>
              <w:rPr>
                <w:sz w:val="20"/>
                <w:szCs w:val="20"/>
                <w:color w:val="auto"/>
              </w:rPr>
            </w:pPr>
            <w:r>
              <w:rPr>
                <w:rFonts w:ascii="Arial" w:cs="Arial" w:eastAsia="Arial" w:hAnsi="Arial"/>
                <w:sz w:val="14"/>
                <w:szCs w:val="14"/>
                <w:color w:val="auto"/>
              </w:rPr>
              <w:t>52,202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900" w:type="dxa"/>
            <w:vAlign w:val="bottom"/>
          </w:tcPr>
          <w:p>
            <w:pPr>
              <w:ind w:left="20"/>
              <w:spacing w:after="0"/>
              <w:rPr>
                <w:sz w:val="20"/>
                <w:szCs w:val="20"/>
                <w:color w:val="auto"/>
              </w:rPr>
            </w:pPr>
            <w:r>
              <w:rPr>
                <w:rFonts w:ascii="Arial" w:cs="Arial" w:eastAsia="Arial" w:hAnsi="Arial"/>
                <w:sz w:val="14"/>
                <w:szCs w:val="14"/>
                <w:color w:val="auto"/>
              </w:rPr>
              <w:t xml:space="preserve">Fixed charges </w:t>
            </w:r>
            <w:r>
              <w:rPr>
                <w:rFonts w:ascii="Arial" w:cs="Arial" w:eastAsia="Arial" w:hAnsi="Arial"/>
                <w:sz w:val="8"/>
                <w:szCs w:val="8"/>
                <w:color w:val="auto"/>
              </w:rPr>
              <w:t>(1)</w:t>
            </w: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Interest expense, gross </w:t>
            </w:r>
            <w:r>
              <w:rPr>
                <w:rFonts w:ascii="Arial" w:cs="Arial" w:eastAsia="Arial" w:hAnsi="Arial"/>
                <w:sz w:val="8"/>
                <w:szCs w:val="8"/>
                <w:color w:val="auto"/>
              </w:rPr>
              <w:t>(2)</w:t>
            </w: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23,534</w:t>
            </w: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54,904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70,311</w:t>
            </w: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94,177</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100,935</w:t>
            </w:r>
          </w:p>
        </w:tc>
        <w:tc>
          <w:tcPr>
            <w:tcW w:w="2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17,785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9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Interest portion of rent expense</w:t>
            </w: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3,445</w:t>
            </w:r>
          </w:p>
        </w:tc>
        <w:tc>
          <w:tcPr>
            <w:tcW w:w="2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5,125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5,241</w:t>
            </w: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5,163</w:t>
            </w: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4,098</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2,241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9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 Fixed charges</w:t>
            </w: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26,979</w:t>
            </w:r>
          </w:p>
        </w:tc>
        <w:tc>
          <w:tcPr>
            <w:tcW w:w="2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60,029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75,552</w:t>
            </w: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99,340</w:t>
            </w:r>
          </w:p>
        </w:tc>
        <w:tc>
          <w:tcPr>
            <w:tcW w:w="2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105,033</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20,026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9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900" w:type="dxa"/>
            <w:vAlign w:val="bottom"/>
          </w:tcPr>
          <w:p>
            <w:pPr>
              <w:ind w:left="20"/>
              <w:spacing w:after="0"/>
              <w:rPr>
                <w:sz w:val="20"/>
                <w:szCs w:val="20"/>
                <w:color w:val="auto"/>
              </w:rPr>
            </w:pPr>
            <w:r>
              <w:rPr>
                <w:rFonts w:ascii="Arial" w:cs="Arial" w:eastAsia="Arial" w:hAnsi="Arial"/>
                <w:sz w:val="14"/>
                <w:szCs w:val="14"/>
                <w:color w:val="auto"/>
              </w:rPr>
              <w:t xml:space="preserve">b) Earnings for ratio </w:t>
            </w:r>
            <w:r>
              <w:rPr>
                <w:rFonts w:ascii="Arial" w:cs="Arial" w:eastAsia="Arial" w:hAnsi="Arial"/>
                <w:sz w:val="8"/>
                <w:szCs w:val="8"/>
                <w:color w:val="auto"/>
              </w:rPr>
              <w:t>(3)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7"/>
              <w:spacing w:after="0"/>
              <w:rPr>
                <w:sz w:val="20"/>
                <w:szCs w:val="20"/>
                <w:color w:val="auto"/>
              </w:rPr>
            </w:pPr>
            <w:r>
              <w:rPr>
                <w:rFonts w:ascii="Arial" w:cs="Arial" w:eastAsia="Arial" w:hAnsi="Arial"/>
                <w:sz w:val="14"/>
                <w:szCs w:val="14"/>
                <w:color w:val="auto"/>
              </w:rPr>
              <w:t>97,914</w:t>
            </w:r>
          </w:p>
        </w:tc>
        <w:tc>
          <w:tcPr>
            <w:tcW w:w="2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180,159</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29,201</w:t>
            </w:r>
          </w:p>
        </w:tc>
        <w:tc>
          <w:tcPr>
            <w:tcW w:w="5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117,829</w:t>
            </w:r>
          </w:p>
        </w:tc>
        <w:tc>
          <w:tcPr>
            <w:tcW w:w="22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61,125</w:t>
            </w:r>
          </w:p>
        </w:tc>
        <w:tc>
          <w:tcPr>
            <w:tcW w:w="2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6"/>
              <w:spacing w:after="0"/>
              <w:rPr>
                <w:sz w:val="20"/>
                <w:szCs w:val="20"/>
                <w:color w:val="auto"/>
              </w:rPr>
            </w:pPr>
            <w:r>
              <w:rPr>
                <w:rFonts w:ascii="Arial" w:cs="Arial" w:eastAsia="Arial" w:hAnsi="Arial"/>
                <w:sz w:val="14"/>
                <w:szCs w:val="14"/>
                <w:color w:val="auto"/>
              </w:rPr>
              <w:t>72,228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9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142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2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26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1020" w:type="dxa"/>
            <w:vAlign w:val="bottom"/>
            <w:tcBorders>
              <w:top w:val="single" w:sz="8" w:color="auto"/>
            </w:tcBorders>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900" w:type="dxa"/>
            <w:vAlign w:val="bottom"/>
          </w:tcPr>
          <w:p>
            <w:pPr>
              <w:ind w:left="20"/>
              <w:spacing w:after="0"/>
              <w:rPr>
                <w:sz w:val="20"/>
                <w:szCs w:val="20"/>
                <w:color w:val="auto"/>
              </w:rPr>
            </w:pPr>
            <w:r>
              <w:rPr>
                <w:rFonts w:ascii="Arial" w:cs="Arial" w:eastAsia="Arial" w:hAnsi="Arial"/>
                <w:sz w:val="14"/>
                <w:szCs w:val="14"/>
                <w:color w:val="auto"/>
              </w:rPr>
              <w:t>Ratios:</w:t>
            </w: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9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Earnings to fixed charges </w:t>
            </w:r>
            <w:r>
              <w:rPr>
                <w:rFonts w:ascii="Arial" w:cs="Arial" w:eastAsia="Arial" w:hAnsi="Arial"/>
                <w:sz w:val="8"/>
                <w:szCs w:val="8"/>
                <w:color w:val="auto"/>
              </w:rPr>
              <w:t>(b/a)</w:t>
            </w:r>
          </w:p>
        </w:tc>
        <w:tc>
          <w:tcPr>
            <w:tcW w:w="16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3.6</w:t>
            </w: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8"/>
                <w:szCs w:val="8"/>
                <w:color w:val="auto"/>
              </w:rPr>
              <w:t>(4)</w:t>
            </w:r>
          </w:p>
        </w:tc>
        <w:tc>
          <w:tcPr>
            <w:tcW w:w="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8"/>
                <w:szCs w:val="8"/>
                <w:color w:val="auto"/>
              </w:rPr>
              <w:t>(4)</w:t>
            </w: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3.6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Deficit of earnings to fixed charges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(46,351)</w:t>
            </w:r>
          </w:p>
        </w:tc>
        <w:tc>
          <w:tcPr>
            <w:tcW w:w="5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(43,908)</w:t>
            </w: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68" w:lineRule="exact"/>
        <w:rPr>
          <w:sz w:val="20"/>
          <w:szCs w:val="20"/>
          <w:color w:val="auto"/>
        </w:rPr>
      </w:pPr>
    </w:p>
    <w:p>
      <w:pPr>
        <w:ind w:left="640" w:hanging="328"/>
        <w:spacing w:after="0"/>
        <w:tabs>
          <w:tab w:leader="none" w:pos="64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Fixed charges consist of interest on indebtedness and amortization of debt issuance costs plus that portion of lease rental expense representative of the interest factor.</w:t>
      </w:r>
    </w:p>
    <w:p>
      <w:pPr>
        <w:spacing w:after="0" w:line="138" w:lineRule="exact"/>
        <w:rPr>
          <w:rFonts w:ascii="Arial" w:cs="Arial" w:eastAsia="Arial" w:hAnsi="Arial"/>
          <w:sz w:val="18"/>
          <w:szCs w:val="18"/>
          <w:color w:val="auto"/>
          <w:vertAlign w:val="superscript"/>
        </w:rPr>
      </w:pPr>
    </w:p>
    <w:p>
      <w:pPr>
        <w:ind w:left="640" w:hanging="328"/>
        <w:spacing w:after="0"/>
        <w:tabs>
          <w:tab w:leader="none" w:pos="64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Interest expense, gross, includes amortization of prepaid debt fees and discount.</w:t>
      </w:r>
    </w:p>
    <w:p>
      <w:pPr>
        <w:spacing w:after="0" w:line="138" w:lineRule="exact"/>
        <w:rPr>
          <w:rFonts w:ascii="Arial" w:cs="Arial" w:eastAsia="Arial" w:hAnsi="Arial"/>
          <w:sz w:val="22"/>
          <w:szCs w:val="22"/>
          <w:color w:val="auto"/>
          <w:vertAlign w:val="superscript"/>
        </w:rPr>
      </w:pPr>
    </w:p>
    <w:p>
      <w:pPr>
        <w:ind w:left="640" w:hanging="328"/>
        <w:spacing w:after="0"/>
        <w:tabs>
          <w:tab w:leader="none" w:pos="64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Earnings for ratio consist of income (loss) from continuing operations before income taxes, less income (loss) from equity investees, plus fixed charges.</w:t>
      </w:r>
    </w:p>
    <w:p>
      <w:pPr>
        <w:spacing w:after="0" w:line="185" w:lineRule="exact"/>
        <w:rPr>
          <w:rFonts w:ascii="Arial" w:cs="Arial" w:eastAsia="Arial" w:hAnsi="Arial"/>
          <w:sz w:val="22"/>
          <w:szCs w:val="22"/>
          <w:color w:val="auto"/>
          <w:vertAlign w:val="superscript"/>
        </w:rPr>
      </w:pPr>
    </w:p>
    <w:p>
      <w:pPr>
        <w:ind w:left="640" w:hanging="328"/>
        <w:spacing w:after="0" w:line="224" w:lineRule="auto"/>
        <w:tabs>
          <w:tab w:leader="none" w:pos="64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Due to Itron's losses for the years ended December 31, 2009 and 2007, the coverage ratio was less than 1:1. Additional earnings of $46,351 and $43,908 would have been needed to achieve a coverage ratio of 1:1 in each of those respective periods.</w:t>
      </w:r>
    </w:p>
    <w:p>
      <w:pPr>
        <w:spacing w:after="0" w:line="186" w:lineRule="exact"/>
        <w:rPr>
          <w:rFonts w:ascii="Arial" w:cs="Arial" w:eastAsia="Arial" w:hAnsi="Arial"/>
          <w:sz w:val="22"/>
          <w:szCs w:val="22"/>
          <w:color w:val="auto"/>
          <w:vertAlign w:val="superscript"/>
        </w:rPr>
      </w:pPr>
    </w:p>
    <w:p>
      <w:pPr>
        <w:jc w:val="both"/>
        <w:ind w:left="640" w:hanging="328"/>
        <w:spacing w:after="0" w:line="248" w:lineRule="auto"/>
        <w:tabs>
          <w:tab w:leader="none" w:pos="640" w:val="left"/>
        </w:tabs>
        <w:numPr>
          <w:ilvl w:val="0"/>
          <w:numId w:val="21"/>
        </w:numPr>
        <w:rPr>
          <w:rFonts w:ascii="Arial" w:cs="Arial" w:eastAsia="Arial" w:hAnsi="Arial"/>
          <w:sz w:val="21"/>
          <w:szCs w:val="21"/>
          <w:color w:val="auto"/>
          <w:vertAlign w:val="superscript"/>
        </w:rPr>
      </w:pPr>
      <w:r>
        <w:rPr>
          <w:rFonts w:ascii="Arial" w:cs="Arial" w:eastAsia="Arial" w:hAnsi="Arial"/>
          <w:sz w:val="15"/>
          <w:szCs w:val="15"/>
          <w:color w:val="auto"/>
        </w:rPr>
        <w:t xml:space="preserve">On January 1, 2009, we adopted Financial Accounting Standards Board (FASB) Staff Position (FSP) APB 14-1, </w:t>
      </w:r>
      <w:r>
        <w:rPr>
          <w:rFonts w:ascii="Arial" w:cs="Arial" w:eastAsia="Arial" w:hAnsi="Arial"/>
          <w:sz w:val="15"/>
          <w:szCs w:val="15"/>
          <w:i w:val="1"/>
          <w:iCs w:val="1"/>
          <w:color w:val="auto"/>
        </w:rPr>
        <w:t>Accounting for Convertible Debt Instruments That</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May Be Settled in Cash upon Conversion (Including Partial Cash Settlement) </w:t>
      </w:r>
      <w:r>
        <w:rPr>
          <w:rFonts w:ascii="Arial" w:cs="Arial" w:eastAsia="Arial" w:hAnsi="Arial"/>
          <w:sz w:val="15"/>
          <w:szCs w:val="15"/>
          <w:color w:val="auto"/>
        </w:rPr>
        <w:t>(FSP 14-1) relating to our convertible senior subordinate notes issued in August 2006.</w:t>
      </w:r>
      <w:r>
        <w:rPr>
          <w:rFonts w:ascii="Arial" w:cs="Arial" w:eastAsia="Arial" w:hAnsi="Arial"/>
          <w:sz w:val="15"/>
          <w:szCs w:val="15"/>
          <w:i w:val="1"/>
          <w:iCs w:val="1"/>
          <w:color w:val="auto"/>
        </w:rPr>
        <w:t xml:space="preserve"> </w:t>
      </w:r>
      <w:r>
        <w:rPr>
          <w:rFonts w:ascii="Arial" w:cs="Arial" w:eastAsia="Arial" w:hAnsi="Arial"/>
          <w:sz w:val="15"/>
          <w:szCs w:val="15"/>
          <w:color w:val="auto"/>
        </w:rPr>
        <w:t>(The guidance in FSP 14-1 is now embedded within Accounting Standards Codification</w:t>
      </w:r>
      <w:r>
        <w:rPr>
          <w:rFonts w:ascii="Arial" w:cs="Arial" w:eastAsia="Arial" w:hAnsi="Arial"/>
          <w:sz w:val="20"/>
          <w:szCs w:val="20"/>
          <w:color w:val="auto"/>
          <w:vertAlign w:val="superscript"/>
        </w:rPr>
        <w:t>TM</w:t>
      </w:r>
      <w:r>
        <w:rPr>
          <w:rFonts w:ascii="Arial" w:cs="Arial" w:eastAsia="Arial" w:hAnsi="Arial"/>
          <w:sz w:val="15"/>
          <w:szCs w:val="15"/>
          <w:color w:val="auto"/>
        </w:rPr>
        <w:t xml:space="preserve"> (ASC) 470-20). We used the SEC staff's Alternative A transition election for presenting prior financial information, and therefore the financial information as of and for the year ended December 31, 2006 has not been adjusted and is not comparable to the financial information as of and for the years ended December 31, 2010, 2009, 2008, and 2007.</w:t>
      </w:r>
    </w:p>
    <w:p>
      <w:pPr>
        <w:sectPr>
          <w:pgSz w:w="11900" w:h="16838" w:orient="portrait"/>
          <w:cols w:equalWidth="0" w:num="1">
            <w:col w:w="11400"/>
          </w:cols>
          <w:pgMar w:left="260" w:top="742"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Malcolm Unsworth, certify that:</w:t>
      </w:r>
    </w:p>
    <w:p>
      <w:pPr>
        <w:spacing w:after="0" w:line="17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43"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7080"/>
        <w:spacing w:after="0"/>
        <w:tabs>
          <w:tab w:leader="none" w:pos="8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MALCOLM UNSWORTH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31750</wp:posOffset>
            </wp:positionV>
            <wp:extent cx="24009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39"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Malcolm Unsworth</w:t>
      </w:r>
    </w:p>
    <w:p>
      <w:pPr>
        <w:spacing w:after="0" w:line="27" w:lineRule="exact"/>
        <w:rPr>
          <w:sz w:val="20"/>
          <w:szCs w:val="20"/>
          <w:color w:val="auto"/>
        </w:rPr>
      </w:pPr>
    </w:p>
    <w:p>
      <w:pPr>
        <w:jc w:val="center"/>
        <w:ind w:left="706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2011</w:t>
      </w:r>
    </w:p>
    <w:p>
      <w:pPr>
        <w:sectPr>
          <w:pgSz w:w="11900" w:h="16838" w:orient="portrait"/>
          <w:cols w:equalWidth="0" w:num="1">
            <w:col w:w="11420"/>
          </w:cols>
          <w:pgMar w:left="240" w:top="580"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Steven M. Helmbrecht, certify that:</w:t>
      </w:r>
    </w:p>
    <w:p>
      <w:pPr>
        <w:spacing w:after="0" w:line="17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6"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6820"/>
        <w:spacing w:after="0"/>
        <w:tabs>
          <w:tab w:leader="none" w:pos="8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31750</wp:posOffset>
            </wp:positionV>
            <wp:extent cx="254698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9" w:lineRule="exact"/>
        <w:rPr>
          <w:sz w:val="20"/>
          <w:szCs w:val="20"/>
          <w:color w:val="auto"/>
        </w:rPr>
      </w:pPr>
    </w:p>
    <w:p>
      <w:pPr>
        <w:jc w:val="center"/>
        <w:ind w:left="6780"/>
        <w:spacing w:after="0"/>
        <w:rPr>
          <w:sz w:val="20"/>
          <w:szCs w:val="20"/>
          <w:color w:val="auto"/>
        </w:rPr>
      </w:pPr>
      <w:r>
        <w:rPr>
          <w:rFonts w:ascii="Arial" w:cs="Arial" w:eastAsia="Arial" w:hAnsi="Arial"/>
          <w:sz w:val="18"/>
          <w:szCs w:val="18"/>
          <w:b w:val="1"/>
          <w:bCs w:val="1"/>
          <w:color w:val="auto"/>
        </w:rPr>
        <w:t>Steven M. Helmbrecht</w:t>
      </w:r>
    </w:p>
    <w:p>
      <w:pPr>
        <w:spacing w:after="0" w:line="27" w:lineRule="exact"/>
        <w:rPr>
          <w:sz w:val="20"/>
          <w:szCs w:val="20"/>
          <w:color w:val="auto"/>
        </w:rPr>
      </w:pPr>
    </w:p>
    <w:p>
      <w:pPr>
        <w:jc w:val="center"/>
        <w:ind w:left="6780"/>
        <w:spacing w:after="0"/>
        <w:rPr>
          <w:sz w:val="20"/>
          <w:szCs w:val="20"/>
          <w:color w:val="auto"/>
        </w:rPr>
      </w:pPr>
      <w:r>
        <w:rPr>
          <w:rFonts w:ascii="Arial" w:cs="Arial" w:eastAsia="Arial" w:hAnsi="Arial"/>
          <w:sz w:val="18"/>
          <w:szCs w:val="18"/>
          <w:b w:val="1"/>
          <w:bCs w:val="1"/>
          <w:color w:val="auto"/>
        </w:rPr>
        <w:t>Sr. Vice President and Chief Financial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2011</w:t>
      </w:r>
    </w:p>
    <w:p>
      <w:pPr>
        <w:sectPr>
          <w:pgSz w:w="11900" w:h="16838" w:orient="portrait"/>
          <w:cols w:equalWidth="0" w:num="1">
            <w:col w:w="11420"/>
          </w:cols>
          <w:pgMar w:left="240" w:top="580"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Quarterly Report of Itron, Inc. (the Company) on Form 10-Q for the quarterly period ended June 30, 2011 (the Report) for the purpose of complying with Rule 13a-14(b) or Rule 15d-14(b) of the Securities Exchange Act of 1934 and Section 1350 of Chapter 63 of Title 18 of the United States Code.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Malcolm Unsworth, the Chief Executive Officer and Steven M. Helmbrecht, the Chief Financial Officer of the Company, each certifies that to the best of his knowledge:</w:t>
      </w:r>
    </w:p>
    <w:p>
      <w:pPr>
        <w:spacing w:after="0" w:line="170" w:lineRule="exact"/>
        <w:rPr>
          <w:sz w:val="20"/>
          <w:szCs w:val="20"/>
          <w:color w:val="auto"/>
        </w:rPr>
      </w:pPr>
    </w:p>
    <w:p>
      <w:pPr>
        <w:ind w:left="800" w:hanging="387"/>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00" w:hanging="387"/>
        <w:spacing w:after="0"/>
        <w:tabs>
          <w:tab w:leader="none" w:pos="8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 MALCOLM UNSWORTH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Malcolm Unsworth</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August 1, 2011</w:t>
      </w:r>
    </w:p>
    <w:p>
      <w:pPr>
        <w:spacing w:after="0" w:line="31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Steven M. Helmbrecht</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Sr. Vice President and Chief Financial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August 1, 2011</w:t>
      </w: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
      <w:numFmt w:val="bullet"/>
      <w:start w:val="1"/>
    </w:lvl>
    <w:lvl w:ilvl="1">
      <w:lvlJc w:val="left"/>
      <w:lvlText w:val="◦"/>
      <w:numFmt w:val="bullet"/>
      <w:start w:val="1"/>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2"/>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6"/>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2019-12-10T07:40:30Z</dcterms:created>
  <dcterms:modified xsi:type="dcterms:W3CDTF">2019-12-10T07:40:30Z</dcterms:modified>
</cp:coreProperties>
</file>