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4657411066_101824.txt"/>
      <w:bookmarkStart w:id="1" w:name="ksus4657411066_101824"/>
      <w:bookmarkEnd w:id="0"/>
      <w:bookmarkEnd w:id="1"/>
      <w:r>
        <w:rPr/>
        <w:t>us4657411066_101824.txt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25)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ITRON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465741106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465741106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7636047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7636047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17.0%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ITRON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2111 N MOLTER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LIBERTY LAKE WA 99019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7636047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17.0%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7636047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1 such person, iShares Core S&amp;P Small-Cap ETF,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ITRON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is more than five percent of the total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In accordance with SEC Release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No. 34-39538 (January 12, 1998), this Schedule 13G reflects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beneficially owned, or deemed to be beneficially owned,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BlackRock, Inc. It does not include securities, if 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beneficially owned by certain business units whose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securities is disaggregated from that of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such release.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October 18,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SpiderRock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1787</Words>
  <Characters>9828</Characters>
  <CharactersWithSpaces>11536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