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9, 2024</w:t>
      </w:r>
    </w:p>
    <w:p>
      <w:pPr>
        <w:spacing w:after="0" w:line="22" w:lineRule="exact"/>
        <w:rPr>
          <w:sz w:val="24"/>
          <w:szCs w:val="24"/>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Registration No. 333-40356</w:t>
      </w:r>
    </w:p>
    <w:p>
      <w:pPr>
        <w:spacing w:after="0" w:line="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333-97571</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333-115987</w:t>
      </w:r>
    </w:p>
    <w:p>
      <w:pPr>
        <w:ind w:left="8160"/>
        <w:spacing w:after="0" w:line="229" w:lineRule="auto"/>
        <w:rPr>
          <w:sz w:val="20"/>
          <w:szCs w:val="20"/>
          <w:color w:val="auto"/>
        </w:rPr>
      </w:pPr>
      <w:r>
        <w:rPr>
          <w:rFonts w:ascii="Times New Roman" w:cs="Times New Roman" w:eastAsia="Times New Roman" w:hAnsi="Times New Roman"/>
          <w:sz w:val="16"/>
          <w:szCs w:val="16"/>
          <w:b w:val="1"/>
          <w:bCs w:val="1"/>
          <w:color w:val="auto"/>
        </w:rPr>
        <w:t>Registration No. 333-125461</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333-134749</w:t>
      </w:r>
    </w:p>
    <w:p>
      <w:pPr>
        <w:ind w:left="8160"/>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333-143048</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333-166601</w:t>
      </w:r>
    </w:p>
    <w:p>
      <w:pPr>
        <w:spacing w:after="0" w:line="5"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333-193970</w:t>
      </w:r>
    </w:p>
    <w:p>
      <w:pPr>
        <w:ind w:left="8160"/>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333-195633</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333-218086</w:t>
      </w:r>
    </w:p>
    <w:p>
      <w:pPr>
        <w:spacing w:after="0" w:line="5"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333-226020</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333-40356</w:t>
      </w:r>
    </w:p>
    <w:p>
      <w:pPr>
        <w:spacing w:after="0" w:line="2"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333-97571</w:t>
      </w:r>
    </w:p>
    <w:p>
      <w:pPr>
        <w:ind w:left="1220"/>
        <w:spacing w:after="0" w:line="234"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333-115987</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333-125461</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333-134749</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3 to Form S-8 Registration Statement, No. 333-143048</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333-166601</w:t>
      </w:r>
    </w:p>
    <w:p>
      <w:pPr>
        <w:ind w:left="1220"/>
        <w:spacing w:after="0" w:line="234"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333-193970</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333-195633</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333-218086</w:t>
      </w:r>
    </w:p>
    <w:p>
      <w:pPr>
        <w:ind w:left="122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333-226020</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120"/>
          </w:cols>
          <w:pgMar w:left="1440" w:top="1440" w:right="339" w:bottom="1440" w:gutter="0" w:footer="0" w:header="0"/>
        </w:sectPr>
      </w:pPr>
    </w:p>
    <w:p>
      <w:pPr>
        <w:spacing w:after="0" w:line="27"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91-1011792</w:t>
      </w:r>
    </w:p>
    <w:p>
      <w:pPr>
        <w:spacing w:after="0" w:line="48" w:lineRule="exact"/>
        <w:rPr>
          <w:sz w:val="24"/>
          <w:szCs w:val="24"/>
          <w:color w:val="auto"/>
        </w:rPr>
      </w:pPr>
    </w:p>
    <w:p>
      <w:pPr>
        <w:sectPr>
          <w:pgSz w:w="11900" w:h="16838" w:orient="portrait"/>
          <w:cols w:equalWidth="0" w:num="2">
            <w:col w:w="6240" w:space="720"/>
            <w:col w:w="3160"/>
          </w:cols>
          <w:pgMar w:left="1440" w:top="1440"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(I.R.S. Employer</w:t>
      </w:r>
    </w:p>
    <w:p>
      <w:pPr>
        <w:spacing w:after="0" w:line="42" w:lineRule="exact"/>
        <w:rPr>
          <w:sz w:val="24"/>
          <w:szCs w:val="24"/>
          <w:color w:val="auto"/>
        </w:rPr>
      </w:pPr>
    </w:p>
    <w:p>
      <w:pPr>
        <w:sectPr>
          <w:pgSz w:w="11900" w:h="16838" w:orient="portrait"/>
          <w:cols w:equalWidth="0" w:num="2">
            <w:col w:w="6040" w:space="720"/>
            <w:col w:w="3360"/>
          </w:cols>
          <w:pgMar w:left="1440" w:top="1440"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2">
            <w:col w:w="5980" w:space="720"/>
            <w:col w:w="3420"/>
          </w:cols>
          <w:pgMar w:left="1440" w:top="1440" w:right="339" w:bottom="1440" w:gutter="0" w:footer="0" w:header="0"/>
          <w:type w:val="continuous"/>
        </w:sectPr>
      </w:pPr>
    </w:p>
    <w:p>
      <w:pPr>
        <w:spacing w:after="0" w:line="1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ITRON, INC. AMENDED AND RESTATED 2000 STOCK INCENTIVE PLAN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ITRON, INC. THIRD AMENDED AND RESTATED 2010 STOCK INCENTIVE PLAN</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ectPr>
          <w:pgSz w:w="11900" w:h="16838" w:orient="portrait"/>
          <w:cols w:equalWidth="0" w:num="1">
            <w:col w:w="10120"/>
          </w:cols>
          <w:pgMar w:left="1440" w:top="1440" w:right="339" w:bottom="1440"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57"/>
        </w:trPr>
        <w:tc>
          <w:tcPr>
            <w:tcW w:w="3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r>
      <w:tr>
        <w:trPr>
          <w:trHeight w:val="303"/>
        </w:trPr>
        <w:tc>
          <w:tcPr>
            <w:tcW w:w="3800" w:type="dxa"/>
            <w:vAlign w:val="bottom"/>
          </w:tcPr>
          <w:p>
            <w:pPr>
              <w:spacing w:after="0"/>
              <w:rPr>
                <w:sz w:val="24"/>
                <w:szCs w:val="24"/>
                <w:color w:val="auto"/>
              </w:rPr>
            </w:pP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8"/>
              </w:rPr>
              <w:t xml:space="preserve">Emerging growth company </w:t>
            </w:r>
            <w:r>
              <w:rPr>
                <w:rFonts w:ascii="MS PGothic" w:cs="MS PGothic" w:eastAsia="MS PGothic" w:hAnsi="MS PGothic"/>
                <w:sz w:val="18"/>
                <w:szCs w:val="18"/>
                <w:color w:val="auto"/>
                <w:w w:val="98"/>
              </w:rPr>
              <w:t>☐</w:t>
            </w:r>
          </w:p>
        </w:tc>
      </w:tr>
    </w:tbl>
    <w:p>
      <w:pPr>
        <w:spacing w:after="0" w:line="29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Itron, Inc., a Washington corporation (“Itron” or the “Registrant”), previously registered the offering of shares of the Registrant’s common stock, no par value per share (the “Common Stock”), issuable under the Itron, Inc. Amended and Restated 2000 Stock Incentive Plan (the “2000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2000 Plan, the Registrant has previously filed with the Securities and Exchange Commission (the “Commission”) a Form S-8 Registration Statement, No. 333-40356, on June 28, 2000; a Form S-8 Registration Statement, No. 333-97571, on August 2, 2002; a Form S-8 Registration Statement, No. 333-115987, on May 28, 2004; a Form S-8 Registration Statement, No. 333-125461, on June 3, 2005; a Form S-8 Registration Statement, No. 333-134749, on June 6, 2006; a Form S-8 Registration Statement, No. 333-143048, on May 17, 2007; and in connection with the Itron, Inc. Third Amended and Restated 2010 Stock Incentive Plan (the “2010 Plan”), a Form S-8 Registration Statement, No. 333-166601, on May 6, 2010; a Form S-8 Registration Statement, No. 333-193970, on February 14, 2014; a Form S-8 Registration Statement, No. 333-195633, on May 1, 2014; a Form S-8 Registration Statement, No. 333-218086, on May 18, 2017; and a Form S-8 Registration Statement, No. 333-226020, on June 29, 2018 (collectively, the “Prior Registration Statements”);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2010 Plan, which was originally approved on May 4, 2010, replaced the 2000 Plan and no further awards were able be made under the 2000 Plan. The 2010 Plan was most recently amended on May 9, 2024 (the “Effective Date”) to reserve an additional 3,000,000 shares for issuance under the 2010 Plan (the “New Shares”) and also provides for the reallocation of shares of Common Stock previously subject to awards under the 2000 Plan that are forfeited, expire or are otherwise cancelled or settled in cash after the initial adoption of the 2010 Plan to the 2010 Plan, which number of shares equals 634,000 shares of Common Stock (the “2000 Carryover Shares”).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Therefore, in addition to filing this Post-Effective Amendment to Form S-8 to the Prior Registration Statements (the “Post-Effective Amendment”), pursuant to the undertaking in Item 512(a)(1)(iii) of Regulation S-K that the Registrant disclose a material change in the plan of distribution as it was originally disclosed in the Prior Registration Statements and Commission Compliance and Disclosure Interpretation 126.43, the Registrant is filing this Post-Effective Amendment to reflect that, as of the Effective Date, the 2000 Carryover Shares may be issued under the 2010 Plan and to file as an exhibit hereto a copy of the 2010 Plan and a new opinion as to the validity of the 2000 Carryover Shares that may be issued under the 2010 Plan. This Post-Effective Amendment amends and supplements the items contained in the Prior Registration Statements. All other items of the Prior Registration Statements are incorporated herein by reference without change.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 is concurrently filing a separate registration statement on Form S-8 to register the New Shares for offer or sale pursuant to the 2010 Plan, excluding the 2000 Carryover Shares.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and delivered to participants as specified by Rule 428(b)(1) under the Securities Act. Such documents are not required to be, and are not, filed with the Securities and Exchange Commission (the “Commission”) either as part of this Registration Statement or as prospectuses or prospectus supplements pursuant to Rule 424 of the Securities Act.</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with the Commission by the Registrant are hereby incorporated by reference in this Registration Statement:</w:t>
      </w:r>
    </w:p>
    <w:p>
      <w:pPr>
        <w:spacing w:after="0" w:line="333" w:lineRule="exact"/>
        <w:rPr>
          <w:sz w:val="20"/>
          <w:szCs w:val="20"/>
          <w:color w:val="auto"/>
        </w:rPr>
      </w:pPr>
    </w:p>
    <w:p>
      <w:pPr>
        <w:ind w:left="1720" w:hanging="722"/>
        <w:spacing w:after="0"/>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year ended December 31, 2023, filed on February 26, 2024;</w:t>
      </w:r>
    </w:p>
    <w:p>
      <w:pPr>
        <w:spacing w:after="0" w:line="333" w:lineRule="exact"/>
        <w:rPr>
          <w:rFonts w:ascii="Times New Roman" w:cs="Times New Roman" w:eastAsia="Times New Roman" w:hAnsi="Times New Roman"/>
          <w:sz w:val="18"/>
          <w:szCs w:val="18"/>
          <w:color w:val="auto"/>
        </w:rPr>
      </w:pPr>
    </w:p>
    <w:p>
      <w:pPr>
        <w:ind w:left="1720" w:hanging="722"/>
        <w:spacing w:after="0"/>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quarter ended March 31, 2024, filed on May 2, 2024;</w:t>
      </w:r>
    </w:p>
    <w:p>
      <w:pPr>
        <w:spacing w:after="0" w:line="333" w:lineRule="exact"/>
        <w:rPr>
          <w:rFonts w:ascii="Times New Roman" w:cs="Times New Roman" w:eastAsia="Times New Roman" w:hAnsi="Times New Roman"/>
          <w:sz w:val="18"/>
          <w:szCs w:val="18"/>
          <w:color w:val="auto"/>
        </w:rPr>
      </w:pPr>
    </w:p>
    <w:p>
      <w:pPr>
        <w:jc w:val="both"/>
        <w:ind w:left="1720" w:right="20" w:hanging="722"/>
        <w:spacing w:after="0" w:line="266" w:lineRule="auto"/>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on March 5, 2024 and May 9, 2024, provided that any portions of such reports that are deemed furnished and not filed pursuant to instructions to Form 8-K shall not be incorporated by reference into this Registration Statement; and</w:t>
      </w:r>
    </w:p>
    <w:p>
      <w:pPr>
        <w:spacing w:after="0" w:line="283" w:lineRule="exact"/>
        <w:rPr>
          <w:rFonts w:ascii="Times New Roman" w:cs="Times New Roman" w:eastAsia="Times New Roman" w:hAnsi="Times New Roman"/>
          <w:sz w:val="18"/>
          <w:szCs w:val="18"/>
          <w:color w:val="auto"/>
        </w:rPr>
      </w:pPr>
    </w:p>
    <w:p>
      <w:pPr>
        <w:ind w:left="1720" w:right="40" w:hanging="722"/>
        <w:spacing w:after="0" w:line="282" w:lineRule="auto"/>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as set forth as Exhibit 4.12 in the Registrant’s Annual Report on Form 10-K for the year ended December 31, 2022, filed on February 27, 2023.</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Itron,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2111 N. Molter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Liberty Lake, Washington 99019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(509) 924-9900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286" w:lineRule="exact"/>
        <w:rPr>
          <w:sz w:val="20"/>
          <w:szCs w:val="20"/>
          <w:color w:val="auto"/>
        </w:rPr>
      </w:pPr>
    </w:p>
    <w:p>
      <w:pPr>
        <w:ind w:left="1320" w:hanging="64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finally adjudged to be intentional misconduct or a knowing violation of the law;</w:t>
      </w:r>
    </w:p>
    <w:p>
      <w:pPr>
        <w:spacing w:after="0" w:line="292" w:lineRule="exact"/>
        <w:rPr>
          <w:rFonts w:ascii="Times New Roman" w:cs="Times New Roman" w:eastAsia="Times New Roman" w:hAnsi="Times New Roman"/>
          <w:sz w:val="18"/>
          <w:szCs w:val="18"/>
          <w:color w:val="auto"/>
        </w:rPr>
      </w:pPr>
    </w:p>
    <w:p>
      <w:pPr>
        <w:ind w:left="1320" w:hanging="64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a director or officer finally adjudged to be an unlawful distribution; or</w:t>
      </w:r>
    </w:p>
    <w:p>
      <w:pPr>
        <w:spacing w:after="0" w:line="292" w:lineRule="exact"/>
        <w:rPr>
          <w:rFonts w:ascii="Times New Roman" w:cs="Times New Roman" w:eastAsia="Times New Roman" w:hAnsi="Times New Roman"/>
          <w:sz w:val="18"/>
          <w:szCs w:val="18"/>
          <w:color w:val="auto"/>
        </w:rPr>
      </w:pPr>
    </w:p>
    <w:p>
      <w:pPr>
        <w:ind w:left="1320" w:right="20" w:hanging="646"/>
        <w:spacing w:after="0" w:line="237" w:lineRule="auto"/>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3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38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23.2</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5683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28"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
        <w:r>
          <w:rPr>
            <w:rFonts w:ascii="Times New Roman" w:cs="Times New Roman" w:eastAsia="Times New Roman" w:hAnsi="Times New Roman"/>
            <w:sz w:val="18"/>
            <w:szCs w:val="18"/>
            <w:u w:val="single" w:color="auto"/>
            <w:color w:val="0000FF"/>
          </w:rPr>
          <w:t>Itron, Inc. Third Amended and Restated 2010 Stock Incentive Plan (incorporated by reference to the Registrant’s Definitive</w:t>
        </w:r>
      </w:hyperlink>
      <w:r>
        <w:rPr>
          <w:rFonts w:ascii="Times New Roman" w:cs="Times New Roman" w:eastAsia="Times New Roman" w:hAnsi="Times New Roman"/>
          <w:sz w:val="18"/>
          <w:szCs w:val="18"/>
          <w:u w:val="single" w:color="auto"/>
          <w:color w:val="0000FF"/>
        </w:rPr>
        <w:t xml:space="preserve"> </w:t>
      </w:r>
      <w:hyperlink r:id="rId10">
        <w:r>
          <w:rPr>
            <w:rFonts w:ascii="Times New Roman" w:cs="Times New Roman" w:eastAsia="Times New Roman" w:hAnsi="Times New Roman"/>
            <w:sz w:val="18"/>
            <w:szCs w:val="18"/>
            <w:u w:val="single" w:color="auto"/>
            <w:color w:val="0000FF"/>
          </w:rPr>
          <w:t>Proxy Statement on Schedule 14A filed with the Commission on March 19, 2024)</w:t>
        </w:r>
      </w:hyperlink>
    </w:p>
    <w:p>
      <w:pPr>
        <w:spacing w:after="0" w:line="226" w:lineRule="exact"/>
        <w:rPr>
          <w:sz w:val="20"/>
          <w:szCs w:val="20"/>
          <w:color w:val="auto"/>
        </w:rPr>
      </w:pPr>
    </w:p>
    <w:p>
      <w:pPr>
        <w:ind w:right="100"/>
        <w:spacing w:after="0" w:line="236" w:lineRule="auto"/>
        <w:rPr>
          <w:rFonts w:ascii="Times New Roman" w:cs="Times New Roman" w:eastAsia="Times New Roman" w:hAnsi="Times New Roman"/>
          <w:sz w:val="17"/>
          <w:szCs w:val="17"/>
          <w:u w:val="single" w:color="auto"/>
          <w:color w:val="0000FF"/>
        </w:rPr>
      </w:pPr>
      <w:hyperlink r:id="rId11">
        <w:r>
          <w:rPr>
            <w:rFonts w:ascii="Times New Roman" w:cs="Times New Roman" w:eastAsia="Times New Roman" w:hAnsi="Times New Roman"/>
            <w:sz w:val="17"/>
            <w:szCs w:val="17"/>
            <w:u w:val="single" w:color="auto"/>
            <w:color w:val="0000FF"/>
          </w:rPr>
          <w:t>Amended and Restated Articles of Incorporation of Itron, Inc. (incorporated by reference to Exhibit 3.1 to the Registrant’s</w:t>
        </w:r>
      </w:hyperlink>
      <w:r>
        <w:rPr>
          <w:rFonts w:ascii="Times New Roman" w:cs="Times New Roman" w:eastAsia="Times New Roman" w:hAnsi="Times New Roman"/>
          <w:sz w:val="17"/>
          <w:szCs w:val="17"/>
          <w:u w:val="single" w:color="auto"/>
          <w:color w:val="0000FF"/>
        </w:rPr>
        <w:t xml:space="preserve"> </w:t>
      </w:r>
      <w:hyperlink r:id="rId11">
        <w:r>
          <w:rPr>
            <w:rFonts w:ascii="Times New Roman" w:cs="Times New Roman" w:eastAsia="Times New Roman" w:hAnsi="Times New Roman"/>
            <w:sz w:val="17"/>
            <w:szCs w:val="17"/>
            <w:u w:val="single" w:color="auto"/>
            <w:color w:val="0000FF"/>
          </w:rPr>
          <w:t>Annual Report on Form 10-K for the fiscal year ended December 31, 2022, as filed with the Commission on March 27,</w:t>
        </w:r>
      </w:hyperlink>
    </w:p>
    <w:p>
      <w:pPr>
        <w:spacing w:after="0"/>
        <w:rPr>
          <w:rFonts w:ascii="Times New Roman" w:cs="Times New Roman" w:eastAsia="Times New Roman" w:hAnsi="Times New Roman"/>
          <w:sz w:val="18"/>
          <w:szCs w:val="18"/>
          <w:u w:val="single" w:color="auto"/>
          <w:color w:val="0000FF"/>
        </w:rPr>
      </w:pPr>
      <w:hyperlink r:id="rId11">
        <w:r>
          <w:rPr>
            <w:rFonts w:ascii="Times New Roman" w:cs="Times New Roman" w:eastAsia="Times New Roman" w:hAnsi="Times New Roman"/>
            <w:sz w:val="18"/>
            <w:szCs w:val="18"/>
            <w:u w:val="single" w:color="auto"/>
            <w:color w:val="0000FF"/>
          </w:rPr>
          <w:t>2023)</w:t>
        </w:r>
      </w:hyperlink>
    </w:p>
    <w:p>
      <w:pPr>
        <w:spacing w:after="0" w:line="219"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Amended and Restated Bylaws of Itron, Inc. (incorporated by reference to Exhibit 3.2 to the Registrant’s Annual Report on</w:t>
        </w:r>
      </w:hyperlink>
      <w:r>
        <w:rPr>
          <w:rFonts w:ascii="Times New Roman" w:cs="Times New Roman" w:eastAsia="Times New Roman" w:hAnsi="Times New Roman"/>
          <w:sz w:val="18"/>
          <w:szCs w:val="18"/>
          <w:u w:val="single" w:color="auto"/>
          <w:color w:val="0000FF"/>
        </w:rPr>
        <w:t xml:space="preserve"> </w:t>
      </w:r>
      <w:hyperlink r:id="rId12">
        <w:r>
          <w:rPr>
            <w:rFonts w:ascii="Times New Roman" w:cs="Times New Roman" w:eastAsia="Times New Roman" w:hAnsi="Times New Roman"/>
            <w:sz w:val="18"/>
            <w:szCs w:val="18"/>
            <w:u w:val="single" w:color="auto"/>
            <w:color w:val="0000FF"/>
          </w:rPr>
          <w:t>Form 10-K for the fiscal year ended December 31, 2021, as filed with the Commission on February 28, 2022)</w:t>
        </w:r>
      </w:hyperlink>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Opinion of Perkins Coie LP regarding legality of the Common Stock being registered (filed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Deloitte &amp; Touche LLP (filed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Perkins Coie LLP (included in Opinion of Perkins Coie LP filed as Exhibit 5.1)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(see signature page)</w:t>
      </w:r>
    </w:p>
    <w:p>
      <w:pPr>
        <w:sectPr>
          <w:pgSz w:w="11900" w:h="16838" w:orient="portrait"/>
          <w:cols w:equalWidth="0" w:num="2">
            <w:col w:w="1580" w:space="720"/>
            <w:col w:w="8900"/>
          </w:cols>
          <w:pgMar w:left="320" w:top="141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310" w:lineRule="exact"/>
        <w:rPr>
          <w:sz w:val="20"/>
          <w:szCs w:val="20"/>
          <w:color w:val="auto"/>
        </w:rPr>
      </w:pPr>
    </w:p>
    <w:p>
      <w:pPr>
        <w:ind w:left="480" w:hanging="45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38"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20" w:hanging="220"/>
        <w:spacing w:after="0"/>
        <w:tabs>
          <w:tab w:leader="none" w:pos="12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firstLine="1000"/>
        <w:spacing w:after="0" w:line="256" w:lineRule="auto"/>
        <w:tabs>
          <w:tab w:leader="none" w:pos="127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firstLine="1000"/>
        <w:spacing w:after="0" w:line="282" w:lineRule="auto"/>
        <w:tabs>
          <w:tab w:leader="none" w:pos="131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992"/>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 1934 that are incorporated by reference herein.</w:t>
      </w:r>
    </w:p>
    <w:p>
      <w:pPr>
        <w:spacing w:after="0" w:line="175" w:lineRule="exact"/>
        <w:rPr>
          <w:sz w:val="20"/>
          <w:szCs w:val="20"/>
          <w:color w:val="auto"/>
        </w:rPr>
      </w:pPr>
    </w:p>
    <w:p>
      <w:pPr>
        <w:jc w:val="both"/>
        <w:ind w:firstLine="1000"/>
        <w:spacing w:after="0" w:line="266" w:lineRule="auto"/>
        <w:tabs>
          <w:tab w:leader="none" w:pos="12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right="20" w:firstLine="1000"/>
        <w:spacing w:after="0" w:line="282" w:lineRule="auto"/>
        <w:tabs>
          <w:tab w:leader="none" w:pos="126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42" w:lineRule="exact"/>
        <w:rPr>
          <w:rFonts w:ascii="Times New Roman" w:cs="Times New Roman" w:eastAsia="Times New Roman" w:hAnsi="Times New Roman"/>
          <w:sz w:val="18"/>
          <w:szCs w:val="18"/>
          <w:color w:val="auto"/>
        </w:rPr>
      </w:pPr>
    </w:p>
    <w:p>
      <w:pPr>
        <w:jc w:val="both"/>
        <w:ind w:left="480" w:right="20" w:hanging="454"/>
        <w:spacing w:after="0" w:line="258"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372" w:lineRule="exact"/>
        <w:rPr>
          <w:rFonts w:ascii="Times New Roman" w:cs="Times New Roman" w:eastAsia="Times New Roman" w:hAnsi="Times New Roman"/>
          <w:sz w:val="18"/>
          <w:szCs w:val="18"/>
          <w:color w:val="auto"/>
        </w:rPr>
      </w:pPr>
    </w:p>
    <w:p>
      <w:pPr>
        <w:jc w:val="both"/>
        <w:ind w:left="480" w:right="20" w:hanging="454"/>
        <w:spacing w:after="0" w:line="254"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240"/>
          </w:cols>
          <w:pgMar w:left="320" w:top="1413"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the City of Liberty Lake, State of Washington,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3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Itron, Inc.</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1568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413" w:right="339" w:bottom="1440" w:gutter="0" w:footer="0" w:header="0"/>
        </w:sectPr>
      </w:pPr>
    </w:p>
    <w:bookmarkStart w:id="8" w:name="page9"/>
    <w:bookmarkEnd w:id="8"/>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including any and all post-effective amendments.</w:t>
      </w:r>
    </w:p>
    <w:p>
      <w:pPr>
        <w:spacing w:after="0" w:line="17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below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2024.</w:t>
      </w:r>
    </w:p>
    <w:p>
      <w:pPr>
        <w:sectPr>
          <w:pgSz w:w="11900" w:h="16838" w:orient="portrait"/>
          <w:cols w:equalWidth="0" w:num="1">
            <w:col w:w="11240"/>
          </w:cols>
          <w:pgMar w:left="320" w:top="1440" w:right="339" w:bottom="1440" w:gutter="0" w:footer="0" w:header="0"/>
        </w:sectPr>
      </w:pPr>
    </w:p>
    <w:p>
      <w:pPr>
        <w:spacing w:after="0" w:line="37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23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5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THOMAS L. DEITRICH</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24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DIANA D. TREMBLAY</w:t>
      </w: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Diana D. Tremblay</w:t>
      </w:r>
    </w:p>
    <w:p>
      <w:pPr>
        <w:spacing w:after="0" w:line="24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MARY C. HEMMINGSEN</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Mary C. Hemmingsen</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FRANK M. JAEHNERT</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Frank M. Jaehnert</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JEROME J. LANDE</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Jerome J. Lande</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TIMOTHY M. LEYDEN</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Timothy M. Leyden</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/s/ SANJAY MIRCHANDANI</w:t>
      </w:r>
    </w:p>
    <w:p>
      <w:pPr>
        <w:spacing w:after="0" w:line="3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Sanjay Mirchandani</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SANTIAGO PEREZ</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Santiago Perez</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LYNDA L. ZIEGLER</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Lynda L. Ziegler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19685</wp:posOffset>
            </wp:positionV>
            <wp:extent cx="3745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5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p>
      <w:pPr>
        <w:spacing w:after="0" w:line="2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Chair of the Board, Director</w:t>
      </w:r>
    </w:p>
    <w:p>
      <w:pPr>
        <w:spacing w:after="0" w:line="200" w:lineRule="exact"/>
        <w:rPr>
          <w:sz w:val="20"/>
          <w:szCs w:val="20"/>
          <w:color w:val="auto"/>
        </w:rPr>
      </w:pPr>
    </w:p>
    <w:p>
      <w:pPr>
        <w:spacing w:after="0" w:line="3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2">
            <w:col w:w="5680" w:space="720"/>
            <w:col w:w="4840"/>
          </w:cols>
          <w:pgMar w:left="320" w:top="1440" w:right="3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349240" cy="779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534924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9,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2111 N. Molter Road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Liberty Lake, WA 99019</w:t>
      </w:r>
    </w:p>
    <w:p>
      <w:pPr>
        <w:spacing w:after="0" w:line="23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Re: Post-Effective Amendments to Registration Statements on Form S-8 of Shares of Common Stock, no par value per share, of Itron,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We have acted as special counsel to you to render this opinion in connection with the Post-Effective Amendments to the following Registration Statements on Form S-8 (together, the "Post-Effective Amendment") under the Securities Act of 1933, as amended (the "Act"), which you are filing with the Securities and Exchange Commission (the "Commission") with respect to 634,000 shares of Itron, Inc. common stock, no par value (the "2000 Carryover Shares"), that were forfeited, expired or are otherwise cancelled or settled in cash after the initial adoption of the Third Amended and Restated 2010 Stock Incentive Plan (the “2010 Plan"), were originally registered for issuance under the Itron, Inc. Amended and Restated 2000 Stock Incentive Plan, and are being reallocated for issuance pursuant to the 2010 Plan.</w:t>
      </w:r>
    </w:p>
    <w:p>
      <w:pPr>
        <w:spacing w:after="0" w:line="18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333-40356</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333-97571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333-115987</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333-125461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333-134749</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3 to Form S-8 Registration Statement, No. 333-143048</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333-166601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333-193970</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333-195633</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333-218086</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333-226020</w:t>
      </w:r>
    </w:p>
    <w:p>
      <w:pPr>
        <w:sectPr>
          <w:pgSz w:w="11900" w:h="16838" w:orient="portrait"/>
          <w:cols w:equalWidth="0" w:num="1">
            <w:col w:w="11240"/>
          </w:cols>
          <w:pgMar w:left="320" w:top="122"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1"/>
          <w:szCs w:val="21"/>
          <w:color w:val="auto"/>
        </w:rPr>
        <w:t>We have examined the Post-Effective Amendment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Based upon and subject to the foregoing, we are of the opinion that any original issuance 2000 Carryover Shares that may be issued pursuant to the 2010 Plan, upon the registration by the registrar of such 2000 Carryover Shares and the issuance thereof by Itron, Inc. in accordance with the terms of the 2010 Plan, and the receipt of consideration therefor in accordance with the terms of the 2010 Plan, will be legally issued, fully paid and nonassessable.</w:t>
      </w:r>
    </w:p>
    <w:p>
      <w:pPr>
        <w:spacing w:after="0" w:line="176"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2"/>
          <w:szCs w:val="22"/>
          <w:color w:val="auto"/>
        </w:rPr>
        <w:t>We hereby consent to the filing of this opinion as an exhibit to the Post-Effective Amendment. In giving such consent, we do not admit that we are in the category of persons whose consent is required under Section 7 of the Act or the rules and regulations of the Commission thereunder.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Perkins Coie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20"/>
          </w:cols>
          <w:pgMar w:left="320" w:top="1440" w:right="35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37760"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9377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alibri" w:cs="Calibri" w:eastAsia="Calibri" w:hAnsi="Calibri"/>
          <w:sz w:val="20"/>
          <w:szCs w:val="20"/>
          <w:color w:val="auto"/>
        </w:rPr>
        <w:t>CONSENT OF INDEPENDENT REGISTERED PUBLIC ACCOUNTING FIRM</w:t>
      </w:r>
    </w:p>
    <w:p>
      <w:pPr>
        <w:spacing w:after="0" w:line="144"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We consent to the incorporaton by reference in this Post-Efectve Amendments to Registraton Statements No. 333-40356, No. 333-97571, No. 333-115987, No. 333-125461, No. 333-134749, No. 333-143048, No. 333-166601, No. 333-193970, No. 333-195633, No. 333-218086 and No. 333-226020 on Form S-8 of our reports dated February 26, 2024 relatng to the fnancial statements of Itron, Inc. and the efectveness of Itron, Inc.'s internal control over fnancial reportng, appearing in the Annual Report on Form 10-K of Itron, Inc. for the year ended December 31, 2023.</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20"/>
          <w:szCs w:val="20"/>
          <w:color w:val="auto"/>
        </w:rPr>
        <w:t>/s/ DELOITTE &amp; TOUCHE LLP</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Seatle, Washington</w:t>
      </w:r>
    </w:p>
    <w:p>
      <w:pPr>
        <w:spacing w:after="0" w:line="225" w:lineRule="auto"/>
        <w:rPr>
          <w:sz w:val="20"/>
          <w:szCs w:val="20"/>
          <w:color w:val="auto"/>
        </w:rPr>
      </w:pPr>
      <w:r>
        <w:rPr>
          <w:rFonts w:ascii="Calibri" w:cs="Calibri" w:eastAsia="Calibri" w:hAnsi="Calibri"/>
          <w:sz w:val="20"/>
          <w:szCs w:val="20"/>
          <w:color w:val="auto"/>
        </w:rPr>
        <w:t>May 9, 2024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upperLetter"/>
      <w:start w:val="1"/>
    </w:lvl>
    <w:lvl w:ilvl="1">
      <w:lvlJc w:val="left"/>
      <w:lvlText w:val="(%2)"/>
      <w:numFmt w:val="decimal"/>
      <w:start w:val="2"/>
    </w:lvl>
  </w:abstractNum>
  <w:abstractNum w:abstractNumId="4">
    <w:nsid w:val="3D1B58BA"/>
    <w:multiLevelType w:val="hybridMultilevel"/>
    <w:lvl w:ilvl="0">
      <w:lvlJc w:val="left"/>
      <w:lvlText w:val="%1."/>
      <w:numFmt w:val="upperLetter"/>
      <w:start w:val="2"/>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jpeg"/><Relationship Id="rId17" Type="http://schemas.openxmlformats.org/officeDocument/2006/relationships/image" Target="media/image7.jpeg"/><Relationship Id="rId10" Type="http://schemas.openxmlformats.org/officeDocument/2006/relationships/hyperlink" Target="https://www.sec.gov/ix?doc=/Archives/edgar/data/780571/000114036124014059/ny20010140x2_def14a.htm" TargetMode="External"/><Relationship Id="rId11" Type="http://schemas.openxmlformats.org/officeDocument/2006/relationships/hyperlink" Target="https://www.sec.gov/ix?doc=/Archives/edgar/data/780571/000078057123000010/itri-20221231.htm" TargetMode="External"/><Relationship Id="rId12" Type="http://schemas.openxmlformats.org/officeDocument/2006/relationships/hyperlink" Target="https://www.sec.gov/ix?doc=/Archives/edgar/data/780571/000078057122000004/itri-2021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2024-05-10T05:13:03Z</dcterms:created>
  <dcterms:modified xsi:type="dcterms:W3CDTF">2024-05-10T05:13:03Z</dcterms:modified>
</cp:coreProperties>
</file>