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354965</wp:posOffset>
            </wp:positionV>
            <wp:extent cx="70580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158750</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ind w:left="660" w:right="1540" w:hanging="611"/>
        <w:spacing w:after="0" w:line="279" w:lineRule="auto"/>
        <w:tabs>
          <w:tab w:leader="none" w:pos="74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740" w:hanging="691"/>
        <w:spacing w:after="0" w:line="204" w:lineRule="auto"/>
        <w:tabs>
          <w:tab w:leader="none" w:pos="7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6"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420"/>
          </w:cols>
          <w:pgMar w:left="240" w:top="606" w:right="239" w:bottom="1440" w:gutter="0" w:footer="0" w:header="0"/>
        </w:sectPr>
      </w:pPr>
    </w:p>
    <w:p>
      <w:pPr>
        <w:spacing w:after="0" w:line="14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75" w:lineRule="exact"/>
        <w:rPr>
          <w:sz w:val="24"/>
          <w:szCs w:val="24"/>
          <w:color w:val="auto"/>
        </w:rPr>
      </w:pPr>
    </w:p>
    <w:p>
      <w:pPr>
        <w:sectPr>
          <w:pgSz w:w="11900" w:h="16838" w:orient="portrait"/>
          <w:cols w:equalWidth="0" w:num="2">
            <w:col w:w="7440" w:space="720"/>
            <w:col w:w="3260"/>
          </w:cols>
          <w:pgMar w:left="240" w:top="606" w:right="2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198" w:lineRule="exact"/>
        <w:rPr>
          <w:sz w:val="24"/>
          <w:szCs w:val="24"/>
          <w:color w:val="auto"/>
        </w:rPr>
      </w:pPr>
    </w:p>
    <w:p>
      <w:pPr>
        <w:sectPr>
          <w:pgSz w:w="11900" w:h="16838" w:orient="portrait"/>
          <w:cols w:equalWidth="0" w:num="2">
            <w:col w:w="6300" w:space="720"/>
            <w:col w:w="4400"/>
          </w:cols>
          <w:pgMar w:left="240" w:top="60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29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-431800</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5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8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ITRI</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October 31, 2019, there were outstanding 39,568,376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148590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62865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3080" w:type="dxa"/>
            <w:vAlign w:val="bottom"/>
            <w:gridSpan w:val="3"/>
            <w:vMerge w:val="restart"/>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280" w:type="dxa"/>
            <w:vAlign w:val="bottom"/>
            <w:gridSpan w:val="7"/>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0000EE"/>
            </w:tcBorders>
            <w:gridSpan w:val="3"/>
            <w:vMerge w:val="continue"/>
          </w:tcPr>
          <w:p>
            <w:pPr>
              <w:spacing w:after="0"/>
              <w:rPr>
                <w:sz w:val="15"/>
                <w:szCs w:val="15"/>
                <w:color w:val="auto"/>
              </w:rPr>
            </w:pPr>
          </w:p>
        </w:tc>
        <w:tc>
          <w:tcPr>
            <w:tcW w:w="7280" w:type="dxa"/>
            <w:vAlign w:val="bottom"/>
            <w:gridSpan w:val="7"/>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10360" w:type="dxa"/>
            <w:vAlign w:val="bottom"/>
            <w:gridSpan w:val="10"/>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3">
              <w:r>
                <w:rPr>
                  <w:rFonts w:ascii="Times New Roman" w:cs="Times New Roman" w:eastAsia="Times New Roman" w:hAnsi="Times New Roman"/>
                  <w:sz w:val="18"/>
                  <w:szCs w:val="18"/>
                  <w:color w:val="0000EE"/>
                </w:rPr>
                <w:t>Financial Statements (Unaudited)</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Operations</w:t>
              </w:r>
            </w:hyperlink>
          </w:p>
        </w:tc>
        <w:tc>
          <w:tcPr>
            <w:tcW w:w="7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Comprehensive Income (Loss)</w:t>
              </w:r>
            </w:hyperlink>
          </w:p>
        </w:tc>
        <w:tc>
          <w:tcPr>
            <w:tcW w:w="5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Balance Sheets</w:t>
              </w:r>
            </w:hyperlink>
          </w:p>
        </w:tc>
        <w:tc>
          <w:tcPr>
            <w:tcW w:w="7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Consolidated Statements of Equity</w:t>
              </w:r>
            </w:hyperlink>
          </w:p>
        </w:tc>
        <w:tc>
          <w:tcPr>
            <w:tcW w:w="686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w:t>
              </w:r>
            </w:hyperlink>
          </w:p>
        </w:tc>
        <w:tc>
          <w:tcPr>
            <w:tcW w:w="7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7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3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p>
      <w:pPr>
        <w:ind w:left="1096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31</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51">
        <w:r>
          <w:rPr>
            <w:rFonts w:ascii="Times New Roman" w:cs="Times New Roman" w:eastAsia="Times New Roman" w:hAnsi="Times New Roman"/>
            <w:sz w:val="18"/>
            <w:szCs w:val="18"/>
            <w:u w:val="single" w:color="auto"/>
            <w:color w:val="0000EE"/>
          </w:rPr>
          <w:t>Quantitative and Qualitative Disclosures About Market Risk</w:t>
        </w:r>
      </w:hyperlink>
    </w:p>
    <w:p>
      <w:pPr>
        <w:ind w:left="1096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49</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53">
        <w:r>
          <w:rPr>
            <w:rFonts w:ascii="Times New Roman" w:cs="Times New Roman" w:eastAsia="Times New Roman" w:hAnsi="Times New Roman"/>
            <w:sz w:val="18"/>
            <w:szCs w:val="18"/>
            <w:u w:val="single" w:color="auto"/>
            <w:color w:val="0000EE"/>
          </w:rPr>
          <w:t>Controls and Procedures</w:t>
        </w:r>
      </w:hyperlink>
    </w:p>
    <w:p>
      <w:pPr>
        <w:ind w:left="1096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51</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rFonts w:ascii="Times New Roman" w:cs="Times New Roman" w:eastAsia="Times New Roman" w:hAnsi="Times New Roman"/>
          <w:sz w:val="18"/>
          <w:szCs w:val="18"/>
          <w:b w:val="1"/>
          <w:bCs w:val="1"/>
          <w:u w:val="single" w:color="auto"/>
          <w:color w:val="0000EE"/>
        </w:rPr>
      </w:pPr>
      <w:hyperlink w:anchor="page54">
        <w:r>
          <w:rPr>
            <w:rFonts w:ascii="Times New Roman" w:cs="Times New Roman" w:eastAsia="Times New Roman" w:hAnsi="Times New Roman"/>
            <w:sz w:val="18"/>
            <w:szCs w:val="18"/>
            <w:b w:val="1"/>
            <w:bCs w:val="1"/>
            <w:u w:val="single" w:color="auto"/>
            <w:color w:val="0000EE"/>
          </w:rPr>
          <w:t>PART II: OTHER INFORMATION</w:t>
        </w:r>
      </w:hyperlink>
    </w:p>
    <w:p>
      <w:pPr>
        <w:spacing w:after="0" w:line="200" w:lineRule="exact"/>
        <w:rPr>
          <w:sz w:val="20"/>
          <w:szCs w:val="20"/>
          <w:color w:val="auto"/>
        </w:rPr>
      </w:pPr>
    </w:p>
    <w:p>
      <w:pPr>
        <w:spacing w:after="0" w:line="247"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54">
        <w:r>
          <w:rPr>
            <w:rFonts w:ascii="Times New Roman" w:cs="Times New Roman" w:eastAsia="Times New Roman" w:hAnsi="Times New Roman"/>
            <w:sz w:val="18"/>
            <w:szCs w:val="18"/>
            <w:u w:val="single" w:color="auto"/>
            <w:color w:val="0000EE"/>
          </w:rPr>
          <w:t>Legal Proceedings</w:t>
        </w:r>
      </w:hyperlink>
    </w:p>
    <w:p>
      <w:pPr>
        <w:ind w:left="109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1A: </w:t>
      </w:r>
      <w:hyperlink w:anchor="page54">
        <w:r>
          <w:rPr>
            <w:rFonts w:ascii="Times New Roman" w:cs="Times New Roman" w:eastAsia="Times New Roman" w:hAnsi="Times New Roman"/>
            <w:sz w:val="18"/>
            <w:szCs w:val="18"/>
            <w:u w:val="single" w:color="auto"/>
            <w:color w:val="0000EE"/>
          </w:rPr>
          <w:t>Risk Factors</w:t>
        </w:r>
      </w:hyperlink>
    </w:p>
    <w:p>
      <w:pPr>
        <w:ind w:left="109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54">
        <w:r>
          <w:rPr>
            <w:rFonts w:ascii="Times New Roman" w:cs="Times New Roman" w:eastAsia="Times New Roman" w:hAnsi="Times New Roman"/>
            <w:sz w:val="18"/>
            <w:szCs w:val="18"/>
            <w:u w:val="single" w:color="auto"/>
            <w:color w:val="0000EE"/>
          </w:rPr>
          <w:t>Unregistered Sales of Equity Securities and Use of Proceeds</w:t>
        </w:r>
      </w:hyperlink>
    </w:p>
    <w:p>
      <w:pPr>
        <w:ind w:left="109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5: </w:t>
      </w:r>
      <w:hyperlink w:anchor="page54">
        <w:r>
          <w:rPr>
            <w:rFonts w:ascii="Times New Roman" w:cs="Times New Roman" w:eastAsia="Times New Roman" w:hAnsi="Times New Roman"/>
            <w:sz w:val="18"/>
            <w:szCs w:val="18"/>
            <w:u w:val="single" w:color="auto"/>
            <w:color w:val="0000EE"/>
          </w:rPr>
          <w:t>Other Information</w:t>
        </w:r>
      </w:hyperlink>
    </w:p>
    <w:p>
      <w:pPr>
        <w:ind w:left="109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6: </w:t>
      </w:r>
      <w:hyperlink w:anchor="page55">
        <w:r>
          <w:rPr>
            <w:rFonts w:ascii="Times New Roman" w:cs="Times New Roman" w:eastAsia="Times New Roman" w:hAnsi="Times New Roman"/>
            <w:sz w:val="18"/>
            <w:szCs w:val="18"/>
            <w:u w:val="single" w:color="auto"/>
            <w:color w:val="0000EE"/>
          </w:rPr>
          <w:t>Exhibits</w:t>
        </w:r>
      </w:hyperlink>
    </w:p>
    <w:p>
      <w:pPr>
        <w:ind w:left="1096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53</w:t>
        </w:r>
      </w:hyperlink>
    </w:p>
    <w:p>
      <w:pPr>
        <w:sectPr>
          <w:pgSz w:w="11900" w:h="16838" w:orient="portrait"/>
          <w:cols w:equalWidth="0" w:num="1">
            <w:col w:w="11160"/>
          </w:cols>
          <w:pgMar w:left="24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10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b w:val="1"/>
          <w:bCs w:val="1"/>
          <w:u w:val="single" w:color="auto"/>
          <w:color w:val="0000EE"/>
        </w:rPr>
        <w:t>SIGNATURE</w:t>
      </w:r>
      <w:r>
        <w:rPr>
          <w:sz w:val="20"/>
          <w:szCs w:val="20"/>
          <w:color w:val="auto"/>
        </w:rPr>
        <w:tab/>
      </w:r>
      <w:hyperlink w:anchor="page56">
        <w:r>
          <w:rPr>
            <w:rFonts w:ascii="Times New Roman" w:cs="Times New Roman" w:eastAsia="Times New Roman" w:hAnsi="Times New Roman"/>
            <w:sz w:val="17"/>
            <w:szCs w:val="17"/>
            <w:u w:val="single" w:color="auto"/>
            <w:color w:val="0000EE"/>
          </w:rPr>
          <w:t>54</w:t>
        </w:r>
      </w:hyperlink>
    </w:p>
    <w:p>
      <w:pPr>
        <w:sectPr>
          <w:pgSz w:w="11900" w:h="16838" w:orient="portrait"/>
          <w:cols w:equalWidth="0" w:num="1">
            <w:col w:w="11160"/>
          </w:cols>
          <w:pgMar w:left="240" w:top="121" w:right="49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180" w:type="dxa"/>
            <w:vAlign w:val="bottom"/>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552,897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525,716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1,663,794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1,578,740</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 revenues</w:t>
            </w:r>
          </w:p>
        </w:tc>
        <w:tc>
          <w:tcPr>
            <w:tcW w:w="32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71,577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210,293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210,333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624,474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1,874,087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1,789,073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 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389,778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1,176,913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1,106,586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 cost of revenues</w:t>
            </w:r>
          </w:p>
        </w:tc>
        <w:tc>
          <w:tcPr>
            <w:tcW w:w="32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122,293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128,958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428,070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398,865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1,299,206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1,235,544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196,404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197,097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574,881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553,529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83,666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264,640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332,833</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50,612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150,551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162,298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48,185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53,699</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82,908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156,965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155,421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471,061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631,738</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103,820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37"/>
        </w:trPr>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18,177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38,145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16,847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34,386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(123,127)</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39,177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2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39,903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39,177</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18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(121,710)</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derivative instruments,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designated as cash flow hedges</w:t>
            </w:r>
          </w:p>
        </w:tc>
        <w:tc>
          <w:tcPr>
            <w:tcW w:w="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32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27,396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(136,478)</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income (loss) attributable to</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 net of tax</w:t>
            </w:r>
          </w:p>
        </w:tc>
        <w:tc>
          <w:tcPr>
            <w:tcW w:w="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4,142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720" w:type="dxa"/>
            <w:vAlign w:val="bottom"/>
            <w:gridSpan w:val="10"/>
          </w:tcPr>
          <w:p>
            <w:pPr>
              <w:ind w:left="21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86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128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120,221</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468,477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437,161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231,081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220,674</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126,527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118,085</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896,141</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225,658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226,551</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64,830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2,056</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45,288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202,321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257,583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1,097,408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1,116,533</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2,675,888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2,608,982</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197"/>
        </w:trPr>
        <w:tc>
          <w:tcPr>
            <w:tcW w:w="128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43"/>
        </w:trPr>
        <w:tc>
          <w:tcPr>
            <w:tcW w:w="1280" w:type="dxa"/>
            <w:vAlign w:val="bottom"/>
          </w:tcPr>
          <w:p>
            <w:pPr>
              <w:spacing w:after="0"/>
              <w:rPr>
                <w:sz w:val="21"/>
                <w:szCs w:val="21"/>
                <w:color w:val="auto"/>
              </w:rPr>
            </w:pPr>
          </w:p>
        </w:tc>
        <w:tc>
          <w:tcPr>
            <w:tcW w:w="54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315,394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309,951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70,136</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88,603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14,753</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28,438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47,205</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93,621</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652,707</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930,394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988,185</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warranty</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91,522</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127,739</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1,913,972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1,874,934</w:t>
            </w:r>
          </w:p>
        </w:tc>
      </w:tr>
      <w:tr>
        <w:trPr>
          <w:trHeight w:val="189"/>
        </w:trPr>
        <w:tc>
          <w:tcPr>
            <w:tcW w:w="12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2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5"/>
        </w:trPr>
        <w:tc>
          <w:tcPr>
            <w:tcW w:w="6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no par value, 75,000 shares authorized, 39,533 and 39,498 shares</w:t>
            </w: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issued and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1,335,353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1,334,364</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(425,396)</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737,289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712,663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21,385</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761,916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734,048</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2,675,888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2,608,982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008"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8" w:right="239" w:bottom="1008"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98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gridSpan w:val="3"/>
            <w:vMerge w:val="restart"/>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4"/>
                <w:szCs w:val="4"/>
                <w:color w:val="auto"/>
              </w:rPr>
            </w:pPr>
          </w:p>
        </w:tc>
        <w:tc>
          <w:tcPr>
            <w:tcW w:w="118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4"/>
                <w:szCs w:val="4"/>
                <w:color w:val="auto"/>
              </w:rPr>
            </w:pPr>
          </w:p>
        </w:tc>
        <w:tc>
          <w:tcPr>
            <w:tcW w:w="12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5"/>
                <w:szCs w:val="5"/>
                <w:color w:val="auto"/>
              </w:rPr>
            </w:pP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at January 1, 2019</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39,498</w:t>
            </w:r>
          </w:p>
        </w:tc>
        <w:tc>
          <w:tcPr>
            <w:tcW w:w="1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$1,334,364</w:t>
            </w:r>
          </w:p>
        </w:tc>
        <w:tc>
          <w:tcPr>
            <w:tcW w:w="540" w:type="dxa"/>
            <w:vAlign w:val="bottom"/>
            <w:gridSpan w:val="2"/>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(196,305)</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(425,396)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712,663</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21,385</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734,048</w:t>
            </w:r>
          </w:p>
        </w:tc>
        <w:tc>
          <w:tcPr>
            <w:tcW w:w="0" w:type="dxa"/>
            <w:vAlign w:val="bottom"/>
          </w:tcPr>
          <w:p>
            <w:pPr>
              <w:spacing w:after="0"/>
              <w:rPr>
                <w:sz w:val="1"/>
                <w:szCs w:val="1"/>
                <w:color w:val="auto"/>
              </w:rPr>
            </w:pPr>
          </w:p>
        </w:tc>
      </w:tr>
      <w:tr>
        <w:trPr>
          <w:trHeight w:val="64"/>
        </w:trPr>
        <w:tc>
          <w:tcPr>
            <w:tcW w:w="27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540" w:type="dxa"/>
            <w:vAlign w:val="bottom"/>
            <w:gridSpan w:val="2"/>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Stock issues and repurchases:</w:t>
      </w:r>
    </w:p>
    <w:p>
      <w:pPr>
        <w:sectPr>
          <w:pgSz w:w="11900" w:h="16838" w:orient="portrait"/>
          <w:cols w:equalWidth="0" w:num="1">
            <w:col w:w="11420"/>
          </w:cols>
          <w:pgMar w:left="240" w:top="121" w:right="239" w:bottom="1440" w:gutter="0" w:footer="0" w:header="0"/>
        </w:sectPr>
      </w:pP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Options exercised</w:t>
      </w:r>
    </w:p>
    <w:p>
      <w:pPr>
        <w:spacing w:after="0" w:line="109" w:lineRule="exact"/>
        <w:rPr>
          <w:sz w:val="20"/>
          <w:szCs w:val="20"/>
          <w:color w:val="auto"/>
        </w:rPr>
      </w:pPr>
    </w:p>
    <w:p>
      <w:pPr>
        <w:ind w:left="380" w:right="80"/>
        <w:spacing w:after="0" w:line="261" w:lineRule="auto"/>
        <w:rPr>
          <w:sz w:val="20"/>
          <w:szCs w:val="20"/>
          <w:color w:val="auto"/>
        </w:rPr>
      </w:pPr>
      <w:r>
        <w:rPr>
          <w:rFonts w:ascii="Times New Roman" w:cs="Times New Roman" w:eastAsia="Times New Roman" w:hAnsi="Times New Roman"/>
          <w:sz w:val="14"/>
          <w:szCs w:val="14"/>
          <w:color w:val="auto"/>
        </w:rPr>
        <w:t>Restricted stock awards released net of repurchased shares for taxes</w:t>
      </w:r>
    </w:p>
    <w:p>
      <w:pPr>
        <w:spacing w:after="0" w:line="1" w:lineRule="exact"/>
        <w:rPr>
          <w:sz w:val="20"/>
          <w:szCs w:val="20"/>
          <w:color w:val="auto"/>
        </w:rPr>
      </w:pPr>
    </w:p>
    <w:p>
      <w:pPr>
        <w:ind w:left="380" w:right="120"/>
        <w:spacing w:after="0" w:line="261" w:lineRule="auto"/>
        <w:rPr>
          <w:sz w:val="20"/>
          <w:szCs w:val="20"/>
          <w:color w:val="auto"/>
        </w:rPr>
      </w:pPr>
      <w:r>
        <w:rPr>
          <w:rFonts w:ascii="Times New Roman" w:cs="Times New Roman" w:eastAsia="Times New Roman" w:hAnsi="Times New Roman"/>
          <w:sz w:val="14"/>
          <w:szCs w:val="14"/>
          <w:color w:val="auto"/>
        </w:rPr>
        <w:t>Issuance of stock-based compensation awards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Shares repurchased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Balances at March 31, 2019</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 issues and repurchases: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889</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889</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889</w:t>
            </w:r>
          </w:p>
        </w:tc>
      </w:tr>
      <w:tr>
        <w:trPr>
          <w:trHeight w:val="351"/>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351"/>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r>
      <w:tr>
        <w:trPr>
          <w:trHeight w:val="27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869</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7,048</w:t>
            </w: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7,048</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7,048</w:t>
            </w:r>
          </w:p>
        </w:tc>
      </w:tr>
      <w:tr>
        <w:trPr>
          <w:trHeight w:val="275"/>
        </w:trPr>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(7,814)</w:t>
            </w:r>
          </w:p>
        </w:tc>
        <w:tc>
          <w:tcPr>
            <w:tcW w:w="12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12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(7,814)</w:t>
            </w:r>
          </w:p>
        </w:tc>
      </w:tr>
      <w:tr>
        <w:trPr>
          <w:trHeight w:val="245"/>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39,693</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1,334,793</w:t>
            </w:r>
          </w:p>
        </w:tc>
        <w:tc>
          <w:tcPr>
            <w:tcW w:w="120" w:type="dxa"/>
            <w:vAlign w:val="bottom"/>
          </w:tcPr>
          <w:p>
            <w:pPr>
              <w:spacing w:after="0"/>
              <w:rPr>
                <w:sz w:val="21"/>
                <w:szCs w:val="21"/>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(198,085)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(427,303)</w:t>
            </w:r>
          </w:p>
        </w:tc>
        <w:tc>
          <w:tcPr>
            <w:tcW w:w="10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709,405</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22,626</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732,031</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19,446</w:t>
            </w:r>
          </w:p>
        </w:tc>
        <w:tc>
          <w:tcPr>
            <w:tcW w:w="1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19,446</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20,117</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3,736</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3,736</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-1468120</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-1022350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-678815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-335915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6350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2700" w:space="40"/>
            <w:col w:w="8680"/>
          </w:cols>
          <w:pgMar w:left="240" w:top="121" w:right="2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4"/>
          <w:szCs w:val="14"/>
          <w:color w:val="auto"/>
        </w:rPr>
        <w:t>Options exercised</w:t>
      </w:r>
    </w:p>
    <w:p>
      <w:pPr>
        <w:spacing w:after="0" w:line="109" w:lineRule="exact"/>
        <w:rPr>
          <w:sz w:val="20"/>
          <w:szCs w:val="20"/>
          <w:color w:val="auto"/>
        </w:rPr>
      </w:pPr>
    </w:p>
    <w:p>
      <w:pPr>
        <w:ind w:left="380" w:right="80"/>
        <w:spacing w:after="0" w:line="261" w:lineRule="auto"/>
        <w:rPr>
          <w:sz w:val="20"/>
          <w:szCs w:val="20"/>
          <w:color w:val="auto"/>
        </w:rPr>
      </w:pPr>
      <w:r>
        <w:rPr>
          <w:rFonts w:ascii="Times New Roman" w:cs="Times New Roman" w:eastAsia="Times New Roman" w:hAnsi="Times New Roman"/>
          <w:sz w:val="14"/>
          <w:szCs w:val="14"/>
          <w:color w:val="auto"/>
        </w:rPr>
        <w:t>Restricted stock awards released net of repurchased shares for taxes</w:t>
      </w:r>
    </w:p>
    <w:p>
      <w:pPr>
        <w:spacing w:after="0" w:line="1" w:lineRule="exact"/>
        <w:rPr>
          <w:sz w:val="20"/>
          <w:szCs w:val="20"/>
          <w:color w:val="auto"/>
        </w:rPr>
      </w:pPr>
    </w:p>
    <w:p>
      <w:pPr>
        <w:ind w:left="380" w:right="120"/>
        <w:spacing w:after="0" w:line="261" w:lineRule="auto"/>
        <w:rPr>
          <w:sz w:val="20"/>
          <w:szCs w:val="20"/>
          <w:color w:val="auto"/>
        </w:rPr>
      </w:pPr>
      <w:r>
        <w:rPr>
          <w:rFonts w:ascii="Times New Roman" w:cs="Times New Roman" w:eastAsia="Times New Roman" w:hAnsi="Times New Roman"/>
          <w:sz w:val="14"/>
          <w:szCs w:val="14"/>
          <w:color w:val="auto"/>
        </w:rPr>
        <w:t>Issuance of stock-based compensation awards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Shares repurchased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Balances at June 30, 2019</w:t>
      </w: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 issues and repurchases: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1,501</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1,501</w:t>
            </w:r>
          </w:p>
        </w:tc>
      </w:tr>
      <w:tr>
        <w:trPr>
          <w:trHeight w:val="351"/>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r>
      <w:tr>
        <w:trPr>
          <w:trHeight w:val="351"/>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r>
      <w:tr>
        <w:trPr>
          <w:trHeight w:val="27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742</w:t>
            </w: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742</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742</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6,420</w:t>
            </w: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6,420</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6,420</w:t>
            </w:r>
          </w:p>
        </w:tc>
      </w:tr>
      <w:tr>
        <w:trPr>
          <w:trHeight w:val="275"/>
        </w:trPr>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(17,186)</w:t>
            </w:r>
          </w:p>
        </w:tc>
        <w:tc>
          <w:tcPr>
            <w:tcW w:w="12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2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(17,186)</w:t>
            </w:r>
          </w:p>
        </w:tc>
      </w:tr>
      <w:tr>
        <w:trPr>
          <w:trHeight w:val="245"/>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39,395</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1,325,508</w:t>
            </w:r>
          </w:p>
        </w:tc>
        <w:tc>
          <w:tcPr>
            <w:tcW w:w="120" w:type="dxa"/>
            <w:vAlign w:val="bottom"/>
          </w:tcPr>
          <w:p>
            <w:pPr>
              <w:spacing w:after="0"/>
              <w:rPr>
                <w:sz w:val="21"/>
                <w:szCs w:val="21"/>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(194,349)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(407,857)</w:t>
            </w:r>
          </w:p>
        </w:tc>
        <w:tc>
          <w:tcPr>
            <w:tcW w:w="10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723,302</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23,297</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746,599</w:t>
            </w:r>
          </w:p>
        </w:tc>
      </w:tr>
      <w:tr>
        <w:trPr>
          <w:trHeight w:val="459"/>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16,847</w:t>
            </w:r>
          </w:p>
        </w:tc>
        <w:tc>
          <w:tcPr>
            <w:tcW w:w="10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16,847</w:t>
            </w:r>
          </w:p>
        </w:tc>
        <w:tc>
          <w:tcPr>
            <w:tcW w:w="12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18,177</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(12,705)</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-1588135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-1142365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-798830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-455930</wp:posOffset>
            </wp:positionV>
            <wp:extent cx="72466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-164465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177800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2700" w:space="40"/>
            <w:col w:w="8680"/>
          </w:cols>
          <w:pgMar w:left="240" w:top="121" w:right="2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4"/>
          <w:szCs w:val="14"/>
          <w:color w:val="auto"/>
        </w:rPr>
        <w:t>Options exercised</w:t>
      </w:r>
    </w:p>
    <w:p>
      <w:pPr>
        <w:spacing w:after="0" w:line="109"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4"/>
          <w:szCs w:val="14"/>
          <w:color w:val="auto"/>
        </w:rPr>
        <w:t>Restricted stock awards released net of repurchased shares for taxes</w:t>
      </w:r>
    </w:p>
    <w:p>
      <w:pPr>
        <w:spacing w:after="0" w:line="1" w:lineRule="exact"/>
        <w:rPr>
          <w:sz w:val="20"/>
          <w:szCs w:val="20"/>
          <w:color w:val="auto"/>
        </w:rPr>
      </w:pPr>
    </w:p>
    <w:p>
      <w:pPr>
        <w:ind w:left="380" w:right="40"/>
        <w:spacing w:after="0" w:line="261" w:lineRule="auto"/>
        <w:rPr>
          <w:sz w:val="20"/>
          <w:szCs w:val="20"/>
          <w:color w:val="auto"/>
        </w:rPr>
      </w:pPr>
      <w:r>
        <w:rPr>
          <w:rFonts w:ascii="Times New Roman" w:cs="Times New Roman" w:eastAsia="Times New Roman" w:hAnsi="Times New Roman"/>
          <w:sz w:val="14"/>
          <w:szCs w:val="14"/>
          <w:color w:val="auto"/>
        </w:rPr>
        <w:t>Issuance of stock-based compensation awards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Balances at September 30, 2019</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2,317</w:t>
            </w:r>
          </w:p>
        </w:tc>
      </w:tr>
      <w:tr>
        <w:trPr>
          <w:trHeight w:val="351"/>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r>
      <w:tr>
        <w:trPr>
          <w:trHeight w:val="351"/>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r>
      <w:tr>
        <w:trPr>
          <w:trHeight w:val="27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799</w:t>
            </w:r>
          </w:p>
        </w:tc>
      </w:tr>
      <w:tr>
        <w:trPr>
          <w:trHeight w:val="275"/>
        </w:trPr>
        <w:tc>
          <w:tcPr>
            <w:tcW w:w="8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7,123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7,123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7,123</w:t>
            </w:r>
          </w:p>
        </w:tc>
      </w:tr>
      <w:tr>
        <w:trPr>
          <w:trHeight w:val="237"/>
        </w:trPr>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39,533</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$1,335,353</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(207,054)</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(391,010)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737,289</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24,627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761,916</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-753745</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-359410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2620" w:space="120"/>
            <w:col w:w="8680"/>
          </w:cols>
          <w:pgMar w:left="240" w:top="121"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1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gridSpan w:val="3"/>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27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2018</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38,771</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$1,294,767</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(170,478)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(337,873)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786,416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19,216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805,632</w:t>
            </w:r>
          </w:p>
        </w:tc>
        <w:tc>
          <w:tcPr>
            <w:tcW w:w="0" w:type="dxa"/>
            <w:vAlign w:val="bottom"/>
          </w:tcPr>
          <w:p>
            <w:pPr>
              <w:spacing w:after="0"/>
              <w:rPr>
                <w:sz w:val="1"/>
                <w:szCs w:val="1"/>
                <w:color w:val="auto"/>
              </w:rPr>
            </w:pPr>
          </w:p>
        </w:tc>
      </w:tr>
      <w:tr>
        <w:trPr>
          <w:trHeight w:val="64"/>
        </w:trPr>
        <w:tc>
          <w:tcPr>
            <w:tcW w:w="27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(145,666)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(145,666)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(145,270)</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11,727</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17,883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17,883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17,883</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2,883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2,883</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Issuance of stock-based compensation</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awards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7,888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7,888</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SSNI acquisition adjustments, net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4,140</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2018</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39,181</w:t>
            </w:r>
          </w:p>
        </w:tc>
        <w:tc>
          <w:tcPr>
            <w:tcW w:w="120" w:type="dxa"/>
            <w:vAlign w:val="bottom"/>
          </w:tcPr>
          <w:p>
            <w:pPr>
              <w:spacing w:after="0"/>
              <w:rPr>
                <w:sz w:val="15"/>
                <w:szCs w:val="15"/>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1,310,379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(152,595)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(471,812)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685,972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18,631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704,603</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3,773</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(33,273)</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from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Issuance of stock-based compensation</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awards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8,317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8,317</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SSNI acquisition adjustments, net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2018</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39,279</w:t>
            </w:r>
          </w:p>
        </w:tc>
        <w:tc>
          <w:tcPr>
            <w:tcW w:w="120" w:type="dxa"/>
            <w:vAlign w:val="bottom"/>
          </w:tcPr>
          <w:p>
            <w:pPr>
              <w:spacing w:after="0"/>
              <w:rPr>
                <w:sz w:val="15"/>
                <w:szCs w:val="15"/>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1,317,781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(185,868)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(469,155)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662,758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20,228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682,986</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19,882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19,787</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issues and repurchases: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Options exercised</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2,364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Restricted stock awards released</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Issuance of stock-based compensation</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3"/>
                <w:szCs w:val="13"/>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awards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6,292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6,292</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SSNI acquisition adjustments, net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2018</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39,400</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$1,326,719</w:t>
            </w:r>
          </w:p>
        </w:tc>
        <w:tc>
          <w:tcPr>
            <w:tcW w:w="120" w:type="dxa"/>
            <w:vAlign w:val="bottom"/>
          </w:tcPr>
          <w:p>
            <w:pPr>
              <w:spacing w:after="0"/>
              <w:rPr>
                <w:sz w:val="15"/>
                <w:szCs w:val="15"/>
                <w:color w:val="auto"/>
              </w:rPr>
            </w:pPr>
          </w:p>
        </w:tc>
        <w:tc>
          <w:tcPr>
            <w:tcW w:w="4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(185,246)</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(449,273)</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692,200</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20,132</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712,332</w:t>
            </w: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income (loss)</w:t>
            </w: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38,145</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(121,710)</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85,691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92,428</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13,847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21,064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23,069</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3,686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5,825</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Deferred taxes,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4,990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(13,141)</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Restructuring, non-cash</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adjustments,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7,774</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(15,762)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(10,072)</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current assets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(9,797)</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long-term assets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7,945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3,817</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4,494</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30,220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Unearned revenue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6,746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27,869</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Warranty</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3,167</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operating,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50,955</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tcPr>
          <w:p>
            <w:pPr>
              <w:spacing w:after="0"/>
              <w:rPr>
                <w:sz w:val="15"/>
                <w:szCs w:val="15"/>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128,100</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67,383</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(42,493)</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Business acquisitions, net of cash equivalents acquired</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(803,075)</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investing,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9,977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(34,593)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(845,749)</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761,938</w:t>
            </w: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on debt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(100,313)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(332,297)</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Issuance of common stock</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7,117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8,283</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debt fees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(24,042)</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financing,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(73,592)</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408,356</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foreign exchange rate changes on cash, cash equivalents, and restricted cash</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Increase (decrease) in cash, cash equivalents, and restricted cash</w:t>
            </w:r>
          </w:p>
        </w:tc>
        <w:tc>
          <w:tcPr>
            <w:tcW w:w="400" w:type="dxa"/>
            <w:vAlign w:val="bottom"/>
          </w:tcPr>
          <w:p>
            <w:pPr>
              <w:spacing w:after="0"/>
              <w:rPr>
                <w:sz w:val="15"/>
                <w:szCs w:val="15"/>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19,372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(376,185)</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122,328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487,335</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141,700</w:t>
            </w:r>
          </w:p>
        </w:tc>
        <w:tc>
          <w:tcPr>
            <w:tcW w:w="120" w:type="dxa"/>
            <w:vAlign w:val="bottom"/>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111,150</w:t>
            </w:r>
          </w:p>
        </w:tc>
        <w:tc>
          <w:tcPr>
            <w:tcW w:w="0" w:type="dxa"/>
            <w:vAlign w:val="bottom"/>
          </w:tcPr>
          <w:p>
            <w:pPr>
              <w:spacing w:after="0"/>
              <w:rPr>
                <w:sz w:val="1"/>
                <w:szCs w:val="1"/>
                <w:color w:val="auto"/>
              </w:rPr>
            </w:pPr>
          </w:p>
        </w:tc>
      </w:tr>
      <w:tr>
        <w:trPr>
          <w:trHeight w:val="99"/>
        </w:trPr>
        <w:tc>
          <w:tcPr>
            <w:tcW w:w="79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420"/>
          </w:cols>
          <w:pgMar w:left="240" w:top="121" w:right="239" w:bottom="1062" w:gutter="0" w:footer="0" w:header="0"/>
        </w:sectPr>
      </w:pPr>
    </w:p>
    <w:p>
      <w:pPr>
        <w:ind w:left="4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Cash paid during the period for:</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Income taxes, net</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8,842</w:t>
            </w:r>
          </w:p>
        </w:tc>
        <w:tc>
          <w:tcPr>
            <w:tcW w:w="7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6,367</w:t>
            </w:r>
          </w:p>
        </w:tc>
      </w:tr>
      <w:tr>
        <w:trPr>
          <w:trHeight w:val="270"/>
        </w:trPr>
        <w:tc>
          <w:tcPr>
            <w:tcW w:w="64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39,523</w:t>
            </w:r>
          </w:p>
        </w:tc>
        <w:tc>
          <w:tcPr>
            <w:tcW w:w="7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-507365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-164465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1" w:right="239" w:bottom="1062" w:gutter="0" w:footer="0" w:header="0"/>
          <w:type w:val="continuous"/>
        </w:sectPr>
      </w:pP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420"/>
          </w:cols>
          <w:pgMar w:left="240" w:top="121" w:right="239" w:bottom="1062" w:gutter="0" w:footer="0" w:header="0"/>
          <w:type w:val="continuous"/>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062"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2019 and 2018, Consolidated Statements of Equity for the three months ended September 30, 2019 and 2018, June 30, 2019 and 2018, and March 31, 2019 and 2018, Consolidated Statements of Cash Flows for the nine months ended September 30, 2019 and 2018, and the Consolidated Balance Sheets as of September 30, 2019 and December 31, 2018, of Itron, Inc. and its subsidiaries. All entries required for the fair presentation of the financial statements are of a normal recurring nature, except as disclosed. The results of operations for the three and nine months ended September 30, 2019 are not necessarily indicative of the results expected for the full year or for any other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consolidated financial statements and the notes thereto for the fiscal year ended December 31, 2018 filed with the SEC in our Annual Report on Form 10-K on February 28, 2019 (2018 Annual Report). There have been no significant changes in financial statement preparation or significant accounting policies since December 31, 2018 other than the adoption of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60" w:type="dxa"/>
            <w:vAlign w:val="bottom"/>
          </w:tcPr>
          <w:p>
            <w:pPr>
              <w:spacing w:after="0"/>
              <w:rPr>
                <w:sz w:val="18"/>
                <w:szCs w:val="18"/>
                <w:color w:val="auto"/>
              </w:rPr>
            </w:pPr>
          </w:p>
        </w:tc>
        <w:tc>
          <w:tcPr>
            <w:tcW w:w="154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140,938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120,221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109,044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180" w:type="dxa"/>
            <w:vAlign w:val="bottom"/>
          </w:tcPr>
          <w:p>
            <w:pPr>
              <w:spacing w:after="0"/>
              <w:rPr>
                <w:sz w:val="20"/>
                <w:szCs w:val="20"/>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restricted cash</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2,055</w:t>
            </w:r>
          </w:p>
        </w:tc>
        <w:tc>
          <w:tcPr>
            <w:tcW w:w="0" w:type="dxa"/>
            <w:vAlign w:val="bottom"/>
          </w:tcPr>
          <w:p>
            <w:pPr>
              <w:spacing w:after="0"/>
              <w:rPr>
                <w:sz w:val="1"/>
                <w:szCs w:val="1"/>
                <w:color w:val="auto"/>
              </w:rPr>
            </w:pPr>
          </w:p>
        </w:tc>
      </w:tr>
      <w:tr>
        <w:trPr>
          <w:trHeight w:val="244"/>
        </w:trPr>
        <w:tc>
          <w:tcPr>
            <w:tcW w:w="5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141,700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122,328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111,150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Subsequent to the issuance of our September 30, 2018 consolidated financial statements, we determined $150 million of proceeds from borrowings and payments on debt, originally transacted during the first quarter of 2018, had been improperly netted within the financing activities section of the Consolidated Statements of Cash Flows for the first three quarters of 2018. We corrected this presentation for the 2018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accompanying Consolidated Statement of Cash Flows for the nine months ended September 30, 2018 has been revised from amounts previously reported to separately present the $150 million of proceeds from borrowings and the payments on debt. We assessed the significance of the misstatement and concluded that it was not material to any prior periods. There were no changes to net cash flows from operating, investing, or financing activities as a result of this change.</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other current liabilities, and operating lease liabilities on our Consolidated Balance Sheets. Finance leases are included in property, plant, and equipment, other long-term assets, other current liabilities, and other long-term obligations on our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implicit rate when readily determinable. As most of our leases do not provide an implicit rate, we use our incremental borrowing rate based on the information available at the lease commencement date in determining the present value of lease payments. The Operating lease ROU asset also includes any lease payments made and excludes lease incentives received and initial direct costs incurred. Our lease terms may include options to extend or terminate the lease when it is reasonably certain that we will exercise that option. Lease expense for operating lease payments is recognized on a straight-line basis over the lease term.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lease agreements that include lease and nonlease components. When nonlease components are fixed, we have elected the practical expedient to account for lease and nonlease components as a single lease component, except for leases embedded in service contracts.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elected to utilize the short-term lease exemption for any leased asset class. All leases with a lease term that is greater than one month are subject to recognition and measurement on the balance sheet.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required substantially all leases be recognized by lessees on their balance sheet as a right-of-use asset and corresponding lease liability, including leases previously accounted for as operating leases. The new standard also resulted in enhanced quantitative and qualitative disclosures, including significant judgments made by management, to provide greater insight into the extent of revenue and expense recognized and expected to be recognized from existing leases. The standard required modified retrospective adoption. We adopted ASC 842, as amended, on January 1, 2019, and it resulted in the recognition to operating lease right-of-use assets, other current liabilities, and operating lease liabilities of $74.6 million, $14.5 million, and $61.5 million, respectively, and a decrease in other current assets and other long-term obligations of $1.5 million and $2.9 million, respectively.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 Contract. </w:t>
      </w:r>
      <w:r>
        <w:rPr>
          <w:rFonts w:ascii="Times New Roman" w:cs="Times New Roman" w:eastAsia="Times New Roman" w:hAnsi="Times New Roman"/>
          <w:sz w:val="18"/>
          <w:szCs w:val="18"/>
          <w:color w:val="auto"/>
        </w:rPr>
        <w:t>The amendments in this ASU align the requirements for capitalizing implementation costs incurred in a hosting arrangement that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contract with the requirements for capitalizing implementation costs incurred to develop or obtain internal-use software (and hosting arrangements that include an internal-use software license). Accordingly, the amendments require an entity (customer) in a hosting arrangement that is a service contract to follow the guidance in ASC 350-40 to determine which implementation costs to capitalize as an asset related to the service contract and which costs to expense. The amendments also require us to amortize the capitalized implementation costs of a hosting arrangement that is a service contract over the term of the hosting arrangement, which includes reasonably certain renewals. We adopted ASU 2018-15 as of January 1, 2019, and it did not have a material impact on our financial condition, results of operations, or cash flows. We classify the capitalized implementation costs as prepaid, within other current assets and other long-term assets on our Consolidated Balance Sheets.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October 2018, the FASB issued ASU 2018-16, </w:t>
      </w:r>
      <w:r>
        <w:rPr>
          <w:rFonts w:ascii="Times New Roman" w:cs="Times New Roman" w:eastAsia="Times New Roman" w:hAnsi="Times New Roman"/>
          <w:sz w:val="18"/>
          <w:szCs w:val="18"/>
          <w:i w:val="1"/>
          <w:iCs w:val="1"/>
          <w:color w:val="auto"/>
        </w:rPr>
        <w:t>Inclusion of the Secured Overnight Financing Rate (SOFR) Overnight Index Swap (OIS) Rate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Benchmark Interest Rate for Hedge Accounting Purposes</w:t>
      </w:r>
      <w:r>
        <w:rPr>
          <w:rFonts w:ascii="Times New Roman" w:cs="Times New Roman" w:eastAsia="Times New Roman" w:hAnsi="Times New Roman"/>
          <w:sz w:val="18"/>
          <w:szCs w:val="18"/>
          <w:color w:val="auto"/>
        </w:rPr>
        <w:t>. We adopted this standard on January 1, 2019, and it did not materially impact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This update establishes OIS rates based on SOFR as an approved benchmark interest rate in addition to existing rates such as the LIBOR swap rate.</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(ASU 2016-13), which replaces the incurred loss impairment methodology in current GAAP with a methodology based on expected credit losses. This estimate of expected credit losses uses a broader range of reasonable and supportable information. This change will result in earlier recognition of credit losses. ASU 2016-13, as amended, will be effective as of January 1, 2020 for us. We are currently evaluating the impact of this standard on our consolidated financial statements, as well as our accounting policies, processes, and systems.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Framework-Changes to the Disclosure Requirements for Fair Value Measurement</w:t>
      </w:r>
      <w:r>
        <w:rPr>
          <w:rFonts w:ascii="Times New Roman" w:cs="Times New Roman" w:eastAsia="Times New Roman" w:hAnsi="Times New Roman"/>
          <w:sz w:val="18"/>
          <w:szCs w:val="18"/>
          <w:color w:val="auto"/>
        </w:rPr>
        <w:t xml:space="preserve"> (ASU 2018-13), which amends the disclosure requirements under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ASU 2018-13 is effective for us beginning with our interim financial reports for the first quarter of 2020. We are currently evaluating the impact this standard will have on our consolidated financial statement disclosures related to assets and liabilities subject to fair value measurement.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2018-14, </w:t>
      </w:r>
      <w:r>
        <w:rPr>
          <w:rFonts w:ascii="Times New Roman" w:cs="Times New Roman" w:eastAsia="Times New Roman" w:hAnsi="Times New Roman"/>
          <w:sz w:val="18"/>
          <w:szCs w:val="18"/>
          <w:i w:val="1"/>
          <w:iCs w:val="1"/>
          <w:color w:val="auto"/>
        </w:rPr>
        <w:t>Disclosure Framework-Changes to the Disclosure Requirements for Defined Benefit Plans</w:t>
      </w:r>
      <w:r>
        <w:rPr>
          <w:rFonts w:ascii="Times New Roman" w:cs="Times New Roman" w:eastAsia="Times New Roman" w:hAnsi="Times New Roman"/>
          <w:sz w:val="18"/>
          <w:szCs w:val="18"/>
          <w:color w:val="auto"/>
        </w:rPr>
        <w:t xml:space="preserve"> (ASU 2018-14), which amends the disclosure requirements under ASC 715-20, </w:t>
      </w:r>
      <w:r>
        <w:rPr>
          <w:rFonts w:ascii="Times New Roman" w:cs="Times New Roman" w:eastAsia="Times New Roman" w:hAnsi="Times New Roman"/>
          <w:sz w:val="18"/>
          <w:szCs w:val="18"/>
          <w:i w:val="1"/>
          <w:iCs w:val="1"/>
          <w:color w:val="auto"/>
        </w:rPr>
        <w:t>Compensation-Retirement Benefits-Defined Benefit Plans</w:t>
      </w:r>
      <w:r>
        <w:rPr>
          <w:rFonts w:ascii="Times New Roman" w:cs="Times New Roman" w:eastAsia="Times New Roman" w:hAnsi="Times New Roman"/>
          <w:sz w:val="18"/>
          <w:szCs w:val="18"/>
          <w:color w:val="auto"/>
        </w:rPr>
        <w:t>. ASU 2018-14 is effective for our financial reporting in 2020. We are currently evaluating the impact this standard will have on our financial statement disclosures for our defined benefit plans.</w:t>
      </w:r>
    </w:p>
    <w:p>
      <w:pPr>
        <w:spacing w:after="0" w:line="17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(EPS):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16,847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(123,127)</w:t>
            </w: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39,508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39,177</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39,903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39,177</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0.51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0.2 million and 0.4 million stock-based awards were excluded from the calculation of diluted EPS for the three and nine months ended September 30, 2019, respectively, because they were anti-dilutive. Approximately 0.5 million and 1.1 million stock-based awards were excluded from the calculation of diluted EPS for the three and nine months ended September 30, 2018, respectively, because they were anti-dilutive. These stock-based awards could be dilutive in future periods.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receivables (net of allowance of $3,786 and $6,331)</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410,391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416,503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Unbilled receivables</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58,086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20,658</w:t>
            </w:r>
          </w:p>
        </w:tc>
      </w:tr>
      <w:tr>
        <w:trPr>
          <w:trHeight w:val="3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468,477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437,161</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Allowance for doubtful accounts activity</w:t>
            </w: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4,360</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4,552</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6,331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3,957</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1,149</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3,786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3,822</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60" w:type="dxa"/>
            <w:vAlign w:val="bottom"/>
          </w:tcPr>
          <w:p>
            <w:pPr>
              <w:spacing w:after="0"/>
              <w:rPr>
                <w:sz w:val="18"/>
                <w:szCs w:val="18"/>
                <w:color w:val="auto"/>
              </w:rPr>
            </w:pPr>
          </w:p>
        </w:tc>
        <w:tc>
          <w:tcPr>
            <w:tcW w:w="18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123,964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133,398</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9,744</w:t>
            </w:r>
          </w:p>
        </w:tc>
      </w:tr>
      <w:tr>
        <w:trPr>
          <w:trHeight w:val="33"/>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96,137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77,532</w:t>
            </w:r>
          </w:p>
        </w:tc>
      </w:tr>
      <w:tr>
        <w:trPr>
          <w:trHeight w:val="244"/>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231,081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220,674</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316,787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315,974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Computers and software</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107,907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104,290</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148,870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146,071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Pr>
          <w:p>
            <w:pPr>
              <w:spacing w:after="0"/>
              <w:rPr>
                <w:sz w:val="20"/>
                <w:szCs w:val="20"/>
                <w:color w:val="auto"/>
              </w:rPr>
            </w:pPr>
          </w:p>
        </w:tc>
        <w:tc>
          <w:tcPr>
            <w:tcW w:w="2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14,980</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49,682</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cost</w:t>
            </w:r>
          </w:p>
        </w:tc>
        <w:tc>
          <w:tcPr>
            <w:tcW w:w="28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639,633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630,997</w:t>
            </w:r>
          </w:p>
        </w:tc>
      </w:tr>
      <w:tr>
        <w:trPr>
          <w:trHeight w:val="3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(404,446)</w:t>
            </w:r>
          </w:p>
        </w:tc>
      </w:tr>
      <w:tr>
        <w:trPr>
          <w:trHeight w:val="244"/>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225,658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226,551</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Depreciation expense</w:t>
            </w:r>
          </w:p>
        </w:tc>
        <w:tc>
          <w:tcPr>
            <w:tcW w:w="300" w:type="dxa"/>
            <w:vAlign w:val="bottom"/>
          </w:tcPr>
          <w:p>
            <w:pPr>
              <w:spacing w:after="0"/>
              <w:rPr>
                <w:sz w:val="20"/>
                <w:szCs w:val="20"/>
                <w:color w:val="auto"/>
              </w:rPr>
            </w:pPr>
          </w:p>
        </w:tc>
        <w:tc>
          <w:tcPr>
            <w:tcW w:w="32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20"/>
                <w:szCs w:val="20"/>
                <w:color w:val="auto"/>
              </w:rPr>
            </w:pPr>
          </w:p>
        </w:tc>
        <w:tc>
          <w:tcPr>
            <w:tcW w:w="316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7"/>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0"/>
                <w:szCs w:val="20"/>
                <w:color w:val="auto"/>
              </w:rPr>
            </w:pPr>
          </w:p>
        </w:tc>
        <w:tc>
          <w:tcPr>
            <w:tcW w:w="13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expense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12,528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38,729</w:t>
            </w:r>
          </w:p>
        </w:tc>
      </w:tr>
      <w:tr>
        <w:trPr>
          <w:trHeight w:val="33"/>
        </w:trPr>
        <w:tc>
          <w:tcPr>
            <w:tcW w:w="4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7"/>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2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500,624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77,145</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138,270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167,076</w:t>
            </w: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77,848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8,867</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1,395</w:t>
            </w:r>
          </w:p>
        </w:tc>
      </w:tr>
      <w:tr>
        <w:trPr>
          <w:trHeight w:val="33"/>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intangible assets subject to</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3"/>
        </w:trPr>
        <w:tc>
          <w:tcPr>
            <w:tcW w:w="2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965,586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(763,265)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202,321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978,060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254,483</w:t>
            </w:r>
          </w:p>
        </w:tc>
      </w:tr>
      <w:tr>
        <w:trPr>
          <w:trHeight w:val="216"/>
        </w:trPr>
        <w:tc>
          <w:tcPr>
            <w:tcW w:w="28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In-process research and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development</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3,100</w:t>
            </w:r>
          </w:p>
        </w:tc>
      </w:tr>
      <w:tr>
        <w:trPr>
          <w:trHeight w:val="33"/>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965,586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(763,265)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981,160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257,583</w:t>
            </w: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11,392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5,217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(18,683)</w:t>
            </w: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intangible assets, gross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981,160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769,851</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Intangible assets acquired</w:t>
            </w:r>
          </w:p>
        </w:tc>
        <w:tc>
          <w:tcPr>
            <w:tcW w:w="3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242,039</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(15,352)</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intangible assets, gross</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965,586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996,538</w:t>
            </w:r>
          </w:p>
        </w:tc>
      </w:tr>
      <w:tr>
        <w:trPr>
          <w:trHeight w:val="73"/>
        </w:trPr>
        <w:tc>
          <w:tcPr>
            <w:tcW w:w="79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Beginning balance, intangible liabilities, gross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Intangible liabilities assumed</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 intangible liabilities, gross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5, 2018, we completed our acquisition of Silver Spring Networks, Inc. (SSNI) by purchasing 100% of the voting stock. Acquired intangible assets include in-process research and development (IPR&amp;D), which is not amortized until such time as the associated development projects are completed. Of these projects, $3.1 million were completed during the first half of 2019 and are included in core-developed technology. Assumed intangible liabilities reflect the present value of the projected cash outflows for an existing contract where remaining costs are expected to exceed projected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(accretion)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Estimated Annual</w:t>
            </w:r>
          </w:p>
        </w:tc>
      </w:tr>
      <w:tr>
        <w:trPr>
          <w:trHeight w:val="212"/>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14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Amortization, net</w:t>
            </w:r>
          </w:p>
        </w:tc>
      </w:tr>
      <w:tr>
        <w:trPr>
          <w:trHeight w:val="33"/>
        </w:trPr>
        <w:tc>
          <w:tcPr>
            <w:tcW w:w="6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(amount remaining at September 30, 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18,162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16,104</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52,850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44,822</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37,547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35,584</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27,212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26,753</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19,678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19,678</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46,872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46,872</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intangible assets subject to amortization (accretion)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202,321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189,813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Amortization Expense</w:t>
            </w:r>
          </w:p>
        </w:tc>
        <w:tc>
          <w:tcPr>
            <w:tcW w:w="346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0"/>
                <w:szCs w:val="20"/>
                <w:color w:val="auto"/>
              </w:rPr>
            </w:pPr>
          </w:p>
        </w:tc>
        <w:tc>
          <w:tcPr>
            <w:tcW w:w="3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Expense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53,699</w:t>
            </w:r>
          </w:p>
        </w:tc>
      </w:tr>
      <w:tr>
        <w:trPr>
          <w:trHeight w:val="33"/>
        </w:trPr>
        <w:tc>
          <w:tcPr>
            <w:tcW w:w="47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recognized amortization expense within operating expenses in the Consolidated Statement of Operations. These expenses relate to intangible assets acquired and liabilities assumed as part of business combinations.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goodwill allocated to each reporting unit: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6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33"/>
        </w:trPr>
        <w:tc>
          <w:tcPr>
            <w:tcW w:w="4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55,259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918,495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142,779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1,116,533</w:t>
            </w:r>
          </w:p>
        </w:tc>
      </w:tr>
      <w:tr>
        <w:trPr>
          <w:trHeight w:val="29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Measurement period adjustments to goodwill acquired</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(13,147)</w:t>
            </w: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balance at September 30,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54,608</w:t>
            </w:r>
          </w:p>
        </w:tc>
        <w:tc>
          <w:tcPr>
            <w:tcW w:w="12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902,742</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140,058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1,097,408</w:t>
            </w: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Silver Spring Networks, Inc. Acquisition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acquisition of SSNI was financed through incremental borrowings and cash on hand. Refer to "Note 6: Debt" for further discussion of our debt. SSNI provided smart network and data platform solutions for electricity, gas, water and smart cities including advanced metering, distribution automation, demand-side management, and street lights.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for the identified trademarks and core-developed technology intangible assets were estimated using the relief from royalty method. The fair value of customer contract and relationship were estimated using the income approach. The IPR&amp;D was valued utilizing the replacement cost method. These consolidated financial statements should be read in conjunction with the audited financial statements and notes included in our 2018 Annual Report.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purchase price of SSNI was $809.2 million, which was net of $97.8 million of acquired cash and cash equivalents. Of the total consideration, $802.5 million was paid in cash. The remaining $6.7 million relates to the fair value of pre-acquisition service for replacement awards of unvested SSNI options and restricted stock unit awards with an Itron equivalent award. We allocated the purchase price to the assets acquired and liabilities assumed based on estimated fair value assessments. During the three months ended March 31, 2019, we recognized additional contract assets totaling $8.0 million and additional deferred tax liabilities of $2.0 million, for a net reduction in goodwill of $6.0 million. As of the first quarter of 2019, the measurement period for the acquisition of SSNI was complete, and any further adjustments to assets acquired or liabilities assumed would be recognized through the Consolidated Statement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USD denominated term loan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587,500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637,813</w:t>
            </w:r>
          </w:p>
        </w:tc>
      </w:tr>
      <w:tr>
        <w:trPr>
          <w:trHeight w:val="224"/>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tcPr>
          <w:p>
            <w:pPr>
              <w:spacing w:after="0"/>
              <w:rPr>
                <w:sz w:val="19"/>
                <w:szCs w:val="19"/>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debt</w:t>
            </w:r>
          </w:p>
        </w:tc>
        <w:tc>
          <w:tcPr>
            <w:tcW w:w="3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987,500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1,037,813</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28,438</w:t>
            </w:r>
          </w:p>
        </w:tc>
      </w:tr>
      <w:tr>
        <w:trPr>
          <w:trHeight w:val="237"/>
        </w:trPr>
        <w:tc>
          <w:tcPr>
            <w:tcW w:w="6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term loan</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4,859</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senior notes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16,331</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930,394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988,185</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5, 2018, we entered into a credit agreement providing for committed credit facilities in the amount of $1.2 billion U.S. dollars (the 2018 credit facility),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may be repaid and reborrowed until the revolver's maturity, at which time all outstanding loans together with all accrued and unpaid interest must be repaid. Amounts not borrowed under the revolver are subject to a</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commitment fee, which is paid in arrears on the last day of each fiscal quarter, ranging from 0.18% to 0.35% per annum depending on our total leverage ratio as of the most recently ended fiscal quarter.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including a pledge of their related assets.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September 30, 2019.</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September 30, 2019, the interest rate for both the term loan and revolver was 3.80%, which includes the LIBOR rate plus a margin of 1.75%.</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18, 2019, we amended our 2018 credit facility by entering into the First Amendment to the credit agreement entered on January 5, 2018. This amendment extended the maturity date from January 5, 2023, to October 18, 2024, and re-amortized the term loan payments based on the balance and payment terms as of the amendment date. The amendment also modified the required interest payments and made it based on total net leverage instead of total leverage. Amounts not borrowed under the revolver are now subject to a commitment fee ranging from 0.15% to 0.25%, and drawn amounts are subject to a margin ranging from 1.00% to 1.75%. The current portion of debt and long-term debt presented in the Consolidated Balance Sheets at September 30, 2019 do not reflect this amendment.</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2017 and January 19, 2018, we issued $300 million and $100 million, respectively, of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commencing on July 15, 2018. The Senior Notes are fully and unconditionally guaranteed, jointly and severally, on a senior unsecured basis by each of our subsidiaries that guarantee the 2018 credit facility.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of the principal amount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(amount remaining at September 30,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6,250</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44,688</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60,937</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65,000</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410,625</w:t>
            </w:r>
          </w:p>
        </w:tc>
      </w:tr>
      <w:tr>
        <w:trPr>
          <w:trHeight w:val="237"/>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987,500</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Values of Financial Instruments" for additional disclosures on our derivative instruments.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of our counterparty through applying a current market indicative credit spread to all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derivative instruments were as follows:</w:t>
      </w:r>
    </w:p>
    <w:p>
      <w:pPr>
        <w:spacing w:after="0" w:line="18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38735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00" w:lineRule="exact"/>
        <w:rPr>
          <w:sz w:val="20"/>
          <w:szCs w:val="20"/>
          <w:color w:val="auto"/>
        </w:rPr>
      </w:pPr>
    </w:p>
    <w:p>
      <w:pPr>
        <w:ind w:left="40"/>
        <w:spacing w:after="0"/>
        <w:tabs>
          <w:tab w:leader="none" w:pos="4480" w:val="left"/>
        </w:tabs>
        <w:rPr>
          <w:sz w:val="20"/>
          <w:szCs w:val="20"/>
          <w:color w:val="auto"/>
        </w:rPr>
      </w:pPr>
      <w:r>
        <w:rPr>
          <w:rFonts w:ascii="Times New Roman" w:cs="Times New Roman" w:eastAsia="Times New Roman" w:hAnsi="Times New Roman"/>
          <w:sz w:val="16"/>
          <w:szCs w:val="16"/>
          <w:b w:val="1"/>
          <w:bCs w:val="1"/>
          <w:color w:val="auto"/>
        </w:rPr>
        <w:t>Derivative Assets</w:t>
      </w:r>
      <w:r>
        <w:rPr>
          <w:sz w:val="20"/>
          <w:szCs w:val="20"/>
          <w:color w:val="auto"/>
        </w:rPr>
        <w:tab/>
      </w:r>
      <w:r>
        <w:rPr>
          <w:rFonts w:ascii="Times New Roman" w:cs="Times New Roman" w:eastAsia="Times New Roman" w:hAnsi="Times New Roman"/>
          <w:sz w:val="16"/>
          <w:szCs w:val="16"/>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45110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 under ASC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1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0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4180" w:type="dxa"/>
            <w:vAlign w:val="bottom"/>
            <w:tcBorders>
              <w:bottom w:val="single" w:sz="8" w:color="auto"/>
            </w:tcBorders>
            <w:gridSpan w:val="2"/>
          </w:tcPr>
          <w:p>
            <w:pPr>
              <w:spacing w:after="0"/>
              <w:rPr>
                <w:sz w:val="2"/>
                <w:szCs w:val="2"/>
                <w:color w:val="auto"/>
              </w:rPr>
            </w:pPr>
          </w:p>
        </w:tc>
      </w:tr>
      <w:tr>
        <w:trPr>
          <w:trHeight w:val="217"/>
        </w:trPr>
        <w:tc>
          <w:tcPr>
            <w:tcW w:w="4180" w:type="dxa"/>
            <w:vAlign w:val="bottom"/>
            <w:gridSpan w:val="2"/>
          </w:tcPr>
          <w:p>
            <w:pPr>
              <w:ind w:left="1680"/>
              <w:spacing w:after="0"/>
              <w:rPr>
                <w:sz w:val="20"/>
                <w:szCs w:val="20"/>
                <w:color w:val="auto"/>
              </w:rPr>
            </w:pPr>
            <w:r>
              <w:rPr>
                <w:rFonts w:ascii="Times New Roman" w:cs="Times New Roman" w:eastAsia="Times New Roman" w:hAnsi="Times New Roman"/>
                <w:sz w:val="16"/>
                <w:szCs w:val="16"/>
                <w:i w:val="1"/>
                <w:iCs w:val="1"/>
                <w:color w:val="auto"/>
              </w:rPr>
              <w:t>In thousands</w:t>
            </w:r>
          </w:p>
        </w:tc>
      </w:tr>
    </w:tbl>
    <w:p>
      <w:pPr>
        <w:spacing w:after="0" w:line="46" w:lineRule="exact"/>
        <w:rPr>
          <w:sz w:val="20"/>
          <w:szCs w:val="20"/>
          <w:color w:val="auto"/>
        </w:rPr>
      </w:pPr>
    </w:p>
    <w:p>
      <w:pPr>
        <w:sectPr>
          <w:pgSz w:w="11900" w:h="16838" w:orient="portrait"/>
          <w:cols w:equalWidth="0" w:num="2">
            <w:col w:w="6520" w:space="720"/>
            <w:col w:w="4180"/>
          </w:cols>
          <w:pgMar w:left="240" w:top="121"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Interest rate swap contract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Foreign exchange options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Cross currency swap contract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rate swap contract</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Cross currency swap contract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46355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46355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long-term assets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46355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long-term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2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9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r>
      <w:tr>
        <w:trPr>
          <w:trHeight w:val="270"/>
        </w:trPr>
        <w:tc>
          <w:tcPr>
            <w:tcW w:w="82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70"/>
        </w:trPr>
        <w:tc>
          <w:tcPr>
            <w:tcW w:w="82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82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1,212</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r>
      <w:tr>
        <w:trPr>
          <w:trHeight w:val="257"/>
        </w:trPr>
        <w:tc>
          <w:tcPr>
            <w:tcW w:w="82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70"/>
        </w:trPr>
        <w:tc>
          <w:tcPr>
            <w:tcW w:w="82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84"/>
        </w:trPr>
        <w:tc>
          <w:tcPr>
            <w:tcW w:w="82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4,163</w:t>
            </w:r>
          </w:p>
        </w:tc>
        <w:tc>
          <w:tcPr>
            <w:tcW w:w="9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r>
    </w:tbl>
    <w:p>
      <w:pPr>
        <w:spacing w:after="0" w:line="44" w:lineRule="exact"/>
        <w:rPr>
          <w:sz w:val="20"/>
          <w:szCs w:val="20"/>
          <w:color w:val="auto"/>
        </w:rPr>
      </w:pPr>
    </w:p>
    <w:p>
      <w:pPr>
        <w:sectPr>
          <w:pgSz w:w="11900" w:h="16838" w:orient="portrait"/>
          <w:cols w:equalWidth="0" w:num="3">
            <w:col w:w="3780" w:space="720"/>
            <w:col w:w="2040" w:space="720"/>
            <w:col w:w="4160"/>
          </w:cols>
          <w:pgMar w:left="240" w:top="121"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Other current assets</w:t>
            </w:r>
          </w:p>
        </w:tc>
        <w:tc>
          <w:tcPr>
            <w:tcW w:w="8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217"/>
        </w:trPr>
        <w:tc>
          <w:tcPr>
            <w:tcW w:w="35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asset derivatives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6,314</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6,525</w:t>
            </w:r>
          </w:p>
        </w:tc>
      </w:tr>
      <w:tr>
        <w:trPr>
          <w:trHeight w:val="73"/>
        </w:trPr>
        <w:tc>
          <w:tcPr>
            <w:tcW w:w="3500" w:type="dxa"/>
            <w:vAlign w:val="bottom"/>
            <w:tcBorders>
              <w:bottom w:val="single" w:sz="8" w:color="CCEEFF"/>
            </w:tcBorders>
          </w:tcPr>
          <w:p>
            <w:pPr>
              <w:spacing w:after="0"/>
              <w:rPr>
                <w:sz w:val="6"/>
                <w:szCs w:val="6"/>
                <w:color w:val="auto"/>
              </w:rPr>
            </w:pPr>
          </w:p>
        </w:tc>
        <w:tc>
          <w:tcPr>
            <w:tcW w:w="36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78"/>
        </w:trPr>
        <w:tc>
          <w:tcPr>
            <w:tcW w:w="350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4"/>
        </w:trPr>
        <w:tc>
          <w:tcPr>
            <w:tcW w:w="3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71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r>
      <w:tr>
        <w:trPr>
          <w:trHeight w:val="23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8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4"/>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7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(AOCI), net of tax, for our derivative and nonderivative hedging instruments designated as hedging instruments, net of tax,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unrealized loss on hedging instruments at January 1,</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(13,414)</w:t>
            </w:r>
          </w:p>
        </w:tc>
      </w:tr>
      <w:tr>
        <w:trPr>
          <w:trHeight w:val="224"/>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(loss) on hedging instruments</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4,770</w:t>
            </w: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(gains) losses reclassified into net income (loss)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unrealized loss on hedging instruments at September 30,</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(10,851)</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Reclassification of amounts related to hedging instruments are included in interest expense in the Consolidated Statements of Operations for the periods ended September 30, 2019 and 2018. Included in the net unrealized gain (loss) on hedging instruments at September 30, 2019 and 2018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60" w:type="dxa"/>
            <w:vAlign w:val="bottom"/>
          </w:tcPr>
          <w:p>
            <w:pPr>
              <w:spacing w:after="0"/>
              <w:rPr>
                <w:sz w:val="18"/>
                <w:szCs w:val="18"/>
                <w:color w:val="auto"/>
              </w:rPr>
            </w:pPr>
          </w:p>
        </w:tc>
        <w:tc>
          <w:tcPr>
            <w:tcW w:w="41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Assets</w:t>
            </w:r>
          </w:p>
        </w:tc>
        <w:tc>
          <w:tcPr>
            <w:tcW w:w="2480" w:type="dxa"/>
            <w:vAlign w:val="bottom"/>
            <w:gridSpan w:val="3"/>
            <w:vMerge w:val="restart"/>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Recognized Assets Presented</w:t>
            </w:r>
          </w:p>
        </w:tc>
        <w:tc>
          <w:tcPr>
            <w:tcW w:w="160" w:type="dxa"/>
            <w:vAlign w:val="bottom"/>
          </w:tcPr>
          <w:p>
            <w:pPr>
              <w:spacing w:after="0"/>
              <w:rPr>
                <w:sz w:val="3"/>
                <w:szCs w:val="3"/>
                <w:color w:val="auto"/>
              </w:rPr>
            </w:pPr>
          </w:p>
        </w:tc>
        <w:tc>
          <w:tcPr>
            <w:tcW w:w="4140" w:type="dxa"/>
            <w:vAlign w:val="bottom"/>
            <w:gridSpan w:val="5"/>
            <w:vMerge w:val="continue"/>
          </w:tcPr>
          <w:p>
            <w:pPr>
              <w:spacing w:after="0"/>
              <w:rPr>
                <w:sz w:val="3"/>
                <w:szCs w:val="3"/>
                <w:color w:val="auto"/>
              </w:rPr>
            </w:pPr>
          </w:p>
        </w:tc>
        <w:tc>
          <w:tcPr>
            <w:tcW w:w="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600" w:type="dxa"/>
            <w:vAlign w:val="bottom"/>
            <w:vMerge w:val="continue"/>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140" w:type="dxa"/>
            <w:vAlign w:val="bottom"/>
            <w:gridSpan w:val="5"/>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Sheets</w:t>
            </w: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w:t>
            </w:r>
          </w:p>
        </w:tc>
        <w:tc>
          <w:tcPr>
            <w:tcW w:w="1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the Consolidated</w:t>
            </w:r>
          </w:p>
        </w:tc>
        <w:tc>
          <w:tcPr>
            <w:tcW w:w="160" w:type="dxa"/>
            <w:vAlign w:val="bottom"/>
          </w:tcPr>
          <w:p>
            <w:pPr>
              <w:spacing w:after="0"/>
              <w:rPr>
                <w:sz w:val="17"/>
                <w:szCs w:val="17"/>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6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Collateral Received</w:t>
            </w:r>
          </w:p>
        </w:tc>
        <w:tc>
          <w:tcPr>
            <w:tcW w:w="3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30, 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gridSpan w:val="2"/>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6,269</w:t>
            </w: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December 31, 2018</w:t>
            </w:r>
          </w:p>
        </w:tc>
        <w:tc>
          <w:tcPr>
            <w:tcW w:w="460" w:type="dxa"/>
            <w:vAlign w:val="bottom"/>
          </w:tcPr>
          <w:p>
            <w:pPr>
              <w:spacing w:after="0"/>
              <w:rPr>
                <w:sz w:val="20"/>
                <w:szCs w:val="20"/>
                <w:color w:val="auto"/>
              </w:rPr>
            </w:pPr>
          </w:p>
        </w:tc>
        <w:tc>
          <w:tcPr>
            <w:tcW w:w="1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16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6,422</w:t>
            </w:r>
          </w:p>
        </w:tc>
        <w:tc>
          <w:tcPr>
            <w:tcW w:w="0" w:type="dxa"/>
            <w:vAlign w:val="bottom"/>
          </w:tcPr>
          <w:p>
            <w:pPr>
              <w:spacing w:after="0"/>
              <w:rPr>
                <w:sz w:val="1"/>
                <w:szCs w:val="1"/>
                <w:color w:val="auto"/>
              </w:rPr>
            </w:pPr>
          </w:p>
        </w:tc>
      </w:tr>
      <w:tr>
        <w:trPr>
          <w:trHeight w:val="814"/>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Liabilities</w:t>
            </w:r>
          </w:p>
        </w:tc>
        <w:tc>
          <w:tcPr>
            <w:tcW w:w="460" w:type="dxa"/>
            <w:vAlign w:val="bottom"/>
          </w:tcPr>
          <w:p>
            <w:pPr>
              <w:spacing w:after="0"/>
              <w:rPr>
                <w:sz w:val="24"/>
                <w:szCs w:val="24"/>
                <w:color w:val="auto"/>
              </w:rPr>
            </w:pPr>
          </w:p>
        </w:tc>
        <w:tc>
          <w:tcPr>
            <w:tcW w:w="2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60" w:type="dxa"/>
            <w:vAlign w:val="bottom"/>
          </w:tcPr>
          <w:p>
            <w:pPr>
              <w:spacing w:after="0"/>
              <w:rPr>
                <w:sz w:val="24"/>
                <w:szCs w:val="24"/>
                <w:color w:val="auto"/>
              </w:rPr>
            </w:pPr>
          </w:p>
        </w:tc>
        <w:tc>
          <w:tcPr>
            <w:tcW w:w="41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1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6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gridSpan w:val="2"/>
            <w:vMerge w:val="restart"/>
          </w:tcPr>
          <w:p>
            <w:pPr>
              <w:jc w:val="center"/>
              <w:ind w:right="320"/>
              <w:spacing w:after="0" w:line="178" w:lineRule="exact"/>
              <w:rPr>
                <w:sz w:val="20"/>
                <w:szCs w:val="20"/>
                <w:color w:val="auto"/>
              </w:rPr>
            </w:pPr>
            <w:r>
              <w:rPr>
                <w:rFonts w:ascii="Times New Roman" w:cs="Times New Roman" w:eastAsia="Times New Roman" w:hAnsi="Times New Roman"/>
                <w:sz w:val="16"/>
                <w:szCs w:val="16"/>
                <w:b w:val="1"/>
                <w:bCs w:val="1"/>
                <w:color w:val="auto"/>
              </w:rPr>
              <w:t>Recognized Liabilities</w:t>
            </w:r>
          </w:p>
        </w:tc>
        <w:tc>
          <w:tcPr>
            <w:tcW w:w="160" w:type="dxa"/>
            <w:vAlign w:val="bottom"/>
          </w:tcPr>
          <w:p>
            <w:pPr>
              <w:spacing w:after="0"/>
              <w:rPr>
                <w:sz w:val="12"/>
                <w:szCs w:val="12"/>
                <w:color w:val="auto"/>
              </w:rPr>
            </w:pPr>
          </w:p>
        </w:tc>
        <w:tc>
          <w:tcPr>
            <w:tcW w:w="4140" w:type="dxa"/>
            <w:vAlign w:val="bottom"/>
            <w:gridSpan w:val="5"/>
            <w:vMerge w:val="continue"/>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Presented in the</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8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8"/>
                <w:szCs w:val="18"/>
                <w:color w:val="auto"/>
              </w:rPr>
            </w:pP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Cash Collateral Pledged</w:t>
            </w:r>
          </w:p>
        </w:tc>
        <w:tc>
          <w:tcPr>
            <w:tcW w:w="3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30, 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gridSpan w:val="2"/>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December 31, 2018</w:t>
            </w:r>
          </w:p>
        </w:tc>
        <w:tc>
          <w:tcPr>
            <w:tcW w:w="460" w:type="dxa"/>
            <w:vAlign w:val="bottom"/>
          </w:tcPr>
          <w:p>
            <w:pPr>
              <w:spacing w:after="0"/>
              <w:rPr>
                <w:sz w:val="20"/>
                <w:szCs w:val="20"/>
                <w:color w:val="auto"/>
              </w:rPr>
            </w:pPr>
          </w:p>
        </w:tc>
        <w:tc>
          <w:tcPr>
            <w:tcW w:w="1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16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assets and liabilities subject to netting arrangements consist of foreign exchange forwards and options and interest rate contracts with six counterparties at September 30, 2019 and five counterparties at December 31, 2018. No derivative asset or liability balance with any of our counterparties was individually significant at September 30, 2019 or December 31, 2018.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September 30, 2019, our LIBOR-based debt balance was $587.5 million.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Changes in the fair value of the interest rate swap are recognized as a component of other comprehensive income (OCI) 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$0.3 million.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As of December 31, 2016, due to the accelerated revolver payments from surplus cash, we elected to de-designate two of the interest rate cap contracts as cash flow hedges and discontinued the use of cash flow hedge accounting. The amounts recognized in AOCI from de-designated interest rate cap contracts were maintained in AOCI as the forecasted transactions were still probable to occur, and subsequent changes in fair value were recognized within interest expense. In April 2018, due to increases in our total LIBOR-based debt, we elected to re-designate the two interest rate cap contracts as cash flow hedges. As of that date and going forward changes in the fair value of these instruments are recognized as a component of OCI, and these changes together with amounts previously maintained in AOCI will be recognized in earnings when the hedged item affects earnings. The amounts paid or received on the hedge are recognized as an adjustment to interest expense along with the earnings effect of the hedged item. The amount of net losses expected to be reclassified into earnings for all interest rate cap contracts in the next 12 months is $0.5 million.</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2018, we entered into a cross-currency swap, which converts $56.0 million of floating LIBOR-based U.S. Dollar denominated debt into 1.38% fixed rate euro denominated debt. This cross-currency swap matures on April 30, 2021 and mitigates the risk associated with fluctuations in interest and currency rates impacting cash flows related to U.S. Dollar denominated debt in a euro functional currency entity. Changes in the fair value of the cross-currency swap are recognized as a component of OCI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$1.2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forecasted inventory purchases in a non-functional currency, we are exposed to foreign exchange risk. We hedge portions of these purchases. During January 2019, we entered into foreign exchange option contracts for a total notional amount of $72 million at a cost of $1.3 million. The contracts mature ratably throughout the year with final maturity in October 2019. Changes in the fair value of the option contracts are recognized as a component of OCI and are recognized in product cost of revenues when the hedged item affects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effects of our accounting for derivative instruments designated as hedges on AOCI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 in ASC 815-20</w:t>
            </w:r>
          </w:p>
        </w:tc>
        <w:tc>
          <w:tcPr>
            <w:tcW w:w="2400" w:type="dxa"/>
            <w:vAlign w:val="bottom"/>
            <w:gridSpan w:val="4"/>
            <w:vMerge w:val="restart"/>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60" w:type="dxa"/>
            <w:vAlign w:val="bottom"/>
            <w:gridSpan w:val="6"/>
          </w:tcPr>
          <w:p>
            <w:pPr>
              <w:ind w:left="1780"/>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0" w:type="dxa"/>
            <w:vAlign w:val="bottom"/>
            <w:gridSpan w:val="2"/>
            <w:vMerge w:val="continue"/>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80" w:type="dxa"/>
            <w:vAlign w:val="bottom"/>
            <w:gridSpan w:val="3"/>
          </w:tcPr>
          <w:p>
            <w:pPr>
              <w:jc w:val="right"/>
              <w:ind w:right="8"/>
              <w:spacing w:after="0" w:line="147"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0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2400" w:type="dxa"/>
            <w:vAlign w:val="bottom"/>
            <w:gridSpan w:val="4"/>
            <w:vMerge w:val="restart"/>
          </w:tcPr>
          <w:p>
            <w:pPr>
              <w:jc w:val="center"/>
              <w:ind w:left="448"/>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000" w:type="dxa"/>
            <w:vAlign w:val="bottom"/>
            <w:gridSpan w:val="2"/>
            <w:vMerge w:val="continue"/>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380" w:type="dxa"/>
            <w:vAlign w:val="bottom"/>
            <w:gridSpan w:val="3"/>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Interest rate cap contracts</w:t>
            </w:r>
          </w:p>
        </w:tc>
        <w:tc>
          <w:tcPr>
            <w:tcW w:w="88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exchange options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cost of revenues</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Cross currency swap contract</w:t>
            </w:r>
          </w:p>
        </w:tc>
        <w:tc>
          <w:tcPr>
            <w:tcW w:w="88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2,703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Cross currency swap contract</w:t>
            </w:r>
          </w:p>
        </w:tc>
        <w:tc>
          <w:tcPr>
            <w:tcW w:w="8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income/(expense), net</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Interest rate swap contract</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20" w:type="dxa"/>
            <w:vAlign w:val="bottom"/>
          </w:tcPr>
          <w:p>
            <w:pPr>
              <w:spacing w:after="0"/>
              <w:rPr>
                <w:sz w:val="16"/>
                <w:szCs w:val="16"/>
                <w:color w:val="auto"/>
              </w:rPr>
            </w:pP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380" w:type="dxa"/>
            <w:vAlign w:val="bottom"/>
            <w:gridSpan w:val="3"/>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 rate cap contracts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Foreign exchange options</w:t>
            </w:r>
          </w:p>
        </w:tc>
        <w:tc>
          <w:tcPr>
            <w:tcW w:w="88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Product cost of revenues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Cross currency swap contract</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4,126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2,975</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Cross currency swap contract</w:t>
            </w:r>
          </w:p>
        </w:tc>
        <w:tc>
          <w:tcPr>
            <w:tcW w:w="88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income/(expense), net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1,635</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reclassification amounts presented above also represent the loss (gain) recognized in net income (loss) on hedging relationships under ASC 815-20 on the Consolidated Statements of Operations. For the three months and nine months ended September 30, 2019 and 2018, there were no amounts reclassified from AOCI as a result that a forecasted transaction is no longer probable of occurring, and there were no amounts excluded from effectiveness testing recognized in earnings based on changes in fair value.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and expense. We enter into monthly foreign exchange forward contracts, which are not designated for hedge accounting, with the intent to reduce earnings volatility associated with currency exposures. As of September 30, 2019, a total of 50 contracts were offsetting our exposures from the euro, pound sterling, Indonesian rupiah, Chinese yuan, Canadian dollar, Indian rupee and various other currencies, with notional amounts ranging from $120,000 to $26.4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our derivative instruments not designated as hedges on the Consolidated Statements of Operations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Gain (Loss) Recognized on Derivatives in Other</w:t>
            </w:r>
          </w:p>
        </w:tc>
      </w:tr>
      <w:tr>
        <w:trPr>
          <w:trHeight w:val="212"/>
        </w:trPr>
        <w:tc>
          <w:tcPr>
            <w:tcW w:w="5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 under ASC 815-20</w:t>
            </w:r>
          </w:p>
        </w:tc>
        <w:tc>
          <w:tcPr>
            <w:tcW w:w="262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Income (Expense)</w:t>
            </w:r>
          </w:p>
        </w:tc>
        <w:tc>
          <w:tcPr>
            <w:tcW w:w="1060" w:type="dxa"/>
            <w:vAlign w:val="bottom"/>
          </w:tcPr>
          <w:p>
            <w:pPr>
              <w:spacing w:after="0"/>
              <w:rPr>
                <w:sz w:val="18"/>
                <w:szCs w:val="18"/>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w:t>
            </w:r>
          </w:p>
        </w:tc>
        <w:tc>
          <w:tcPr>
            <w:tcW w:w="70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r>
      <w:tr>
        <w:trPr>
          <w:trHeight w:val="237"/>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Interest rate cap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c>
          <w:tcPr>
            <w:tcW w:w="70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964</w:t>
            </w:r>
          </w:p>
        </w:tc>
      </w:tr>
      <w:tr>
        <w:trPr>
          <w:trHeight w:val="237"/>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Interest rate cap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Italy, Indonesia, and India. The defined benefit obligation is calculated annually by using the projected unit credit method. The measurement date for the pension plans was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w:t>
            </w:r>
          </w:p>
        </w:tc>
      </w:tr>
      <w:tr>
        <w:trPr>
          <w:trHeight w:val="297"/>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2,730</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88,374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91,522</w:t>
            </w:r>
          </w:p>
        </w:tc>
      </w:tr>
      <w:tr>
        <w:trPr>
          <w:trHeight w:val="297"/>
        </w:trPr>
        <w:tc>
          <w:tcPr>
            <w:tcW w:w="67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91,041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93,680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00" w:type="dxa"/>
            <w:vAlign w:val="bottom"/>
          </w:tcPr>
          <w:p>
            <w:pPr>
              <w:spacing w:after="0"/>
              <w:rPr>
                <w:sz w:val="20"/>
                <w:szCs w:val="20"/>
                <w:color w:val="auto"/>
              </w:rPr>
            </w:pPr>
          </w:p>
        </w:tc>
      </w:tr>
      <w:tr>
        <w:trPr>
          <w:trHeight w:val="33"/>
        </w:trPr>
        <w:tc>
          <w:tcPr>
            <w:tcW w:w="4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3,025</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1,719</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1,767</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Settlements and other</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1,178</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5,416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5,510</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5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under the Second Amended and Restated 2010 Stock Incentive Plan (Stock Incentive Plan), including stock options, restricted stock units, phantom stock, and unrestricted stock units. In the Stock Incentive Plan, we have 12,623,538 shares of common stock reserved and authorized for issuance subject to stock splits, dividends, and other similar events. At September 30, 2019, 5,972,601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acquisition of SSNI, we reserved and authorized 2,880,039 shares, collectively, of Itron common stock to be issued under the Stock Incentive Plan for certain SSNI common stock awards that were converted to Itron common stock awards on January 5, 2018 (Acquisition Date) pursuant to the Agreement and Plan of Merger or were available for issuance pursuant to future awards under the Silver Spring Networks, Inc. 2012 Equity Incentive Plan (SSNI Plan). New stock-based compensation awards originally from the SSNI Plan may only be made to individuals who were not employees of Itron as of the Acquisition Date. Notwithstanding the foregoing, there is no fungible share provision for shares originally from the SSNI Plan.</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periodically award phantom stock units, which are settled in cash upon vesting and accounted for as liability-based awards with no impact to the shares available for grant.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242,399 shares of common stock were available for future issuance at September 30,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stock and ESPP activity for the three and nine months ended September 30, 2019 and 2018 was not significant.</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5"/>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2,694</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6,734</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5,381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19,803</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Phantom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2,039</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8,103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25,108</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Related tax benefit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4,387</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12"/>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(in thousands)</w:t>
            </w: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2018</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Converted upon acquisition</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51.86</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14.86</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68.90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24.55</w:t>
            </w: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38.98</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68.43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Expired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95.31</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September 30, 2018</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47.92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78"/>
        </w:trPr>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47.93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76.55</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26.20</w:t>
            </w: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40.10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67.38</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66.24</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September 30, 2019</w:t>
            </w: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51.22</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5.5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4"/>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Exercisable, September 30, 2019</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45.32</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4"/>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to vest, September 30, 2019</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70.56</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2019, total unrecognized stock-based compensation expense related to nonvested stock options was $3.0 million, which is expected to be recognized over a weighted average period of approximately 2.5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options granted and the resulting weighted average fair value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31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5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9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1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37"/>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4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5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(years)</w:t>
            </w:r>
          </w:p>
        </w:tc>
        <w:tc>
          <w:tcPr>
            <w:tcW w:w="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4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3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360" w:type="dxa"/>
            <w:vAlign w:val="bottom"/>
          </w:tcPr>
          <w:p>
            <w:pPr>
              <w:spacing w:after="0"/>
              <w:rPr>
                <w:sz w:val="17"/>
                <w:szCs w:val="17"/>
                <w:color w:val="auto"/>
              </w:rPr>
            </w:pPr>
          </w:p>
        </w:tc>
        <w:tc>
          <w:tcPr>
            <w:tcW w:w="19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2"/>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3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360" w:type="dxa"/>
            <w:vAlign w:val="bottom"/>
          </w:tcPr>
          <w:p>
            <w:pPr>
              <w:spacing w:after="0"/>
              <w:rPr>
                <w:sz w:val="18"/>
                <w:szCs w:val="18"/>
                <w:color w:val="auto"/>
              </w:rPr>
            </w:pPr>
          </w:p>
        </w:tc>
        <w:tc>
          <w:tcPr>
            <w:tcW w:w="19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33"/>
        </w:trPr>
        <w:tc>
          <w:tcPr>
            <w:tcW w:w="4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2018</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Converted upon acquisition</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26,753</w:t>
            </w: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84"/>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Outstanding, September 30, 2018</w:t>
            </w:r>
          </w:p>
        </w:tc>
        <w:tc>
          <w:tcPr>
            <w:tcW w:w="2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84"/>
        </w:trPr>
        <w:tc>
          <w:tcPr>
            <w:tcW w:w="4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61.79</w:t>
            </w:r>
          </w:p>
        </w:tc>
        <w:tc>
          <w:tcPr>
            <w:tcW w:w="12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26,852</w:t>
            </w: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84"/>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Outstanding, September 30, 2019</w:t>
            </w:r>
          </w:p>
        </w:tc>
        <w:tc>
          <w:tcPr>
            <w:tcW w:w="2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64.30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84"/>
        </w:trPr>
        <w:tc>
          <w:tcPr>
            <w:tcW w:w="4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9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Vested but not released, September 30, 2019</w:t>
            </w:r>
          </w:p>
        </w:tc>
        <w:tc>
          <w:tcPr>
            <w:tcW w:w="2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602</w:t>
            </w:r>
          </w:p>
        </w:tc>
      </w:tr>
      <w:tr>
        <w:trPr>
          <w:trHeight w:val="284"/>
        </w:trPr>
        <w:tc>
          <w:tcPr>
            <w:tcW w:w="4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to vest, September 30, 2019</w:t>
            </w:r>
          </w:p>
        </w:tc>
        <w:tc>
          <w:tcPr>
            <w:tcW w:w="2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48,190</w:t>
            </w:r>
          </w:p>
        </w:tc>
      </w:tr>
      <w:tr>
        <w:trPr>
          <w:trHeight w:val="20"/>
        </w:trPr>
        <w:tc>
          <w:tcPr>
            <w:tcW w:w="436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Shares released is presented gross of shares netted for employee payroll tax obligations.</w:t>
      </w:r>
    </w:p>
    <w:p>
      <w:pPr>
        <w:spacing w:after="0" w:line="2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September 30, 2019, total unrecognized compensation expense on restricted stock units was $38.1 million, which is expected to be recognized over a weighted average period of approximately 2.1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and the resulting weighted average fair value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31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37"/>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4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(years)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r>
      <w:tr>
        <w:trPr>
          <w:trHeight w:val="297"/>
        </w:trPr>
        <w:tc>
          <w:tcPr>
            <w:tcW w:w="4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72.18</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  $</w:t>
            </w: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61.25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78.56</w:t>
            </w:r>
          </w:p>
        </w:tc>
      </w:tr>
      <w:tr>
        <w:trPr>
          <w:trHeight w:val="33"/>
        </w:trPr>
        <w:tc>
          <w:tcPr>
            <w:tcW w:w="4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performance-based restricted stock units granted for the three months ended September 30, 2018.</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Phantom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phantom stock unit activity: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740" w:type="dxa"/>
            <w:vAlign w:val="bottom"/>
          </w:tcPr>
          <w:p>
            <w:pPr>
              <w:spacing w:after="0"/>
              <w:rPr>
                <w:sz w:val="17"/>
                <w:szCs w:val="17"/>
                <w:color w:val="auto"/>
              </w:rPr>
            </w:pPr>
          </w:p>
        </w:tc>
        <w:tc>
          <w:tcPr>
            <w:tcW w:w="2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3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r>
      <w:tr>
        <w:trPr>
          <w:trHeight w:val="33"/>
        </w:trPr>
        <w:tc>
          <w:tcPr>
            <w:tcW w:w="67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2018</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Converted upon acquisition</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68.06</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Released</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Outstanding, September 30, 2018</w:t>
            </w:r>
          </w:p>
        </w:tc>
        <w:tc>
          <w:tcPr>
            <w:tcW w:w="2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r>
      <w:tr>
        <w:trPr>
          <w:trHeight w:val="284"/>
        </w:trPr>
        <w:tc>
          <w:tcPr>
            <w:tcW w:w="6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to vest, September 30, 2018</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920" w:type="dxa"/>
            <w:vAlign w:val="bottom"/>
            <w:tcBorders>
              <w:bottom w:val="single" w:sz="8" w:color="CCEEFF"/>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61.80</w:t>
            </w: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60.34</w:t>
            </w:r>
          </w:p>
        </w:tc>
      </w:tr>
      <w:tr>
        <w:trPr>
          <w:trHeight w:val="224"/>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Released</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56.89</w:t>
            </w:r>
          </w:p>
        </w:tc>
      </w:tr>
      <w:tr>
        <w:trPr>
          <w:trHeight w:val="47"/>
        </w:trPr>
        <w:tc>
          <w:tcPr>
            <w:tcW w:w="67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66.26</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September 30, 2019</w:t>
            </w:r>
          </w:p>
        </w:tc>
        <w:tc>
          <w:tcPr>
            <w:tcW w:w="2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62.73</w:t>
            </w:r>
          </w:p>
        </w:tc>
      </w:tr>
      <w:tr>
        <w:trPr>
          <w:trHeight w:val="73"/>
        </w:trPr>
        <w:tc>
          <w:tcPr>
            <w:tcW w:w="6740" w:type="dxa"/>
            <w:vAlign w:val="bottom"/>
            <w:tcBorders>
              <w:bottom w:val="single" w:sz="8" w:color="CCEEFF"/>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920" w:type="dxa"/>
            <w:vAlign w:val="bottom"/>
            <w:tcBorders>
              <w:bottom w:val="single" w:sz="8" w:color="CCEEFF"/>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5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to vest, September 30, 2019</w:t>
            </w:r>
          </w:p>
        </w:tc>
        <w:tc>
          <w:tcPr>
            <w:tcW w:w="2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2019, total unrecognized compensation expense on phantom stock units was $5.4 million, which is expected to be recognized over a weighted average period of approximately 2.3 years. As of September 30, 2019 and December 31, 2018, we have recognized a phantom stock liability of $1.4 million and $1.5 million, respectively, within wages and benefits payable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rates for the three and nine months ended September 30, 2019 of 25% and 35%, respectively, differed from the federal statutory rate of 21% primarily due to losses in jurisdictions for which no benefit is recognized because of valuation allowances on deferred tax assets as well as the forecasted mix of earnings in domestic and international jurisdictions.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rates for the three and nine months ended September 30, 2018 of 22% and 1%, respectively,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excess stock-based compensation, and uncertain tax positions.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1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00" w:type="dxa"/>
            <w:vAlign w:val="bottom"/>
          </w:tcPr>
          <w:p>
            <w:pPr>
              <w:spacing w:after="0"/>
              <w:rPr>
                <w:sz w:val="20"/>
                <w:szCs w:val="20"/>
                <w:color w:val="auto"/>
              </w:rPr>
            </w:pPr>
          </w:p>
        </w:tc>
      </w:tr>
      <w:tr>
        <w:trPr>
          <w:trHeight w:val="33"/>
        </w:trPr>
        <w:tc>
          <w:tcPr>
            <w:tcW w:w="4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1,152</w:t>
            </w:r>
          </w:p>
        </w:tc>
      </w:tr>
      <w:tr>
        <w:trPr>
          <w:trHeight w:val="33"/>
        </w:trPr>
        <w:tc>
          <w:tcPr>
            <w:tcW w:w="4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6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39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interest</w:t>
            </w:r>
          </w:p>
        </w:tc>
        <w:tc>
          <w:tcPr>
            <w:tcW w:w="30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2,127</w:t>
            </w:r>
          </w:p>
        </w:tc>
      </w:tr>
      <w:tr>
        <w:trPr>
          <w:trHeight w:val="237"/>
        </w:trPr>
        <w:tc>
          <w:tcPr>
            <w:tcW w:w="3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penalties</w:t>
            </w:r>
          </w:p>
        </w:tc>
        <w:tc>
          <w:tcPr>
            <w:tcW w:w="306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1,758</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6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5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113,552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112,558</w:t>
            </w:r>
          </w:p>
        </w:tc>
      </w:tr>
      <w:tr>
        <w:trPr>
          <w:trHeight w:val="237"/>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56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112,273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111,224</w:t>
            </w:r>
          </w:p>
        </w:tc>
      </w:tr>
    </w:tbl>
    <w:p>
      <w:pPr>
        <w:spacing w:after="0" w:line="200" w:lineRule="exact"/>
        <w:rPr>
          <w:sz w:val="20"/>
          <w:szCs w:val="20"/>
          <w:color w:val="auto"/>
        </w:rPr>
      </w:pP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2019, we are under examination by certain tax authorities for the 2010 to 2017 tax years. The material jurisdictions where we are subject to examination for the 2010 to 2017 tax years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3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performance bonds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facilities</w:t>
            </w: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Long-term borrowings</w:t>
            </w:r>
          </w:p>
        </w:tc>
        <w:tc>
          <w:tcPr>
            <w:tcW w:w="30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(40,983)</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455,845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459,017</w:t>
            </w:r>
          </w:p>
        </w:tc>
      </w:tr>
      <w:tr>
        <w:trPr>
          <w:trHeight w:val="73"/>
        </w:trPr>
        <w:tc>
          <w:tcPr>
            <w:tcW w:w="67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24"/>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255,845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259,017</w:t>
            </w:r>
          </w:p>
        </w:tc>
      </w:tr>
      <w:tr>
        <w:trPr>
          <w:trHeight w:val="73"/>
        </w:trPr>
        <w:tc>
          <w:tcPr>
            <w:tcW w:w="67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108,039</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(19,386)</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Short-term borrowings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82,055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86,421</w:t>
            </w:r>
          </w:p>
        </w:tc>
      </w:tr>
      <w:tr>
        <w:trPr>
          <w:trHeight w:val="73"/>
        </w:trPr>
        <w:tc>
          <w:tcPr>
            <w:tcW w:w="67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96,276</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94,365</w:t>
            </w: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is called, we would be obligated to reimburse the issuer of the standby LOC or bond; however, as of November 4, 2019, we do not believe that any outstanding LOC or bond will be called.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do not limit the maximum potential payments. It is not possible to predict the maximum potential amount of future payments under these or similar agreements.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would disclose contingencies for which a material loss is reasonably possible, but not probable.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142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57,112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60,443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34,862</w:t>
            </w:r>
          </w:p>
        </w:tc>
      </w:tr>
      <w:tr>
        <w:trPr>
          <w:trHeight w:val="237"/>
        </w:trPr>
        <w:tc>
          <w:tcPr>
            <w:tcW w:w="4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Assumed liabilities from acquisition</w:t>
            </w:r>
          </w:p>
        </w:tc>
        <w:tc>
          <w:tcPr>
            <w:tcW w:w="32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5,742</w:t>
            </w:r>
          </w:p>
        </w:tc>
      </w:tr>
      <w:tr>
        <w:trPr>
          <w:trHeight w:val="33"/>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New product warranties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3,151</w:t>
            </w:r>
          </w:p>
        </w:tc>
      </w:tr>
      <w:tr>
        <w:trPr>
          <w:trHeight w:val="237"/>
        </w:trPr>
        <w:tc>
          <w:tcPr>
            <w:tcW w:w="4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adjustments and expirations</w:t>
            </w:r>
          </w:p>
        </w:tc>
        <w:tc>
          <w:tcPr>
            <w:tcW w:w="3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9,141</w:t>
            </w:r>
          </w:p>
        </w:tc>
      </w:tr>
      <w:tr>
        <w:trPr>
          <w:trHeight w:val="33"/>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Claims activity</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(8,981)</w:t>
            </w:r>
          </w:p>
        </w:tc>
      </w:tr>
      <w:tr>
        <w:trPr>
          <w:trHeight w:val="237"/>
        </w:trPr>
        <w:tc>
          <w:tcPr>
            <w:tcW w:w="4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33"/>
        </w:trPr>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w:t>
            </w:r>
          </w:p>
        </w:tc>
        <w:tc>
          <w:tcPr>
            <w:tcW w:w="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53,882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43,360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53,882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43,360</w:t>
            </w:r>
          </w:p>
        </w:tc>
      </w:tr>
      <w:tr>
        <w:trPr>
          <w:trHeight w:val="237"/>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32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29,736</w:t>
            </w:r>
          </w:p>
        </w:tc>
      </w:tr>
      <w:tr>
        <w:trPr>
          <w:trHeight w:val="33"/>
        </w:trPr>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Long-term warranty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15,864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13,624</w:t>
            </w: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30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warranty expense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5,991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1,528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12,291</w:t>
            </w:r>
          </w:p>
        </w:tc>
      </w:tr>
      <w:tr>
        <w:trPr>
          <w:trHeight w:val="33"/>
        </w:trPr>
        <w:tc>
          <w:tcPr>
            <w:tcW w:w="4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Health Benefits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self-insured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costs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5"/>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 costs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9,378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9,205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25,559</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IBNR accrual, which is included in wages and benefits payable,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386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IBNR accrual</w:t>
            </w:r>
          </w:p>
        </w:tc>
        <w:tc>
          <w:tcPr>
            <w:tcW w:w="4720" w:type="dxa"/>
            <w:vAlign w:val="bottom"/>
            <w:shd w:val="clear" w:color="auto" w:fill="CCEEFF"/>
          </w:tcPr>
          <w:p>
            <w:pPr>
              <w:jc w:val="right"/>
              <w:ind w:right="16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4"/>
              </w:rPr>
              <w:t>3,225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3,643</w:t>
            </w:r>
          </w:p>
        </w:tc>
      </w:tr>
      <w:tr>
        <w:trPr>
          <w:trHeight w:val="33"/>
        </w:trPr>
        <w:tc>
          <w:tcPr>
            <w:tcW w:w="386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2018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22, 2018, our Board of Directors approved a restructuring plan (the 2018 Projects) to continue our efforts to optimize our global supply chain and manufacturing operations, research and development, and sales and marketing organizations. We expect to substantially complete expense recognition on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2018 Projects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During</w:t>
            </w:r>
          </w:p>
        </w:tc>
        <w:tc>
          <w:tcPr>
            <w:tcW w:w="2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Expected Remaining Costs</w:t>
            </w: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the Nine Months Ended</w:t>
            </w:r>
          </w:p>
        </w:tc>
        <w:tc>
          <w:tcPr>
            <w:tcW w:w="220" w:type="dxa"/>
            <w:vAlign w:val="bottom"/>
          </w:tcPr>
          <w:p>
            <w:pPr>
              <w:spacing w:after="0"/>
              <w:rPr>
                <w:sz w:val="17"/>
                <w:szCs w:val="17"/>
                <w:color w:val="auto"/>
              </w:rPr>
            </w:pPr>
          </w:p>
        </w:tc>
        <w:tc>
          <w:tcPr>
            <w:tcW w:w="1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 be Recognized at</w:t>
            </w:r>
          </w:p>
        </w:tc>
      </w:tr>
      <w:tr>
        <w:trPr>
          <w:trHeight w:val="212"/>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2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73,943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impairments &amp; net loss on sale or</w:t>
            </w: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2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disposal</w:t>
            </w:r>
          </w:p>
        </w:tc>
        <w:tc>
          <w:tcPr>
            <w:tcW w:w="160" w:type="dxa"/>
            <w:vAlign w:val="bottom"/>
          </w:tcPr>
          <w:p>
            <w:pPr>
              <w:spacing w:after="0"/>
              <w:rPr>
                <w:sz w:val="18"/>
                <w:szCs w:val="18"/>
                <w:color w:val="auto"/>
              </w:rPr>
            </w:pPr>
          </w:p>
        </w:tc>
        <w:tc>
          <w:tcPr>
            <w:tcW w:w="1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24,126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13,000</w:t>
            </w:r>
          </w:p>
        </w:tc>
      </w:tr>
      <w:tr>
        <w:trPr>
          <w:trHeight w:val="244"/>
        </w:trPr>
        <w:tc>
          <w:tcPr>
            <w:tcW w:w="2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101,771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78,123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10,648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13,000</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2016 Projects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 2016, we announced projects (2016 Projects) to restructure various company activities in order to improve operational efficiencies, reduce expenses and improve competitiveness. We closed or consolidated several facilities and reduced our global workforce as a result of the restructuring. The 2016 Projects were initiated during the third quarter of 2016 and were substantially completed at December 31, 2018.</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2019, we completed the sale of our property in Stretford, United Kingdom. A gain on sale of $5.4 million was included in restructuring expense in the Consolidated Statement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2016 Projects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During</w:t>
            </w:r>
          </w:p>
        </w:tc>
        <w:tc>
          <w:tcPr>
            <w:tcW w:w="2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Expected Remaining Costs</w:t>
            </w: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the Nine Months Ended</w:t>
            </w:r>
          </w:p>
        </w:tc>
        <w:tc>
          <w:tcPr>
            <w:tcW w:w="220" w:type="dxa"/>
            <w:vAlign w:val="bottom"/>
          </w:tcPr>
          <w:p>
            <w:pPr>
              <w:spacing w:after="0"/>
              <w:rPr>
                <w:sz w:val="17"/>
                <w:szCs w:val="17"/>
                <w:color w:val="auto"/>
              </w:rPr>
            </w:pPr>
          </w:p>
        </w:tc>
        <w:tc>
          <w:tcPr>
            <w:tcW w:w="1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 be Recognized at</w:t>
            </w:r>
          </w:p>
        </w:tc>
      </w:tr>
      <w:tr>
        <w:trPr>
          <w:trHeight w:val="212"/>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2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36,910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impairments &amp; net loss (gain) on</w:t>
            </w: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2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 or disposal</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14,167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r>
      <w:tr>
        <w:trPr>
          <w:trHeight w:val="244"/>
        </w:trPr>
        <w:tc>
          <w:tcPr>
            <w:tcW w:w="2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51,009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53,272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2018 and 2016 Projects during the nine months ended September 30,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 (Gain) on Sale or</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2"/>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January 1, 2019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72,152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75,568</w:t>
            </w:r>
          </w:p>
        </w:tc>
      </w:tr>
      <w:tr>
        <w:trPr>
          <w:trHeight w:val="237"/>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8,602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7,685</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(payments) receipts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(15,531)</w:t>
            </w:r>
          </w:p>
        </w:tc>
      </w:tr>
      <w:tr>
        <w:trPr>
          <w:trHeight w:val="237"/>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4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September 30, 2019</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58,351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3,177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61,528</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 of restructuring liabilities was $18.5 million and $36.0 million as of September 30, 2019 and December 31, 2018. The current portion of restructuring liabilities is classified within other current liabilities on the Consolidated Balance Sheets. The long-term portion of restructuring liabilities balances was $43.0 million and $39.6 million as of September 30, 2019 and December 31, 2018. The long-term portion of restructuring liabilities is classified within other long-term obligations on the Consolidated Balance Sheets and includes severance accruals and facility exit costs.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September 30, 2019 and December 31, 2018.</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14, 2019, Itron's Board of Directors authorized the Company to repurchase up to $50 million of our common stock over a 12-month period (the 2019 Stock Repurchase Program). Following the announcement of the program and through September 30, 2019, we repurchased 529,396 shares at an average share price of $47.22 (including commissions) for a total of $25 million. The remaining amount authorized for repurchase under the 2019 Stock Repurchase Program is $25 million. In accordance with the terms of our 5% senior notes indenture maturing January 15, 2026, we are limited to a total of $25 million in stock repurchases in 2019. We met the threshold by June 30, 2019. No additional shares will be repurchased for the remainder of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amount, income tax (provision) benefit, and net-of-tax amount related to each component of OCI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(18,554)</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 reclassified into net income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on disposal</w:t>
            </w:r>
          </w:p>
        </w:tc>
        <w:tc>
          <w:tcPr>
            <w:tcW w:w="2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5,216</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hedging (gain) loss reclassified into net income</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1,228</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(14,308)</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 reclassified into net income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on disposal</w:t>
            </w: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hedging (gain) loss reclassified into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benefit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84"/>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(18,538)</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 reclassified into net income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on disposal</w:t>
            </w:r>
          </w:p>
        </w:tc>
        <w:tc>
          <w:tcPr>
            <w:tcW w:w="2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3,997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4,770</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hedging (gain) loss reclassified into net income</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1,207</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(14,768)</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(Loss) on Derivative</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6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12"/>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January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(170,478)</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(13,768)</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2,563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(14,768)</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September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(185,246)</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January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(196,305)</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(10,749)</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September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(207,054)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Values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values of our financial instruments: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60" w:type="dxa"/>
            <w:vAlign w:val="bottom"/>
          </w:tcPr>
          <w:p>
            <w:pPr>
              <w:spacing w:after="0"/>
              <w:rPr>
                <w:sz w:val="18"/>
                <w:szCs w:val="18"/>
                <w:color w:val="auto"/>
              </w:rPr>
            </w:pPr>
          </w:p>
        </w:tc>
        <w:tc>
          <w:tcPr>
            <w:tcW w:w="1200" w:type="dxa"/>
            <w:vAlign w:val="bottom"/>
            <w:gridSpan w:val="2"/>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3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60" w:type="dxa"/>
            <w:vAlign w:val="bottom"/>
          </w:tcPr>
          <w:p>
            <w:pPr>
              <w:spacing w:after="0"/>
              <w:rPr>
                <w:sz w:val="18"/>
                <w:szCs w:val="18"/>
                <w:color w:val="auto"/>
              </w:rPr>
            </w:pPr>
          </w:p>
        </w:tc>
        <w:tc>
          <w:tcPr>
            <w:tcW w:w="1200" w:type="dxa"/>
            <w:vAlign w:val="bottom"/>
            <w:gridSpan w:val="2"/>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140,938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140,938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120,221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120,221</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2,107</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exchange options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2,612</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rate caps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786</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Cross currency swaps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2,970</w:t>
            </w:r>
          </w:p>
        </w:tc>
      </w:tr>
      <w:tr>
        <w:trPr>
          <w:trHeight w:val="297"/>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Credit facility</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USD denominated term loan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587,500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582,339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637,813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630,971</w:t>
            </w:r>
          </w:p>
        </w:tc>
      </w:tr>
      <w:tr>
        <w:trPr>
          <w:trHeight w:val="237"/>
        </w:trPr>
        <w:tc>
          <w:tcPr>
            <w:tcW w:w="42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368,000</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term loan and multicurrency revolving line of credit: </w:t>
      </w:r>
      <w:r>
        <w:rPr>
          <w:rFonts w:ascii="Times New Roman" w:cs="Times New Roman" w:eastAsia="Times New Roman" w:hAnsi="Times New Roman"/>
          <w:sz w:val="18"/>
          <w:szCs w:val="18"/>
          <w:color w:val="auto"/>
        </w:rPr>
        <w:t>The term loan and revolver are not traded publicly. The fair values,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The Senior Notes are not registered securities nor listed on any securities exchange but may be actively traded by qualified institutional buyers.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is estimated using Level 1 inputs, as it is based on quoted prices for these instruments in active markets.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See "Note 7: Derivative Financial Instruments" for a description of our methods and assumptions in determining the fair value of our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determined using Level 2 inputs.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at September 30, 2019 and December 31, 2018 do not reflect subsequent changes in the economy, interest rates, tax rates, and other variables that may affect the determination of fair value.</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Effective October 1, 2018, we reorganized our operational reporting segmentation from Electricity, Gas, Water, and Networks to Device Solutions, Networked Solutions, and Outcomes. Prior period segment results have been recast to conform to the new segment structure. As part of our reorganization, we actively integrated our recent acquisitions and are making investment decisions and implementing an organizational structure that aligns with these new segments. In conjunction with the rollout of our new operating segments, we unified our go-to-market strategy with a single, global, sales force that sells the full portfolio of Itron solutions, products and services. We continue to manage our research and development, service delivery, supply chain, and manufacturing operations on a worldwide basis to promote global, integrated oversight of our operations and to ensure consistency and interoperability between our operating segments.</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this reorganization, we continue to operate under the Itron brand worldwide and manage and report under the three operating segments: Device Solutions, Networked Solutions, and Outcomes.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81" w:lineRule="exact"/>
        <w:rPr>
          <w:sz w:val="20"/>
          <w:szCs w:val="20"/>
          <w:color w:val="auto"/>
        </w:rPr>
      </w:pPr>
    </w:p>
    <w:p>
      <w:pPr>
        <w:jc w:val="both"/>
        <w:ind w:left="1420" w:right="20" w:hanging="1377"/>
        <w:spacing w:after="0" w:line="256" w:lineRule="auto"/>
        <w:tabs>
          <w:tab w:leader="none" w:pos="1400" w:val="left"/>
        </w:tabs>
        <w:rPr>
          <w:sz w:val="20"/>
          <w:szCs w:val="20"/>
          <w:color w:val="auto"/>
        </w:rPr>
      </w:pPr>
      <w:r>
        <w:rPr>
          <w:rFonts w:ascii="Times New Roman" w:cs="Times New Roman" w:eastAsia="Times New Roman" w:hAnsi="Times New Roman"/>
          <w:sz w:val="18"/>
          <w:szCs w:val="18"/>
          <w:i w:val="1"/>
          <w:iCs w:val="1"/>
          <w:color w:val="auto"/>
        </w:rPr>
        <w:t>Device Solutions</w:t>
      </w:r>
      <w:r>
        <w:rPr>
          <w:sz w:val="20"/>
          <w:szCs w:val="20"/>
          <w:color w:val="auto"/>
        </w:rPr>
        <w:tab/>
      </w:r>
      <w:r>
        <w:rPr>
          <w:rFonts w:ascii="Times New Roman" w:cs="Times New Roman" w:eastAsia="Times New Roman" w:hAnsi="Times New Roman"/>
          <w:sz w:val="18"/>
          <w:szCs w:val="18"/>
          <w:color w:val="auto"/>
        </w:rPr>
        <w:t>Device Solutions - includes hardware products used for measurement, control, or sensing that do not have communications capability embedded for use with our broader Itron systems, i.e., products where Itron is not offering the complete "end-to-end" solution, but only the hardware elements. Examples of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the Linky meter; and the implementation and installation of non-communicating devices, such as gas regulators.</w:t>
      </w:r>
    </w:p>
    <w:p>
      <w:pPr>
        <w:spacing w:after="0" w:line="25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i w:val="1"/>
          <w:iCs w:val="1"/>
          <w:color w:val="auto"/>
        </w:rPr>
        <w:t>Networked</w:t>
      </w:r>
      <w:r>
        <w:rPr>
          <w:sz w:val="20"/>
          <w:szCs w:val="20"/>
          <w:color w:val="auto"/>
        </w:rPr>
        <w:tab/>
      </w:r>
      <w:r>
        <w:rPr>
          <w:rFonts w:ascii="Times New Roman" w:cs="Times New Roman" w:eastAsia="Times New Roman" w:hAnsi="Times New Roman"/>
          <w:sz w:val="18"/>
          <w:szCs w:val="18"/>
          <w:color w:val="auto"/>
        </w:rPr>
        <w:t>Networked Solutions - includes a combination of communicating devices (smart meters, modules, endpoints, and sensors), network</w:t>
      </w:r>
    </w:p>
    <w:p>
      <w:pPr>
        <w:spacing w:after="0" w:line="29" w:lineRule="exact"/>
        <w:rPr>
          <w:sz w:val="20"/>
          <w:szCs w:val="20"/>
          <w:color w:val="auto"/>
        </w:rPr>
      </w:pPr>
    </w:p>
    <w:p>
      <w:pPr>
        <w:jc w:val="both"/>
        <w:ind w:left="1420" w:right="20" w:hanging="1379"/>
        <w:spacing w:after="0" w:line="252" w:lineRule="auto"/>
        <w:tabs>
          <w:tab w:leader="none" w:pos="1400" w:val="left"/>
        </w:tabs>
        <w:rPr>
          <w:sz w:val="20"/>
          <w:szCs w:val="20"/>
          <w:color w:val="auto"/>
        </w:rPr>
      </w:pPr>
      <w:r>
        <w:rPr>
          <w:rFonts w:ascii="Times New Roman" w:cs="Times New Roman" w:eastAsia="Times New Roman" w:hAnsi="Times New Roman"/>
          <w:sz w:val="18"/>
          <w:szCs w:val="18"/>
          <w:i w:val="1"/>
          <w:iCs w:val="1"/>
          <w:color w:val="auto"/>
        </w:rPr>
        <w:t>Solutions</w:t>
      </w:r>
      <w:r>
        <w:rPr>
          <w:sz w:val="20"/>
          <w:szCs w:val="20"/>
          <w:color w:val="auto"/>
        </w:rPr>
        <w:tab/>
      </w:r>
      <w:r>
        <w:rPr>
          <w:rFonts w:ascii="Times New Roman" w:cs="Times New Roman" w:eastAsia="Times New Roman" w:hAnsi="Times New Roman"/>
          <w:sz w:val="18"/>
          <w:szCs w:val="18"/>
          <w:color w:val="auto"/>
        </w:rPr>
        <w:t>infrastructure, and associated application software designed and sold as a complete solution for acquiring and transporting robust application-specific data. Networked Solutions combines, into one operating segment, the majority of the assets from the recently acquired SSNI organization with our legacy Itron networking products and software and the implementation and installation of communicating devices into one segment. This includes: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Solutions supported by this segment include automated meter reading (AMR), advanced metering infrastructure (AMI), smart grid and distribution automation (DA), and smart street lighting and smart city solutions.</w:t>
      </w:r>
    </w:p>
    <w:p>
      <w:pPr>
        <w:spacing w:after="0" w:line="253" w:lineRule="exact"/>
        <w:rPr>
          <w:sz w:val="20"/>
          <w:szCs w:val="20"/>
          <w:color w:val="auto"/>
        </w:rPr>
      </w:pPr>
    </w:p>
    <w:p>
      <w:pPr>
        <w:jc w:val="both"/>
        <w:ind w:left="1420" w:right="20" w:hanging="1379"/>
        <w:spacing w:after="0" w:line="254" w:lineRule="auto"/>
        <w:tabs>
          <w:tab w:leader="none" w:pos="1400" w:val="left"/>
        </w:tabs>
        <w:rPr>
          <w:sz w:val="20"/>
          <w:szCs w:val="20"/>
          <w:color w:val="auto"/>
        </w:rPr>
      </w:pPr>
      <w:r>
        <w:rPr>
          <w:rFonts w:ascii="Times New Roman" w:cs="Times New Roman" w:eastAsia="Times New Roman" w:hAnsi="Times New Roman"/>
          <w:sz w:val="18"/>
          <w:szCs w:val="18"/>
          <w:i w:val="1"/>
          <w:iCs w:val="1"/>
          <w:color w:val="auto"/>
        </w:rPr>
        <w:t>Outcomes</w:t>
      </w:r>
      <w:r>
        <w:rPr>
          <w:sz w:val="20"/>
          <w:szCs w:val="20"/>
          <w:color w:val="auto"/>
        </w:rPr>
        <w:tab/>
      </w:r>
      <w:r>
        <w:rPr>
          <w:rFonts w:ascii="Times New Roman" w:cs="Times New Roman" w:eastAsia="Times New Roman" w:hAnsi="Times New Roman"/>
          <w:sz w:val="18"/>
          <w:szCs w:val="18"/>
          <w:color w:val="auto"/>
        </w:rPr>
        <w:t>Outcomes - includes our value-added, enhanced software and services operating segment in which we manage, organize, analyze, and interpret data to 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of these offerings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operating segments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14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211,096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216,371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644,254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693,544</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330,487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297,726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978,259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852,819</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11,314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32,377</w:t>
            </w:r>
          </w:p>
        </w:tc>
      </w:tr>
      <w:tr>
        <w:trPr>
          <w:trHeight w:val="217"/>
        </w:trPr>
        <w:tc>
          <w:tcPr>
            <w:tcW w:w="4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552,897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525,716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1,663,794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1,578,740</w:t>
            </w:r>
          </w:p>
        </w:tc>
      </w:tr>
      <w:tr>
        <w:trPr>
          <w:trHeight w:val="73"/>
        </w:trPr>
        <w:tc>
          <w:tcPr>
            <w:tcW w:w="42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12,219</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70,305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66,193</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43,590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131,415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131,921</w:t>
            </w:r>
          </w:p>
        </w:tc>
      </w:tr>
      <w:tr>
        <w:trPr>
          <w:trHeight w:val="217"/>
        </w:trPr>
        <w:tc>
          <w:tcPr>
            <w:tcW w:w="4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71,577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70,246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210,293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210,333</w:t>
            </w:r>
          </w:p>
        </w:tc>
      </w:tr>
      <w:tr>
        <w:trPr>
          <w:trHeight w:val="73"/>
        </w:trPr>
        <w:tc>
          <w:tcPr>
            <w:tcW w:w="42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213,349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652,827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705,763</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356,221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320,508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1,048,564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919,012</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54,904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55,204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172,696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164,298</w:t>
            </w:r>
          </w:p>
        </w:tc>
      </w:tr>
      <w:tr>
        <w:trPr>
          <w:trHeight w:val="217"/>
        </w:trPr>
        <w:tc>
          <w:tcPr>
            <w:tcW w:w="4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624,474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595,962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1,874,087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1,789,073</w:t>
            </w:r>
          </w:p>
        </w:tc>
      </w:tr>
      <w:tr>
        <w:trPr>
          <w:trHeight w:val="73"/>
        </w:trPr>
        <w:tc>
          <w:tcPr>
            <w:tcW w:w="42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122,451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148,831</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135,406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388,717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359,588</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63,713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45,110</w:t>
            </w:r>
          </w:p>
        </w:tc>
      </w:tr>
      <w:tr>
        <w:trPr>
          <w:trHeight w:val="217"/>
        </w:trPr>
        <w:tc>
          <w:tcPr>
            <w:tcW w:w="4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196,404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197,097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574,881</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553,529</w:t>
            </w:r>
          </w:p>
        </w:tc>
      </w:tr>
      <w:tr>
        <w:trPr>
          <w:trHeight w:val="73"/>
        </w:trPr>
        <w:tc>
          <w:tcPr>
            <w:tcW w:w="42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81,717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105,721</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105,637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103,998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298,994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265,882</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35,620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9,966</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Corporate unallocated</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(459,778)</w:t>
            </w:r>
          </w:p>
        </w:tc>
      </w:tr>
      <w:tr>
        <w:trPr>
          <w:trHeight w:val="33"/>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39,439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103,820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(78,209)</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(45,193)</w:t>
            </w:r>
          </w:p>
        </w:tc>
      </w:tr>
      <w:tr>
        <w:trPr>
          <w:trHeight w:val="33"/>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58,837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one customer represented 10% of total company revenues. For the nine months ended September 30, 2019, the same customer represented 11% of total company revenues. For the three and nine months ended September 30, 2018, no customer represented more than 10% of total company revenues.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buy a majority of our integrated circuit board assemblies from three suppliers. Management believes that other suppliers could provide similar products, but a change in suppliers, disputes with our suppliers, or unexpected constraints on the suppliers' production capacity could adversely affect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14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United States and Canada</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405,973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376,676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1,221,448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1,080,709</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157,159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177,356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495,715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564,178</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61,342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41,930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156,924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144,186</w:t>
            </w:r>
          </w:p>
        </w:tc>
      </w:tr>
      <w:tr>
        <w:trPr>
          <w:trHeight w:val="21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624,474</w:t>
            </w:r>
          </w:p>
        </w:tc>
        <w:tc>
          <w:tcPr>
            <w:tcW w:w="12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595,962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1,874,087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1,789,073</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includes our operations in Latin America and Asia Pacific.</w:t>
      </w:r>
    </w:p>
    <w:p>
      <w:pPr>
        <w:sectPr>
          <w:pgSz w:w="11900" w:h="16838" w:orient="portrait"/>
          <w:cols w:equalWidth="0" w:num="1">
            <w:col w:w="11420"/>
          </w:cols>
          <w:pgMar w:left="240" w:top="121" w:right="239" w:bottom="455"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455"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 expense associated with our operating segments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16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14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Device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6,373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19,155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19,043</w:t>
            </w: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Networked Solutions</w:t>
            </w:r>
          </w:p>
        </w:tc>
        <w:tc>
          <w:tcPr>
            <w:tcW w:w="32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9,467</w:t>
            </w: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Outcomes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4,968</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unallocated</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17,765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53,011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58,950</w:t>
            </w:r>
          </w:p>
        </w:tc>
      </w:tr>
      <w:tr>
        <w:trPr>
          <w:trHeight w:val="33"/>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30,449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85,691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92,428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47"/>
        </w:trPr>
        <w:tc>
          <w:tcPr>
            <w:tcW w:w="9720" w:type="dxa"/>
            <w:vAlign w:val="bottom"/>
          </w:tcPr>
          <w:p>
            <w:pPr>
              <w:spacing w:after="0"/>
              <w:rPr>
                <w:sz w:val="21"/>
                <w:szCs w:val="21"/>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r>
      <w:tr>
        <w:trPr>
          <w:trHeight w:val="212"/>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4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contract assets</w:t>
            </w:r>
          </w:p>
        </w:tc>
      </w:tr>
      <w:tr>
        <w:trPr>
          <w:trHeight w:val="33"/>
        </w:trPr>
        <w:tc>
          <w:tcPr>
            <w:tcW w:w="9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January 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102,130</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(50,018)</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257,949</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(202,029)</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w:t>
            </w:r>
          </w:p>
        </w:tc>
      </w:tr>
      <w:tr>
        <w:trPr>
          <w:trHeight w:val="24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September 30</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101,359</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2019, total contract assets were $34.3 million and total contract liabilities were $136.5 million. On September 30, 2019, total contract assets were $34.6 million and total contract liabilities were $136.0 million. The contract assets primarily relate to contracts that include a retention clause and allocations related to contracts with multiple performance obligations. The contract liabilities primarily relate to deferred revenue, such as extended warranty and maintenance cost.</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$1.2 billion for the next twelve months and approximately $983 million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to obtain a contract and costs to fulfill a contract are capitalized and amortized using a systematic rational approach to align with the transfer of control of underlying contracts with customers. While amounts were capitalized, they are not material.</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 of Operations for disclosure regarding the disaggregation of revenue into categories, which depict how revenue and cash flows are affected by economic factors. Specifically, our operating segments, geographical regions, and categories for products, which include hardware and software and services, are presented.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factories, service and distribution locations, offices, and equipment under operating leases. Our operating leases have initial lease terms ranging from 1 to 9 years, some of which include options to extend or renew the leases for up to 10 years. Certain lease agreements contain provisions for future rent increases. Our leases do not contain material residual value guarantees, and finance leases are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elected the short-term lease exemption. All leases with a lease term of greater than one month are included in the following tables.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1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71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20" w:type="dxa"/>
            <w:vAlign w:val="bottom"/>
          </w:tcPr>
          <w:p>
            <w:pPr>
              <w:spacing w:after="0"/>
              <w:rPr>
                <w:sz w:val="18"/>
                <w:szCs w:val="18"/>
                <w:color w:val="auto"/>
              </w:rPr>
            </w:pPr>
          </w:p>
        </w:tc>
        <w:tc>
          <w:tcPr>
            <w:tcW w:w="1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7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17,001</w:t>
            </w:r>
          </w:p>
        </w:tc>
      </w:tr>
      <w:tr>
        <w:trPr>
          <w:trHeight w:val="237"/>
        </w:trPr>
        <w:tc>
          <w:tcPr>
            <w:tcW w:w="7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Variable lease cost</w:t>
            </w:r>
          </w:p>
        </w:tc>
        <w:tc>
          <w:tcPr>
            <w:tcW w:w="20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1,718</w:t>
            </w:r>
          </w:p>
        </w:tc>
      </w:tr>
      <w:tr>
        <w:trPr>
          <w:trHeight w:val="33"/>
        </w:trPr>
        <w:tc>
          <w:tcPr>
            <w:tcW w:w="7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18,719</w:t>
            </w:r>
          </w:p>
        </w:tc>
      </w:tr>
      <w:tr>
        <w:trPr>
          <w:trHeight w:val="20"/>
        </w:trPr>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73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30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73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15,367</w:t>
            </w:r>
          </w:p>
        </w:tc>
      </w:tr>
      <w:tr>
        <w:trPr>
          <w:trHeight w:val="254"/>
        </w:trPr>
        <w:tc>
          <w:tcPr>
            <w:tcW w:w="7380" w:type="dxa"/>
            <w:vAlign w:val="bottom"/>
          </w:tcPr>
          <w:p>
            <w:pPr>
              <w:ind w:left="40"/>
              <w:spacing w:after="0" w:line="184" w:lineRule="exact"/>
              <w:rPr>
                <w:sz w:val="20"/>
                <w:szCs w:val="20"/>
                <w:color w:val="auto"/>
              </w:rPr>
            </w:pPr>
            <w:r>
              <w:rPr>
                <w:rFonts w:ascii="Times New Roman" w:cs="Times New Roman" w:eastAsia="Times New Roman" w:hAnsi="Times New Roman"/>
                <w:sz w:val="16"/>
                <w:szCs w:val="16"/>
                <w:color w:val="auto"/>
              </w:rPr>
              <w:t>Right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assets obtained in exchange for operating lease liabilities</w:t>
            </w:r>
          </w:p>
        </w:tc>
        <w:tc>
          <w:tcPr>
            <w:tcW w:w="23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16,093</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9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78,386</w:t>
            </w:r>
          </w:p>
        </w:tc>
      </w:tr>
      <w:tr>
        <w:trPr>
          <w:trHeight w:val="297"/>
        </w:trPr>
        <w:tc>
          <w:tcPr>
            <w:tcW w:w="9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16,161</w:t>
            </w:r>
          </w:p>
        </w:tc>
      </w:tr>
      <w:tr>
        <w:trPr>
          <w:trHeight w:val="224"/>
        </w:trPr>
        <w:tc>
          <w:tcPr>
            <w:tcW w:w="9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9"/>
                <w:szCs w:val="19"/>
                <w:color w:val="auto"/>
              </w:rPr>
            </w:pPr>
          </w:p>
        </w:tc>
        <w:tc>
          <w:tcPr>
            <w:tcW w:w="1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67,024</w:t>
            </w:r>
          </w:p>
        </w:tc>
      </w:tr>
      <w:tr>
        <w:trPr>
          <w:trHeight w:val="33"/>
        </w:trPr>
        <w:tc>
          <w:tcPr>
            <w:tcW w:w="9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83,185</w:t>
            </w:r>
          </w:p>
        </w:tc>
      </w:tr>
      <w:tr>
        <w:trPr>
          <w:trHeight w:val="20"/>
        </w:trPr>
        <w:tc>
          <w:tcPr>
            <w:tcW w:w="9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1"/>
        </w:trPr>
        <w:tc>
          <w:tcPr>
            <w:tcW w:w="9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remaining lease term - Operating leases</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6.0 years</w:t>
            </w:r>
          </w:p>
        </w:tc>
      </w:tr>
      <w:tr>
        <w:trPr>
          <w:trHeight w:val="33"/>
        </w:trPr>
        <w:tc>
          <w:tcPr>
            <w:tcW w:w="9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4"/>
        </w:trPr>
        <w:tc>
          <w:tcPr>
            <w:tcW w:w="9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9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maturities of operating lease liabilities as of September 30, 2019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9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(amount remaining at September 30,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3,516</w:t>
            </w: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19,019</w:t>
            </w:r>
          </w:p>
        </w:tc>
      </w:tr>
      <w:tr>
        <w:trPr>
          <w:trHeight w:val="33"/>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16,090</w:t>
            </w: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13,245</w:t>
            </w:r>
          </w:p>
        </w:tc>
      </w:tr>
      <w:tr>
        <w:trPr>
          <w:trHeight w:val="33"/>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12,635</w:t>
            </w: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32,245</w:t>
            </w:r>
          </w:p>
        </w:tc>
      </w:tr>
      <w:tr>
        <w:trPr>
          <w:trHeight w:val="33"/>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96,750</w:t>
            </w: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(13,565)</w:t>
            </w:r>
          </w:p>
        </w:tc>
      </w:tr>
      <w:tr>
        <w:trPr>
          <w:trHeight w:val="33"/>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83,185</w:t>
            </w: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obligations under operating leases in effect as of December 31, 2018 as determined prior to adoption of ASC 842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9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than 1 year</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17,456</w:t>
            </w: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1-3 years</w:t>
            </w:r>
          </w:p>
        </w:tc>
        <w:tc>
          <w:tcPr>
            <w:tcW w:w="22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26,241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3-5 years</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19,659</w:t>
            </w: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Beyond 5 years</w:t>
            </w:r>
          </w:p>
        </w:tc>
        <w:tc>
          <w:tcPr>
            <w:tcW w:w="22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26,703</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90,059</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and notes included in this report and with the consolidated financial statements and the notes thereto for the fiscal year ended December 31, 2018 filed with the Securities and Exchange Commission (SEC) in our Annual Report on Form 10-K on February 28, 2019 (2018 Annual Report).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(http://</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at the SEC's Headquarters at 100 F Street, NE, Washington, DC 20549, or by calling 1-800-SEC-0330.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222222"/>
        </w:rPr>
        <w:t xml:space="preserve">This document contains forward-looking statements concerning our operations, financial performance, revenues, earnings growth, liquidity, restructuring,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w:t>
      </w:r>
      <w:r>
        <w:rPr>
          <w:rFonts w:ascii="Times New Roman" w:cs="Times New Roman" w:eastAsia="Times New Roman" w:hAnsi="Times New Roman"/>
          <w:sz w:val="18"/>
          <w:szCs w:val="18"/>
          <w:i w:val="1"/>
          <w:iCs w:val="1"/>
          <w:color w:val="000000"/>
        </w:rPr>
        <w:t>For a more complete description of these and other risks, refer to Item 1A: "Risk Factors" included in our 2018 Annual Report and our other reports on file with the SEC. We do not undertake any obligation to update or revise any forward-looking statement in this document.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product and operating definitions of the three segments are as follows: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Device Solutions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includes hardware products used for measurement, control, or sensing that do not have communications capability embedded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with our broader Itron systems, i.e., products where Itron is not offering the complete “end-to-end” solution, but only the hardware elements. Examples of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the Linky meter; and the implementation and installation of non-communicating devices, such as gas regulators.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Networked Solutions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includes a combination of communicating devices (smart meters, modules, endpoints and sensors), network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associated application software designed and sold as a complete solution for acquiring and transporting robust application-specific data. Networked Solutions combines, into one operating segment, the majority of the assets from the recently acquired Silver Spring Networks organization with our legacy Itron networking products and software, and the implementation and installation of communicating devices into one segment. This includes: communicating measurement, control, or sensing endpoints such as our Itron® and OpenWay® Riva meters, Itron traditional ERT® technology, Intelis Smart gas or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water meters, 500G gas communication modules, 500W water communication modules; GenX networking products, network modules and interface cards, and specific network control and management software applications. The industrial Internet of Things (IIoT) solutions supported by this segment include automated meter reading (AMR), advanced metering infrastructure (AMI), smart grid and distribution automation (DA), and smart street lighting and smart city solutions.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Outcomes: </w:t>
      </w:r>
      <w:r>
        <w:rPr>
          <w:rFonts w:ascii="Times New Roman" w:cs="Times New Roman" w:eastAsia="Times New Roman" w:hAnsi="Times New Roman"/>
          <w:sz w:val="18"/>
          <w:szCs w:val="18"/>
          <w:color w:val="auto"/>
        </w:rPr>
        <w:t>represents our value-added, enhanced software and services operating segment in which we manage, organize, analyze, and interpret data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decision making, maximize operational profitability, drive resource efficiency, and deliver results for consumers, utilities and smart cities. Outcomes places an emphasis on delivering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of these offerings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46-48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 and Endpoint Shipments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for the </w:t>
      </w:r>
      <w:r>
        <w:rPr>
          <w:rFonts w:ascii="Times New Roman" w:cs="Times New Roman" w:eastAsia="Times New Roman" w:hAnsi="Times New Roman"/>
          <w:sz w:val="18"/>
          <w:szCs w:val="18"/>
          <w:i w:val="1"/>
          <w:iCs w:val="1"/>
          <w:color w:val="000000"/>
        </w:rPr>
        <w:t>three months ended September 30, 2019 compared with the three months ended September 30, 2018</w:t>
      </w:r>
    </w:p>
    <w:p>
      <w:pPr>
        <w:spacing w:after="0" w:line="65" w:lineRule="exact"/>
        <w:rPr>
          <w:sz w:val="20"/>
          <w:szCs w:val="20"/>
          <w:color w:val="auto"/>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$624.5 million compared with $596.0 million in 2018, an increase of $28.5 million, or 5%</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31.5%</w:t>
      </w:r>
      <w:r>
        <w:rPr>
          <w:rFonts w:ascii="Times New Roman" w:cs="Times New Roman" w:eastAsia="Times New Roman" w:hAnsi="Times New Roman"/>
          <w:sz w:val="18"/>
          <w:szCs w:val="18"/>
          <w:color w:val="222222"/>
        </w:rPr>
        <w:t>, compared with 33.1% in the same period last year</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$1.5 million, or 1%,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$16.8 million compared with $19.9 million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decreased by </w:t>
      </w:r>
      <w:r>
        <w:rPr>
          <w:rFonts w:ascii="Times New Roman" w:cs="Times New Roman" w:eastAsia="Times New Roman" w:hAnsi="Times New Roman"/>
          <w:sz w:val="18"/>
          <w:szCs w:val="18"/>
          <w:color w:val="000000"/>
        </w:rPr>
        <w:t>$0.08</w:t>
      </w:r>
      <w:r>
        <w:rPr>
          <w:rFonts w:ascii="Times New Roman" w:cs="Times New Roman" w:eastAsia="Times New Roman" w:hAnsi="Times New Roman"/>
          <w:sz w:val="18"/>
          <w:szCs w:val="18"/>
          <w:color w:val="222222"/>
        </w:rPr>
        <w:t xml:space="preserve"> to $0.42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$41.4 million compared with $45.0 million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$1.04, a decrease of $0.09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decreased $6.1 million, or 8%, compared with 2018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for the nine months ended </w:t>
      </w:r>
      <w:r>
        <w:rPr>
          <w:rFonts w:ascii="Times New Roman" w:cs="Times New Roman" w:eastAsia="Times New Roman" w:hAnsi="Times New Roman"/>
          <w:sz w:val="18"/>
          <w:szCs w:val="18"/>
          <w:i w:val="1"/>
          <w:iCs w:val="1"/>
          <w:color w:val="000000"/>
        </w:rPr>
        <w:t>September 30, 2019 compared with the</w:t>
      </w:r>
      <w:r>
        <w:rPr>
          <w:rFonts w:ascii="Times New Roman" w:cs="Times New Roman" w:eastAsia="Times New Roman" w:hAnsi="Times New Roman"/>
          <w:sz w:val="18"/>
          <w:szCs w:val="18"/>
          <w:i w:val="1"/>
          <w:iCs w:val="1"/>
          <w:color w:val="222222"/>
        </w:rPr>
        <w:t xml:space="preserve"> nine months ended </w:t>
      </w:r>
      <w:r>
        <w:rPr>
          <w:rFonts w:ascii="Times New Roman" w:cs="Times New Roman" w:eastAsia="Times New Roman" w:hAnsi="Times New Roman"/>
          <w:sz w:val="18"/>
          <w:szCs w:val="18"/>
          <w:i w:val="1"/>
          <w:iCs w:val="1"/>
          <w:color w:val="000000"/>
        </w:rPr>
        <w:t>September 30, 2018</w:t>
      </w:r>
    </w:p>
    <w:p>
      <w:pPr>
        <w:spacing w:after="0" w:line="65" w:lineRule="exact"/>
        <w:rPr>
          <w:sz w:val="20"/>
          <w:szCs w:val="20"/>
          <w:color w:val="auto"/>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$1.87 billion compared with $1.79 billion in 2018, an increase of $85.0 million, or 5%</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30.7% compared with 30.9%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$160.7 million, or 25%,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$34.4 million, compared with a net loss of $123.1 million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increased by $4.00 to $0.86 as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$103.9 million compared with $70.6 million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$2.60, an increase of $0.83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increased $36.2 million, or 20%, compared with 2018</w:t>
      </w: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Amend Credit Facility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18, 2019, we amended our 2018 credit facility by entering into the First Amendment to the credit agreement entered on January 5, 2018. This amendment extended the maturity date from January 5, 2023, to October 18, 2024, and re-amortized the term loan payments based on the balance and payment terms as of the amendment date. The amendment also modified the required interest payments and made it based on total net leverage instead of total leverage. Amounts not borrowed under the revolver are now subject to a commitment fee ranging from 0.15% to 0.25%, and drawn amounts are subject to a margin ranging from 1.00% to 1.75%. The current portion of debt and long-term debt presented in the Consolidated Balance Sheets at September 30, 2019 do not reflect this amendment.</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14, 2019, Itron's Board of Directors authorized the Company to repurchase up to $50 million of our common stock over a 12-month period (the 2019 Stock Repurchase Program). Following the announcement of the program and through September 30, 2019, we repurchased 529,396 shares at an average share price of $47.22 (including commissions) for a total of $25 million. The remaining amount authorized for repurchase under the 2019 Stock Repurchase Program is $25 million. In accordance with the terms of our 5% senior notes indenture maturing January 15, 2026, we are limited to a total of $25 million in stock repurchases in 2019. We met the threshold by June 30, 2019. No additional shares will be repurchased for the remainder of 2019.</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2018 Restructuring Projects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22, 2018, our Board of Directors approved a restructuring plan (the 2018 Projects) to continue our efforts to optimize our global supply chain and manufacturing operations, research and development, and sales and marketing organizations. We expect to substantially complete expense recognition on the plan by the end of 2020. We recognized restructuring expense of $10.6 million related to the 2018 Projects during the nine months ended September 30, 2019, and we anticipate an additional $13.0 million to be recognized in future periods. At the conclusion of the 2018 Projects, we anticipate annualized savings of $45 million to $50 million. For further discussion of restructuring activities, refer to Item 1: "Financial Statements (Unaudited), Note 12: Restructuring."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The following table summarizes the changes in GAAP and Non-GAAP financial measures: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780" w:type="dxa"/>
            <w:vAlign w:val="bottom"/>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46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6"/>
                <w:szCs w:val="16"/>
                <w:b w:val="1"/>
                <w:bCs w:val="1"/>
                <w:color w:val="auto"/>
                <w:w w:val="96"/>
              </w:rPr>
              <w:t>GAAP</w:t>
            </w:r>
          </w:p>
        </w:tc>
        <w:tc>
          <w:tcPr>
            <w:tcW w:w="2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5"/>
        </w:trPr>
        <w:tc>
          <w:tcPr>
            <w:tcW w:w="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 revenues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552,897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525,716</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3"/>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1,663,794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1,578,740</w:t>
            </w:r>
          </w:p>
        </w:tc>
        <w:tc>
          <w:tcPr>
            <w:tcW w:w="13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40" w:type="dxa"/>
            <w:vAlign w:val="bottom"/>
          </w:tcPr>
          <w:p>
            <w:pPr>
              <w:spacing w:after="0"/>
              <w:rPr>
                <w:sz w:val="20"/>
                <w:szCs w:val="20"/>
                <w:color w:val="auto"/>
              </w:rPr>
            </w:pPr>
          </w:p>
        </w:tc>
        <w:tc>
          <w:tcPr>
            <w:tcW w:w="3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Service revenues</w:t>
            </w:r>
          </w:p>
        </w:tc>
        <w:tc>
          <w:tcPr>
            <w:tcW w:w="3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71,577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70,246</w:t>
            </w: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3"/>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210,293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210,333</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624,474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595,962</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3"/>
              </w:rPr>
              <w:t>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1,874,087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1,789,073</w:t>
            </w:r>
          </w:p>
        </w:tc>
        <w:tc>
          <w:tcPr>
            <w:tcW w:w="13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5%</w:t>
            </w:r>
          </w:p>
        </w:tc>
      </w:tr>
      <w:tr>
        <w:trPr>
          <w:trHeight w:val="29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196,404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197,097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574,881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553,529</w:t>
            </w:r>
          </w:p>
        </w:tc>
        <w:tc>
          <w:tcPr>
            <w:tcW w:w="13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156,965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155,421</w:t>
            </w: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3"/>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471,061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631,738</w:t>
            </w:r>
          </w:p>
        </w:tc>
        <w:tc>
          <w:tcPr>
            <w:tcW w:w="13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(25)%</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41,676</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103,820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(78,209)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37"/>
        </w:trPr>
        <w:tc>
          <w:tcPr>
            <w:tcW w:w="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(16,174)</w:t>
            </w: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(45,193)</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(5,715)</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3"/>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37"/>
        </w:trPr>
        <w:tc>
          <w:tcPr>
            <w:tcW w:w="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attributable to Itron, Inc.</w:t>
            </w:r>
          </w:p>
        </w:tc>
        <w:tc>
          <w:tcPr>
            <w:tcW w:w="3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16,847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19,882</w:t>
            </w: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34,386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(123,127)</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Non-GAAP</w:t>
      </w:r>
      <w:r>
        <w:rPr>
          <w:rFonts w:ascii="Times New Roman" w:cs="Times New Roman" w:eastAsia="Times New Roman" w:hAnsi="Times New Roman"/>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377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45" w:lineRule="exact"/>
        <w:rPr>
          <w:sz w:val="20"/>
          <w:szCs w:val="20"/>
          <w:color w:val="auto"/>
        </w:rPr>
      </w:pPr>
    </w:p>
    <w:p>
      <w:pPr>
        <w:ind w:left="40"/>
        <w:spacing w:after="0"/>
        <w:tabs>
          <w:tab w:leader="none" w:pos="3220" w:val="left"/>
        </w:tabs>
        <w:rPr>
          <w:sz w:val="20"/>
          <w:szCs w:val="20"/>
          <w:color w:val="auto"/>
        </w:rPr>
      </w:pPr>
      <w:r>
        <w:rPr>
          <w:rFonts w:ascii="Times New Roman" w:cs="Times New Roman" w:eastAsia="Times New Roman" w:hAnsi="Times New Roman"/>
          <w:sz w:val="16"/>
          <w:szCs w:val="16"/>
          <w:color w:val="auto"/>
        </w:rPr>
        <w:t>Non-GAAP operating expenses</w:t>
      </w:r>
      <w:r>
        <w:rPr>
          <w:sz w:val="20"/>
          <w:szCs w:val="20"/>
          <w:color w:val="auto"/>
        </w:rPr>
        <w:tab/>
      </w:r>
      <w:r>
        <w:rPr>
          <w:rFonts w:ascii="Times New Roman" w:cs="Times New Roman" w:eastAsia="Times New Roman" w:hAnsi="Times New Roman"/>
          <w:sz w:val="16"/>
          <w:szCs w:val="16"/>
          <w:color w:val="auto"/>
        </w:rPr>
        <w:t>$</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operating income</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net income attributable to Itron, Inc.</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Adjusted EBITDA</w:t>
      </w:r>
    </w:p>
    <w:p>
      <w:pPr>
        <w:spacing w:after="0" w:line="381" w:lineRule="exact"/>
        <w:rPr>
          <w:sz w:val="20"/>
          <w:szCs w:val="20"/>
          <w:color w:val="auto"/>
        </w:rPr>
      </w:pPr>
    </w:p>
    <w:p>
      <w:pPr>
        <w:ind w:left="40" w:right="520"/>
        <w:spacing w:after="0" w:line="353"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GAAP Margins and Earnings Per Share </w:t>
      </w:r>
      <w:r>
        <w:rPr>
          <w:rFonts w:ascii="Times New Roman" w:cs="Times New Roman" w:eastAsia="Times New Roman" w:hAnsi="Times New Roman"/>
          <w:sz w:val="16"/>
          <w:szCs w:val="16"/>
          <w:color w:val="auto"/>
        </w:rPr>
        <w:t>Gross margin</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Product gross margin</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Service gross margin</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Total gross margin</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margin</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EPS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EPS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546"/>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Non-GAAP Earnings Per Share</w:t>
            </w:r>
            <w:r>
              <w:rPr>
                <w:rFonts w:ascii="Times New Roman" w:cs="Times New Roman" w:eastAsia="Times New Roman" w:hAnsi="Times New Roman"/>
                <w:sz w:val="21"/>
                <w:szCs w:val="21"/>
                <w:b w:val="1"/>
                <w:bCs w:val="1"/>
                <w:color w:val="auto"/>
                <w:vertAlign w:val="superscript"/>
              </w:rPr>
              <w:t>(1)</w:t>
            </w:r>
          </w:p>
        </w:tc>
        <w:tc>
          <w:tcPr>
            <w:tcW w:w="540" w:type="dxa"/>
            <w:vAlign w:val="bottom"/>
          </w:tcPr>
          <w:p>
            <w:pPr>
              <w:spacing w:after="0"/>
              <w:rPr>
                <w:sz w:val="24"/>
                <w:szCs w:val="24"/>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130,387</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126,716</w:t>
            </w: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w:t>
            </w: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388,985</w:t>
            </w:r>
          </w:p>
        </w:tc>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411,257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69"/>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66,017</w:t>
            </w:r>
          </w:p>
        </w:tc>
        <w:tc>
          <w:tcPr>
            <w:tcW w:w="460" w:type="dxa"/>
            <w:vAlign w:val="bottom"/>
          </w:tcPr>
          <w:p>
            <w:pPr>
              <w:spacing w:after="0"/>
              <w:rPr>
                <w:sz w:val="23"/>
                <w:szCs w:val="2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70,381</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w:t>
            </w:r>
          </w:p>
        </w:tc>
        <w:tc>
          <w:tcPr>
            <w:tcW w:w="6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185,896</w:t>
            </w:r>
          </w:p>
        </w:tc>
        <w:tc>
          <w:tcPr>
            <w:tcW w:w="480" w:type="dxa"/>
            <w:vAlign w:val="bottom"/>
          </w:tcPr>
          <w:p>
            <w:pPr>
              <w:spacing w:after="0"/>
              <w:rPr>
                <w:sz w:val="23"/>
                <w:szCs w:val="23"/>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142,272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41,396</w:t>
            </w:r>
          </w:p>
        </w:tc>
        <w:tc>
          <w:tcPr>
            <w:tcW w:w="460" w:type="dxa"/>
            <w:vAlign w:val="bottom"/>
          </w:tcPr>
          <w:p>
            <w:pPr>
              <w:spacing w:after="0"/>
              <w:rPr>
                <w:sz w:val="23"/>
                <w:szCs w:val="2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45,046</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w:t>
            </w:r>
          </w:p>
        </w:tc>
        <w:tc>
          <w:tcPr>
            <w:tcW w:w="6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103,886</w:t>
            </w:r>
          </w:p>
        </w:tc>
        <w:tc>
          <w:tcPr>
            <w:tcW w:w="480" w:type="dxa"/>
            <w:vAlign w:val="bottom"/>
          </w:tcPr>
          <w:p>
            <w:pPr>
              <w:spacing w:after="0"/>
              <w:rPr>
                <w:sz w:val="23"/>
                <w:szCs w:val="23"/>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70,596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70"/>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74,456</w:t>
            </w:r>
          </w:p>
        </w:tc>
        <w:tc>
          <w:tcPr>
            <w:tcW w:w="460" w:type="dxa"/>
            <w:vAlign w:val="bottom"/>
          </w:tcPr>
          <w:p>
            <w:pPr>
              <w:spacing w:after="0"/>
              <w:rPr>
                <w:sz w:val="23"/>
                <w:szCs w:val="2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80,531</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w:t>
            </w:r>
          </w:p>
        </w:tc>
        <w:tc>
          <w:tcPr>
            <w:tcW w:w="6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213,180</w:t>
            </w:r>
          </w:p>
        </w:tc>
        <w:tc>
          <w:tcPr>
            <w:tcW w:w="480" w:type="dxa"/>
            <w:vAlign w:val="bottom"/>
          </w:tcPr>
          <w:p>
            <w:pPr>
              <w:spacing w:after="0"/>
              <w:rPr>
                <w:sz w:val="23"/>
                <w:szCs w:val="23"/>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176,986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-321310</wp:posOffset>
            </wp:positionV>
            <wp:extent cx="72377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20955</wp:posOffset>
            </wp:positionV>
            <wp:extent cx="723773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1885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381000</wp:posOffset>
            </wp:positionV>
            <wp:extent cx="72377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29.5%</w:t>
            </w:r>
          </w:p>
        </w:tc>
        <w:tc>
          <w:tcPr>
            <w:tcW w:w="520" w:type="dxa"/>
            <w:vAlign w:val="bottom"/>
          </w:tcPr>
          <w:p>
            <w:pPr>
              <w:spacing w:after="0"/>
              <w:rPr>
                <w:sz w:val="18"/>
                <w:szCs w:val="18"/>
                <w:color w:val="auto"/>
              </w:rPr>
            </w:pPr>
          </w:p>
        </w:tc>
        <w:tc>
          <w:tcPr>
            <w:tcW w:w="15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32.1%</w:t>
            </w:r>
          </w:p>
        </w:tc>
        <w:tc>
          <w:tcPr>
            <w:tcW w:w="1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29.9 %</w:t>
            </w:r>
          </w:p>
        </w:tc>
      </w:tr>
      <w:tr>
        <w:trPr>
          <w:trHeight w:val="270"/>
        </w:trPr>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46.5%</w:t>
            </w:r>
          </w:p>
        </w:tc>
        <w:tc>
          <w:tcPr>
            <w:tcW w:w="520" w:type="dxa"/>
            <w:vAlign w:val="bottom"/>
          </w:tcPr>
          <w:p>
            <w:pPr>
              <w:spacing w:after="0"/>
              <w:rPr>
                <w:sz w:val="23"/>
                <w:szCs w:val="23"/>
                <w:color w:val="auto"/>
              </w:rPr>
            </w:pPr>
          </w:p>
        </w:tc>
        <w:tc>
          <w:tcPr>
            <w:tcW w:w="15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40.7%</w:t>
            </w:r>
          </w:p>
        </w:tc>
        <w:tc>
          <w:tcPr>
            <w:tcW w:w="1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38.7 %</w:t>
            </w:r>
          </w:p>
        </w:tc>
      </w:tr>
      <w:tr>
        <w:trPr>
          <w:trHeight w:val="270"/>
        </w:trPr>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31.5%</w:t>
            </w:r>
          </w:p>
        </w:tc>
        <w:tc>
          <w:tcPr>
            <w:tcW w:w="520" w:type="dxa"/>
            <w:vAlign w:val="bottom"/>
          </w:tcPr>
          <w:p>
            <w:pPr>
              <w:spacing w:after="0"/>
              <w:rPr>
                <w:sz w:val="23"/>
                <w:szCs w:val="23"/>
                <w:color w:val="auto"/>
              </w:rPr>
            </w:pPr>
          </w:p>
        </w:tc>
        <w:tc>
          <w:tcPr>
            <w:tcW w:w="15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33.1%</w:t>
            </w:r>
          </w:p>
        </w:tc>
        <w:tc>
          <w:tcPr>
            <w:tcW w:w="1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30.9 %</w:t>
            </w:r>
          </w:p>
        </w:tc>
      </w:tr>
      <w:tr>
        <w:trPr>
          <w:trHeight w:val="567"/>
        </w:trPr>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520" w:type="dxa"/>
            <w:vAlign w:val="bottom"/>
          </w:tcPr>
          <w:p>
            <w:pPr>
              <w:spacing w:after="0"/>
              <w:rPr>
                <w:sz w:val="24"/>
                <w:szCs w:val="24"/>
                <w:color w:val="auto"/>
              </w:rPr>
            </w:pPr>
          </w:p>
        </w:tc>
        <w:tc>
          <w:tcPr>
            <w:tcW w:w="15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7.0%</w:t>
            </w:r>
          </w:p>
        </w:tc>
        <w:tc>
          <w:tcPr>
            <w:tcW w:w="1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70"/>
        </w:trPr>
        <w:tc>
          <w:tcPr>
            <w:tcW w:w="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2"/>
              </w:rPr>
              <w:t>0.43</w:t>
            </w:r>
          </w:p>
        </w:tc>
        <w:tc>
          <w:tcPr>
            <w:tcW w:w="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0.51</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0.87</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w:t>
            </w:r>
          </w:p>
        </w:tc>
      </w:tr>
      <w:tr>
        <w:trPr>
          <w:trHeight w:val="270"/>
        </w:trPr>
        <w:tc>
          <w:tcPr>
            <w:tcW w:w="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2"/>
              </w:rPr>
              <w:t>0.42</w:t>
            </w:r>
          </w:p>
        </w:tc>
        <w:tc>
          <w:tcPr>
            <w:tcW w:w="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0.50</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0.86</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-1024890</wp:posOffset>
            </wp:positionV>
            <wp:extent cx="72377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-681355</wp:posOffset>
            </wp:positionV>
            <wp:extent cx="723773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7730" cy="1885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-321310</wp:posOffset>
            </wp:positionV>
            <wp:extent cx="72377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20955</wp:posOffset>
            </wp:positionV>
            <wp:extent cx="723773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398145</wp:posOffset>
            </wp:positionV>
            <wp:extent cx="723773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3340" w:space="460"/>
            <w:col w:w="7600"/>
          </w:cols>
          <w:pgMar w:left="240" w:top="121" w:right="259" w:bottom="1440" w:gutter="0" w:footer="0" w:header="0"/>
          <w:type w:val="continuous"/>
        </w:sectPr>
      </w:pPr>
    </w:p>
    <w:p>
      <w:pPr>
        <w:ind w:left="40"/>
        <w:spacing w:after="0"/>
        <w:tabs>
          <w:tab w:leader="none" w:pos="3220" w:val="left"/>
          <w:tab w:leader="none" w:pos="4020" w:val="left"/>
          <w:tab w:leader="none" w:pos="4600" w:val="left"/>
          <w:tab w:leader="none" w:pos="5400" w:val="left"/>
          <w:tab w:leader="none" w:pos="7340" w:val="left"/>
          <w:tab w:leader="none" w:pos="8140" w:val="left"/>
          <w:tab w:leader="none" w:pos="8720" w:val="left"/>
          <w:tab w:leader="none" w:pos="9540" w:val="left"/>
        </w:tabs>
        <w:rPr>
          <w:sz w:val="20"/>
          <w:szCs w:val="20"/>
          <w:color w:val="auto"/>
        </w:rPr>
      </w:pPr>
      <w:r>
        <w:rPr>
          <w:rFonts w:ascii="Times New Roman" w:cs="Times New Roman" w:eastAsia="Times New Roman" w:hAnsi="Times New Roman"/>
          <w:sz w:val="16"/>
          <w:szCs w:val="16"/>
          <w:color w:val="auto"/>
        </w:rPr>
        <w:t>Non-GAAP diluted EPS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1.13</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2.60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1.77</w:t>
      </w:r>
    </w:p>
    <w:p>
      <w:pPr>
        <w:spacing w:after="0" w:line="59" w:lineRule="exact"/>
        <w:rPr>
          <w:sz w:val="20"/>
          <w:szCs w:val="20"/>
          <w:color w:val="auto"/>
        </w:rPr>
      </w:pPr>
    </w:p>
    <w:p>
      <w:pPr>
        <w:ind w:left="340" w:hanging="332"/>
        <w:spacing w:after="0" w:line="219" w:lineRule="auto"/>
        <w:tabs>
          <w:tab w:leader="none" w:pos="34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46-48 for information about these non-GAAP measures and reconciliations to the most comparable GAAP measures.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Endpoints Summary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driven significantly by sales of endpoints. We classify our endpoints into two categories:</w:t>
      </w:r>
    </w:p>
    <w:p>
      <w:pPr>
        <w:spacing w:after="0" w:line="151"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Standard Endpoints </w:t>
      </w:r>
      <w:r>
        <w:rPr>
          <w:rFonts w:ascii="Times New Roman" w:cs="Times New Roman" w:eastAsia="Times New Roman" w:hAnsi="Times New Roman"/>
          <w:sz w:val="18"/>
          <w:szCs w:val="18"/>
          <w:color w:val="auto"/>
        </w:rPr>
        <w:t>– an Itron product delivered primarily via our Device Solutions segment. The majority of our standard endpoint devices are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delivery and metrology in the electricity, water, and gas distribution industries, and have no built-in remote reading communication technology. However, some standard endpoint devices are shipped with non-Itron communications capabilities and are not a part of an Itron solution, such as the Smart Spec or Linky meter, and are classified as a standard endpoint.</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Networked Endpoints </w:t>
      </w:r>
      <w:r>
        <w:rPr>
          <w:rFonts w:ascii="Times New Roman" w:cs="Times New Roman" w:eastAsia="Times New Roman" w:hAnsi="Times New Roman"/>
          <w:sz w:val="18"/>
          <w:szCs w:val="18"/>
          <w:color w:val="auto"/>
        </w:rPr>
        <w:t>– an Itron product with one-way communication or two-way communication of data including remote device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upgrade (consisting primarily of our OpenWay® or Gen X technology). This primarily includes Itron devices used in electricity, water, and gas distribution industries. Networked endpoints also include smart communication modules and network interface cards (NICs). NICs are communicating modules that can be sold separately from the device directly to our customers or to third party manufacturers for use in endpoints such as electric, water, and gas meters; streetlights and smart city devices; sensors or another standard device that the end customer would like to connect to our OpenWay or Gen X Networked Solutions. These endpoints are primarily delivered via our Networked Solutions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shipped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660" w:type="dxa"/>
            <w:vAlign w:val="bottom"/>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520" w:type="dxa"/>
            <w:vAlign w:val="bottom"/>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7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Itron Endpoints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xml:space="preserve">Standard endpoints </w:t>
            </w:r>
            <w:r>
              <w:rPr>
                <w:rFonts w:ascii="Times New Roman" w:cs="Times New Roman" w:eastAsia="Times New Roman" w:hAnsi="Times New Roman"/>
                <w:sz w:val="21"/>
                <w:szCs w:val="21"/>
                <w:color w:val="auto"/>
                <w:vertAlign w:val="superscript"/>
              </w:rPr>
              <w:t>(1)</w:t>
            </w:r>
          </w:p>
        </w:tc>
        <w:tc>
          <w:tcPr>
            <w:tcW w:w="1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5,420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5,760</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16,460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17,400</w:t>
            </w:r>
          </w:p>
        </w:tc>
      </w:tr>
      <w:tr>
        <w:trPr>
          <w:trHeight w:val="270"/>
        </w:trPr>
        <w:tc>
          <w:tcPr>
            <w:tcW w:w="4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 xml:space="preserve">Networked endpoints </w:t>
            </w:r>
            <w:r>
              <w:rPr>
                <w:rFonts w:ascii="Times New Roman" w:cs="Times New Roman" w:eastAsia="Times New Roman" w:hAnsi="Times New Roman"/>
                <w:sz w:val="21"/>
                <w:szCs w:val="21"/>
                <w:color w:val="auto"/>
                <w:vertAlign w:val="superscript"/>
              </w:rPr>
              <w:t>(1)</w:t>
            </w: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3,940</w:t>
            </w:r>
          </w:p>
        </w:tc>
        <w:tc>
          <w:tcPr>
            <w:tcW w:w="12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3,720</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12,180</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11,190</w:t>
            </w:r>
          </w:p>
        </w:tc>
      </w:tr>
      <w:tr>
        <w:trPr>
          <w:trHeight w:val="244"/>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endpoints</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9,360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9,480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28,590</w:t>
            </w:r>
          </w:p>
        </w:tc>
      </w:tr>
    </w:tbl>
    <w:p>
      <w:pPr>
        <w:spacing w:after="0" w:line="13" w:lineRule="exact"/>
        <w:rPr>
          <w:sz w:val="20"/>
          <w:szCs w:val="20"/>
          <w:color w:val="auto"/>
        </w:rPr>
      </w:pPr>
    </w:p>
    <w:p>
      <w:pPr>
        <w:jc w:val="both"/>
        <w:ind w:left="340" w:hanging="332"/>
        <w:spacing w:after="0" w:line="231" w:lineRule="auto"/>
        <w:tabs>
          <w:tab w:leader="none" w:pos="34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the second quarter of 2019, we have refined the definition of a standard endpoint to more closely align to the segment performance of Device Solutions and Networked Solutions as reported in the Operating Segment Results section below. The quantities presented for the three and nine months ended September 30, 2018 and for the three months ended March 31, 2019, as included in the nine-month period for 2019, have been recast to align with the refined definitions of standard and networked endpoints. The total endpoints shipped for each period is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-490855</wp:posOffset>
            </wp:positionV>
            <wp:extent cx="45624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and effects of changes in foreign currency exchange rates in revenues and gross profit were as follows: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7"/>
                <w:szCs w:val="17"/>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2"/>
                <w:szCs w:val="22"/>
                <w:color w:val="auto"/>
              </w:rPr>
            </w:pPr>
          </w:p>
        </w:tc>
        <w:tc>
          <w:tcPr>
            <w:tcW w:w="14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624,474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595,962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28,512</w:t>
            </w:r>
          </w:p>
        </w:tc>
        <w:tc>
          <w:tcPr>
            <w:tcW w:w="0" w:type="dxa"/>
            <w:vAlign w:val="bottom"/>
          </w:tcPr>
          <w:p>
            <w:pPr>
              <w:spacing w:after="0"/>
              <w:rPr>
                <w:sz w:val="1"/>
                <w:szCs w:val="1"/>
                <w:color w:val="auto"/>
              </w:rPr>
            </w:pPr>
          </w:p>
        </w:tc>
      </w:tr>
      <w:tr>
        <w:trPr>
          <w:trHeight w:val="237"/>
        </w:trPr>
        <w:tc>
          <w:tcPr>
            <w:tcW w:w="3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196,404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197,097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679"/>
        </w:trPr>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2"/>
                <w:szCs w:val="22"/>
                <w:color w:val="auto"/>
              </w:rPr>
            </w:pPr>
          </w:p>
        </w:tc>
        <w:tc>
          <w:tcPr>
            <w:tcW w:w="14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1,874,087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1,789,073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85,014</w:t>
            </w:r>
          </w:p>
        </w:tc>
        <w:tc>
          <w:tcPr>
            <w:tcW w:w="0" w:type="dxa"/>
            <w:vAlign w:val="bottom"/>
          </w:tcPr>
          <w:p>
            <w:pPr>
              <w:spacing w:after="0"/>
              <w:rPr>
                <w:sz w:val="1"/>
                <w:szCs w:val="1"/>
                <w:color w:val="auto"/>
              </w:rPr>
            </w:pPr>
          </w:p>
        </w:tc>
      </w:tr>
      <w:tr>
        <w:trPr>
          <w:trHeight w:val="237"/>
        </w:trPr>
        <w:tc>
          <w:tcPr>
            <w:tcW w:w="3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574,881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553,529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21,352</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line="219" w:lineRule="auto"/>
        <w:tabs>
          <w:tab w:leader="none" w:pos="3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22222"/>
        </w:rPr>
        <w:t xml:space="preserve">Revenues increased $28.5 million, or 5%, for the </w:t>
      </w:r>
      <w:r>
        <w:rPr>
          <w:rFonts w:ascii="Times New Roman" w:cs="Times New Roman" w:eastAsia="Times New Roman" w:hAnsi="Times New Roman"/>
          <w:sz w:val="18"/>
          <w:szCs w:val="18"/>
          <w:color w:val="000000"/>
        </w:rPr>
        <w:t>three months ended September 30, 2019</w:t>
      </w:r>
      <w:r>
        <w:rPr>
          <w:rFonts w:ascii="Times New Roman" w:cs="Times New Roman" w:eastAsia="Times New Roman" w:hAnsi="Times New Roman"/>
          <w:sz w:val="18"/>
          <w:szCs w:val="18"/>
          <w:color w:val="222222"/>
        </w:rPr>
        <w:t xml:space="preserve">, compared with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The growth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months ended September 30, 2019 </w:t>
      </w:r>
      <w:r>
        <w:rPr>
          <w:rFonts w:ascii="Times New Roman" w:cs="Times New Roman" w:eastAsia="Times New Roman" w:hAnsi="Times New Roman"/>
          <w:sz w:val="18"/>
          <w:szCs w:val="18"/>
          <w:color w:val="222222"/>
        </w:rPr>
        <w:t>was driven primarily by the Networked Solutions segment,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2222"/>
        </w:rPr>
        <w:t xml:space="preserve">which increased $35.7 million. For the </w:t>
      </w:r>
      <w:r>
        <w:rPr>
          <w:rFonts w:ascii="Times New Roman" w:cs="Times New Roman" w:eastAsia="Times New Roman" w:hAnsi="Times New Roman"/>
          <w:sz w:val="18"/>
          <w:szCs w:val="18"/>
          <w:color w:val="000000"/>
        </w:rPr>
        <w:t>three months ended September 30, 2019</w:t>
      </w:r>
      <w:r>
        <w:rPr>
          <w:rFonts w:ascii="Times New Roman" w:cs="Times New Roman" w:eastAsia="Times New Roman" w:hAnsi="Times New Roman"/>
          <w:sz w:val="18"/>
          <w:szCs w:val="18"/>
          <w:color w:val="222222"/>
        </w:rPr>
        <w:t xml:space="preserve">, the Outcomes segment revenue decreased by $0.3 million when compared with 2018, and the Device Solutions segment revenue decreased by $6.9 million. Changes in exchange rates unfavorably impacted total revenues by $10.5 million during the third quarter, of which $8.3 million unfavorably impacted the Device Solutions segment total revenue. Product revenues during the third quarter of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22222"/>
        </w:rPr>
        <w:t xml:space="preserve"> increased $27.2 million, or 5%. Service revenues during the third quarter of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22222"/>
        </w:rPr>
        <w:t xml:space="preserve"> increased $1.3 million, or 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Revenues increased $85.0 million, or 5%, for the nine months ended </w:t>
      </w:r>
      <w:r>
        <w:rPr>
          <w:rFonts w:ascii="Times New Roman" w:cs="Times New Roman" w:eastAsia="Times New Roman" w:hAnsi="Times New Roman"/>
          <w:sz w:val="18"/>
          <w:szCs w:val="18"/>
          <w:color w:val="000000"/>
        </w:rPr>
        <w:t>September 30, 2019</w:t>
      </w:r>
      <w:r>
        <w:rPr>
          <w:rFonts w:ascii="Times New Roman" w:cs="Times New Roman" w:eastAsia="Times New Roman" w:hAnsi="Times New Roman"/>
          <w:sz w:val="18"/>
          <w:szCs w:val="18"/>
          <w:color w:val="222222"/>
        </w:rPr>
        <w:t xml:space="preserve">, compared with the same period in </w:t>
      </w:r>
      <w:r>
        <w:rPr>
          <w:rFonts w:ascii="Times New Roman" w:cs="Times New Roman" w:eastAsia="Times New Roman" w:hAnsi="Times New Roman"/>
          <w:sz w:val="18"/>
          <w:szCs w:val="18"/>
          <w:color w:val="000000"/>
        </w:rPr>
        <w:t>2018. New deployments in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Networked Solutions segment increased revenue by $129.6 million </w:t>
      </w:r>
      <w:r>
        <w:rPr>
          <w:rFonts w:ascii="Times New Roman" w:cs="Times New Roman" w:eastAsia="Times New Roman" w:hAnsi="Times New Roman"/>
          <w:sz w:val="18"/>
          <w:szCs w:val="18"/>
          <w:color w:val="222222"/>
        </w:rPr>
        <w:t>for</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color w:val="222222"/>
        </w:rPr>
        <w:t>nine months ended</w:t>
      </w:r>
      <w:r>
        <w:rPr>
          <w:rFonts w:ascii="Times New Roman" w:cs="Times New Roman" w:eastAsia="Times New Roman" w:hAnsi="Times New Roman"/>
          <w:sz w:val="18"/>
          <w:szCs w:val="18"/>
          <w:color w:val="000000"/>
        </w:rPr>
        <w:t xml:space="preserve"> September 30, 2019 as compared with the same period in 2018</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For the nine months ended </w:t>
      </w:r>
      <w:r>
        <w:rPr>
          <w:rFonts w:ascii="Times New Roman" w:cs="Times New Roman" w:eastAsia="Times New Roman" w:hAnsi="Times New Roman"/>
          <w:sz w:val="18"/>
          <w:szCs w:val="18"/>
          <w:color w:val="000000"/>
        </w:rPr>
        <w:t>September 30, 2019</w:t>
      </w:r>
      <w:r>
        <w:rPr>
          <w:rFonts w:ascii="Times New Roman" w:cs="Times New Roman" w:eastAsia="Times New Roman" w:hAnsi="Times New Roman"/>
          <w:sz w:val="18"/>
          <w:szCs w:val="18"/>
          <w:color w:val="222222"/>
        </w:rPr>
        <w:t xml:space="preserve">, the Outcomes segment increased revenue by $8.4 million when compared with the same period last year, and the Device Solutions segment revenue decreased by $52.9 million. </w:t>
      </w:r>
      <w:r>
        <w:rPr>
          <w:rFonts w:ascii="Times New Roman" w:cs="Times New Roman" w:eastAsia="Times New Roman" w:hAnsi="Times New Roman"/>
          <w:sz w:val="18"/>
          <w:szCs w:val="18"/>
          <w:color w:val="000000"/>
        </w:rPr>
        <w:t>During the</w:t>
      </w:r>
      <w:r>
        <w:rPr>
          <w:rFonts w:ascii="Times New Roman" w:cs="Times New Roman" w:eastAsia="Times New Roman" w:hAnsi="Times New Roman"/>
          <w:sz w:val="18"/>
          <w:szCs w:val="18"/>
          <w:color w:val="222222"/>
        </w:rPr>
        <w:t xml:space="preserve"> nine months ended </w:t>
      </w:r>
      <w:r>
        <w:rPr>
          <w:rFonts w:ascii="Times New Roman" w:cs="Times New Roman" w:eastAsia="Times New Roman" w:hAnsi="Times New Roman"/>
          <w:sz w:val="18"/>
          <w:szCs w:val="18"/>
          <w:color w:val="000000"/>
        </w:rPr>
        <w:t>September 30, 2019</w:t>
      </w:r>
      <w:r>
        <w:rPr>
          <w:rFonts w:ascii="Times New Roman" w:cs="Times New Roman" w:eastAsia="Times New Roman" w:hAnsi="Times New Roman"/>
          <w:sz w:val="18"/>
          <w:szCs w:val="18"/>
          <w:color w:val="222222"/>
        </w:rPr>
        <w:t>, c</w:t>
      </w:r>
      <w:r>
        <w:rPr>
          <w:rFonts w:ascii="Times New Roman" w:cs="Times New Roman" w:eastAsia="Times New Roman" w:hAnsi="Times New Roman"/>
          <w:sz w:val="18"/>
          <w:szCs w:val="18"/>
          <w:color w:val="000000"/>
        </w:rPr>
        <w:t>hanges in exchange rates unfavorably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impacted total revenues by $48.2 million, of which $37.4 million unfavorably impacted the Device Solutions segment total revenue. </w:t>
      </w:r>
      <w:r>
        <w:rPr>
          <w:rFonts w:ascii="Times New Roman" w:cs="Times New Roman" w:eastAsia="Times New Roman" w:hAnsi="Times New Roman"/>
          <w:sz w:val="18"/>
          <w:szCs w:val="18"/>
          <w:color w:val="222222"/>
        </w:rPr>
        <w:t>For the nine months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ended </w:t>
      </w:r>
      <w:r>
        <w:rPr>
          <w:rFonts w:ascii="Times New Roman" w:cs="Times New Roman" w:eastAsia="Times New Roman" w:hAnsi="Times New Roman"/>
          <w:sz w:val="18"/>
          <w:szCs w:val="18"/>
          <w:color w:val="000000"/>
        </w:rPr>
        <w:t>September 30, 2019, new deployments increased product revenues by $85.1 million as compared with the same period in 2018. Service revenues were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substantially flat during the </w:t>
      </w:r>
      <w:r>
        <w:rPr>
          <w:rFonts w:ascii="Times New Roman" w:cs="Times New Roman" w:eastAsia="Times New Roman" w:hAnsi="Times New Roman"/>
          <w:sz w:val="18"/>
          <w:szCs w:val="18"/>
          <w:color w:val="222222"/>
        </w:rPr>
        <w:t>nine months ended</w:t>
      </w:r>
      <w:r>
        <w:rPr>
          <w:rFonts w:ascii="Times New Roman" w:cs="Times New Roman" w:eastAsia="Times New Roman" w:hAnsi="Times New Roman"/>
          <w:sz w:val="18"/>
          <w:szCs w:val="18"/>
          <w:color w:val="000000"/>
        </w:rPr>
        <w:t xml:space="preserve"> September 30, 2019 as compared with the same period in 2018.</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for the </w:t>
      </w:r>
      <w:r>
        <w:rPr>
          <w:rFonts w:ascii="Times New Roman" w:cs="Times New Roman" w:eastAsia="Times New Roman" w:hAnsi="Times New Roman"/>
          <w:sz w:val="18"/>
          <w:szCs w:val="18"/>
          <w:color w:val="000000"/>
        </w:rPr>
        <w:t>three months ended September 30, 2019</w:t>
      </w:r>
      <w:r>
        <w:rPr>
          <w:rFonts w:ascii="Times New Roman" w:cs="Times New Roman" w:eastAsia="Times New Roman" w:hAnsi="Times New Roman"/>
          <w:sz w:val="18"/>
          <w:szCs w:val="18"/>
          <w:color w:val="222222"/>
        </w:rPr>
        <w:t xml:space="preserve"> was 31.5%, compared with 33.1%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Our gross margin associated with product sales decreased to 29.5% for the </w:t>
      </w:r>
      <w:r>
        <w:rPr>
          <w:rFonts w:ascii="Times New Roman" w:cs="Times New Roman" w:eastAsia="Times New Roman" w:hAnsi="Times New Roman"/>
          <w:sz w:val="18"/>
          <w:szCs w:val="18"/>
          <w:color w:val="000000"/>
        </w:rPr>
        <w:t>three months ended September 30, 2019</w:t>
      </w:r>
      <w:r>
        <w:rPr>
          <w:rFonts w:ascii="Times New Roman" w:cs="Times New Roman" w:eastAsia="Times New Roman" w:hAnsi="Times New Roman"/>
          <w:sz w:val="18"/>
          <w:szCs w:val="18"/>
          <w:color w:val="222222"/>
        </w:rPr>
        <w:t xml:space="preserve">, compared with 32.1%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Gross margin associated with our service revenues increased to 46.5% for the </w:t>
      </w:r>
      <w:r>
        <w:rPr>
          <w:rFonts w:ascii="Times New Roman" w:cs="Times New Roman" w:eastAsia="Times New Roman" w:hAnsi="Times New Roman"/>
          <w:sz w:val="18"/>
          <w:szCs w:val="18"/>
          <w:color w:val="000000"/>
        </w:rPr>
        <w:t>three months ended September 30, 2019</w:t>
      </w:r>
      <w:r>
        <w:rPr>
          <w:rFonts w:ascii="Times New Roman" w:cs="Times New Roman" w:eastAsia="Times New Roman" w:hAnsi="Times New Roman"/>
          <w:sz w:val="18"/>
          <w:szCs w:val="18"/>
          <w:color w:val="222222"/>
        </w:rPr>
        <w:t xml:space="preserve">, compared with 40.7%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 xml:space="preserve">Gross margin for the nine months ended </w:t>
      </w:r>
      <w:r>
        <w:rPr>
          <w:rFonts w:ascii="Times New Roman" w:cs="Times New Roman" w:eastAsia="Times New Roman" w:hAnsi="Times New Roman"/>
          <w:sz w:val="18"/>
          <w:szCs w:val="18"/>
          <w:color w:val="000000"/>
        </w:rPr>
        <w:t>September 30, 2019</w:t>
      </w:r>
      <w:r>
        <w:rPr>
          <w:rFonts w:ascii="Times New Roman" w:cs="Times New Roman" w:eastAsia="Times New Roman" w:hAnsi="Times New Roman"/>
          <w:sz w:val="18"/>
          <w:szCs w:val="18"/>
          <w:color w:val="222222"/>
        </w:rPr>
        <w:t xml:space="preserve"> was 30.7%, compared with 30.9%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Our gross margin associated with product sales decreased to 29.3% for the nine months ended </w:t>
      </w:r>
      <w:r>
        <w:rPr>
          <w:rFonts w:ascii="Times New Roman" w:cs="Times New Roman" w:eastAsia="Times New Roman" w:hAnsi="Times New Roman"/>
          <w:sz w:val="18"/>
          <w:szCs w:val="18"/>
          <w:color w:val="000000"/>
        </w:rPr>
        <w:t>September 30, 2019</w:t>
      </w:r>
      <w:r>
        <w:rPr>
          <w:rFonts w:ascii="Times New Roman" w:cs="Times New Roman" w:eastAsia="Times New Roman" w:hAnsi="Times New Roman"/>
          <w:sz w:val="18"/>
          <w:szCs w:val="18"/>
          <w:color w:val="222222"/>
        </w:rPr>
        <w:t xml:space="preserve">, compared with 29.9%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Gross margin associated with our service revenues increased to 41.8% for the nine months ended </w:t>
      </w:r>
      <w:r>
        <w:rPr>
          <w:rFonts w:ascii="Times New Roman" w:cs="Times New Roman" w:eastAsia="Times New Roman" w:hAnsi="Times New Roman"/>
          <w:sz w:val="18"/>
          <w:szCs w:val="18"/>
          <w:color w:val="000000"/>
        </w:rPr>
        <w:t>September 30, 2019</w:t>
      </w:r>
      <w:r>
        <w:rPr>
          <w:rFonts w:ascii="Times New Roman" w:cs="Times New Roman" w:eastAsia="Times New Roman" w:hAnsi="Times New Roman"/>
          <w:sz w:val="18"/>
          <w:szCs w:val="18"/>
          <w:color w:val="222222"/>
        </w:rPr>
        <w:t xml:space="preserve">, compared with 38.7%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Operating Segment Results</w:t>
      </w:r>
      <w:r>
        <w:rPr>
          <w:rFonts w:ascii="Times New Roman" w:cs="Times New Roman" w:eastAsia="Times New Roman" w:hAnsi="Times New Roman"/>
          <w:sz w:val="18"/>
          <w:szCs w:val="18"/>
          <w:color w:val="auto"/>
        </w:rPr>
        <w:t xml:space="preserve"> section below for further detail on total company revenues and gross margin.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and effects of changes in foreign currency exchange rates of operating expenses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6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3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83,666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50,612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16,095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6,592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5,926</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156,965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155,421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3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264,640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332,833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(68,193)</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150,551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162,298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48,185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53,699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Restructuring</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7,685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82,908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(75,223)</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471,061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631,738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(160,677)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9" w:lineRule="auto"/>
        <w:tabs>
          <w:tab w:leader="none" w:pos="34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increased $1.5 million for the three months ended September 30, 2019 as compared with the same period in 2018. This was primarily due to the increase of $5.9 million in restructuring and the increase of $3.4 million in research and development. The increases were offset by decreases of $6.2 million in acquisition and integration costs, which are classified within sales, general and administrative expenses. Operating expenses decreased $160.7 million for the nine months ended September 30, 2019 as compared with the same period in 2018. This was primarily due to the $75.2 million decrease in restructuring expense, which was elevated during the nine months ended September 30, 2018 following the announcement of the 2018 Project, and a $68.2 million decrease in sales, general and administrative expenses of which acquisition and integration costs decreased by $59.3 million compared with the same period in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0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1"/>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80" w:type="dxa"/>
            <w:vAlign w:val="bottom"/>
          </w:tcPr>
          <w:p>
            <w:pPr>
              <w:spacing w:after="0"/>
              <w:rPr>
                <w:sz w:val="20"/>
                <w:szCs w:val="20"/>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5"/>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(12,948)</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(38,495)</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9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5"/>
              </w:rPr>
              <w:t>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w:t>
            </w:r>
          </w:p>
        </w:tc>
      </w:tr>
      <w:tr>
        <w:trPr>
          <w:trHeight w:val="33"/>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(16,174)</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(45,193)</w:t>
            </w: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three and nine months ended September 30, 2019 was a net expense of $15.1 million and $45.0 million, compared with $16.2 million and $45.2 million in the same periods in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net, for the three months ended September 30, 2019, as compared with the same period in 2018, was primarily the result of $1.3 million decrease in interest expense for the credit facility. The change in other income (expense), net, for the nine months ended September 30, 2019, as compared with the same period in 2018, was substantially flat.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2019, our income tax expense was $6.2 million and $20.7 million, respectively, compared with income tax expense of $5.7 million and benefit of $(1.7) million for the same periods in 2018. Our tax rate for the three and nine months ended September 30, 2019 of 25% and 35%, respectively, differed from the federal statutory rate of 21% due to the forecasted mix of earnings in domestic and international jurisdictions and losses experienced in jurisdictions with valuation allowances on deferred tax assets. Our tax rate for the three and nine months ended September 30, 2018 of 22% and 1%, respectively, differed from the federal statutory rate of 21% due to the forecasted mix of earnings in domestic and international jurisdictions, a benefit related to excess stock based compensation, and losses experienced in jurisdictions with valuation allowances on deferred tax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Segment Revenues</w:t>
            </w:r>
          </w:p>
        </w:tc>
        <w:tc>
          <w:tcPr>
            <w:tcW w:w="1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213,349</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220,250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(3)%</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652,827</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705,763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Networked Solutions</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356,221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320,508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3"/>
              </w:rPr>
              <w:t>11%</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1,048,564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919,012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Outcomes</w:t>
            </w: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54,904</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55,204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172,696</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164,298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6"/>
              </w:rPr>
              <w:t>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624,474</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595,962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1,874,087</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1,789,073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6"/>
              </w:rPr>
              <w:t>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0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2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0" w:type="dxa"/>
            <w:vAlign w:val="bottom"/>
          </w:tcPr>
          <w:p>
            <w:pPr>
              <w:spacing w:after="0"/>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Profit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Profit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Profit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Profit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0" w:type="dxa"/>
            <w:vAlign w:val="bottom"/>
          </w:tcPr>
          <w:p>
            <w:pPr>
              <w:spacing w:after="0"/>
              <w:rPr>
                <w:sz w:val="1"/>
                <w:szCs w:val="1"/>
                <w:color w:val="auto"/>
              </w:rPr>
            </w:pPr>
          </w:p>
        </w:tc>
      </w:tr>
      <w:tr>
        <w:trPr>
          <w:trHeight w:val="147"/>
        </w:trPr>
        <w:tc>
          <w:tcPr>
            <w:tcW w:w="1960" w:type="dxa"/>
            <w:vAlign w:val="bottom"/>
            <w:tcBorders>
              <w:top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Segment Gross Profit and</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19.2%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46,484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122,451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18.8%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148,831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65"/>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Networked Solutions</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135,406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38.0%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133,057</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388,717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37.1%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359,588</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Outcomes</w:t>
            </w: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20,053</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36.5%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17,556</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31.8%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63,713</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36.9%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45,110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33"/>
        </w:trPr>
        <w:tc>
          <w:tcPr>
            <w:tcW w:w="1960" w:type="dxa"/>
            <w:vAlign w:val="bottom"/>
          </w:tcPr>
          <w:p>
            <w:pPr>
              <w:ind w:left="660"/>
              <w:spacing w:after="0" w:line="133" w:lineRule="exact"/>
              <w:rPr>
                <w:sz w:val="20"/>
                <w:szCs w:val="20"/>
                <w:color w:val="auto"/>
              </w:rPr>
            </w:pPr>
            <w:r>
              <w:rPr>
                <w:rFonts w:ascii="Times New Roman" w:cs="Times New Roman" w:eastAsia="Times New Roman" w:hAnsi="Times New Roman"/>
                <w:sz w:val="14"/>
                <w:szCs w:val="14"/>
                <w:color w:val="auto"/>
              </w:rPr>
              <w:t>Total gross profit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196,404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w w:val="99"/>
              </w:rPr>
              <w:t>31.5%</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197,097</w:t>
            </w:r>
          </w:p>
        </w:tc>
        <w:tc>
          <w:tcPr>
            <w:tcW w:w="1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33.1%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574,881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w w:val="99"/>
              </w:rPr>
              <w:t>30.7%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553,529</w:t>
            </w:r>
          </w:p>
        </w:tc>
        <w:tc>
          <w:tcPr>
            <w:tcW w:w="1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85"/>
        </w:trPr>
        <w:tc>
          <w:tcPr>
            <w:tcW w:w="1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margin</w:t>
            </w:r>
          </w:p>
        </w:tc>
        <w:tc>
          <w:tcPr>
            <w:tcW w:w="1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Segment Operating Expenses</w:t>
            </w:r>
          </w:p>
        </w:tc>
        <w:tc>
          <w:tcPr>
            <w:tcW w:w="1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13,040</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(3)%</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40,734</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43,110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Networked Solutions</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29,059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89,723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93,706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Outcomes</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Corporate unallocated</w:t>
            </w: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104,946</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101,713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jc w:val="center"/>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312,511</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459,778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center"/>
              <w:ind w:right="4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operating expenses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156,965</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155,421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471,061</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631,738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400" w:type="dxa"/>
            <w:vAlign w:val="bottom"/>
            <w:tcBorders>
              <w:top w:val="single" w:sz="8" w:color="CCEEFF"/>
            </w:tcBorders>
            <w:gridSpan w:val="4"/>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340" w:type="dxa"/>
            <w:vAlign w:val="bottom"/>
            <w:tcBorders>
              <w:top w:val="single" w:sz="8" w:color="CCEEFF"/>
            </w:tcBorders>
            <w:gridSpan w:val="4"/>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0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20" w:type="dxa"/>
            <w:vAlign w:val="bottom"/>
          </w:tcPr>
          <w:p>
            <w:pPr>
              <w:spacing w:after="0"/>
              <w:rPr>
                <w:sz w:val="12"/>
                <w:szCs w:val="12"/>
                <w:color w:val="auto"/>
              </w:rPr>
            </w:pPr>
          </w:p>
        </w:tc>
        <w:tc>
          <w:tcPr>
            <w:tcW w:w="9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0" w:type="dxa"/>
            <w:vAlign w:val="bottom"/>
          </w:tcPr>
          <w:p>
            <w:pPr>
              <w:spacing w:after="0"/>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0" w:type="dxa"/>
            <w:vAlign w:val="bottom"/>
          </w:tcPr>
          <w:p>
            <w:pPr>
              <w:spacing w:after="0"/>
              <w:rPr>
                <w:sz w:val="1"/>
                <w:szCs w:val="1"/>
                <w:color w:val="auto"/>
              </w:rPr>
            </w:pPr>
          </w:p>
        </w:tc>
      </w:tr>
      <w:tr>
        <w:trPr>
          <w:trHeight w:val="147"/>
        </w:trPr>
        <w:tc>
          <w:tcPr>
            <w:tcW w:w="1960" w:type="dxa"/>
            <w:vAlign w:val="bottom"/>
            <w:tcBorders>
              <w:top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Segment Operating Income</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(Loss) and Operating Margin</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Device Solutions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13.1%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33,019</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12.5%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105,721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65"/>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Networked Solutions</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105,637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29.7%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103,998</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298,994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28.5%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265,882</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Outcomes</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19.7%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6,372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20.6%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9,966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65"/>
        </w:trPr>
        <w:tc>
          <w:tcPr>
            <w:tcW w:w="1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Corporate unallocated</w:t>
            </w: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(104,946)</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center"/>
              <w:ind w:right="108"/>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(101,713)</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(312,511)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center"/>
              <w:ind w:right="108"/>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(459,778)</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42"/>
        </w:trPr>
        <w:tc>
          <w:tcPr>
            <w:tcW w:w="1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Company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39,439</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41,676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103,820</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operating segment financial results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4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213,349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40,945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46,484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13,040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646"/>
        </w:trPr>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652,827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705,763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(52,936)</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122,451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148,831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40,734</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43,110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9" w:lineRule="auto"/>
        <w:tabs>
          <w:tab w:leader="none" w:pos="34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2019 vs. Three months ended September 30, 2018</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$6.9 million, or 3% for the three months ended September 30, 2019 compared with the same period in 2018. Changes in foreign currency exchange rates unfavorably impacted revenues by $8.3 million. During the three months ended September 30, 2019, product revenue decreased due to lower electricity shipments, offset by higher shipments for water devices.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2019 vs. Nine months ended September 30, 2018</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Revenues decreased $52.9 million, or 8%. Changes in foreign currency exchange rates unfavorably impacted revenues by $37.4 million. The overall decrease in revenue was also due to lower electricity shipments, offset by higher shipments for water devices.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2019 vs. Three months ended September 30, 2018</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Gross margin was 19.2% for the three months ended September 30, 2019, compared with 21.1% for the same period in 2018. The 190 basis point decrease over the prior year was primarily the result of product mix and higher warranty expense.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2019 vs. Nine months ended September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gross margin was 18.8%, compared with 21.1% for the nine months in 2018. During 2019, the 230 basis point reduction over the prior year was primarily the result of increased component costs and partially offset by reduced warranty expense.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2019 vs. Three months ended September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$0.4 million, or 3%, for the three months ended September 30, 2019, compared with the same period in 2018. The decrease was primarily a result of lower product marketing expense, offset by higher research and development expense.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2019 vs. Nine months ended September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$2.4 million, or 6%, for the nine months ended September 30, 2019, compared with the same period in 2018. The decrease was primarily a result of lower research and development expense, offset by higher product marketing expense.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operating segment financial results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4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356,221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320,508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35,713</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135,406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29,769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29,059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646"/>
        </w:trPr>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1,048,564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919,012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129,552</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388,717</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359,588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29,129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89,723</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93,706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9" w:lineRule="auto"/>
        <w:tabs>
          <w:tab w:leader="none" w:pos="3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2019 vs. Three months ended September 30, 2018</w:t>
      </w:r>
    </w:p>
    <w:p>
      <w:pPr>
        <w:spacing w:after="0" w:line="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Revenues increased $35.7 million, or 11%, for the three months ended September 30, 2019 compared with the same period in 2018. The increase was primarily driven by higher product sales in North America, partially offset by $1.6 million of unfavorable changes in foreign currency exchange rates.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2019 vs. Nine months ended September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Revenues increased $129.6 million, or 14%, for the nine months ended September 30, 2019 compared with the same period in 2018. The increase was primarily driven by higher product sales in North America, partially offset by $8.0 million of unfavorable changes in foreign currency exchange rates.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2019 vs. Three months ended September 30, 2018</w:t>
      </w:r>
    </w:p>
    <w:p>
      <w:pPr>
        <w:spacing w:after="0" w:line="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margin was 38.0% for the three months ended September 30, 2019, compared with 41.5% for the same period in 2018. The 350 basis point decrease was related to unfavorable product mix compared with 2018 and increased warranty costs.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2019 vs. Nine months ended September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margin was 37.1% for the nine months ended September 30, 2019, compared with 39.1% for the same period in 2018. The 200 basis point decrease was primarily related to unfavorable product mix and increased warranty costs.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2019 vs. Three months ended September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expenses increased $0.7 million, or 2%, for the three months ended September 30, 2019, compared with the same period in 2018. The increase was primarily related to higher research and development expenses.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2019 vs. Nine months ended September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expenses decreased $4.0 million, or 4%, for the nine months ended September 30, 2019, compared with the same period in 2018. The decrease was primarily related to lower research and development expenses.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operating segment financial results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4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54,904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55,204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20,053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9,210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646"/>
        </w:trPr>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2"/>
                <w:szCs w:val="22"/>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172,696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164,298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8,398</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63,713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18,603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28,093</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35,144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9" w:lineRule="auto"/>
        <w:tabs>
          <w:tab w:leader="none" w:pos="3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2019 vs. Three months ended September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decreased $0.3 million, or 1%, for the three months ended September 30, 2019, compared with the same period in 2018. Revenue growth in managed services and customer projects was unfavorably impacted by $0.7 million due to changes in foreign currency exchange rates.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2019 vs. Nine months ended September 30, 2018</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increased $8.4 million, or 5%, for the nine months ended September 30, 2019, compared with the same period in 2018. This growth was driven by software licenses, managed services, and customer projects. Revenues were unfavorably impacted by $2.8 million due to changes in foreign currency exchange rates.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2019 vs. Three months ended September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increased to 36.5%, compared with 31.8% in 2018. The 470 basis point increase in gross margin was driven primarily by the growth in managed services and customer projects and lower costs.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2019 vs. Nine months ended September 30, 2018</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Gross margin increased to 36.9% for the nine months ended September 30, 2019, compared with 27.5% for the same period last year. The 940 basis point increase was driven by growth in higher margin software licenses and professional services and lower costs.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2019 vs. Three months ended September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months ended September 30, 2019 decreased $2.0 million, or 18%, compared with 2018. This was primarily related to lower research and development expenses.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2019 vs. Nine months ended September 30, 2018</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Operating expenses for the nine months ended September 30, 2019 decreased $7.1 million, or 20%, compared with the same period last year. This was primarily related to lower research and development and product marketing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September 30, 2019 vs. Three months ended September 30, 2018</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increased by $3.2 million, or 3%, for the three months ended September 30, 2019 compared with the same period in 2018. This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was primarily due to higher restructuring expense and increased research and development spending, net of a decrease in SSNI acquisition and integration expense in 2019.</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Nine months ended September 30, 2019 vs. Nine months ended September 30, 2018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expenses decreased by $147.3 million, or 32%, for the nine months ended September 30, 2019 compared with the same period in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lower restructuring expense and lower SSNI acquisition and integration expense in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Quarterly</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12-Month</w:t>
            </w:r>
          </w:p>
        </w:tc>
      </w:tr>
      <w:tr>
        <w:trPr>
          <w:trHeight w:val="212"/>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30, 2019</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609</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3,063</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1,361</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June 30, 2019</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702</w:t>
            </w:r>
          </w:p>
        </w:tc>
        <w:tc>
          <w:tcPr>
            <w:tcW w:w="5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3,090</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1,403</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March 31, 2019</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473</w:t>
            </w:r>
          </w:p>
        </w:tc>
        <w:tc>
          <w:tcPr>
            <w:tcW w:w="5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3,022</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1,375</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31, 2018</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786</w:t>
            </w:r>
          </w:p>
        </w:tc>
        <w:tc>
          <w:tcPr>
            <w:tcW w:w="5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3,173</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30, 2018</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593</w:t>
            </w:r>
          </w:p>
        </w:tc>
        <w:tc>
          <w:tcPr>
            <w:tcW w:w="58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3,112</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1,350</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128,100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67,383</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(845,749)</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408,356</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w:t>
            </w:r>
          </w:p>
        </w:tc>
      </w:tr>
      <w:tr>
        <w:trPr>
          <w:trHeight w:val="3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(376,185)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was $141.7 million at September 30, 2019, compared with $122.3 million at December 31, 2018. The $19.4 million increase in cash, cash equivalents, and restricted cash for the nine months ended September 30, 2019 was primarily the result of cash flows from operations, partially offset by acquisitions of property, plant, and equipment; repurchases of shares; and net payments on debt.</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during the nine months ended September 30, 2019 was $128.1 million compared with cash provided by operating activities of $67.4 million during the same period in 2018. The increase was primarily due to increased gross profit and lower cash outflows for acquisition and integration costs and restructuring costs.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during the nine months ended September 30, 2019 was $811.2 million lower compared with the same period in 2018. This decrease in use of cash was primarily related to the acquisition of SSNI in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2019 was $73.6 million, compared with net cash provided of $408.4 million for the same period in 2018. In 2018, we had net draws on our debt of $429.6 million to fund the acquisition of SSNI, as well as cash payments of $24.0 million for debt origination fees. In 2019, we had net repayments of debt of $50.3 million and stock repurchases of $25.0 million.</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for the nine months ended September 30, 2019 was a decrease of $0.5 million, compared with a decrease of $6.2 million for the same period in 2018. The impact of exchange rates is the result of a decrease in the U.S. dollar value compared with most foreign currencies during both the nine months ended September 30, 2019 and September 30, 2018.</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128,100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67,383</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(42,493)</w:t>
            </w:r>
          </w:p>
        </w:tc>
      </w:tr>
      <w:tr>
        <w:trPr>
          <w:trHeight w:val="3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Free cash flow</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83,530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24,890</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Free cash flow increased primarily as a result of higher cash provided by operating activities due to a significant decrease in restructuring and acquisition and integration costs related to our acquisition of SSNI in the 2018 period. See the cash flow discussion of operating activities above. Acquisition of property, plant, and equipment increased $2.1 million during the nine months ended September 30, 2019 primarily due to investments related to our </w:t>
      </w:r>
      <w:r>
        <w:rPr>
          <w:rFonts w:ascii="Times New Roman" w:cs="Times New Roman" w:eastAsia="Times New Roman" w:hAnsi="Times New Roman"/>
          <w:sz w:val="18"/>
          <w:szCs w:val="18"/>
          <w:color w:val="222222"/>
        </w:rPr>
        <w:t>strategic sourcing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projects and related manufacturing and supplier transitions in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September 30, 2019 and December 31, 2018 that we believe are reasonably likely to have a current or future effect on our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5, 2018, we entered into a credit agreement providing for committed credit facilities in the amount of $1.2 billion U.S. dollars (the 2018 credit facility),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were to mature on January 5, 2023. During the quarter ended September 30, 2019, we made debt prepayments on the term loan in excess of required principal payments and intend to make additional payments in excess of our current portion of debt in the next year.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18, 2019, we amended our 2018 credit facility by entering into the First Amendment to the credit agreement entered on January 5, 2018. This amendment extended the maturity date from January 5, 2023, to October 18, 2024, and re-amortized the term loan payments based on the balance and payment terms as of the amendment date. The amendment also modified the required interest payments and made it based on total net leverage instead of total leverage. Amounts not borrowed under the revolver are now subject to a commitment fee ranging from 0.15% to 0.25% and drawn amounts are subject to a margin ranging from 1.00% to 1.75%.</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2017 and January 19, 2018, we issued $300 million and $100 million, respectively, of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commencing on July 15, 2018. The Senior Notes are fully and unconditionally guaranteed, jointly and severally, on a senior unsecured basis by each of our subsidiaries that guarantee the 2018 credit facility.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of the principal amount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Silver Spring Networks, Inc. Acquisition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acquisition of SSNI, we announced an integration plan to obtain approximately $50 million of annualized savings by the end of 2020. For the nine months ended September 30, 2019, we have paid out $24.0 million and we have approximately $25 million to $35 million of estimated cash payments remaining on the integration plan, the majority of which is expected to be paid out in the next 12 months. We have recognized $3.8 million and $24.6 million of the acquisition and integration related expenses during the three and nine months ended September 30, 2019.</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we have paid out a net $15.5 million related to the restructuring projects. As of September 30, 2019, $61.5 million was accrued for restructuring projects, of which $18.5 million is expected to be paid over the next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14, 2019, Itron's Board of Directors authorized the Company to repurchase up to $50 million of our common stock over a 12-month period (the 2019 Stock Repurchase Program). Following the announcement of the program and through September 30, 2019, we repurchased 529,396 shares at an average share price of $47.22 (including commissions) for a total of $25 million. The remaining amount authorized for repurchase under the 2019 Stock Repurchase Program is $25 million. In accordance with the terms of our 5% senior notes indenture maturing January 15, 2026, we are limited to a total of $25 million in stock repurchases in 2019. We met the threshold by June 30, 2019. No additional shares will be repurchased for the remainder of 2019.</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$2 million in state taxes and approximately $12 million in local and foreign taxes during 2019. We expect a refund of approximately $5 million in U.S. federal taxes. For a discussion of our tax provision and unrecognized tax benefits, see Item 1: "Financial Statements (Unaudited), Note 10: Income Taxes."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2019, we are under examination by certain tax authorities for the 2010 to 2017 tax years. The material jurisdictions where we are subject to examination for the 2010 to 2017 tax years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2019, there was $38.2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September 30, 2019, $4.7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future business combinations, capital market fluctuations, international risks, and other factors described under "Risk Factors" within Item 1A of Part I of our 2018 Annual Report, as well as "Quantitative and Qualitative Disclosures About Market Risk" within Item 3 of Part I included in this Quarterly Report on Form 10-Q.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2018 Annual Report and have not changed materially, with the exception of the adoption of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operational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Non-GAAP operating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non-GAAP operating income</w:t>
      </w:r>
      <w:r>
        <w:rPr>
          <w:rFonts w:ascii="Times New Roman" w:cs="Times New Roman" w:eastAsia="Times New Roman" w:hAnsi="Times New Roman"/>
          <w:sz w:val="18"/>
          <w:szCs w:val="18"/>
          <w:color w:val="auto"/>
        </w:rPr>
        <w:t xml:space="preserve"> – We define non-GAAP operating expenses as operating expenses excluding certain expenses related to the amortization of intangible assets, restructuring, corporate transition costs, acquisition and integration, and goodwill impairment. We define non-GAAP operating income as operating income excluding the expenses related to the amortization of intangible assets, restructuring, corporate transition costs,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Non-GAAP net income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non-GAAP diluted EPS</w:t>
      </w:r>
      <w:r>
        <w:rPr>
          <w:rFonts w:ascii="Times New Roman" w:cs="Times New Roman" w:eastAsia="Times New Roman" w:hAnsi="Times New Roman"/>
          <w:sz w:val="18"/>
          <w:szCs w:val="18"/>
          <w:color w:val="auto"/>
        </w:rPr>
        <w:t xml:space="preserve"> – We define non-GAAP net income as net income attributable to Itron, Inc. excluding the expenses associated with amortization of intangible assets, amortization of debt placement fees, restructuring, corporate transition costs, acquisition and integration, goodwill impairment,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interim periods, beginning the first quarter of 2019, the budgeted annual effective tax rate (AETR) is used, adjusted for any discrete items, as defined in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 We define adjusted EBITDA as net income (a) minus interest income, (b) plus interest expense, depreciation and amortization of intangible assets, restructuring, corporate transition cost,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 We define free cash flow as cash provided by (used in)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Constant currency</w:t>
      </w:r>
      <w:r>
        <w:rPr>
          <w:rFonts w:ascii="Times New Roman" w:cs="Times New Roman" w:eastAsia="Times New Roman" w:hAnsi="Times New Roman"/>
          <w:sz w:val="18"/>
          <w:szCs w:val="18"/>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accompanying tables have more detail on the GAAP financial measures that are most directly comparable to the non-GAAP financial measures and the related reconciliations between these financial measures.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80" w:type="dxa"/>
            <w:vAlign w:val="bottom"/>
          </w:tcPr>
          <w:p>
            <w:pPr>
              <w:spacing w:after="0"/>
              <w:rPr>
                <w:sz w:val="18"/>
                <w:szCs w:val="18"/>
                <w:color w:val="auto"/>
              </w:rPr>
            </w:pPr>
          </w:p>
        </w:tc>
        <w:tc>
          <w:tcPr>
            <w:tcW w:w="32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80" w:type="dxa"/>
            <w:vAlign w:val="bottom"/>
          </w:tcPr>
          <w:p>
            <w:pPr>
              <w:spacing w:after="0"/>
              <w:rPr>
                <w:sz w:val="20"/>
                <w:szCs w:val="20"/>
                <w:color w:val="auto"/>
              </w:rPr>
            </w:pP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45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GAAP operating expenses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156,965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471,061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631,738</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(53,699)</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Restructuring</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(82,908)</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(83,874)</w:t>
            </w:r>
          </w:p>
        </w:tc>
        <w:tc>
          <w:tcPr>
            <w:tcW w:w="0" w:type="dxa"/>
            <w:vAlign w:val="bottom"/>
          </w:tcPr>
          <w:p>
            <w:pPr>
              <w:spacing w:after="0"/>
              <w:rPr>
                <w:sz w:val="1"/>
                <w:szCs w:val="1"/>
                <w:color w:val="auto"/>
              </w:rPr>
            </w:pPr>
          </w:p>
        </w:tc>
      </w:tr>
      <w:tr>
        <w:trPr>
          <w:trHeight w:val="284"/>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130,387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126,716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388,985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411,257</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GAAP operating income (loss)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103,820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(78,209)</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48,185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53,699</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Restructuring</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82,908</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83,874</w:t>
            </w:r>
          </w:p>
        </w:tc>
        <w:tc>
          <w:tcPr>
            <w:tcW w:w="0" w:type="dxa"/>
            <w:vAlign w:val="bottom"/>
          </w:tcPr>
          <w:p>
            <w:pPr>
              <w:spacing w:after="0"/>
              <w:rPr>
                <w:sz w:val="1"/>
                <w:szCs w:val="1"/>
                <w:color w:val="auto"/>
              </w:rPr>
            </w:pPr>
          </w:p>
        </w:tc>
      </w:tr>
      <w:tr>
        <w:trPr>
          <w:trHeight w:val="284"/>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Non-GAAP operating income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66,017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70,381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185,896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142,272</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GAAP income (loss) attributable to Itron, Inc.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(123,127)</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48,185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53,699</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5,693</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Restructuring</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82,908</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83,874</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Income tax effect of non-GAAP adjustments</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(32,451)</w:t>
            </w:r>
          </w:p>
        </w:tc>
        <w:tc>
          <w:tcPr>
            <w:tcW w:w="0" w:type="dxa"/>
            <w:vAlign w:val="bottom"/>
          </w:tcPr>
          <w:p>
            <w:pPr>
              <w:spacing w:after="0"/>
              <w:rPr>
                <w:sz w:val="1"/>
                <w:szCs w:val="1"/>
                <w:color w:val="auto"/>
              </w:rPr>
            </w:pPr>
          </w:p>
        </w:tc>
      </w:tr>
      <w:tr>
        <w:trPr>
          <w:trHeight w:val="290"/>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 xml:space="preserve">Non-GAAP net income attributable to Itron, Inc.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41,396</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45,046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103,886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70,596</w:t>
            </w:r>
          </w:p>
        </w:tc>
        <w:tc>
          <w:tcPr>
            <w:tcW w:w="0" w:type="dxa"/>
            <w:vAlign w:val="bottom"/>
          </w:tcPr>
          <w:p>
            <w:pPr>
              <w:spacing w:after="0"/>
              <w:rPr>
                <w:sz w:val="1"/>
                <w:szCs w:val="1"/>
                <w:color w:val="auto"/>
              </w:rPr>
            </w:pPr>
          </w:p>
        </w:tc>
      </w:tr>
      <w:tr>
        <w:trPr>
          <w:trHeight w:val="143"/>
        </w:trPr>
        <w:tc>
          <w:tcPr>
            <w:tcW w:w="4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 xml:space="preserve">Non-GAAP diluted EPS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43"/>
        </w:trPr>
        <w:tc>
          <w:tcPr>
            <w:tcW w:w="4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39,903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39,909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39,884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39,825</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GAAP income (loss) attributable to Itron, Inc.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(123,127)</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44,320</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85,691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92,428</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Restructuring</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82,908</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83,874</w:t>
            </w:r>
          </w:p>
        </w:tc>
        <w:tc>
          <w:tcPr>
            <w:tcW w:w="0" w:type="dxa"/>
            <w:vAlign w:val="bottom"/>
          </w:tcPr>
          <w:p>
            <w:pPr>
              <w:spacing w:after="0"/>
              <w:rPr>
                <w:sz w:val="1"/>
                <w:szCs w:val="1"/>
                <w:color w:val="auto"/>
              </w:rPr>
            </w:pPr>
          </w:p>
        </w:tc>
      </w:tr>
      <w:tr>
        <w:trPr>
          <w:trHeight w:val="33"/>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80,531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213,180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176,986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50,037</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50,504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128,100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67,383</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(42,493)</w:t>
            </w:r>
          </w:p>
        </w:tc>
        <w:tc>
          <w:tcPr>
            <w:tcW w:w="0" w:type="dxa"/>
            <w:vAlign w:val="bottom"/>
          </w:tcPr>
          <w:p>
            <w:pPr>
              <w:spacing w:after="0"/>
              <w:rPr>
                <w:sz w:val="1"/>
                <w:szCs w:val="1"/>
                <w:color w:val="auto"/>
              </w:rPr>
            </w:pPr>
          </w:p>
        </w:tc>
      </w:tr>
      <w:tr>
        <w:trPr>
          <w:trHeight w:val="231"/>
        </w:trPr>
        <w:tc>
          <w:tcPr>
            <w:tcW w:w="4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Free Cash Flow</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31,978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37,320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83,530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24,890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12700</wp:posOffset>
            </wp:positionV>
            <wp:extent cx="43992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26" w:lineRule="exact"/>
        <w:rPr>
          <w:sz w:val="20"/>
          <w:szCs w:val="20"/>
          <w:color w:val="auto"/>
        </w:rPr>
      </w:pPr>
    </w:p>
    <w:p>
      <w:pPr>
        <w:jc w:val="both"/>
        <w:ind w:left="340" w:hanging="332"/>
        <w:spacing w:after="0" w:line="237" w:lineRule="auto"/>
        <w:tabs>
          <w:tab w:leader="none" w:pos="3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income tax effect of non-GAAP adjustments is calculated using the statutory tax rates for the relevant jurisdictions, provided no valuation allowance exists. If a valuation allowance exists, there is no tax impact to the non-GAAP adjustment. Effective for the first quarter of 2019, we use the budgeted annual effective tax rate (AETR) for interim periods, with adjustments for discrete items, as defined in ASC 740 - Income Taxes. This method impacts interim periods only and does not impact full year tax results, as any difference between the budgeted or revised AETR and the actual AETR for non-GAAP adjustments would be recognized in the fourth quarter of the year. If the revised methodology had been applied in the third quarter of 2018, non-GAAP net income would have decreased by $4.8 million to $40.2 million, and diluted non-GAAP EPS would have decreased by $0.12 to $1.01. If the methodology had been applied in the nine months ended September 30, 2018 non-GAAP net income would have increased by $1 million to $71.5 million, and diluted non-GAAP EPS would have increased by $0.03 to $1.80.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-850265</wp:posOffset>
            </wp:positionV>
            <wp:extent cx="43992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ectPr>
          <w:pgSz w:w="11900" w:h="16838" w:orient="portrait"/>
          <w:cols w:equalWidth="0" w:num="1">
            <w:col w:w="11420"/>
          </w:cols>
          <w:pgMar w:left="240" w:top="121" w:right="239" w:bottom="59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59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September 30, 2019, our LIBOR-based debt balance was $587.5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2015, we entered into three interest rate cap contracts with a total notional amount of $100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2018, we entered into a cross-currency swap, which converts $56.0 million of floating rate LIBOR-based U.S. Dollar denominated debt into 1.38%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about our financial instruments that are sensitive to changes in interest rates and the scheduled minimum repayment of principal and the weighted average interest rates at September 30, 2019. Weighted average variable rates in the table are based on implied forward rates in the Reuters U.S. dollar yield curve as of September 30, 2019 and our estimated leverage ratio, which determines our additional interest rate margin at September 30,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535"/>
        </w:trPr>
        <w:tc>
          <w:tcPr>
            <w:tcW w:w="32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xml:space="preserve">Variable Rate Debt </w:t>
            </w:r>
            <w:r>
              <w:rPr>
                <w:rFonts w:ascii="Times New Roman" w:cs="Times New Roman" w:eastAsia="Times New Roman" w:hAnsi="Times New Roman"/>
                <w:sz w:val="8"/>
                <w:szCs w:val="8"/>
                <w:i w:val="1"/>
                <w:iCs w:val="1"/>
                <w:color w:val="auto"/>
              </w:rPr>
              <w:t>(1)</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Principal: U.S. dollar term loan</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44,688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60,937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410,625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587,500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582,339</w:t>
            </w:r>
          </w:p>
        </w:tc>
        <w:tc>
          <w:tcPr>
            <w:tcW w:w="0" w:type="dxa"/>
            <w:vAlign w:val="bottom"/>
          </w:tcPr>
          <w:p>
            <w:pPr>
              <w:spacing w:after="0"/>
              <w:rPr>
                <w:sz w:val="1"/>
                <w:szCs w:val="1"/>
                <w:color w:val="auto"/>
              </w:rPr>
            </w:pPr>
          </w:p>
        </w:tc>
      </w:tr>
      <w:tr>
        <w:trPr>
          <w:trHeight w:val="265"/>
        </w:trPr>
        <w:tc>
          <w:tcPr>
            <w:tcW w:w="32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3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240" w:type="dxa"/>
            <w:vAlign w:val="bottom"/>
          </w:tcPr>
          <w:p>
            <w:pPr>
              <w:ind w:left="620"/>
              <w:spacing w:after="0" w:line="153" w:lineRule="exact"/>
              <w:rPr>
                <w:sz w:val="20"/>
                <w:szCs w:val="20"/>
                <w:color w:val="auto"/>
              </w:rPr>
            </w:pPr>
            <w:r>
              <w:rPr>
                <w:rFonts w:ascii="Times New Roman" w:cs="Times New Roman" w:eastAsia="Times New Roman" w:hAnsi="Times New Roman"/>
                <w:sz w:val="14"/>
                <w:szCs w:val="14"/>
                <w:color w:val="auto"/>
              </w:rPr>
              <w:t>Principal: Multicurrency revolving line of</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credit</w:t>
            </w:r>
          </w:p>
        </w:tc>
        <w:tc>
          <w:tcPr>
            <w:tcW w:w="2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Interest rate swap</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Weighted average interest rate (pay) Fixed</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32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Weighted average interest rate (receive) Floating</w:t>
            </w: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LIBOR</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Net/Spread</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3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2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Interest rate cap</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Cap rate</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Weighted average interest rate Floating LIBOR</w:t>
            </w: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Weighted average interest rate (receive)</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Cross currency swap</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4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Weighted average interest rate (pay) Fixed -</w:t>
            </w: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2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EURIBOR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2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Weighted average interest rate (receive) Floating</w:t>
            </w: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LIBOR</w:t>
            </w:r>
          </w:p>
        </w:tc>
        <w:tc>
          <w:tcPr>
            <w:tcW w:w="2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principal payments listed do not reflect the amended credit facility. Refer to Item 1: "Financial Statements (Unaudited), Note 6: Debt."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a sensitivity analysis as of September 30, 2019, we estimate that, if market interest rates average one percentage point higher in 2019 than in the table above, our financial results in 2019 would not be materially impacted.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derivative instruments to manage such risk in the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38% and 37% of total revenues for the three and nine months ended September 30, 2019 compared with 39% and 41% for the same respective periods in 2018.</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September 30, 2019, a total 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50 contracts were offsetting our exposures from the euro, pound sterling, Indonesian rupiah, Chinese yuan, Canadian dollar, Indian rupee and various other currencies, with notional amounts ranging from $120,000 to $26.4 million. Based on a sensitivity analysis as of September 30, 2019, we estimate that, if foreign currency exchange rates average ten percentage points higher in 2019 for these financial instruments, our financial results in 2019 would not be materially impacted.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2019,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continuing to upgrade our global enterprise resource software applications at certain of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these changes, there have been no other changes in our internal control over financial reporting during the three months ended September 30, 2019 that materially affected, or are reasonably likely to materially affect, internal control over financial reporting.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risk factors during the third quarter of 2019 from those previously disclosed in Item 1A: "Risk Factors" of Part I of our Annual Report on Form 10-K for the fiscal year ended December 31, 2018, which was filed with the Securities and Exchange Commission on February 28, 2019.</w:t>
      </w:r>
    </w:p>
    <w:p>
      <w:pPr>
        <w:spacing w:after="0" w:line="25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Issuer Repurchase of Equity Securities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Maximum Dollar</w:t>
            </w: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 of Shares that</w:t>
            </w: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May Yet Be</w:t>
            </w: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245"/>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Plans or Programs</w:t>
            </w:r>
          </w:p>
        </w:tc>
      </w:tr>
      <w:tr>
        <w:trPr>
          <w:trHeight w:val="231"/>
        </w:trPr>
        <w:tc>
          <w:tcPr>
            <w:tcW w:w="4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3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2019 through July 31, 2019</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r>
      <w:tr>
        <w:trPr>
          <w:trHeight w:val="237"/>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2019 through August 31, 2019</w:t>
            </w: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67.97</w:t>
            </w:r>
          </w:p>
        </w:tc>
        <w:tc>
          <w:tcPr>
            <w:tcW w:w="100" w:type="dxa"/>
            <w:vAlign w:val="bottom"/>
          </w:tcPr>
          <w:p>
            <w:pPr>
              <w:spacing w:after="0"/>
              <w:rPr>
                <w:sz w:val="20"/>
                <w:szCs w:val="20"/>
                <w:color w:val="auto"/>
              </w:rPr>
            </w:pPr>
          </w:p>
        </w:tc>
        <w:tc>
          <w:tcPr>
            <w:tcW w:w="158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r>
      <w:tr>
        <w:trPr>
          <w:trHeight w:val="33"/>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2019 through September 30, 2019</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25,000</w:t>
            </w:r>
          </w:p>
        </w:tc>
      </w:tr>
      <w:tr>
        <w:trPr>
          <w:trHeight w:val="244"/>
        </w:trPr>
        <w:tc>
          <w:tcPr>
            <w:tcW w:w="46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27" w:lineRule="auto"/>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Shares repurchased represent shares transferred to us by certain employees who vested in restricted stock units and used shares to pay all, or a portion of, the related taxes. On March 14, 2019, Itron's Board authorized a new repurchase program of up to $50 million of our common stock over a 12-month period. Repurchases are made in the open market or in privately negotiated transactions, and in accordance with applicable securities laws.</w:t>
      </w:r>
    </w:p>
    <w:p>
      <w:pPr>
        <w:spacing w:after="0" w:line="126"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commissions.</w:t>
      </w:r>
    </w:p>
    <w:p>
      <w:pPr>
        <w:spacing w:after="0" w:line="18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third quarter of 2019 that was not reported.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8"/>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Certification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574"/>
        </w:trPr>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Certification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574"/>
        </w:trPr>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Certification Pursuant to Section 906 of the Sarbanes-Oxley Act of 2002.</w:t>
              </w:r>
            </w:hyperlink>
          </w:p>
        </w:tc>
      </w:tr>
      <w:tr>
        <w:trPr>
          <w:trHeight w:val="20"/>
        </w:trPr>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596"/>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94"/>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594"/>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594"/>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594"/>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594"/>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78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53</w:t>
            </w:r>
          </w:p>
        </w:tc>
        <w:tc>
          <w:tcPr>
            <w:tcW w:w="47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2019</w:t>
            </w:r>
          </w:p>
        </w:tc>
        <w:tc>
          <w:tcPr>
            <w:tcW w:w="1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Times New Roman" w:cs="Times New Roman" w:eastAsia="Times New Roman" w:hAnsi="Times New Roman"/>
                <w:sz w:val="18"/>
                <w:szCs w:val="18"/>
                <w:color w:val="auto"/>
              </w:rPr>
              <w:t>54</w:t>
            </w: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5480"/>
        <w:spacing w:after="0"/>
        <w:tabs>
          <w:tab w:leader="none" w:pos="7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3395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3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2019</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548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3395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2019</w:t>
      </w:r>
    </w:p>
    <w:p>
      <w:pPr>
        <w:sectPr>
          <w:pgSz w:w="11900" w:h="16838" w:orient="portrait"/>
          <w:cols w:equalWidth="0" w:num="1">
            <w:col w:w="11420"/>
          </w:cols>
          <w:pgMar w:left="240" w:top="576"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September 30, 2019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80" w:hanging="467"/>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67"/>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10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3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4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November 4, 2019</w:t>
      </w:r>
    </w:p>
    <w:p>
      <w:pPr>
        <w:spacing w:after="0" w:line="3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10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4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November 4, 2019</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2019-12-28T03:04:21Z</dcterms:created>
  <dcterms:modified xsi:type="dcterms:W3CDTF">2019-12-28T03:04:21Z</dcterms:modified>
</cp:coreProperties>
</file>