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318135</wp:posOffset>
            </wp:positionV>
            <wp:extent cx="725043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9845"/>
                    </a:xfrm>
                    <a:prstGeom prst="rect">
                      <a:avLst/>
                    </a:prstGeom>
                    <a:noFill/>
                  </pic:spPr>
                </pic:pic>
              </a:graphicData>
            </a:graphic>
          </wp:anchor>
        </w:drawing>
        <w:t>SECURITIES AND EXCHANGE COMMISSION</w:t>
      </w:r>
    </w:p>
    <w:p>
      <w:pPr>
        <w:sectPr>
          <w:pgSz w:w="11900" w:h="16838" w:orient="portrait"/>
          <w:cols w:equalWidth="0" w:num="1">
            <w:col w:w="9019"/>
          </w:cols>
          <w:pgMar w:left="1440" w:top="679" w:right="1440" w:bottom="1440" w:gutter="0" w:footer="0" w:header="0"/>
        </w:sectPr>
      </w:pP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2244725</wp:posOffset>
            </wp:positionH>
            <wp:positionV relativeFrom="paragraph">
              <wp:posOffset>165100</wp:posOffset>
            </wp:positionV>
            <wp:extent cx="124333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388" w:lineRule="exact"/>
        <w:rPr>
          <w:sz w:val="24"/>
          <w:szCs w:val="24"/>
          <w:color w:val="auto"/>
        </w:rPr>
      </w:pPr>
    </w:p>
    <w:p>
      <w:pPr>
        <w:jc w:val="center"/>
        <w:ind w:right="-20"/>
        <w:spacing w:after="0"/>
        <w:rPr>
          <w:sz w:val="20"/>
          <w:szCs w:val="20"/>
          <w:color w:val="auto"/>
        </w:rPr>
      </w:pPr>
      <w:r>
        <w:rPr>
          <w:rFonts w:ascii="Arial" w:cs="Arial" w:eastAsia="Arial" w:hAnsi="Arial"/>
          <w:sz w:val="32"/>
          <w:szCs w:val="32"/>
          <w:b w:val="1"/>
          <w:bCs w:val="1"/>
          <w:color w:val="auto"/>
        </w:rPr>
        <w:t>Form 8-K/A</w:t>
      </w:r>
    </w:p>
    <w:p>
      <w:pPr>
        <w:spacing w:after="0" w:line="159" w:lineRule="exact"/>
        <w:rPr>
          <w:sz w:val="24"/>
          <w:szCs w:val="24"/>
          <w:color w:val="auto"/>
        </w:rPr>
      </w:pPr>
    </w:p>
    <w:p>
      <w:pPr>
        <w:ind w:left="3500"/>
        <w:spacing w:after="0"/>
        <w:rPr>
          <w:sz w:val="20"/>
          <w:szCs w:val="20"/>
          <w:color w:val="auto"/>
        </w:rPr>
      </w:pPr>
      <w:r>
        <w:rPr>
          <w:rFonts w:ascii="Arial" w:cs="Arial" w:eastAsia="Arial" w:hAnsi="Arial"/>
          <w:sz w:val="22"/>
          <w:szCs w:val="22"/>
          <w:b w:val="1"/>
          <w:bCs w:val="1"/>
          <w:color w:val="auto"/>
        </w:rPr>
        <w:t>CURRENT REPORT</w:t>
      </w:r>
    </w:p>
    <w:p>
      <w:pPr>
        <w:spacing w:after="0" w:line="139" w:lineRule="exact"/>
        <w:rPr>
          <w:sz w:val="24"/>
          <w:szCs w:val="24"/>
          <w:color w:val="auto"/>
        </w:rPr>
      </w:pPr>
    </w:p>
    <w:p>
      <w:pPr>
        <w:ind w:left="2200"/>
        <w:spacing w:after="0"/>
        <w:rPr>
          <w:sz w:val="20"/>
          <w:szCs w:val="20"/>
          <w:color w:val="auto"/>
        </w:rPr>
      </w:pPr>
      <w:r>
        <w:rPr>
          <w:rFonts w:ascii="Arial" w:cs="Arial" w:eastAsia="Arial" w:hAnsi="Arial"/>
          <w:sz w:val="22"/>
          <w:szCs w:val="22"/>
          <w:b w:val="1"/>
          <w:bCs w:val="1"/>
          <w:color w:val="auto"/>
        </w:rPr>
        <w:t>PURSUANT TO SECTION 13 OR 15(d) OF THE</w:t>
      </w:r>
    </w:p>
    <w:p>
      <w:pPr>
        <w:spacing w:after="0" w:line="14" w:lineRule="exact"/>
        <w:rPr>
          <w:sz w:val="24"/>
          <w:szCs w:val="24"/>
          <w:color w:val="auto"/>
        </w:rPr>
      </w:pPr>
    </w:p>
    <w:p>
      <w:pPr>
        <w:jc w:val="center"/>
        <w:ind w:right="-20"/>
        <w:spacing w:after="0"/>
        <w:rPr>
          <w:sz w:val="20"/>
          <w:szCs w:val="20"/>
          <w:color w:val="auto"/>
        </w:rPr>
      </w:pPr>
      <w:r>
        <w:rPr>
          <w:rFonts w:ascii="Arial" w:cs="Arial" w:eastAsia="Arial" w:hAnsi="Arial"/>
          <w:sz w:val="22"/>
          <w:szCs w:val="22"/>
          <w:b w:val="1"/>
          <w:bCs w:val="1"/>
          <w:color w:val="auto"/>
        </w:rPr>
        <w:t>SECURITIES EXCHANGE ACT OF 1934</w:t>
      </w:r>
    </w:p>
    <w:p>
      <w:pPr>
        <w:spacing w:after="0" w:line="128" w:lineRule="exact"/>
        <w:rPr>
          <w:sz w:val="24"/>
          <w:szCs w:val="24"/>
          <w:color w:val="auto"/>
        </w:rPr>
      </w:pPr>
    </w:p>
    <w:p>
      <w:pPr>
        <w:jc w:val="center"/>
        <w:ind w:right="-20"/>
        <w:spacing w:after="0"/>
        <w:rPr>
          <w:sz w:val="20"/>
          <w:szCs w:val="20"/>
          <w:color w:val="auto"/>
        </w:rPr>
      </w:pPr>
      <w:r>
        <w:rPr>
          <w:rFonts w:ascii="Arial" w:cs="Arial" w:eastAsia="Arial" w:hAnsi="Arial"/>
          <w:sz w:val="16"/>
          <w:szCs w:val="16"/>
          <w:b w:val="1"/>
          <w:bCs w:val="1"/>
          <w:color w:val="auto"/>
        </w:rPr>
        <w:t>Date of Report (Date of earliest event reported): March 19, 2003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2244725</wp:posOffset>
            </wp:positionH>
            <wp:positionV relativeFrom="paragraph">
              <wp:posOffset>192405</wp:posOffset>
            </wp:positionV>
            <wp:extent cx="1243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43330" cy="8890"/>
                    </a:xfrm>
                    <a:prstGeom prst="rect">
                      <a:avLst/>
                    </a:prstGeom>
                    <a:noFill/>
                  </pic:spPr>
                </pic:pic>
              </a:graphicData>
            </a:graphic>
          </wp:anchor>
        </w:drawing>
      </w:r>
    </w:p>
    <w:p>
      <w:pPr>
        <w:spacing w:after="0" w:line="200" w:lineRule="exact"/>
        <w:rPr>
          <w:sz w:val="24"/>
          <w:szCs w:val="24"/>
          <w:color w:val="auto"/>
        </w:rPr>
      </w:pPr>
    </w:p>
    <w:p>
      <w:pPr>
        <w:spacing w:after="0" w:line="229" w:lineRule="exact"/>
        <w:rPr>
          <w:sz w:val="24"/>
          <w:szCs w:val="24"/>
          <w:color w:val="auto"/>
        </w:rPr>
      </w:pPr>
    </w:p>
    <w:p>
      <w:pPr>
        <w:jc w:val="center"/>
        <w:ind w:right="-20"/>
        <w:spacing w:after="0"/>
        <w:rPr>
          <w:sz w:val="20"/>
          <w:szCs w:val="20"/>
          <w:color w:val="auto"/>
        </w:rPr>
      </w:pPr>
      <w:r>
        <w:rPr>
          <w:rFonts w:ascii="Arial" w:cs="Arial" w:eastAsia="Arial" w:hAnsi="Arial"/>
          <w:sz w:val="43"/>
          <w:szCs w:val="43"/>
          <w:b w:val="1"/>
          <w:bCs w:val="1"/>
          <w:color w:val="auto"/>
        </w:rPr>
        <w:t>ITRON, INC.</w:t>
      </w:r>
    </w:p>
    <w:p>
      <w:pPr>
        <w:spacing w:after="0" w:line="49"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(Exact name of registrant as specified in its charter)</w:t>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Washington</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(State or Other Jurisdiction of Incorporation)</w:t>
      </w:r>
    </w:p>
    <w:p>
      <w:pPr>
        <w:spacing w:after="0" w:line="12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000-22418</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(Commission File Number)</w:t>
      </w:r>
    </w:p>
    <w:p>
      <w:pPr>
        <w:spacing w:after="0" w:line="12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91-1011792</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(IRS Employer Identification No.)</w:t>
      </w:r>
    </w:p>
    <w:p>
      <w:pPr>
        <w:spacing w:after="0" w:line="124"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2818 North Sullivan Road</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Spokane, Washington 99216-1897</w:t>
      </w:r>
    </w:p>
    <w:p>
      <w:pPr>
        <w:jc w:val="center"/>
        <w:ind w:right="-20"/>
        <w:spacing w:after="0"/>
        <w:rPr>
          <w:sz w:val="20"/>
          <w:szCs w:val="20"/>
          <w:color w:val="auto"/>
        </w:rPr>
      </w:pPr>
      <w:r>
        <w:rPr>
          <w:rFonts w:ascii="Arial" w:cs="Arial" w:eastAsia="Arial" w:hAnsi="Arial"/>
          <w:sz w:val="14"/>
          <w:szCs w:val="14"/>
          <w:b w:val="1"/>
          <w:bCs w:val="1"/>
          <w:color w:val="auto"/>
        </w:rPr>
        <w:t>(Address of Principal Executive Offices)</w:t>
      </w:r>
    </w:p>
    <w:p>
      <w:pPr>
        <w:jc w:val="center"/>
        <w:ind w:right="-20"/>
        <w:spacing w:after="0"/>
        <w:rPr>
          <w:sz w:val="20"/>
          <w:szCs w:val="20"/>
          <w:color w:val="auto"/>
        </w:rPr>
      </w:pPr>
      <w:r>
        <w:rPr>
          <w:rFonts w:ascii="Arial" w:cs="Arial" w:eastAsia="Arial" w:hAnsi="Arial"/>
          <w:sz w:val="14"/>
          <w:szCs w:val="14"/>
          <w:b w:val="1"/>
          <w:bCs w:val="1"/>
          <w:color w:val="auto"/>
        </w:rPr>
        <w:t>(Zip Code)</w:t>
      </w:r>
    </w:p>
    <w:p>
      <w:pPr>
        <w:spacing w:after="0" w:line="121" w:lineRule="exact"/>
        <w:rPr>
          <w:sz w:val="24"/>
          <w:szCs w:val="24"/>
          <w:color w:val="auto"/>
        </w:rPr>
      </w:pPr>
    </w:p>
    <w:p>
      <w:pPr>
        <w:jc w:val="center"/>
        <w:ind w:right="-20"/>
        <w:spacing w:after="0"/>
        <w:rPr>
          <w:sz w:val="20"/>
          <w:szCs w:val="20"/>
          <w:color w:val="auto"/>
        </w:rPr>
      </w:pPr>
      <w:r>
        <w:rPr>
          <w:rFonts w:ascii="Arial" w:cs="Arial" w:eastAsia="Arial" w:hAnsi="Arial"/>
          <w:sz w:val="15"/>
          <w:szCs w:val="15"/>
          <w:b w:val="1"/>
          <w:bCs w:val="1"/>
          <w:color w:val="auto"/>
        </w:rPr>
        <w:t>Registrant’s telephone number, including area code: (509) 924-9900</w:t>
      </w:r>
    </w:p>
    <w:p>
      <w:pPr>
        <w:spacing w:after="0" w:line="192" w:lineRule="exact"/>
        <w:rPr>
          <w:sz w:val="24"/>
          <w:szCs w:val="24"/>
          <w:color w:val="auto"/>
        </w:rPr>
      </w:pPr>
    </w:p>
    <w:p>
      <w:pPr>
        <w:jc w:val="center"/>
        <w:ind w:right="-20"/>
        <w:spacing w:after="0"/>
        <w:rPr>
          <w:sz w:val="20"/>
          <w:szCs w:val="20"/>
          <w:color w:val="auto"/>
        </w:rPr>
      </w:pPr>
      <w:r>
        <w:rPr>
          <w:rFonts w:ascii="Arial" w:cs="Arial" w:eastAsia="Arial" w:hAnsi="Arial"/>
          <w:sz w:val="18"/>
          <w:szCs w:val="18"/>
          <w:b w:val="1"/>
          <w:bCs w:val="1"/>
          <w:color w:val="auto"/>
        </w:rPr>
        <w:t>N/A</w:t>
      </w:r>
    </w:p>
    <w:p>
      <w:pPr>
        <w:spacing w:after="0" w:line="21" w:lineRule="exact"/>
        <w:rPr>
          <w:sz w:val="24"/>
          <w:szCs w:val="24"/>
          <w:color w:val="auto"/>
        </w:rPr>
      </w:pPr>
    </w:p>
    <w:p>
      <w:pPr>
        <w:jc w:val="center"/>
        <w:ind w:right="-20"/>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-758190</wp:posOffset>
            </wp:positionH>
            <wp:positionV relativeFrom="paragraph">
              <wp:posOffset>102870</wp:posOffset>
            </wp:positionV>
            <wp:extent cx="725043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9845"/>
                    </a:xfrm>
                    <a:prstGeom prst="rect">
                      <a:avLst/>
                    </a:prstGeom>
                    <a:noFill/>
                  </pic:spPr>
                </pic:pic>
              </a:graphicData>
            </a:graphic>
          </wp:anchor>
        </w:drawing>
      </w:r>
    </w:p>
    <w:p>
      <w:pPr>
        <w:sectPr>
          <w:pgSz w:w="11900" w:h="16838" w:orient="portrait"/>
          <w:cols w:equalWidth="0" w:num="1">
            <w:col w:w="9019"/>
          </w:cols>
          <w:pgMar w:left="1440" w:top="679" w:right="1440"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registrant hereby amends its Current Report on Form 8-K dated March 19, 2003 as follows: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Financial Statements and Exhibits</w:t>
      </w:r>
      <w:r>
        <w:rPr>
          <w:rFonts w:ascii="Arial" w:cs="Arial" w:eastAsia="Arial" w:hAnsi="Arial"/>
          <w:sz w:val="18"/>
          <w:szCs w:val="18"/>
          <w:color w:val="auto"/>
        </w:rPr>
        <w:t>. The following items are attached as exhibits hereto:</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(a) Financial statements of business acquired</w:t>
      </w:r>
    </w:p>
    <w:p>
      <w:pPr>
        <w:spacing w:after="0" w:line="77" w:lineRule="exact"/>
        <w:rPr>
          <w:sz w:val="20"/>
          <w:szCs w:val="20"/>
          <w:color w:val="auto"/>
        </w:rPr>
      </w:pPr>
    </w:p>
    <w:p>
      <w:pPr>
        <w:ind w:left="460" w:right="280"/>
        <w:spacing w:after="0" w:line="268" w:lineRule="auto"/>
        <w:rPr>
          <w:sz w:val="20"/>
          <w:szCs w:val="20"/>
          <w:color w:val="auto"/>
        </w:rPr>
      </w:pPr>
      <w:r>
        <w:rPr>
          <w:rFonts w:ascii="Arial" w:cs="Arial" w:eastAsia="Arial" w:hAnsi="Arial"/>
          <w:sz w:val="18"/>
          <w:szCs w:val="18"/>
          <w:color w:val="auto"/>
        </w:rPr>
        <w:t>The consolidated financial statements of Silicon Energy Corp. (“Silicon”) required to be filed pursuant to Item 7(a) of Form 8-K are included as Exhibit 99.2 and Exhibit 99.3 of this Current Report on Form 8-K/A.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(b) Pro forma financial information</w:t>
      </w:r>
    </w:p>
    <w:p>
      <w:pPr>
        <w:spacing w:after="0" w:line="77" w:lineRule="exact"/>
        <w:rPr>
          <w:sz w:val="20"/>
          <w:szCs w:val="20"/>
          <w:color w:val="auto"/>
        </w:rPr>
      </w:pPr>
    </w:p>
    <w:p>
      <w:pPr>
        <w:ind w:left="460" w:right="220"/>
        <w:spacing w:after="0" w:line="268" w:lineRule="auto"/>
        <w:rPr>
          <w:sz w:val="20"/>
          <w:szCs w:val="20"/>
          <w:color w:val="auto"/>
        </w:rPr>
      </w:pPr>
      <w:r>
        <w:rPr>
          <w:rFonts w:ascii="Arial" w:cs="Arial" w:eastAsia="Arial" w:hAnsi="Arial"/>
          <w:sz w:val="18"/>
          <w:szCs w:val="18"/>
          <w:color w:val="auto"/>
        </w:rPr>
        <w:t>The pro forma financial information required to be filed pursuant to Item 7(b) of Form 8-K is included as Exhibit 99.4 of this Current Report on Form 8-K/A.</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(c) Exhibits</w:t>
      </w:r>
    </w:p>
    <w:p>
      <w:pPr>
        <w:sectPr>
          <w:pgSz w:w="11900" w:h="16838" w:orient="portrait"/>
          <w:cols w:equalWidth="0" w:num="1">
            <w:col w:w="11420"/>
          </w:cols>
          <w:pgMar w:left="240" w:top="428" w:right="239" w:bottom="1440" w:gutter="0" w:footer="0" w:header="0"/>
        </w:sectPr>
      </w:pP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Exhibit 2.1*</w:t>
      </w:r>
    </w:p>
    <w:p>
      <w:pPr>
        <w:spacing w:after="0" w:line="20" w:lineRule="exact"/>
        <w:rPr>
          <w:sz w:val="20"/>
          <w:szCs w:val="20"/>
          <w:color w:val="auto"/>
        </w:rPr>
      </w:pPr>
      <w:r>
        <w:rPr>
          <w:sz w:val="20"/>
          <w:szCs w:val="20"/>
          <w:color w:val="auto"/>
        </w:rPr>
        <w:br w:type="column"/>
      </w:r>
    </w:p>
    <w:p>
      <w:pPr>
        <w:spacing w:after="0" w:line="97"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Agreement and Plan of Merger, dated January 18, 2003 as amended on February 27, 2003 and February 28, 2003, by and among Itron, Inc., Shadow Combination, Inc., and Silicon Energy Corp. (“Agreement and Plan of Merger”).</w:t>
      </w:r>
    </w:p>
    <w:p>
      <w:pPr>
        <w:spacing w:after="0" w:line="78" w:lineRule="exact"/>
        <w:rPr>
          <w:sz w:val="20"/>
          <w:szCs w:val="20"/>
          <w:color w:val="auto"/>
        </w:rPr>
      </w:pPr>
    </w:p>
    <w:p>
      <w:pPr>
        <w:sectPr>
          <w:pgSz w:w="11900" w:h="16838" w:orient="portrait"/>
          <w:cols w:equalWidth="0" w:num="2">
            <w:col w:w="880" w:space="720"/>
            <w:col w:w="9820"/>
          </w:cols>
          <w:pgMar w:left="240" w:top="42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Exhibit 2.1.1</w:t>
      </w:r>
    </w:p>
    <w:p>
      <w:pPr>
        <w:spacing w:after="0" w:line="20" w:lineRule="exact"/>
        <w:rPr>
          <w:sz w:val="20"/>
          <w:szCs w:val="20"/>
          <w:color w:val="auto"/>
        </w:rPr>
      </w:pPr>
      <w:r>
        <w:rPr>
          <w:sz w:val="20"/>
          <w:szCs w:val="20"/>
          <w:color w:val="auto"/>
        </w:rPr>
        <w:br w:type="column"/>
      </w:r>
    </w:p>
    <w:p>
      <w:pPr>
        <w:ind w:right="420"/>
        <w:spacing w:after="0" w:line="268" w:lineRule="auto"/>
        <w:rPr>
          <w:sz w:val="20"/>
          <w:szCs w:val="20"/>
          <w:color w:val="auto"/>
        </w:rPr>
      </w:pPr>
      <w:r>
        <w:rPr>
          <w:rFonts w:ascii="Arial" w:cs="Arial" w:eastAsia="Arial" w:hAnsi="Arial"/>
          <w:sz w:val="18"/>
          <w:szCs w:val="18"/>
          <w:color w:val="auto"/>
        </w:rPr>
        <w:t>Corrected Schedule 1.1 of First Amendment dated February 27, 2003 of the Agreement and Plan of Merger, by and among Itron, Inc., Shadow Combination, Inc., and Silicon Energy Corp.</w:t>
      </w:r>
    </w:p>
    <w:p>
      <w:pPr>
        <w:spacing w:after="0" w:line="78" w:lineRule="exact"/>
        <w:rPr>
          <w:sz w:val="20"/>
          <w:szCs w:val="20"/>
          <w:color w:val="auto"/>
        </w:rPr>
      </w:pPr>
    </w:p>
    <w:p>
      <w:pPr>
        <w:sectPr>
          <w:pgSz w:w="11900" w:h="16838" w:orient="portrait"/>
          <w:cols w:equalWidth="0" w:num="2">
            <w:col w:w="920" w:space="680"/>
            <w:col w:w="9820"/>
          </w:cols>
          <w:pgMar w:left="240" w:top="42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Exhibit 2.2*</w:t>
      </w:r>
    </w:p>
    <w:p>
      <w:pPr>
        <w:spacing w:after="0" w:line="20" w:lineRule="exact"/>
        <w:rPr>
          <w:sz w:val="20"/>
          <w:szCs w:val="20"/>
          <w:color w:val="auto"/>
        </w:rPr>
      </w:pPr>
      <w:r>
        <w:rPr>
          <w:sz w:val="20"/>
          <w:szCs w:val="20"/>
          <w:color w:val="auto"/>
        </w:rPr>
        <w:br w:type="column"/>
      </w:r>
    </w:p>
    <w:p>
      <w:pPr>
        <w:ind w:right="480"/>
        <w:spacing w:after="0" w:line="268" w:lineRule="auto"/>
        <w:rPr>
          <w:sz w:val="20"/>
          <w:szCs w:val="20"/>
          <w:color w:val="auto"/>
        </w:rPr>
      </w:pPr>
      <w:r>
        <w:rPr>
          <w:rFonts w:ascii="Arial" w:cs="Arial" w:eastAsia="Arial" w:hAnsi="Arial"/>
          <w:sz w:val="18"/>
          <w:szCs w:val="18"/>
          <w:color w:val="auto"/>
        </w:rPr>
        <w:t>Escrow Agreement dated March 4, 2003 by and among Itron, Inc., Mellon Investor Services, Inc. and JMI Equity Fund III, LP as the Stockholders’ Representative (Exhibit A to Agreement and Plan of Merger).</w:t>
      </w:r>
    </w:p>
    <w:p>
      <w:pPr>
        <w:spacing w:after="0" w:line="78" w:lineRule="exact"/>
        <w:rPr>
          <w:sz w:val="20"/>
          <w:szCs w:val="20"/>
          <w:color w:val="auto"/>
        </w:rPr>
      </w:pPr>
    </w:p>
    <w:p>
      <w:pPr>
        <w:sectPr>
          <w:pgSz w:w="11900" w:h="16838" w:orient="portrait"/>
          <w:cols w:equalWidth="0" w:num="2">
            <w:col w:w="880" w:space="720"/>
            <w:col w:w="9820"/>
          </w:cols>
          <w:pgMar w:left="240" w:top="42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Exhibit 4.1*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Credit Agreement, dated March 4, 2003 by and among Itron, Inc. and Wells Fargo Bank, National Association as Administrative Agent.</w:t>
      </w:r>
    </w:p>
    <w:p>
      <w:pPr>
        <w:spacing w:after="0" w:line="140" w:lineRule="exact"/>
        <w:rPr>
          <w:sz w:val="20"/>
          <w:szCs w:val="20"/>
          <w:color w:val="auto"/>
        </w:rPr>
      </w:pPr>
    </w:p>
    <w:p>
      <w:pPr>
        <w:sectPr>
          <w:pgSz w:w="11900" w:h="16838" w:orient="portrait"/>
          <w:cols w:equalWidth="0" w:num="2">
            <w:col w:w="880" w:space="720"/>
            <w:col w:w="9820"/>
          </w:cols>
          <w:pgMar w:left="240" w:top="42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Exhibit 99.1*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Press release of Itron, Inc., dated March 4, 2003.</w:t>
      </w:r>
    </w:p>
    <w:p>
      <w:pPr>
        <w:spacing w:after="0" w:line="151" w:lineRule="exact"/>
        <w:rPr>
          <w:sz w:val="20"/>
          <w:szCs w:val="20"/>
          <w:color w:val="auto"/>
        </w:rPr>
      </w:pPr>
    </w:p>
    <w:p>
      <w:pPr>
        <w:sectPr>
          <w:pgSz w:w="11900" w:h="16838" w:orient="portrait"/>
          <w:cols w:equalWidth="0" w:num="2">
            <w:col w:w="960" w:space="640"/>
            <w:col w:w="9820"/>
          </w:cols>
          <w:pgMar w:left="240" w:top="42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Exhibit 99.2</w:t>
      </w:r>
    </w:p>
    <w:p>
      <w:pPr>
        <w:spacing w:after="0" w:line="20" w:lineRule="exact"/>
        <w:rPr>
          <w:sz w:val="20"/>
          <w:szCs w:val="20"/>
          <w:color w:val="auto"/>
        </w:rPr>
      </w:pPr>
      <w:r>
        <w:rPr>
          <w:sz w:val="20"/>
          <w:szCs w:val="20"/>
          <w:color w:val="auto"/>
        </w:rPr>
        <w:br w:type="column"/>
      </w:r>
    </w:p>
    <w:p>
      <w:pPr>
        <w:jc w:val="both"/>
        <w:ind w:right="160"/>
        <w:spacing w:after="0" w:line="259" w:lineRule="auto"/>
        <w:rPr>
          <w:sz w:val="20"/>
          <w:szCs w:val="20"/>
          <w:color w:val="auto"/>
        </w:rPr>
      </w:pPr>
      <w:r>
        <w:rPr>
          <w:rFonts w:ascii="Arial" w:cs="Arial" w:eastAsia="Arial" w:hAnsi="Arial"/>
          <w:sz w:val="18"/>
          <w:szCs w:val="18"/>
          <w:color w:val="auto"/>
        </w:rPr>
        <w:t>Consolidated financial statements of Silicon Energy Corp., including balance sheets as of December 31, 2001 and 2000 and statements of operations, redeemable convertible preferred stock and stockholders’ deficit, and cash flows for the years ended December 31, 2001 and 2000.</w:t>
      </w:r>
    </w:p>
    <w:p>
      <w:pPr>
        <w:spacing w:after="0" w:line="86" w:lineRule="exact"/>
        <w:rPr>
          <w:sz w:val="20"/>
          <w:szCs w:val="20"/>
          <w:color w:val="auto"/>
        </w:rPr>
      </w:pPr>
    </w:p>
    <w:p>
      <w:pPr>
        <w:sectPr>
          <w:pgSz w:w="11900" w:h="16838" w:orient="portrait"/>
          <w:cols w:equalWidth="0" w:num="2">
            <w:col w:w="880" w:space="720"/>
            <w:col w:w="9820"/>
          </w:cols>
          <w:pgMar w:left="240" w:top="42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Exhibit 99.3</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Unaudited condensed consolidated financial statements of Silicon Energy Corp. for the nine months ended September 30, 2002 and 2001.</w:t>
      </w:r>
    </w:p>
    <w:p>
      <w:pPr>
        <w:spacing w:after="0" w:line="151" w:lineRule="exact"/>
        <w:rPr>
          <w:sz w:val="20"/>
          <w:szCs w:val="20"/>
          <w:color w:val="auto"/>
        </w:rPr>
      </w:pPr>
    </w:p>
    <w:p>
      <w:pPr>
        <w:sectPr>
          <w:pgSz w:w="11900" w:h="16838" w:orient="portrait"/>
          <w:cols w:equalWidth="0" w:num="2">
            <w:col w:w="880" w:space="720"/>
            <w:col w:w="9820"/>
          </w:cols>
          <w:pgMar w:left="240" w:top="42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Exhibit 99.4</w:t>
      </w:r>
    </w:p>
    <w:p>
      <w:pPr>
        <w:spacing w:after="0" w:line="20" w:lineRule="exact"/>
        <w:rPr>
          <w:sz w:val="20"/>
          <w:szCs w:val="20"/>
          <w:color w:val="auto"/>
        </w:rPr>
      </w:pPr>
      <w:r>
        <w:rPr>
          <w:sz w:val="20"/>
          <w:szCs w:val="20"/>
          <w:color w:val="auto"/>
        </w:rPr>
        <w:br w:type="column"/>
      </w:r>
    </w:p>
    <w:p>
      <w:pPr>
        <w:ind w:right="300"/>
        <w:spacing w:after="0" w:line="259" w:lineRule="auto"/>
        <w:rPr>
          <w:sz w:val="20"/>
          <w:szCs w:val="20"/>
          <w:color w:val="auto"/>
        </w:rPr>
      </w:pPr>
      <w:r>
        <w:rPr>
          <w:rFonts w:ascii="Arial" w:cs="Arial" w:eastAsia="Arial" w:hAnsi="Arial"/>
          <w:sz w:val="18"/>
          <w:szCs w:val="18"/>
          <w:color w:val="auto"/>
        </w:rPr>
        <w:t>Unaudited pro forma condensed consolidated balance sheet of the Registrant and Silicon as of September 30, 2002 and unaudited pro forma consolidated statements of operations of the Registrant and Silicon for the year ended December 31, 2001 and nine month period ended September 30, 2002.</w:t>
      </w:r>
    </w:p>
    <w:p>
      <w:pPr>
        <w:spacing w:after="0" w:line="86" w:lineRule="exact"/>
        <w:rPr>
          <w:sz w:val="20"/>
          <w:szCs w:val="20"/>
          <w:color w:val="auto"/>
        </w:rPr>
      </w:pPr>
    </w:p>
    <w:p>
      <w:pPr>
        <w:sectPr>
          <w:pgSz w:w="11900" w:h="16838" w:orient="portrait"/>
          <w:cols w:equalWidth="0" w:num="2">
            <w:col w:w="880" w:space="720"/>
            <w:col w:w="9820"/>
          </w:cols>
          <w:pgMar w:left="240" w:top="428" w:right="239" w:bottom="1440" w:gutter="0" w:footer="0" w:header="0"/>
          <w:type w:val="continuous"/>
        </w:sectPr>
      </w:pPr>
    </w:p>
    <w:p>
      <w:pPr>
        <w:spacing w:after="0"/>
        <w:rPr>
          <w:sz w:val="20"/>
          <w:szCs w:val="20"/>
          <w:color w:val="auto"/>
        </w:rPr>
      </w:pPr>
      <w:r>
        <w:rPr>
          <w:rFonts w:ascii="Arial" w:cs="Arial" w:eastAsia="Arial" w:hAnsi="Arial"/>
          <w:sz w:val="16"/>
          <w:szCs w:val="16"/>
          <w:color w:val="auto"/>
        </w:rPr>
        <w:t>Exhibit 99.5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5"/>
          <w:szCs w:val="15"/>
          <w:color w:val="auto"/>
        </w:rPr>
        <w:t>Consent of Independent Accountants.</w:t>
      </w:r>
    </w:p>
    <w:p>
      <w:pPr>
        <w:spacing w:after="0" w:line="192" w:lineRule="exact"/>
        <w:rPr>
          <w:sz w:val="20"/>
          <w:szCs w:val="20"/>
          <w:color w:val="auto"/>
        </w:rPr>
      </w:pPr>
    </w:p>
    <w:p>
      <w:pPr>
        <w:sectPr>
          <w:pgSz w:w="11900" w:h="16838" w:orient="portrait"/>
          <w:cols w:equalWidth="0" w:num="2">
            <w:col w:w="880" w:space="720"/>
            <w:col w:w="9820"/>
          </w:cols>
          <w:pgMar w:left="240" w:top="428" w:right="239" w:bottom="1440" w:gutter="0" w:footer="0" w:header="0"/>
          <w:type w:val="continuous"/>
        </w:sectPr>
      </w:pPr>
    </w:p>
    <w:p>
      <w:pPr>
        <w:ind w:left="460" w:hanging="45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Previously filed as an Exhibit to the original Form 8-K filed on March 19, 2003.</w:t>
      </w:r>
    </w:p>
    <w:p>
      <w:pPr>
        <w:spacing w:after="0" w:line="151" w:lineRule="exact"/>
        <w:rPr>
          <w:rFonts w:ascii="Arial" w:cs="Arial" w:eastAsia="Arial" w:hAnsi="Arial"/>
          <w:sz w:val="18"/>
          <w:szCs w:val="18"/>
          <w:color w:val="auto"/>
        </w:rPr>
      </w:pPr>
    </w:p>
    <w:p>
      <w:pPr>
        <w:ind w:left="5140"/>
        <w:spacing w:after="0"/>
        <w:rPr>
          <w:rFonts w:ascii="Arial" w:cs="Arial" w:eastAsia="Arial" w:hAnsi="Arial"/>
          <w:sz w:val="18"/>
          <w:szCs w:val="18"/>
          <w:color w:val="auto"/>
        </w:rPr>
      </w:pPr>
      <w:r>
        <w:rPr>
          <w:rFonts w:ascii="Arial" w:cs="Arial" w:eastAsia="Arial" w:hAnsi="Arial"/>
          <w:sz w:val="18"/>
          <w:szCs w:val="18"/>
          <w:b w:val="1"/>
          <w:bCs w:val="1"/>
          <w:color w:val="auto"/>
        </w:rPr>
        <w:t>SIGNATURES</w:t>
      </w:r>
    </w:p>
    <w:p>
      <w:pPr>
        <w:spacing w:after="0" w:line="164" w:lineRule="exact"/>
        <w:rPr>
          <w:sz w:val="20"/>
          <w:szCs w:val="20"/>
          <w:color w:val="auto"/>
        </w:rPr>
      </w:pPr>
    </w:p>
    <w:p>
      <w:pPr>
        <w:ind w:right="880" w:firstLine="456"/>
        <w:spacing w:after="0" w:line="317" w:lineRule="auto"/>
        <w:rPr>
          <w:sz w:val="20"/>
          <w:szCs w:val="20"/>
          <w:color w:val="auto"/>
        </w:rPr>
      </w:pPr>
      <w:r>
        <w:rPr>
          <w:rFonts w:ascii="Arial" w:cs="Arial" w:eastAsia="Arial" w:hAnsi="Arial"/>
          <w:sz w:val="17"/>
          <w:szCs w:val="17"/>
          <w:color w:val="auto"/>
        </w:rPr>
        <w:t>Pursuant to the requirements of the Securities Exchange Act of 1934, the Registrant has duly caused this report to be signed on its behalf by the undersigned, thereunto duly authorized, in the City of Spokane, State of Washington, on the 26</w:t>
      </w:r>
      <w:r>
        <w:rPr>
          <w:rFonts w:ascii="Arial" w:cs="Arial" w:eastAsia="Arial" w:hAnsi="Arial"/>
          <w:sz w:val="21"/>
          <w:szCs w:val="21"/>
          <w:color w:val="auto"/>
          <w:vertAlign w:val="superscript"/>
        </w:rPr>
        <w:t>th</w:t>
      </w:r>
      <w:r>
        <w:rPr>
          <w:rFonts w:ascii="Arial" w:cs="Arial" w:eastAsia="Arial" w:hAnsi="Arial"/>
          <w:sz w:val="17"/>
          <w:szCs w:val="17"/>
          <w:color w:val="auto"/>
        </w:rPr>
        <w:t xml:space="preserve"> day of March, 2003.</w:t>
      </w:r>
    </w:p>
    <w:p>
      <w:pPr>
        <w:spacing w:after="0" w:line="4"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I</w:t>
      </w:r>
      <w:r>
        <w:rPr>
          <w:rFonts w:ascii="Arial" w:cs="Arial" w:eastAsia="Arial" w:hAnsi="Arial"/>
          <w:sz w:val="14"/>
          <w:szCs w:val="14"/>
          <w:color w:val="auto"/>
        </w:rPr>
        <w:t>TRON</w:t>
      </w:r>
      <w:r>
        <w:rPr>
          <w:rFonts w:ascii="Arial" w:cs="Arial" w:eastAsia="Arial" w:hAnsi="Arial"/>
          <w:sz w:val="18"/>
          <w:szCs w:val="18"/>
          <w:color w:val="auto"/>
        </w:rPr>
        <w:t>, I</w:t>
      </w:r>
      <w:r>
        <w:rPr>
          <w:rFonts w:ascii="Arial" w:cs="Arial" w:eastAsia="Arial" w:hAnsi="Arial"/>
          <w:sz w:val="14"/>
          <w:szCs w:val="14"/>
          <w:color w:val="auto"/>
        </w:rPr>
        <w:t>NC</w:t>
      </w:r>
      <w:r>
        <w:rPr>
          <w:rFonts w:ascii="Arial" w:cs="Arial" w:eastAsia="Arial" w:hAnsi="Arial"/>
          <w:sz w:val="18"/>
          <w:szCs w:val="18"/>
          <w:color w:val="auto"/>
        </w:rPr>
        <w:t>.</w:t>
      </w:r>
    </w:p>
    <w:p>
      <w:pPr>
        <w:spacing w:after="0" w:line="374" w:lineRule="exact"/>
        <w:rPr>
          <w:sz w:val="20"/>
          <w:szCs w:val="20"/>
          <w:color w:val="auto"/>
        </w:rPr>
      </w:pPr>
    </w:p>
    <w:p>
      <w:pPr>
        <w:ind w:left="6860"/>
        <w:spacing w:after="0"/>
        <w:tabs>
          <w:tab w:leader="none" w:pos="8280" w:val="left"/>
          <w:tab w:leader="none" w:pos="86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D</w:t>
      </w:r>
      <w:r>
        <w:rPr>
          <w:rFonts w:ascii="Arial" w:cs="Arial" w:eastAsia="Arial" w:hAnsi="Arial"/>
          <w:sz w:val="13"/>
          <w:szCs w:val="13"/>
          <w:color w:val="auto"/>
        </w:rPr>
        <w:t>AVID</w:t>
      </w:r>
      <w:r>
        <w:rPr>
          <w:rFonts w:ascii="Arial" w:cs="Arial" w:eastAsia="Arial" w:hAnsi="Arial"/>
          <w:sz w:val="16"/>
          <w:szCs w:val="16"/>
          <w:color w:val="auto"/>
        </w:rPr>
        <w:t xml:space="preserve"> G. R</w:t>
      </w:r>
      <w:r>
        <w:rPr>
          <w:rFonts w:ascii="Arial" w:cs="Arial" w:eastAsia="Arial" w:hAnsi="Arial"/>
          <w:sz w:val="13"/>
          <w:szCs w:val="13"/>
          <w:color w:val="auto"/>
        </w:rPr>
        <w:t>EMINGTON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4781550</wp:posOffset>
            </wp:positionH>
            <wp:positionV relativeFrom="paragraph">
              <wp:posOffset>80010</wp:posOffset>
            </wp:positionV>
            <wp:extent cx="24701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70150" cy="8890"/>
                    </a:xfrm>
                    <a:prstGeom prst="rect">
                      <a:avLst/>
                    </a:prstGeom>
                    <a:noFill/>
                  </pic:spPr>
                </pic:pic>
              </a:graphicData>
            </a:graphic>
          </wp:anchor>
        </w:drawing>
      </w:r>
    </w:p>
    <w:p>
      <w:pPr>
        <w:spacing w:after="0" w:line="214" w:lineRule="exact"/>
        <w:rPr>
          <w:sz w:val="20"/>
          <w:szCs w:val="20"/>
          <w:color w:val="auto"/>
        </w:rPr>
      </w:pPr>
    </w:p>
    <w:p>
      <w:pPr>
        <w:jc w:val="center"/>
        <w:ind w:left="7540"/>
        <w:spacing w:after="0"/>
        <w:rPr>
          <w:sz w:val="20"/>
          <w:szCs w:val="20"/>
          <w:color w:val="auto"/>
        </w:rPr>
      </w:pPr>
      <w:r>
        <w:rPr>
          <w:rFonts w:ascii="Arial" w:cs="Arial" w:eastAsia="Arial" w:hAnsi="Arial"/>
          <w:sz w:val="14"/>
          <w:szCs w:val="14"/>
          <w:b w:val="1"/>
          <w:bCs w:val="1"/>
          <w:color w:val="auto"/>
        </w:rPr>
        <w:t>David G. Remington</w:t>
      </w:r>
    </w:p>
    <w:p>
      <w:pPr>
        <w:spacing w:after="0" w:line="2" w:lineRule="exact"/>
        <w:rPr>
          <w:sz w:val="20"/>
          <w:szCs w:val="20"/>
          <w:color w:val="auto"/>
        </w:rPr>
      </w:pPr>
    </w:p>
    <w:p>
      <w:pPr>
        <w:jc w:val="center"/>
        <w:ind w:left="7540"/>
        <w:spacing w:after="0"/>
        <w:rPr>
          <w:sz w:val="20"/>
          <w:szCs w:val="20"/>
          <w:color w:val="auto"/>
        </w:rPr>
      </w:pPr>
      <w:r>
        <w:rPr>
          <w:rFonts w:ascii="Arial" w:cs="Arial" w:eastAsia="Arial" w:hAnsi="Arial"/>
          <w:sz w:val="12"/>
          <w:szCs w:val="12"/>
          <w:b w:val="1"/>
          <w:bCs w:val="1"/>
          <w:color w:val="auto"/>
        </w:rPr>
        <w:t>Vice President and Chief Financial Officer</w:t>
      </w:r>
    </w:p>
    <w:p>
      <w:pPr>
        <w:sectPr>
          <w:pgSz w:w="11900" w:h="16838" w:orient="portrait"/>
          <w:cols w:equalWidth="0" w:num="1">
            <w:col w:w="11420"/>
          </w:cols>
          <w:pgMar w:left="240" w:top="428" w:right="239" w:bottom="1440" w:gutter="0" w:footer="0" w:header="0"/>
          <w:type w:val="continuous"/>
        </w:sectPr>
      </w:pPr>
    </w:p>
    <w:bookmarkStart w:id="2" w:name="page3"/>
    <w:bookmarkEnd w:id="2"/>
    <w:p>
      <w:pPr>
        <w:jc w:val="right"/>
        <w:spacing w:after="0"/>
        <w:rPr>
          <w:sz w:val="20"/>
          <w:szCs w:val="20"/>
          <w:color w:val="auto"/>
        </w:rPr>
      </w:pPr>
      <w:r>
        <w:rPr>
          <w:rFonts w:ascii="Arial" w:cs="Arial" w:eastAsia="Arial" w:hAnsi="Arial"/>
          <w:sz w:val="18"/>
          <w:szCs w:val="18"/>
          <w:b w:val="1"/>
          <w:bCs w:val="1"/>
          <w:color w:val="auto"/>
        </w:rPr>
        <w:t>Exhibit 2.1.1</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SCHEDULE 1.1</w:t>
      </w:r>
    </w:p>
    <w:p>
      <w:pPr>
        <w:spacing w:after="0" w:line="164" w:lineRule="exact"/>
        <w:rPr>
          <w:sz w:val="20"/>
          <w:szCs w:val="20"/>
          <w:color w:val="auto"/>
        </w:rPr>
      </w:pPr>
    </w:p>
    <w:p>
      <w:pPr>
        <w:ind w:right="480" w:firstLine="456"/>
        <w:spacing w:after="0" w:line="332" w:lineRule="auto"/>
        <w:rPr>
          <w:sz w:val="20"/>
          <w:szCs w:val="20"/>
          <w:color w:val="auto"/>
        </w:rPr>
      </w:pPr>
      <w:r>
        <w:rPr>
          <w:rFonts w:ascii="Arial" w:cs="Arial" w:eastAsia="Arial" w:hAnsi="Arial"/>
          <w:sz w:val="16"/>
          <w:szCs w:val="16"/>
          <w:color w:val="auto"/>
        </w:rPr>
        <w:t>The Asserted Patents are comprised of the following two categories of patents (A) United States Patents 5,572,438, 5,684,710, 5,696,695, 5,924,486, 6,216,956 and any foreign counterparts, and (B) United States Patents 6,169,979 and 5,758,331 and any foreign counterparts.</w:t>
      </w:r>
    </w:p>
    <w:p>
      <w:pPr>
        <w:spacing w:after="0" w:line="72"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A Covered Claim is a claim alleging that (A) any Company Technology, Company Intellectual Property Rights, or product or service of the Company in each case as such existed prior to the Effective Time of the Merger, or the use thereof, infringed one or more of the Asserted Patents, or (B) any product, service, or intellectual property of the Surviving Corporation or Itron after the Effective Time of the Merger (a “Post-Merger Product or Service”) or the use thereof infringes one or more of the Asserted Patents, where such Post-Merger Product or Service (1) was Company Technology, a Company Intellectual Property Right, or product or service of the Company prior to the Effective Time of the Merger and (2) has not been materially modified so as to infringe one or more of the Asserted Patents.</w:t>
      </w:r>
    </w:p>
    <w:p>
      <w:pPr>
        <w:sectPr>
          <w:pgSz w:w="11900" w:h="16838" w:orient="portrait"/>
          <w:cols w:equalWidth="0" w:num="1">
            <w:col w:w="11420"/>
          </w:cols>
          <w:pgMar w:left="240" w:top="274" w:right="2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99.2</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[LOGO OF PRICEWATERHOUSECOOPERS LLP]</w:t>
      </w:r>
    </w:p>
    <w:p>
      <w:pPr>
        <w:spacing w:after="0" w:line="123" w:lineRule="exact"/>
        <w:rPr>
          <w:sz w:val="20"/>
          <w:szCs w:val="20"/>
          <w:color w:val="auto"/>
        </w:rPr>
      </w:pPr>
    </w:p>
    <w:p>
      <w:pPr>
        <w:spacing w:after="0"/>
        <w:rPr>
          <w:sz w:val="20"/>
          <w:szCs w:val="20"/>
          <w:color w:val="auto"/>
        </w:rPr>
      </w:pPr>
      <w:r>
        <w:rPr>
          <w:rFonts w:ascii="Arial" w:cs="Arial" w:eastAsia="Arial" w:hAnsi="Arial"/>
          <w:sz w:val="32"/>
          <w:szCs w:val="32"/>
          <w:b w:val="1"/>
          <w:bCs w:val="1"/>
          <w:color w:val="auto"/>
        </w:rPr>
        <w:t>Silicon Energy Corp.</w:t>
      </w:r>
    </w:p>
    <w:p>
      <w:pPr>
        <w:spacing w:after="0" w:line="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Financial Statements</w:t>
      </w:r>
    </w:p>
    <w:p>
      <w:pPr>
        <w:spacing w:after="0"/>
        <w:rPr>
          <w:sz w:val="20"/>
          <w:szCs w:val="20"/>
          <w:color w:val="auto"/>
        </w:rPr>
      </w:pPr>
      <w:r>
        <w:rPr>
          <w:rFonts w:ascii="Arial" w:cs="Arial" w:eastAsia="Arial" w:hAnsi="Arial"/>
          <w:sz w:val="18"/>
          <w:szCs w:val="18"/>
          <w:b w:val="1"/>
          <w:bCs w:val="1"/>
          <w:color w:val="auto"/>
        </w:rPr>
        <w:t>December 31, 2001 and 2000</w:t>
      </w:r>
    </w:p>
    <w:p>
      <w:pPr>
        <w:sectPr>
          <w:pgSz w:w="11900" w:h="16838" w:orient="portrait"/>
          <w:cols w:equalWidth="0" w:num="1">
            <w:col w:w="11420"/>
          </w:cols>
          <w:pgMar w:left="240" w:top="125"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46" w:lineRule="exact"/>
        <w:rPr>
          <w:sz w:val="20"/>
          <w:szCs w:val="20"/>
          <w:color w:val="auto"/>
        </w:rPr>
      </w:pPr>
    </w:p>
    <w:tbl>
      <w:tblPr>
        <w:tblLayout w:type="fixed"/>
        <w:tblInd w:w="20" w:type="dxa"/>
        <w:tblCellMar>
          <w:top w:w="0" w:type="dxa"/>
          <w:left w:w="0" w:type="dxa"/>
          <w:bottom w:w="0" w:type="dxa"/>
          <w:right w:w="0" w:type="dxa"/>
        </w:tblCellMar>
      </w:tblPr>
      <w:tr>
        <w:trPr>
          <w:trHeight w:val="174"/>
        </w:trPr>
        <w:tc>
          <w:tcPr>
            <w:tcW w:w="20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442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2040" w:type="dxa"/>
            <w:vAlign w:val="bottom"/>
          </w:tcPr>
          <w:p>
            <w:pPr>
              <w:spacing w:after="0"/>
              <w:rPr>
                <w:sz w:val="8"/>
                <w:szCs w:val="8"/>
                <w:color w:val="auto"/>
              </w:rPr>
            </w:pPr>
          </w:p>
        </w:tc>
        <w:tc>
          <w:tcPr>
            <w:tcW w:w="4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0" w:type="dxa"/>
            <w:vAlign w:val="bottom"/>
          </w:tcPr>
          <w:p>
            <w:pPr>
              <w:spacing w:after="0"/>
              <w:rPr>
                <w:sz w:val="8"/>
                <w:szCs w:val="8"/>
                <w:color w:val="auto"/>
              </w:rPr>
            </w:pPr>
          </w:p>
        </w:tc>
        <w:tc>
          <w:tcPr>
            <w:tcW w:w="260" w:type="dxa"/>
            <w:vAlign w:val="bottom"/>
          </w:tcPr>
          <w:p>
            <w:pPr>
              <w:spacing w:after="0"/>
              <w:rPr>
                <w:sz w:val="8"/>
                <w:szCs w:val="8"/>
                <w:color w:val="auto"/>
              </w:rPr>
            </w:pPr>
          </w:p>
        </w:tc>
        <w:tc>
          <w:tcPr>
            <w:tcW w:w="3640" w:type="dxa"/>
            <w:vAlign w:val="bottom"/>
          </w:tcPr>
          <w:p>
            <w:pPr>
              <w:spacing w:after="0"/>
              <w:rPr>
                <w:sz w:val="8"/>
                <w:szCs w:val="8"/>
                <w:color w:val="auto"/>
              </w:rPr>
            </w:pPr>
          </w:p>
        </w:tc>
        <w:tc>
          <w:tcPr>
            <w:tcW w:w="44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85"/>
        </w:trPr>
        <w:tc>
          <w:tcPr>
            <w:tcW w:w="2500" w:type="dxa"/>
            <w:vAlign w:val="bottom"/>
            <w:tcBorders>
              <w:bottom w:val="single" w:sz="8" w:color="0000EE"/>
            </w:tcBorders>
            <w:gridSpan w:val="2"/>
          </w:tcPr>
          <w:p>
            <w:pPr>
              <w:spacing w:after="0"/>
              <w:rPr>
                <w:rFonts w:ascii="Arial" w:cs="Arial" w:eastAsia="Arial" w:hAnsi="Arial"/>
                <w:sz w:val="18"/>
                <w:szCs w:val="18"/>
                <w:color w:val="0000EE"/>
                <w:w w:val="87"/>
              </w:rPr>
            </w:pPr>
            <w:hyperlink w:anchor="page6">
              <w:r>
                <w:rPr>
                  <w:rFonts w:ascii="Arial" w:cs="Arial" w:eastAsia="Arial" w:hAnsi="Arial"/>
                  <w:sz w:val="18"/>
                  <w:szCs w:val="18"/>
                  <w:color w:val="0000EE"/>
                  <w:w w:val="87"/>
                </w:rPr>
                <w:t>Report of Independent Accountants</w:t>
              </w:r>
            </w:hyperlink>
          </w:p>
        </w:tc>
        <w:tc>
          <w:tcPr>
            <w:tcW w:w="8620" w:type="dxa"/>
            <w:vAlign w:val="bottom"/>
            <w:gridSpan w:val="5"/>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2</w:t>
            </w:r>
          </w:p>
        </w:tc>
      </w:tr>
      <w:tr>
        <w:trPr>
          <w:trHeight w:val="304"/>
        </w:trPr>
        <w:tc>
          <w:tcPr>
            <w:tcW w:w="2040" w:type="dxa"/>
            <w:vAlign w:val="bottom"/>
            <w:tcBorders>
              <w:bottom w:val="single" w:sz="8" w:color="0000EE"/>
            </w:tcBorders>
          </w:tcPr>
          <w:p>
            <w:pPr>
              <w:spacing w:after="0"/>
              <w:rPr>
                <w:rFonts w:ascii="Arial" w:cs="Arial" w:eastAsia="Arial" w:hAnsi="Arial"/>
                <w:sz w:val="18"/>
                <w:szCs w:val="18"/>
                <w:color w:val="0000EE"/>
                <w:w w:val="85"/>
              </w:rPr>
            </w:pPr>
            <w:hyperlink w:anchor="page7">
              <w:r>
                <w:rPr>
                  <w:rFonts w:ascii="Arial" w:cs="Arial" w:eastAsia="Arial" w:hAnsi="Arial"/>
                  <w:sz w:val="18"/>
                  <w:szCs w:val="18"/>
                  <w:color w:val="0000EE"/>
                  <w:w w:val="85"/>
                </w:rPr>
                <w:t>Consolidated Balance Sheets</w:t>
              </w:r>
            </w:hyperlink>
          </w:p>
        </w:tc>
        <w:tc>
          <w:tcPr>
            <w:tcW w:w="9080" w:type="dxa"/>
            <w:vAlign w:val="bottom"/>
            <w:gridSpan w:val="6"/>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304"/>
        </w:trPr>
        <w:tc>
          <w:tcPr>
            <w:tcW w:w="2740" w:type="dxa"/>
            <w:vAlign w:val="bottom"/>
            <w:tcBorders>
              <w:bottom w:val="single" w:sz="8" w:color="0000EE"/>
            </w:tcBorders>
            <w:gridSpan w:val="3"/>
          </w:tcPr>
          <w:p>
            <w:pPr>
              <w:spacing w:after="0"/>
              <w:rPr>
                <w:rFonts w:ascii="Arial" w:cs="Arial" w:eastAsia="Arial" w:hAnsi="Arial"/>
                <w:sz w:val="18"/>
                <w:szCs w:val="18"/>
                <w:color w:val="0000EE"/>
                <w:w w:val="86"/>
              </w:rPr>
            </w:pPr>
            <w:hyperlink w:anchor="page8">
              <w:r>
                <w:rPr>
                  <w:rFonts w:ascii="Arial" w:cs="Arial" w:eastAsia="Arial" w:hAnsi="Arial"/>
                  <w:sz w:val="18"/>
                  <w:szCs w:val="18"/>
                  <w:color w:val="0000EE"/>
                  <w:w w:val="86"/>
                </w:rPr>
                <w:t>Consolidated Statements of Operations</w:t>
              </w:r>
            </w:hyperlink>
          </w:p>
        </w:tc>
        <w:tc>
          <w:tcPr>
            <w:tcW w:w="8380" w:type="dxa"/>
            <w:vAlign w:val="bottom"/>
            <w:gridSpan w:val="4"/>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4</w:t>
            </w:r>
          </w:p>
        </w:tc>
      </w:tr>
      <w:tr>
        <w:trPr>
          <w:trHeight w:val="304"/>
        </w:trPr>
        <w:tc>
          <w:tcPr>
            <w:tcW w:w="6700" w:type="dxa"/>
            <w:vAlign w:val="bottom"/>
            <w:tcBorders>
              <w:bottom w:val="single" w:sz="8" w:color="0000EE"/>
            </w:tcBorders>
            <w:gridSpan w:val="6"/>
          </w:tcPr>
          <w:p>
            <w:pPr>
              <w:spacing w:after="0"/>
              <w:rPr>
                <w:rFonts w:ascii="Arial" w:cs="Arial" w:eastAsia="Arial" w:hAnsi="Arial"/>
                <w:sz w:val="18"/>
                <w:szCs w:val="18"/>
                <w:color w:val="0000EE"/>
                <w:w w:val="88"/>
              </w:rPr>
            </w:pPr>
            <w:hyperlink w:anchor="page9">
              <w:r>
                <w:rPr>
                  <w:rFonts w:ascii="Arial" w:cs="Arial" w:eastAsia="Arial" w:hAnsi="Arial"/>
                  <w:sz w:val="18"/>
                  <w:szCs w:val="18"/>
                  <w:color w:val="0000EE"/>
                  <w:w w:val="88"/>
                </w:rPr>
                <w:t>Consolidated Statements of Redeemable Convertible Preferred Stock and Stockholders’ Deficit</w:t>
              </w:r>
            </w:hyperlink>
          </w:p>
        </w:tc>
        <w:tc>
          <w:tcPr>
            <w:tcW w:w="442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5</w:t>
            </w:r>
          </w:p>
        </w:tc>
      </w:tr>
      <w:tr>
        <w:trPr>
          <w:trHeight w:val="304"/>
        </w:trPr>
        <w:tc>
          <w:tcPr>
            <w:tcW w:w="2800" w:type="dxa"/>
            <w:vAlign w:val="bottom"/>
            <w:tcBorders>
              <w:bottom w:val="single" w:sz="8" w:color="0000EE"/>
            </w:tcBorders>
            <w:gridSpan w:val="4"/>
          </w:tcPr>
          <w:p>
            <w:pPr>
              <w:spacing w:after="0"/>
              <w:rPr>
                <w:rFonts w:ascii="Arial" w:cs="Arial" w:eastAsia="Arial" w:hAnsi="Arial"/>
                <w:sz w:val="18"/>
                <w:szCs w:val="18"/>
                <w:color w:val="0000EE"/>
                <w:w w:val="86"/>
              </w:rPr>
            </w:pPr>
            <w:hyperlink w:anchor="page10">
              <w:r>
                <w:rPr>
                  <w:rFonts w:ascii="Arial" w:cs="Arial" w:eastAsia="Arial" w:hAnsi="Arial"/>
                  <w:sz w:val="18"/>
                  <w:szCs w:val="18"/>
                  <w:color w:val="0000EE"/>
                  <w:w w:val="86"/>
                </w:rPr>
                <w:t>Consolidated Statements of Cash Flows</w:t>
              </w:r>
            </w:hyperlink>
          </w:p>
        </w:tc>
        <w:tc>
          <w:tcPr>
            <w:tcW w:w="8320" w:type="dxa"/>
            <w:vAlign w:val="bottom"/>
            <w:gridSpan w:val="3"/>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304"/>
        </w:trPr>
        <w:tc>
          <w:tcPr>
            <w:tcW w:w="11120" w:type="dxa"/>
            <w:vAlign w:val="bottom"/>
            <w:gridSpan w:val="7"/>
          </w:tcPr>
          <w:p>
            <w:pPr>
              <w:spacing w:after="0"/>
              <w:rPr>
                <w:rFonts w:ascii="Arial" w:cs="Arial" w:eastAsia="Arial" w:hAnsi="Arial"/>
                <w:sz w:val="18"/>
                <w:szCs w:val="18"/>
                <w:color w:val="0000EE"/>
              </w:rPr>
            </w:pPr>
            <w:hyperlink w:anchor="page12">
              <w:r>
                <w:rPr>
                  <w:rFonts w:ascii="Arial" w:cs="Arial" w:eastAsia="Arial" w:hAnsi="Arial"/>
                  <w:sz w:val="18"/>
                  <w:szCs w:val="18"/>
                  <w:color w:val="0000EE"/>
                </w:rPr>
                <w:t>Notes to Consolidated Financial Statements</w:t>
              </w:r>
            </w:hyperlink>
          </w:p>
        </w:tc>
        <w:tc>
          <w:tcPr>
            <w:tcW w:w="28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0"/>
        </w:trPr>
        <w:tc>
          <w:tcPr>
            <w:tcW w:w="20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r>
    </w:tbl>
    <w:p>
      <w:pPr>
        <w:sectPr>
          <w:pgSz w:w="11900" w:h="16838" w:orient="portrait"/>
          <w:cols w:equalWidth="0" w:num="1">
            <w:col w:w="11420"/>
          </w:cols>
          <w:pgMar w:left="240" w:top="269"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[LOGO OF PRICEWATERHOUSECOOPERS LLP]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7"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PricewaterhouseCoopers LLP</w:t>
      </w:r>
    </w:p>
    <w:p>
      <w:pPr>
        <w:spacing w:after="0" w:line="15"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333 Market Street</w:t>
      </w:r>
    </w:p>
    <w:p>
      <w:pPr>
        <w:spacing w:after="0" w:line="9"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San Francisco CA 94105-2119</w:t>
      </w:r>
    </w:p>
    <w:p>
      <w:pPr>
        <w:spacing w:after="0" w:line="9" w:lineRule="exact"/>
        <w:rPr>
          <w:sz w:val="20"/>
          <w:szCs w:val="20"/>
          <w:color w:val="auto"/>
        </w:rPr>
      </w:pPr>
    </w:p>
    <w:p>
      <w:pPr>
        <w:ind w:left="8860"/>
        <w:spacing w:after="0"/>
        <w:rPr>
          <w:sz w:val="20"/>
          <w:szCs w:val="20"/>
          <w:color w:val="auto"/>
        </w:rPr>
      </w:pPr>
      <w:r>
        <w:rPr>
          <w:rFonts w:ascii="Arial" w:cs="Arial" w:eastAsia="Arial" w:hAnsi="Arial"/>
          <w:sz w:val="18"/>
          <w:szCs w:val="18"/>
          <w:color w:val="auto"/>
        </w:rPr>
        <w:t>Telephone (415) 498 5000</w:t>
      </w:r>
    </w:p>
    <w:p>
      <w:pPr>
        <w:spacing w:after="0" w:line="9" w:lineRule="exact"/>
        <w:rPr>
          <w:sz w:val="20"/>
          <w:szCs w:val="20"/>
          <w:color w:val="auto"/>
        </w:rPr>
      </w:pPr>
    </w:p>
    <w:p>
      <w:pPr>
        <w:ind w:left="8860"/>
        <w:spacing w:after="0"/>
        <w:tabs>
          <w:tab w:leader="none" w:pos="9700" w:val="left"/>
        </w:tabs>
        <w:rPr>
          <w:sz w:val="20"/>
          <w:szCs w:val="20"/>
          <w:color w:val="auto"/>
        </w:rPr>
      </w:pPr>
      <w:r>
        <w:rPr>
          <w:rFonts w:ascii="Arial" w:cs="Arial" w:eastAsia="Arial" w:hAnsi="Arial"/>
          <w:sz w:val="18"/>
          <w:szCs w:val="18"/>
          <w:color w:val="auto"/>
        </w:rPr>
        <w:t>Facsimile</w:t>
      </w:r>
      <w:r>
        <w:rPr>
          <w:sz w:val="20"/>
          <w:szCs w:val="20"/>
          <w:color w:val="auto"/>
        </w:rPr>
        <w:tab/>
      </w:r>
      <w:r>
        <w:rPr>
          <w:rFonts w:ascii="Arial" w:cs="Arial" w:eastAsia="Arial" w:hAnsi="Arial"/>
          <w:sz w:val="15"/>
          <w:szCs w:val="15"/>
          <w:color w:val="auto"/>
        </w:rPr>
        <w:t>(415) 498 7100</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Report of Independent Accountants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Stockholders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of Silicon Energy Corp.:</w:t>
      </w:r>
    </w:p>
    <w:p>
      <w:pPr>
        <w:spacing w:after="0" w:line="151"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In our opinion, the accompanying consolidated balance sheets and the related consolidated statements of operations, of redeemable convertible preferred stock and stockholders’ deficit and of cash flows present fairly, in all material respects, the financial position of Silicon Energy Corp. and its subsidiaries at December 31, 2001 and 2000 and the results of their operations and their cash flows for the years then ended in conformity with accounting principles generally accepted in the United States of America. These financial statements are the responsibility of the Company’s management; our responsibility is to express an opinion on these financial statements based on our audits. We conducted our audits of these statements in accordance with auditing standards generally accepted in the United States of America, which require that we plan and perform the audits to obtain reasonable assurance about whether the financial statements are free of material misstatement. An audit includes examining, on a test basis, evidence supporting the amounts and disclosures in the financial statements, assessing the accounting principles used and significant estimates made by management, and evaluating the overall financial statement presentation. We believe that our audits provide a reasonable basis for our opinion.</w:t>
      </w:r>
    </w:p>
    <w:p>
      <w:pPr>
        <w:spacing w:after="0" w:line="106" w:lineRule="exact"/>
        <w:rPr>
          <w:sz w:val="20"/>
          <w:szCs w:val="20"/>
          <w:color w:val="auto"/>
        </w:rPr>
      </w:pPr>
    </w:p>
    <w:p>
      <w:pPr>
        <w:ind w:right="60"/>
        <w:spacing w:after="0" w:line="298" w:lineRule="auto"/>
        <w:rPr>
          <w:sz w:val="20"/>
          <w:szCs w:val="20"/>
          <w:color w:val="auto"/>
        </w:rPr>
      </w:pPr>
      <w:r>
        <w:rPr>
          <w:rFonts w:ascii="Arial" w:cs="Arial" w:eastAsia="Arial" w:hAnsi="Arial"/>
          <w:sz w:val="16"/>
          <w:szCs w:val="16"/>
          <w:color w:val="auto"/>
        </w:rPr>
        <w:t>The accompanying consolidated financial statements have been prepared assuming that the Company will continue as a going concern. As discussed in Note 1 to the consolidated financial statements, the Company has incurred losses from operations and negative cash flows from operations since inception and has an accumulated deficit. These factors raise substantial doubt about its ability to continue as a going concern. Management’s plans in regard to these matters are also described in Note 1. The financial statements do not include any adjustments that might result from the outcome of this uncertainty.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67945</wp:posOffset>
            </wp:positionV>
            <wp:extent cx="1800860" cy="24003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800860" cy="240030"/>
                    </a:xfrm>
                    <a:prstGeom prst="rect">
                      <a:avLst/>
                    </a:prstGeom>
                    <a:noFill/>
                  </pic:spPr>
                </pic:pic>
              </a:graphicData>
            </a:graphic>
          </wp:anchor>
        </w:drawing>
      </w: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color w:val="auto"/>
        </w:rPr>
        <w:t>February 15, 2002, except as to Note 12</w:t>
      </w:r>
    </w:p>
    <w:p>
      <w:pPr>
        <w:spacing w:after="0" w:line="1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which is as of May 29, 2002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80" w:right="2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Balance Sheets</w:t>
      </w:r>
    </w:p>
    <w:p>
      <w:pPr>
        <w:spacing w:after="0"/>
        <w:rPr>
          <w:sz w:val="20"/>
          <w:szCs w:val="20"/>
          <w:color w:val="auto"/>
        </w:rPr>
      </w:pPr>
      <w:r>
        <w:rPr>
          <w:rFonts w:ascii="Arial" w:cs="Arial" w:eastAsia="Arial" w:hAnsi="Arial"/>
          <w:sz w:val="18"/>
          <w:szCs w:val="18"/>
          <w:b w:val="1"/>
          <w:bCs w:val="1"/>
          <w:color w:val="auto"/>
        </w:rPr>
        <w:t>(in thousands, except share and per share amounts)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8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rPr>
              <w:t>December 31,</w:t>
            </w:r>
          </w:p>
        </w:tc>
      </w:tr>
      <w:tr>
        <w:trPr>
          <w:trHeight w:val="95"/>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263"/>
        </w:trPr>
        <w:tc>
          <w:tcPr>
            <w:tcW w:w="96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22"/>
                <w:szCs w:val="22"/>
                <w:color w:val="auto"/>
              </w:rPr>
            </w:pPr>
          </w:p>
        </w:tc>
      </w:tr>
      <w:tr>
        <w:trPr>
          <w:trHeight w:val="95"/>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Restricted cash equivalents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15,462</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Accounts receivable (net of allowance of $340 and $350 at December 31, 2001 and 2000, respectively)</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6,634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3,085</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Costs in excess of billings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60" w:type="dxa"/>
            <w:vAlign w:val="bottom"/>
            <w:shd w:val="clear" w:color="auto" w:fill="CCEEFF"/>
          </w:tcPr>
          <w:p>
            <w:pPr>
              <w:spacing w:after="0"/>
              <w:rPr>
                <w:sz w:val="18"/>
                <w:szCs w:val="18"/>
                <w:color w:val="auto"/>
              </w:rPr>
            </w:pPr>
          </w:p>
        </w:tc>
      </w:tr>
      <w:tr>
        <w:trPr>
          <w:trHeight w:val="222"/>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1,345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1,731</w:t>
            </w:r>
          </w:p>
        </w:tc>
        <w:tc>
          <w:tcPr>
            <w:tcW w:w="60" w:type="dxa"/>
            <w:vAlign w:val="bottom"/>
          </w:tcPr>
          <w:p>
            <w:pPr>
              <w:spacing w:after="0"/>
              <w:rPr>
                <w:sz w:val="19"/>
                <w:szCs w:val="19"/>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Total current assets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15,193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25,807</w:t>
            </w:r>
          </w:p>
        </w:tc>
        <w:tc>
          <w:tcPr>
            <w:tcW w:w="60" w:type="dxa"/>
            <w:vAlign w:val="bottom"/>
            <w:shd w:val="clear" w:color="auto" w:fill="CCEEFF"/>
          </w:tcPr>
          <w:p>
            <w:pPr>
              <w:spacing w:after="0"/>
              <w:rPr>
                <w:sz w:val="18"/>
                <w:szCs w:val="18"/>
                <w:color w:val="auto"/>
              </w:rPr>
            </w:pPr>
          </w:p>
        </w:tc>
      </w:tr>
      <w:tr>
        <w:trPr>
          <w:trHeight w:val="323"/>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Property and equipment, net</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2,961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3,165</w:t>
            </w:r>
          </w:p>
        </w:tc>
        <w:tc>
          <w:tcPr>
            <w:tcW w:w="60" w:type="dxa"/>
            <w:vAlign w:val="bottom"/>
          </w:tcPr>
          <w:p>
            <w:pPr>
              <w:spacing w:after="0"/>
              <w:rPr>
                <w:sz w:val="24"/>
                <w:szCs w:val="24"/>
                <w:color w:val="auto"/>
              </w:rPr>
            </w:pPr>
          </w:p>
        </w:tc>
      </w:tr>
      <w:tr>
        <w:trPr>
          <w:trHeight w:val="217"/>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Goodwill and other intangibles, net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3,492</w:t>
            </w:r>
          </w:p>
        </w:tc>
        <w:tc>
          <w:tcPr>
            <w:tcW w:w="60" w:type="dxa"/>
            <w:vAlign w:val="bottom"/>
            <w:shd w:val="clear" w:color="auto" w:fill="CCEEFF"/>
          </w:tcPr>
          <w:p>
            <w:pPr>
              <w:spacing w:after="0"/>
              <w:rPr>
                <w:sz w:val="18"/>
                <w:szCs w:val="18"/>
                <w:color w:val="auto"/>
              </w:rPr>
            </w:pPr>
          </w:p>
        </w:tc>
      </w:tr>
      <w:tr>
        <w:trPr>
          <w:trHeight w:val="222"/>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1,320</w:t>
            </w:r>
          </w:p>
        </w:tc>
        <w:tc>
          <w:tcPr>
            <w:tcW w:w="60" w:type="dxa"/>
            <w:vAlign w:val="bottom"/>
          </w:tcPr>
          <w:p>
            <w:pPr>
              <w:spacing w:after="0"/>
              <w:rPr>
                <w:sz w:val="19"/>
                <w:szCs w:val="19"/>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Total assets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33,784</w:t>
            </w:r>
          </w:p>
        </w:tc>
        <w:tc>
          <w:tcPr>
            <w:tcW w:w="60" w:type="dxa"/>
            <w:vAlign w:val="bottom"/>
            <w:shd w:val="clear" w:color="auto" w:fill="CCEEFF"/>
          </w:tcPr>
          <w:p>
            <w:pPr>
              <w:spacing w:after="0"/>
              <w:rPr>
                <w:sz w:val="18"/>
                <w:szCs w:val="18"/>
                <w:color w:val="auto"/>
              </w:rPr>
            </w:pPr>
          </w:p>
        </w:tc>
      </w:tr>
      <w:tr>
        <w:trPr>
          <w:trHeight w:val="132"/>
        </w:trPr>
        <w:tc>
          <w:tcPr>
            <w:tcW w:w="9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1,974</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Accrued and other current liabilities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4,234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5,160</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5,343</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Borrowings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Capital lease obligations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w:t>
            </w:r>
          </w:p>
        </w:tc>
        <w:tc>
          <w:tcPr>
            <w:tcW w:w="60" w:type="dxa"/>
            <w:vAlign w:val="bottom"/>
            <w:shd w:val="clear" w:color="auto" w:fill="CCEEFF"/>
          </w:tcPr>
          <w:p>
            <w:pPr>
              <w:spacing w:after="0"/>
              <w:rPr>
                <w:sz w:val="18"/>
                <w:szCs w:val="18"/>
                <w:color w:val="auto"/>
              </w:rPr>
            </w:pP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Total current liabilities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13,223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13,154</w:t>
            </w:r>
          </w:p>
        </w:tc>
        <w:tc>
          <w:tcPr>
            <w:tcW w:w="60" w:type="dxa"/>
            <w:vAlign w:val="bottom"/>
            <w:shd w:val="clear" w:color="auto" w:fill="CCEEFF"/>
          </w:tcPr>
          <w:p>
            <w:pPr>
              <w:spacing w:after="0"/>
              <w:rPr>
                <w:sz w:val="18"/>
                <w:szCs w:val="18"/>
                <w:color w:val="auto"/>
              </w:rPr>
            </w:pPr>
          </w:p>
        </w:tc>
      </w:tr>
      <w:tr>
        <w:trPr>
          <w:trHeight w:val="323"/>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Borrowings</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519</w:t>
            </w:r>
          </w:p>
        </w:tc>
        <w:tc>
          <w:tcPr>
            <w:tcW w:w="60" w:type="dxa"/>
            <w:vAlign w:val="bottom"/>
          </w:tcPr>
          <w:p>
            <w:pPr>
              <w:spacing w:after="0"/>
              <w:rPr>
                <w:sz w:val="24"/>
                <w:szCs w:val="24"/>
                <w:color w:val="auto"/>
              </w:rPr>
            </w:pPr>
          </w:p>
        </w:tc>
      </w:tr>
      <w:tr>
        <w:trPr>
          <w:trHeight w:val="217"/>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60" w:type="dxa"/>
            <w:vAlign w:val="bottom"/>
            <w:shd w:val="clear" w:color="auto" w:fill="CCEEFF"/>
          </w:tcPr>
          <w:p>
            <w:pPr>
              <w:spacing w:after="0"/>
              <w:rPr>
                <w:sz w:val="18"/>
                <w:szCs w:val="18"/>
                <w:color w:val="auto"/>
              </w:rPr>
            </w:pPr>
          </w:p>
        </w:tc>
      </w:tr>
      <w:tr>
        <w:trPr>
          <w:trHeight w:val="222"/>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629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Total liabilities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14,062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13,806</w:t>
            </w:r>
          </w:p>
        </w:tc>
        <w:tc>
          <w:tcPr>
            <w:tcW w:w="60" w:type="dxa"/>
            <w:vAlign w:val="bottom"/>
            <w:shd w:val="clear" w:color="auto" w:fill="CCEEFF"/>
          </w:tcPr>
          <w:p>
            <w:pPr>
              <w:spacing w:after="0"/>
              <w:rPr>
                <w:sz w:val="18"/>
                <w:szCs w:val="18"/>
                <w:color w:val="auto"/>
              </w:rPr>
            </w:pP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9660" w:type="dxa"/>
            <w:vAlign w:val="bottom"/>
            <w:gridSpan w:val="2"/>
          </w:tcPr>
          <w:p>
            <w:pPr>
              <w:ind w:left="400"/>
              <w:spacing w:after="0"/>
              <w:rPr>
                <w:sz w:val="20"/>
                <w:szCs w:val="20"/>
                <w:color w:val="auto"/>
              </w:rPr>
            </w:pPr>
            <w:r>
              <w:rPr>
                <w:rFonts w:ascii="Arial" w:cs="Arial" w:eastAsia="Arial" w:hAnsi="Arial"/>
                <w:sz w:val="18"/>
                <w:szCs w:val="18"/>
                <w:color w:val="auto"/>
                <w:w w:val="91"/>
              </w:rPr>
              <w:t>Redeemable convertible preferred stock, $0.001 par value per share, 16,394,328 shares authorized at December 31, 2001 and</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60" w:type="dxa"/>
            <w:vAlign w:val="bottom"/>
            <w:gridSpan w:val="2"/>
          </w:tcPr>
          <w:p>
            <w:pPr>
              <w:ind w:left="560"/>
              <w:spacing w:after="0"/>
              <w:rPr>
                <w:sz w:val="20"/>
                <w:szCs w:val="20"/>
                <w:color w:val="auto"/>
              </w:rPr>
            </w:pPr>
            <w:r>
              <w:rPr>
                <w:rFonts w:ascii="Arial" w:cs="Arial" w:eastAsia="Arial" w:hAnsi="Arial"/>
                <w:sz w:val="18"/>
                <w:szCs w:val="18"/>
                <w:color w:val="auto"/>
                <w:w w:val="96"/>
              </w:rPr>
              <w:t>2000; 16,394,315 shares issued and outstanding at December 31, 2001 and 2000 (aggregate liquidation preference of</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2"/>
        </w:trPr>
        <w:tc>
          <w:tcPr>
            <w:tcW w:w="9660" w:type="dxa"/>
            <w:vAlign w:val="bottom"/>
            <w:gridSpan w:val="2"/>
          </w:tcPr>
          <w:p>
            <w:pPr>
              <w:ind w:left="560"/>
              <w:spacing w:after="0"/>
              <w:rPr>
                <w:sz w:val="20"/>
                <w:szCs w:val="20"/>
                <w:color w:val="auto"/>
              </w:rPr>
            </w:pPr>
            <w:r>
              <w:rPr>
                <w:rFonts w:ascii="Arial" w:cs="Arial" w:eastAsia="Arial" w:hAnsi="Arial"/>
                <w:sz w:val="18"/>
                <w:szCs w:val="18"/>
                <w:color w:val="auto"/>
              </w:rPr>
              <w:t>$50,209 at December 31, 2001)</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50,047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46,800</w:t>
            </w:r>
          </w:p>
        </w:tc>
        <w:tc>
          <w:tcPr>
            <w:tcW w:w="60" w:type="dxa"/>
            <w:vAlign w:val="bottom"/>
          </w:tcPr>
          <w:p>
            <w:pPr>
              <w:spacing w:after="0"/>
              <w:rPr>
                <w:sz w:val="19"/>
                <w:szCs w:val="19"/>
                <w:color w:val="auto"/>
              </w:rPr>
            </w:pPr>
          </w:p>
        </w:tc>
      </w:tr>
      <w:tr>
        <w:trPr>
          <w:trHeight w:val="110"/>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7)</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323"/>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Stockholders’ deficit:</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09"/>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w w:val="94"/>
              </w:rPr>
              <w:t>Common stock, $0.001 par value per share, 40,000,000 shares authorized at December 31, 2001 and 2000; 8,704,018 and</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9660" w:type="dxa"/>
            <w:vAlign w:val="bottom"/>
            <w:gridSpan w:val="2"/>
            <w:shd w:val="clear" w:color="auto" w:fill="CCEEFF"/>
          </w:tcPr>
          <w:p>
            <w:pPr>
              <w:ind w:left="560"/>
              <w:spacing w:after="0"/>
              <w:rPr>
                <w:sz w:val="20"/>
                <w:szCs w:val="20"/>
                <w:color w:val="auto"/>
              </w:rPr>
            </w:pPr>
            <w:r>
              <w:rPr>
                <w:rFonts w:ascii="Arial" w:cs="Arial" w:eastAsia="Arial" w:hAnsi="Arial"/>
                <w:sz w:val="18"/>
                <w:szCs w:val="18"/>
                <w:color w:val="auto"/>
                <w:w w:val="91"/>
              </w:rPr>
              <w:t>8,186,881 shares issued and 7,937,351 and 7,470,214 issued and outstanding at December 31, 2001 and 2000, respectively</w:t>
            </w:r>
          </w:p>
        </w:tc>
        <w:tc>
          <w:tcPr>
            <w:tcW w:w="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60" w:type="dxa"/>
            <w:vAlign w:val="bottom"/>
            <w:shd w:val="clear" w:color="auto" w:fill="CCEEFF"/>
          </w:tcPr>
          <w:p>
            <w:pPr>
              <w:spacing w:after="0"/>
              <w:rPr>
                <w:sz w:val="19"/>
                <w:szCs w:val="19"/>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Additional paid-in capital</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14,946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14,086</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Deferred stock-based compensation</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(1,162)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(2,593)</w:t>
            </w: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Accumulated deficit</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(54,600)</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(36,269)</w:t>
            </w: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Notes receivable from officers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(1,053)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(1,053)</w:t>
            </w:r>
          </w:p>
        </w:tc>
      </w:tr>
      <w:tr>
        <w:trPr>
          <w:trHeight w:val="222"/>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Treasury stock, at cost, 766,667 and 716,667 shares at December 31, 2001 and 2000, respectively</w:t>
            </w:r>
          </w:p>
        </w:tc>
        <w:tc>
          <w:tcPr>
            <w:tcW w:w="80" w:type="dxa"/>
            <w:vAlign w:val="bottom"/>
          </w:tcPr>
          <w:p>
            <w:pPr>
              <w:spacing w:after="0"/>
              <w:rPr>
                <w:sz w:val="19"/>
                <w:szCs w:val="19"/>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(1,001)</w:t>
            </w: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Total stockholders’ deficit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(43,062)</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(26,822)</w:t>
            </w: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21,047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33,784</w:t>
            </w:r>
          </w:p>
        </w:tc>
        <w:tc>
          <w:tcPr>
            <w:tcW w:w="60" w:type="dxa"/>
            <w:vAlign w:val="bottom"/>
            <w:shd w:val="clear" w:color="auto" w:fill="CCEEFF"/>
          </w:tcPr>
          <w:p>
            <w:pPr>
              <w:spacing w:after="0"/>
              <w:rPr>
                <w:sz w:val="18"/>
                <w:szCs w:val="18"/>
                <w:color w:val="auto"/>
              </w:rPr>
            </w:pPr>
          </w:p>
        </w:tc>
      </w:tr>
      <w:tr>
        <w:trPr>
          <w:trHeight w:val="132"/>
        </w:trPr>
        <w:tc>
          <w:tcPr>
            <w:tcW w:w="9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467"/>
        </w:trPr>
        <w:tc>
          <w:tcPr>
            <w:tcW w:w="9660" w:type="dxa"/>
            <w:vAlign w:val="bottom"/>
            <w:gridSpan w:val="2"/>
          </w:tcPr>
          <w:p>
            <w:pPr>
              <w:ind w:left="2640"/>
              <w:spacing w:after="0"/>
              <w:rPr>
                <w:sz w:val="20"/>
                <w:szCs w:val="20"/>
                <w:color w:val="auto"/>
              </w:rPr>
            </w:pPr>
            <w:r>
              <w:rPr>
                <w:rFonts w:ascii="Arial" w:cs="Arial" w:eastAsia="Arial" w:hAnsi="Arial"/>
                <w:sz w:val="18"/>
                <w:szCs w:val="18"/>
                <w:color w:val="auto"/>
                <w:w w:val="99"/>
              </w:rPr>
              <w:t>The accompanying notes are an integral part of these consolidated financial statements.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365"/>
        </w:trPr>
        <w:tc>
          <w:tcPr>
            <w:tcW w:w="9640" w:type="dxa"/>
            <w:vAlign w:val="bottom"/>
          </w:tcPr>
          <w:p>
            <w:pPr>
              <w:ind w:left="5680"/>
              <w:spacing w:after="0"/>
              <w:rPr>
                <w:sz w:val="20"/>
                <w:szCs w:val="20"/>
                <w:color w:val="auto"/>
              </w:rPr>
            </w:pPr>
            <w:r>
              <w:rPr>
                <w:rFonts w:ascii="Arial" w:cs="Arial" w:eastAsia="Arial" w:hAnsi="Arial"/>
                <w:sz w:val="18"/>
                <w:szCs w:val="18"/>
                <w:color w:val="auto"/>
              </w:rPr>
              <w:t>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-5360035</wp:posOffset>
            </wp:positionV>
            <wp:extent cx="12700"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-5360035</wp:posOffset>
            </wp:positionV>
            <wp:extent cx="2159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-5360035</wp:posOffset>
            </wp:positionV>
            <wp:extent cx="3873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-5360035</wp:posOffset>
            </wp:positionV>
            <wp:extent cx="44132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-557530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-557530</wp:posOffset>
            </wp:positionV>
            <wp:extent cx="2159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-557530</wp:posOffset>
            </wp:positionV>
            <wp:extent cx="3873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-557530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-557530</wp:posOffset>
            </wp:positionV>
            <wp:extent cx="21590"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-557530</wp:posOffset>
            </wp:positionV>
            <wp:extent cx="3873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418"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Operations</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p>
      <w:pPr>
        <w:ind w:left="10140"/>
        <w:spacing w:after="0"/>
        <w:rPr>
          <w:sz w:val="20"/>
          <w:szCs w:val="20"/>
          <w:color w:val="auto"/>
        </w:rPr>
      </w:pPr>
      <w:r>
        <w:rPr>
          <w:rFonts w:ascii="Arial" w:cs="Arial" w:eastAsia="Arial" w:hAnsi="Arial"/>
          <w:sz w:val="14"/>
          <w:szCs w:val="14"/>
          <w:b w:val="1"/>
          <w:bCs w:val="1"/>
          <w:color w:val="auto"/>
        </w:rPr>
        <w:t>Years Ended</w:t>
      </w:r>
    </w:p>
    <w:p>
      <w:pPr>
        <w:spacing w:after="0" w:line="1"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60325</wp:posOffset>
            </wp:positionV>
            <wp:extent cx="108077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60" w:type="dxa"/>
            <w:vAlign w:val="bottom"/>
          </w:tcPr>
          <w:p>
            <w:pPr>
              <w:spacing w:after="0"/>
              <w:rPr>
                <w:sz w:val="15"/>
                <w:szCs w:val="15"/>
                <w:color w:val="auto"/>
              </w:rPr>
            </w:pPr>
          </w:p>
        </w:tc>
        <w:tc>
          <w:tcPr>
            <w:tcW w:w="640" w:type="dxa"/>
            <w:vAlign w:val="bottom"/>
            <w:gridSpan w:val="2"/>
          </w:tcPr>
          <w:p>
            <w:pPr>
              <w:jc w:val="right"/>
              <w:ind w:right="180"/>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r>
      <w:tr>
        <w:trPr>
          <w:trHeight w:val="95"/>
        </w:trPr>
        <w:tc>
          <w:tcPr>
            <w:tcW w:w="9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60" w:type="dxa"/>
            <w:vAlign w:val="bottom"/>
          </w:tcPr>
          <w:p>
            <w:pPr>
              <w:ind w:left="400"/>
              <w:spacing w:after="0"/>
              <w:rPr>
                <w:sz w:val="20"/>
                <w:szCs w:val="20"/>
                <w:color w:val="auto"/>
              </w:rPr>
            </w:pPr>
            <w:r>
              <w:rPr>
                <w:rFonts w:ascii="Arial" w:cs="Arial" w:eastAsia="Arial" w:hAnsi="Arial"/>
                <w:sz w:val="18"/>
                <w:szCs w:val="18"/>
                <w:color w:val="auto"/>
              </w:rPr>
              <w:t>License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w w:val="88"/>
              </w:rPr>
              <w:t>$ 12,652</w:t>
            </w:r>
          </w:p>
        </w:tc>
        <w:tc>
          <w:tcPr>
            <w:tcW w:w="40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3,836</w:t>
            </w:r>
          </w:p>
        </w:tc>
        <w:tc>
          <w:tcPr>
            <w:tcW w:w="60" w:type="dxa"/>
            <w:vAlign w:val="bottom"/>
          </w:tcPr>
          <w:p>
            <w:pPr>
              <w:spacing w:after="0"/>
              <w:rPr>
                <w:sz w:val="18"/>
                <w:szCs w:val="18"/>
                <w:color w:val="auto"/>
              </w:rPr>
            </w:pPr>
          </w:p>
        </w:tc>
      </w:tr>
      <w:tr>
        <w:trPr>
          <w:trHeight w:val="216"/>
        </w:trPr>
        <w:tc>
          <w:tcPr>
            <w:tcW w:w="9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Services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7,705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2,312</w:t>
            </w:r>
          </w:p>
        </w:tc>
        <w:tc>
          <w:tcPr>
            <w:tcW w:w="60" w:type="dxa"/>
            <w:vAlign w:val="bottom"/>
            <w:shd w:val="clear" w:color="auto" w:fill="CCEEFF"/>
          </w:tcPr>
          <w:p>
            <w:pPr>
              <w:spacing w:after="0"/>
              <w:rPr>
                <w:sz w:val="18"/>
                <w:szCs w:val="18"/>
                <w:color w:val="auto"/>
              </w:rPr>
            </w:pPr>
          </w:p>
        </w:tc>
      </w:tr>
      <w:tr>
        <w:trPr>
          <w:trHeight w:val="108"/>
        </w:trPr>
        <w:tc>
          <w:tcPr>
            <w:tcW w:w="9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20,357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6,148</w:t>
            </w:r>
          </w:p>
        </w:tc>
        <w:tc>
          <w:tcPr>
            <w:tcW w:w="60" w:type="dxa"/>
            <w:vAlign w:val="bottom"/>
            <w:shd w:val="clear" w:color="auto" w:fill="CCEEFF"/>
          </w:tcPr>
          <w:p>
            <w:pPr>
              <w:spacing w:after="0"/>
              <w:rPr>
                <w:sz w:val="18"/>
                <w:szCs w:val="18"/>
                <w:color w:val="auto"/>
              </w:rPr>
            </w:pPr>
          </w:p>
        </w:tc>
      </w:tr>
      <w:tr>
        <w:trPr>
          <w:trHeight w:val="108"/>
        </w:trPr>
        <w:tc>
          <w:tcPr>
            <w:tcW w:w="9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 of revenue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60" w:type="dxa"/>
            <w:vAlign w:val="bottom"/>
          </w:tcPr>
          <w:p>
            <w:pPr>
              <w:ind w:left="400"/>
              <w:spacing w:after="0"/>
              <w:rPr>
                <w:sz w:val="20"/>
                <w:szCs w:val="20"/>
                <w:color w:val="auto"/>
              </w:rPr>
            </w:pPr>
            <w:r>
              <w:rPr>
                <w:rFonts w:ascii="Arial" w:cs="Arial" w:eastAsia="Arial" w:hAnsi="Arial"/>
                <w:sz w:val="18"/>
                <w:szCs w:val="18"/>
                <w:color w:val="auto"/>
              </w:rPr>
              <w:t>License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r>
      <w:tr>
        <w:trPr>
          <w:trHeight w:val="216"/>
        </w:trPr>
        <w:tc>
          <w:tcPr>
            <w:tcW w:w="9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Services (inclusive of non-cash stock-based compensation of $115 and $74 in 2001 and 2000, respectively)</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60" w:type="dxa"/>
            <w:vAlign w:val="bottom"/>
            <w:shd w:val="clear" w:color="auto" w:fill="CCEEFF"/>
          </w:tcPr>
          <w:p>
            <w:pPr>
              <w:spacing w:after="0"/>
              <w:rPr>
                <w:sz w:val="18"/>
                <w:szCs w:val="18"/>
                <w:color w:val="auto"/>
              </w:rPr>
            </w:pPr>
          </w:p>
        </w:tc>
      </w:tr>
      <w:tr>
        <w:trPr>
          <w:trHeight w:val="108"/>
        </w:trPr>
        <w:tc>
          <w:tcPr>
            <w:tcW w:w="9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cost of revenue</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6,883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w:t>
            </w:r>
          </w:p>
        </w:tc>
        <w:tc>
          <w:tcPr>
            <w:tcW w:w="60" w:type="dxa"/>
            <w:vAlign w:val="bottom"/>
            <w:shd w:val="clear" w:color="auto" w:fill="CCEEFF"/>
          </w:tcPr>
          <w:p>
            <w:pPr>
              <w:spacing w:after="0"/>
              <w:rPr>
                <w:sz w:val="18"/>
                <w:szCs w:val="18"/>
                <w:color w:val="auto"/>
              </w:rPr>
            </w:pPr>
          </w:p>
        </w:tc>
      </w:tr>
      <w:tr>
        <w:trPr>
          <w:trHeight w:val="108"/>
        </w:trPr>
        <w:tc>
          <w:tcPr>
            <w:tcW w:w="9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4,148</w:t>
            </w:r>
          </w:p>
        </w:tc>
        <w:tc>
          <w:tcPr>
            <w:tcW w:w="60" w:type="dxa"/>
            <w:vAlign w:val="bottom"/>
            <w:shd w:val="clear" w:color="auto" w:fill="CCEEFF"/>
          </w:tcPr>
          <w:p>
            <w:pPr>
              <w:spacing w:after="0"/>
              <w:rPr>
                <w:sz w:val="18"/>
                <w:szCs w:val="18"/>
                <w:color w:val="auto"/>
              </w:rPr>
            </w:pPr>
          </w:p>
        </w:tc>
      </w:tr>
      <w:tr>
        <w:trPr>
          <w:trHeight w:val="323"/>
        </w:trPr>
        <w:tc>
          <w:tcPr>
            <w:tcW w:w="9660" w:type="dxa"/>
            <w:vAlign w:val="bottom"/>
          </w:tcPr>
          <w:p>
            <w:pPr>
              <w:ind w:left="20"/>
              <w:spacing w:after="0"/>
              <w:rPr>
                <w:sz w:val="20"/>
                <w:szCs w:val="20"/>
                <w:color w:val="auto"/>
              </w:rPr>
            </w:pPr>
            <w:r>
              <w:rPr>
                <w:rFonts w:ascii="Arial" w:cs="Arial" w:eastAsia="Arial" w:hAnsi="Arial"/>
                <w:sz w:val="18"/>
                <w:szCs w:val="18"/>
                <w:b w:val="1"/>
                <w:bCs w:val="1"/>
                <w:color w:val="auto"/>
              </w:rPr>
              <w:t>Operating expenses</w:t>
            </w: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7"/>
        </w:trPr>
        <w:tc>
          <w:tcPr>
            <w:tcW w:w="9660" w:type="dxa"/>
            <w:vAlign w:val="bottom"/>
            <w:shd w:val="clear" w:color="auto" w:fill="CCEEFF"/>
          </w:tcPr>
          <w:p>
            <w:pPr>
              <w:ind w:left="400"/>
              <w:spacing w:after="0"/>
              <w:rPr>
                <w:sz w:val="20"/>
                <w:szCs w:val="20"/>
                <w:color w:val="auto"/>
              </w:rPr>
            </w:pPr>
            <w:r>
              <w:rPr>
                <w:rFonts w:ascii="Arial" w:cs="Arial" w:eastAsia="Arial" w:hAnsi="Arial"/>
                <w:sz w:val="18"/>
                <w:szCs w:val="18"/>
                <w:color w:val="auto"/>
                <w:w w:val="95"/>
              </w:rPr>
              <w:t>Sales and marketing (inclusive of non-cash stock-based compensation of $564 and $985 in 2001 and 2000, respectively)</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16,361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16,520</w:t>
            </w:r>
          </w:p>
        </w:tc>
        <w:tc>
          <w:tcPr>
            <w:tcW w:w="60" w:type="dxa"/>
            <w:vAlign w:val="bottom"/>
            <w:shd w:val="clear" w:color="auto" w:fill="CCEEFF"/>
          </w:tcPr>
          <w:p>
            <w:pPr>
              <w:spacing w:after="0"/>
              <w:rPr>
                <w:sz w:val="18"/>
                <w:szCs w:val="18"/>
                <w:color w:val="auto"/>
              </w:rPr>
            </w:pPr>
          </w:p>
        </w:tc>
      </w:tr>
      <w:tr>
        <w:trPr>
          <w:trHeight w:val="208"/>
        </w:trPr>
        <w:tc>
          <w:tcPr>
            <w:tcW w:w="9660" w:type="dxa"/>
            <w:vAlign w:val="bottom"/>
          </w:tcPr>
          <w:p>
            <w:pPr>
              <w:ind w:left="400"/>
              <w:spacing w:after="0"/>
              <w:rPr>
                <w:sz w:val="20"/>
                <w:szCs w:val="20"/>
                <w:color w:val="auto"/>
              </w:rPr>
            </w:pPr>
            <w:r>
              <w:rPr>
                <w:rFonts w:ascii="Arial" w:cs="Arial" w:eastAsia="Arial" w:hAnsi="Arial"/>
                <w:sz w:val="18"/>
                <w:szCs w:val="18"/>
                <w:color w:val="auto"/>
              </w:rPr>
              <w:t>Research and development (inclusive of non-cash stock-based compensation of $566 and $830 in 2001 and 2000,</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9660" w:type="dxa"/>
            <w:vAlign w:val="bottom"/>
          </w:tcPr>
          <w:p>
            <w:pPr>
              <w:ind w:left="560"/>
              <w:spacing w:after="0"/>
              <w:rPr>
                <w:sz w:val="20"/>
                <w:szCs w:val="20"/>
                <w:color w:val="auto"/>
              </w:rPr>
            </w:pPr>
            <w:r>
              <w:rPr>
                <w:rFonts w:ascii="Arial" w:cs="Arial" w:eastAsia="Arial" w:hAnsi="Arial"/>
                <w:sz w:val="18"/>
                <w:szCs w:val="18"/>
                <w:color w:val="auto"/>
              </w:rPr>
              <w:t>respectively)</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9,589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10,124</w:t>
            </w:r>
          </w:p>
        </w:tc>
        <w:tc>
          <w:tcPr>
            <w:tcW w:w="60" w:type="dxa"/>
            <w:vAlign w:val="bottom"/>
          </w:tcPr>
          <w:p>
            <w:pPr>
              <w:spacing w:after="0"/>
              <w:rPr>
                <w:sz w:val="19"/>
                <w:szCs w:val="19"/>
                <w:color w:val="auto"/>
              </w:rPr>
            </w:pPr>
          </w:p>
        </w:tc>
      </w:tr>
      <w:tr>
        <w:trPr>
          <w:trHeight w:val="209"/>
        </w:trPr>
        <w:tc>
          <w:tcPr>
            <w:tcW w:w="966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General and administrative (inclusive of non-cash stock-based compensation of $338 and $554 in 2001 and 2000,</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9660" w:type="dxa"/>
            <w:vAlign w:val="bottom"/>
            <w:shd w:val="clear" w:color="auto" w:fill="CCEEFF"/>
          </w:tcPr>
          <w:p>
            <w:pPr>
              <w:ind w:left="560"/>
              <w:spacing w:after="0"/>
              <w:rPr>
                <w:sz w:val="20"/>
                <w:szCs w:val="20"/>
                <w:color w:val="auto"/>
              </w:rPr>
            </w:pPr>
            <w:r>
              <w:rPr>
                <w:rFonts w:ascii="Arial" w:cs="Arial" w:eastAsia="Arial" w:hAnsi="Arial"/>
                <w:sz w:val="18"/>
                <w:szCs w:val="18"/>
                <w:color w:val="auto"/>
              </w:rPr>
              <w:t>respectively)</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5,675</w:t>
            </w:r>
          </w:p>
        </w:tc>
        <w:tc>
          <w:tcPr>
            <w:tcW w:w="60" w:type="dxa"/>
            <w:vAlign w:val="bottom"/>
            <w:shd w:val="clear" w:color="auto" w:fill="CCEEFF"/>
          </w:tcPr>
          <w:p>
            <w:pPr>
              <w:spacing w:after="0"/>
              <w:rPr>
                <w:sz w:val="19"/>
                <w:szCs w:val="19"/>
                <w:color w:val="auto"/>
              </w:rPr>
            </w:pPr>
          </w:p>
        </w:tc>
      </w:tr>
      <w:tr>
        <w:trPr>
          <w:trHeight w:val="222"/>
        </w:trPr>
        <w:tc>
          <w:tcPr>
            <w:tcW w:w="9660" w:type="dxa"/>
            <w:vAlign w:val="bottom"/>
          </w:tcPr>
          <w:p>
            <w:pPr>
              <w:ind w:left="400"/>
              <w:spacing w:after="0"/>
              <w:rPr>
                <w:sz w:val="20"/>
                <w:szCs w:val="20"/>
                <w:color w:val="auto"/>
              </w:rPr>
            </w:pPr>
            <w:r>
              <w:rPr>
                <w:rFonts w:ascii="Arial" w:cs="Arial" w:eastAsia="Arial" w:hAnsi="Arial"/>
                <w:sz w:val="18"/>
                <w:szCs w:val="18"/>
                <w:color w:val="auto"/>
              </w:rPr>
              <w:t>Amortization of intangibles</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774</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368</w:t>
            </w:r>
          </w:p>
        </w:tc>
        <w:tc>
          <w:tcPr>
            <w:tcW w:w="60" w:type="dxa"/>
            <w:vAlign w:val="bottom"/>
          </w:tcPr>
          <w:p>
            <w:pPr>
              <w:spacing w:after="0"/>
              <w:rPr>
                <w:sz w:val="19"/>
                <w:szCs w:val="19"/>
                <w:color w:val="auto"/>
              </w:rPr>
            </w:pPr>
          </w:p>
        </w:tc>
      </w:tr>
      <w:tr>
        <w:trPr>
          <w:trHeight w:val="102"/>
        </w:trPr>
        <w:tc>
          <w:tcPr>
            <w:tcW w:w="9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shd w:val="clear" w:color="auto" w:fill="CCEEFF"/>
          </w:tcPr>
          <w:p>
            <w:pPr>
              <w:ind w:left="780"/>
              <w:spacing w:after="0"/>
              <w:rPr>
                <w:sz w:val="20"/>
                <w:szCs w:val="20"/>
                <w:color w:val="auto"/>
              </w:rPr>
            </w:pPr>
            <w:r>
              <w:rPr>
                <w:rFonts w:ascii="Arial" w:cs="Arial" w:eastAsia="Arial" w:hAnsi="Arial"/>
                <w:sz w:val="18"/>
                <w:szCs w:val="18"/>
                <w:color w:val="auto"/>
              </w:rPr>
              <w:t>Total operating expenses</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32,398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32,687</w:t>
            </w:r>
          </w:p>
        </w:tc>
        <w:tc>
          <w:tcPr>
            <w:tcW w:w="60" w:type="dxa"/>
            <w:vAlign w:val="bottom"/>
            <w:shd w:val="clear" w:color="auto" w:fill="CCEEFF"/>
          </w:tcPr>
          <w:p>
            <w:pPr>
              <w:spacing w:after="0"/>
              <w:rPr>
                <w:sz w:val="18"/>
                <w:szCs w:val="18"/>
                <w:color w:val="auto"/>
              </w:rPr>
            </w:pPr>
          </w:p>
        </w:tc>
      </w:tr>
      <w:tr>
        <w:trPr>
          <w:trHeight w:val="108"/>
        </w:trPr>
        <w:tc>
          <w:tcPr>
            <w:tcW w:w="966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(18,924)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(28,539)</w:t>
            </w:r>
          </w:p>
        </w:tc>
      </w:tr>
      <w:tr>
        <w:trPr>
          <w:trHeight w:val="216"/>
        </w:trPr>
        <w:tc>
          <w:tcPr>
            <w:tcW w:w="966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1,068</w:t>
            </w:r>
          </w:p>
        </w:tc>
        <w:tc>
          <w:tcPr>
            <w:tcW w:w="60" w:type="dxa"/>
            <w:vAlign w:val="bottom"/>
          </w:tcPr>
          <w:p>
            <w:pPr>
              <w:spacing w:after="0"/>
              <w:rPr>
                <w:sz w:val="18"/>
                <w:szCs w:val="18"/>
                <w:color w:val="auto"/>
              </w:rPr>
            </w:pPr>
          </w:p>
        </w:tc>
      </w:tr>
      <w:tr>
        <w:trPr>
          <w:trHeight w:val="21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(113)</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(291)</w:t>
            </w:r>
          </w:p>
        </w:tc>
      </w:tr>
      <w:tr>
        <w:trPr>
          <w:trHeight w:val="222"/>
        </w:trPr>
        <w:tc>
          <w:tcPr>
            <w:tcW w:w="966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w:t>
            </w:r>
          </w:p>
        </w:tc>
      </w:tr>
      <w:tr>
        <w:trPr>
          <w:trHeight w:val="102"/>
        </w:trPr>
        <w:tc>
          <w:tcPr>
            <w:tcW w:w="9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(18,331)</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(27,782)</w:t>
            </w:r>
          </w:p>
        </w:tc>
      </w:tr>
      <w:tr>
        <w:trPr>
          <w:trHeight w:val="222"/>
        </w:trPr>
        <w:tc>
          <w:tcPr>
            <w:tcW w:w="9660" w:type="dxa"/>
            <w:vAlign w:val="bottom"/>
          </w:tcPr>
          <w:p>
            <w:pPr>
              <w:ind w:left="20"/>
              <w:spacing w:after="0"/>
              <w:rPr>
                <w:sz w:val="20"/>
                <w:szCs w:val="20"/>
                <w:color w:val="auto"/>
              </w:rPr>
            </w:pPr>
            <w:r>
              <w:rPr>
                <w:rFonts w:ascii="Arial" w:cs="Arial" w:eastAsia="Arial" w:hAnsi="Arial"/>
                <w:sz w:val="18"/>
                <w:szCs w:val="18"/>
                <w:color w:val="auto"/>
              </w:rPr>
              <w:t>Redeemable convertible preferred stock accruing dividends</w:t>
            </w:r>
          </w:p>
        </w:tc>
        <w:tc>
          <w:tcPr>
            <w:tcW w:w="1040" w:type="dxa"/>
            <w:vAlign w:val="bottom"/>
            <w:gridSpan w:val="3"/>
          </w:tcPr>
          <w:p>
            <w:pPr>
              <w:jc w:val="right"/>
              <w:ind w:right="340"/>
              <w:spacing w:after="0"/>
              <w:rPr>
                <w:sz w:val="20"/>
                <w:szCs w:val="20"/>
                <w:color w:val="auto"/>
              </w:rPr>
            </w:pPr>
            <w:r>
              <w:rPr>
                <w:rFonts w:ascii="Arial" w:cs="Arial" w:eastAsia="Arial" w:hAnsi="Arial"/>
                <w:sz w:val="18"/>
                <w:szCs w:val="18"/>
                <w:color w:val="auto"/>
              </w:rPr>
              <w:t>(3,247)</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(2,366)</w:t>
            </w:r>
          </w:p>
        </w:tc>
      </w:tr>
      <w:tr>
        <w:trPr>
          <w:trHeight w:val="102"/>
        </w:trPr>
        <w:tc>
          <w:tcPr>
            <w:tcW w:w="966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6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 attributable to common stockholders</w:t>
            </w: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w w:val="82"/>
              </w:rPr>
              <w:t>$ (21,578)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(30,148)</w:t>
            </w:r>
          </w:p>
        </w:tc>
      </w:tr>
      <w:tr>
        <w:trPr>
          <w:trHeight w:val="132"/>
        </w:trPr>
        <w:tc>
          <w:tcPr>
            <w:tcW w:w="966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-29210</wp:posOffset>
            </wp:positionV>
            <wp:extent cx="44132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-29210</wp:posOffset>
            </wp:positionV>
            <wp:extent cx="12700"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-29210</wp:posOffset>
            </wp:positionV>
            <wp:extent cx="21590"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18"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ind w:right="3480"/>
        <w:spacing w:after="0"/>
        <w:rPr>
          <w:sz w:val="20"/>
          <w:szCs w:val="20"/>
          <w:color w:val="auto"/>
        </w:rPr>
      </w:pPr>
      <w:r>
        <w:rPr>
          <w:rFonts w:ascii="Arial" w:cs="Arial" w:eastAsia="Arial" w:hAnsi="Arial"/>
          <w:sz w:val="18"/>
          <w:szCs w:val="18"/>
          <w:b w:val="1"/>
          <w:bCs w:val="1"/>
          <w:color w:val="auto"/>
        </w:rPr>
        <w:t>Consolidated Statements of Redeemable Convertible Preferred Stock and Stockholders’ Deficit For the Years Ended December 31, 2001 and 2000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189865</wp:posOffset>
            </wp:positionV>
            <wp:extent cx="724662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4"/>
          </w:tcPr>
          <w:p>
            <w:pPr>
              <w:jc w:val="right"/>
              <w:ind w:right="80"/>
              <w:spacing w:after="0"/>
              <w:rPr>
                <w:sz w:val="20"/>
                <w:szCs w:val="20"/>
                <w:color w:val="auto"/>
              </w:rPr>
            </w:pPr>
            <w:r>
              <w:rPr>
                <w:rFonts w:ascii="Arial" w:cs="Arial" w:eastAsia="Arial" w:hAnsi="Arial"/>
                <w:sz w:val="14"/>
                <w:szCs w:val="14"/>
                <w:b w:val="1"/>
                <w:bCs w:val="1"/>
                <w:color w:val="auto"/>
                <w:w w:val="86"/>
              </w:rPr>
              <w:t>Stockholders’ Deficit</w:t>
            </w:r>
          </w:p>
        </w:tc>
        <w:tc>
          <w:tcPr>
            <w:tcW w:w="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460" w:type="dxa"/>
            <w:vAlign w:val="bottom"/>
            <w:gridSpan w:val="5"/>
            <w:vMerge w:val="restart"/>
          </w:tcPr>
          <w:p>
            <w:pPr>
              <w:jc w:val="center"/>
              <w:ind w:right="240"/>
              <w:spacing w:after="0"/>
              <w:rPr>
                <w:sz w:val="20"/>
                <w:szCs w:val="20"/>
                <w:color w:val="auto"/>
              </w:rPr>
            </w:pPr>
            <w:r>
              <w:rPr>
                <w:rFonts w:ascii="Arial" w:cs="Arial" w:eastAsia="Arial" w:hAnsi="Arial"/>
                <w:sz w:val="14"/>
                <w:szCs w:val="14"/>
                <w:b w:val="1"/>
                <w:bCs w:val="1"/>
                <w:color w:val="auto"/>
                <w:w w:val="84"/>
              </w:rPr>
              <w:t>Redeemable</w:t>
            </w:r>
          </w:p>
        </w:tc>
        <w:tc>
          <w:tcPr>
            <w:tcW w:w="4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2100" w:type="dxa"/>
            <w:vAlign w:val="bottom"/>
          </w:tcPr>
          <w:p>
            <w:pPr>
              <w:spacing w:after="0"/>
              <w:rPr>
                <w:sz w:val="20"/>
                <w:szCs w:val="20"/>
                <w:color w:val="auto"/>
              </w:rPr>
            </w:pPr>
          </w:p>
        </w:tc>
        <w:tc>
          <w:tcPr>
            <w:tcW w:w="1460" w:type="dxa"/>
            <w:vAlign w:val="bottom"/>
            <w:gridSpan w:val="5"/>
            <w:vMerge w:val="continue"/>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rPr>
                <w:sz w:val="12"/>
                <w:szCs w:val="12"/>
                <w:color w:val="auto"/>
              </w:rPr>
            </w:pPr>
          </w:p>
        </w:tc>
        <w:tc>
          <w:tcPr>
            <w:tcW w:w="1460" w:type="dxa"/>
            <w:vAlign w:val="bottom"/>
            <w:gridSpan w:val="5"/>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Convertible</w:t>
            </w: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gridSpan w:val="3"/>
            <w:vMerge w:val="restart"/>
          </w:tcPr>
          <w:p>
            <w:pPr>
              <w:jc w:val="center"/>
              <w:ind w:right="380"/>
              <w:spacing w:after="0"/>
              <w:rPr>
                <w:sz w:val="20"/>
                <w:szCs w:val="20"/>
                <w:color w:val="auto"/>
              </w:rPr>
            </w:pPr>
            <w:r>
              <w:rPr>
                <w:rFonts w:ascii="Arial" w:cs="Arial" w:eastAsia="Arial" w:hAnsi="Arial"/>
                <w:sz w:val="14"/>
                <w:szCs w:val="14"/>
                <w:b w:val="1"/>
                <w:bCs w:val="1"/>
                <w:color w:val="auto"/>
                <w:w w:val="89"/>
              </w:rPr>
              <w:t>Note</w:t>
            </w: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1460" w:type="dxa"/>
            <w:vAlign w:val="bottom"/>
            <w:gridSpan w:val="5"/>
            <w:vMerge w:val="restart"/>
          </w:tcPr>
          <w:p>
            <w:pPr>
              <w:jc w:val="center"/>
              <w:ind w:right="260"/>
              <w:spacing w:after="0"/>
              <w:rPr>
                <w:sz w:val="20"/>
                <w:szCs w:val="20"/>
                <w:color w:val="auto"/>
              </w:rPr>
            </w:pPr>
            <w:r>
              <w:rPr>
                <w:rFonts w:ascii="Arial" w:cs="Arial" w:eastAsia="Arial" w:hAnsi="Arial"/>
                <w:sz w:val="14"/>
                <w:szCs w:val="14"/>
                <w:b w:val="1"/>
                <w:bCs w:val="1"/>
                <w:color w:val="auto"/>
                <w:w w:val="85"/>
              </w:rPr>
              <w:t>Preferred stock</w:t>
            </w:r>
          </w:p>
        </w:tc>
        <w:tc>
          <w:tcPr>
            <w:tcW w:w="1120" w:type="dxa"/>
            <w:vAlign w:val="bottom"/>
            <w:gridSpan w:val="3"/>
            <w:vMerge w:val="restart"/>
          </w:tcPr>
          <w:p>
            <w:pPr>
              <w:ind w:left="140"/>
              <w:spacing w:after="0"/>
              <w:rPr>
                <w:sz w:val="20"/>
                <w:szCs w:val="20"/>
                <w:color w:val="auto"/>
              </w:rPr>
            </w:pPr>
            <w:r>
              <w:rPr>
                <w:rFonts w:ascii="Arial" w:cs="Arial" w:eastAsia="Arial" w:hAnsi="Arial"/>
                <w:sz w:val="14"/>
                <w:szCs w:val="14"/>
                <w:b w:val="1"/>
                <w:bCs w:val="1"/>
                <w:color w:val="auto"/>
                <w:w w:val="93"/>
              </w:rPr>
              <w:t>Common Stock</w:t>
            </w: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Pr>
          <w:p>
            <w:pPr>
              <w:spacing w:after="0"/>
              <w:rPr>
                <w:sz w:val="7"/>
                <w:szCs w:val="7"/>
                <w:color w:val="auto"/>
              </w:rPr>
            </w:pPr>
          </w:p>
        </w:tc>
        <w:tc>
          <w:tcPr>
            <w:tcW w:w="6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1480" w:type="dxa"/>
            <w:vAlign w:val="bottom"/>
            <w:gridSpan w:val="5"/>
            <w:vMerge w:val="restart"/>
          </w:tcPr>
          <w:p>
            <w:pPr>
              <w:jc w:val="right"/>
              <w:ind w:right="460"/>
              <w:spacing w:after="0"/>
              <w:rPr>
                <w:sz w:val="20"/>
                <w:szCs w:val="20"/>
                <w:color w:val="auto"/>
              </w:rPr>
            </w:pPr>
            <w:r>
              <w:rPr>
                <w:rFonts w:ascii="Arial" w:cs="Arial" w:eastAsia="Arial" w:hAnsi="Arial"/>
                <w:sz w:val="14"/>
                <w:szCs w:val="14"/>
                <w:b w:val="1"/>
                <w:bCs w:val="1"/>
                <w:color w:val="auto"/>
                <w:w w:val="98"/>
              </w:rPr>
              <w:t>Treasury Stock</w:t>
            </w: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1460" w:type="dxa"/>
            <w:vAlign w:val="bottom"/>
            <w:gridSpan w:val="5"/>
            <w:vMerge w:val="continue"/>
          </w:tcPr>
          <w:p>
            <w:pPr>
              <w:spacing w:after="0"/>
              <w:rPr>
                <w:sz w:val="8"/>
                <w:szCs w:val="8"/>
                <w:color w:val="auto"/>
              </w:rPr>
            </w:pPr>
          </w:p>
        </w:tc>
        <w:tc>
          <w:tcPr>
            <w:tcW w:w="1120" w:type="dxa"/>
            <w:vAlign w:val="bottom"/>
            <w:gridSpan w:val="3"/>
            <w:vMerge w:val="continue"/>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Additional</w:t>
            </w:r>
          </w:p>
        </w:tc>
        <w:tc>
          <w:tcPr>
            <w:tcW w:w="120" w:type="dxa"/>
            <w:vAlign w:val="bottom"/>
          </w:tcPr>
          <w:p>
            <w:pPr>
              <w:spacing w:after="0"/>
              <w:rPr>
                <w:sz w:val="8"/>
                <w:szCs w:val="8"/>
                <w:color w:val="auto"/>
              </w:rPr>
            </w:pPr>
          </w:p>
        </w:tc>
        <w:tc>
          <w:tcPr>
            <w:tcW w:w="780" w:type="dxa"/>
            <w:vAlign w:val="bottom"/>
            <w:gridSpan w:val="2"/>
            <w:vMerge w:val="restart"/>
          </w:tcPr>
          <w:p>
            <w:pPr>
              <w:jc w:val="right"/>
              <w:ind w:right="220"/>
              <w:spacing w:after="0" w:line="149" w:lineRule="exact"/>
              <w:rPr>
                <w:sz w:val="20"/>
                <w:szCs w:val="20"/>
                <w:color w:val="auto"/>
              </w:rPr>
            </w:pPr>
            <w:r>
              <w:rPr>
                <w:rFonts w:ascii="Arial" w:cs="Arial" w:eastAsia="Arial" w:hAnsi="Arial"/>
                <w:sz w:val="14"/>
                <w:szCs w:val="14"/>
                <w:b w:val="1"/>
                <w:bCs w:val="1"/>
                <w:color w:val="auto"/>
                <w:w w:val="93"/>
              </w:rPr>
              <w:t>Deferred</w:t>
            </w: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940" w:type="dxa"/>
            <w:vAlign w:val="bottom"/>
            <w:gridSpan w:val="4"/>
            <w:vMerge w:val="restart"/>
          </w:tcPr>
          <w:p>
            <w:pPr>
              <w:jc w:val="center"/>
              <w:ind w:right="320"/>
              <w:spacing w:after="0" w:line="149" w:lineRule="exact"/>
              <w:rPr>
                <w:sz w:val="20"/>
                <w:szCs w:val="20"/>
                <w:color w:val="auto"/>
              </w:rPr>
            </w:pPr>
            <w:r>
              <w:rPr>
                <w:rFonts w:ascii="Arial" w:cs="Arial" w:eastAsia="Arial" w:hAnsi="Arial"/>
                <w:sz w:val="14"/>
                <w:szCs w:val="14"/>
                <w:b w:val="1"/>
                <w:bCs w:val="1"/>
                <w:color w:val="auto"/>
                <w:w w:val="84"/>
              </w:rPr>
              <w:t>Receivable</w:t>
            </w:r>
          </w:p>
        </w:tc>
        <w:tc>
          <w:tcPr>
            <w:tcW w:w="1480" w:type="dxa"/>
            <w:vAlign w:val="bottom"/>
            <w:gridSpan w:val="5"/>
            <w:vMerge w:val="continue"/>
          </w:tcPr>
          <w:p>
            <w:pPr>
              <w:spacing w:after="0"/>
              <w:rPr>
                <w:sz w:val="8"/>
                <w:szCs w:val="8"/>
                <w:color w:val="auto"/>
              </w:rPr>
            </w:pPr>
          </w:p>
        </w:tc>
        <w:tc>
          <w:tcPr>
            <w:tcW w:w="140" w:type="dxa"/>
            <w:vAlign w:val="bottom"/>
          </w:tcPr>
          <w:p>
            <w:pPr>
              <w:spacing w:after="0"/>
              <w:rPr>
                <w:sz w:val="8"/>
                <w:szCs w:val="8"/>
                <w:color w:val="auto"/>
              </w:rPr>
            </w:pPr>
          </w:p>
        </w:tc>
        <w:tc>
          <w:tcPr>
            <w:tcW w:w="720" w:type="dxa"/>
            <w:vAlign w:val="bottom"/>
            <w:gridSpan w:val="2"/>
            <w:vMerge w:val="restart"/>
          </w:tcPr>
          <w:p>
            <w:pPr>
              <w:jc w:val="right"/>
              <w:ind w:right="3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210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5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0" w:type="dxa"/>
            <w:vAlign w:val="bottom"/>
          </w:tcPr>
          <w:p>
            <w:pPr>
              <w:spacing w:after="0"/>
              <w:rPr>
                <w:sz w:val="4"/>
                <w:szCs w:val="4"/>
                <w:color w:val="auto"/>
              </w:rPr>
            </w:pPr>
          </w:p>
        </w:tc>
        <w:tc>
          <w:tcPr>
            <w:tcW w:w="480" w:type="dxa"/>
            <w:vAlign w:val="bottom"/>
          </w:tcPr>
          <w:p>
            <w:pPr>
              <w:spacing w:after="0"/>
              <w:rPr>
                <w:sz w:val="4"/>
                <w:szCs w:val="4"/>
                <w:color w:val="auto"/>
              </w:rPr>
            </w:pPr>
          </w:p>
        </w:tc>
        <w:tc>
          <w:tcPr>
            <w:tcW w:w="220" w:type="dxa"/>
            <w:vAlign w:val="bottom"/>
          </w:tcPr>
          <w:p>
            <w:pPr>
              <w:spacing w:after="0"/>
              <w:rPr>
                <w:sz w:val="4"/>
                <w:szCs w:val="4"/>
                <w:color w:val="auto"/>
              </w:rPr>
            </w:pPr>
          </w:p>
        </w:tc>
        <w:tc>
          <w:tcPr>
            <w:tcW w:w="420" w:type="dxa"/>
            <w:vAlign w:val="bottom"/>
          </w:tcPr>
          <w:p>
            <w:pPr>
              <w:spacing w:after="0"/>
              <w:rPr>
                <w:sz w:val="4"/>
                <w:szCs w:val="4"/>
                <w:color w:val="auto"/>
              </w:rPr>
            </w:pPr>
          </w:p>
        </w:tc>
        <w:tc>
          <w:tcPr>
            <w:tcW w:w="80" w:type="dxa"/>
            <w:vAlign w:val="bottom"/>
          </w:tcPr>
          <w:p>
            <w:pPr>
              <w:spacing w:after="0"/>
              <w:rPr>
                <w:sz w:val="4"/>
                <w:szCs w:val="4"/>
                <w:color w:val="auto"/>
              </w:rPr>
            </w:pPr>
          </w:p>
        </w:tc>
        <w:tc>
          <w:tcPr>
            <w:tcW w:w="220" w:type="dxa"/>
            <w:vAlign w:val="bottom"/>
          </w:tcPr>
          <w:p>
            <w:pPr>
              <w:spacing w:after="0"/>
              <w:rPr>
                <w:sz w:val="4"/>
                <w:szCs w:val="4"/>
                <w:color w:val="auto"/>
              </w:rPr>
            </w:pPr>
          </w:p>
        </w:tc>
        <w:tc>
          <w:tcPr>
            <w:tcW w:w="940" w:type="dxa"/>
            <w:vAlign w:val="bottom"/>
            <w:gridSpan w:val="3"/>
            <w:vMerge w:val="continue"/>
          </w:tcPr>
          <w:p>
            <w:pPr>
              <w:spacing w:after="0"/>
              <w:rPr>
                <w:sz w:val="4"/>
                <w:szCs w:val="4"/>
                <w:color w:val="auto"/>
              </w:rPr>
            </w:pPr>
          </w:p>
        </w:tc>
        <w:tc>
          <w:tcPr>
            <w:tcW w:w="12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240" w:type="dxa"/>
            <w:vAlign w:val="bottom"/>
          </w:tcPr>
          <w:p>
            <w:pPr>
              <w:spacing w:after="0"/>
              <w:rPr>
                <w:sz w:val="4"/>
                <w:szCs w:val="4"/>
                <w:color w:val="auto"/>
              </w:rPr>
            </w:pPr>
          </w:p>
        </w:tc>
        <w:tc>
          <w:tcPr>
            <w:tcW w:w="140" w:type="dxa"/>
            <w:vAlign w:val="bottom"/>
          </w:tcPr>
          <w:p>
            <w:pPr>
              <w:spacing w:after="0"/>
              <w:rPr>
                <w:sz w:val="4"/>
                <w:szCs w:val="4"/>
                <w:color w:val="auto"/>
              </w:rPr>
            </w:pPr>
          </w:p>
        </w:tc>
        <w:tc>
          <w:tcPr>
            <w:tcW w:w="640" w:type="dxa"/>
            <w:vAlign w:val="bottom"/>
          </w:tcPr>
          <w:p>
            <w:pPr>
              <w:spacing w:after="0"/>
              <w:rPr>
                <w:sz w:val="4"/>
                <w:szCs w:val="4"/>
                <w:color w:val="auto"/>
              </w:rPr>
            </w:pPr>
          </w:p>
        </w:tc>
        <w:tc>
          <w:tcPr>
            <w:tcW w:w="280" w:type="dxa"/>
            <w:vAlign w:val="bottom"/>
          </w:tcPr>
          <w:p>
            <w:pPr>
              <w:spacing w:after="0"/>
              <w:rPr>
                <w:sz w:val="4"/>
                <w:szCs w:val="4"/>
                <w:color w:val="auto"/>
              </w:rPr>
            </w:pPr>
          </w:p>
        </w:tc>
        <w:tc>
          <w:tcPr>
            <w:tcW w:w="940" w:type="dxa"/>
            <w:vAlign w:val="bottom"/>
            <w:gridSpan w:val="4"/>
            <w:vMerge w:val="continue"/>
          </w:tcPr>
          <w:p>
            <w:pPr>
              <w:spacing w:after="0"/>
              <w:rPr>
                <w:sz w:val="4"/>
                <w:szCs w:val="4"/>
                <w:color w:val="auto"/>
              </w:rPr>
            </w:pPr>
          </w:p>
        </w:tc>
        <w:tc>
          <w:tcPr>
            <w:tcW w:w="380" w:type="dxa"/>
            <w:vAlign w:val="bottom"/>
          </w:tcPr>
          <w:p>
            <w:pPr>
              <w:spacing w:after="0"/>
              <w:rPr>
                <w:sz w:val="4"/>
                <w:szCs w:val="4"/>
                <w:color w:val="auto"/>
              </w:rPr>
            </w:pPr>
          </w:p>
        </w:tc>
        <w:tc>
          <w:tcPr>
            <w:tcW w:w="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tcPr>
          <w:p>
            <w:pPr>
              <w:spacing w:after="0"/>
              <w:rPr>
                <w:sz w:val="4"/>
                <w:szCs w:val="4"/>
                <w:color w:val="auto"/>
              </w:rPr>
            </w:pPr>
          </w:p>
        </w:tc>
        <w:tc>
          <w:tcPr>
            <w:tcW w:w="140" w:type="dxa"/>
            <w:vAlign w:val="bottom"/>
          </w:tcPr>
          <w:p>
            <w:pPr>
              <w:spacing w:after="0"/>
              <w:rPr>
                <w:sz w:val="4"/>
                <w:szCs w:val="4"/>
                <w:color w:val="auto"/>
              </w:rPr>
            </w:pPr>
          </w:p>
        </w:tc>
        <w:tc>
          <w:tcPr>
            <w:tcW w:w="72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80" w:type="dxa"/>
            <w:vAlign w:val="bottom"/>
          </w:tcPr>
          <w:p>
            <w:pPr>
              <w:spacing w:after="0"/>
              <w:rPr>
                <w:sz w:val="3"/>
                <w:szCs w:val="3"/>
                <w:color w:val="auto"/>
              </w:rPr>
            </w:pPr>
          </w:p>
        </w:tc>
        <w:tc>
          <w:tcPr>
            <w:tcW w:w="860" w:type="dxa"/>
            <w:vAlign w:val="bottom"/>
            <w:gridSpan w:val="2"/>
            <w:vMerge w:val="restart"/>
          </w:tcPr>
          <w:p>
            <w:pPr>
              <w:jc w:val="right"/>
              <w:ind w:right="400"/>
              <w:spacing w:after="0" w:line="149" w:lineRule="exact"/>
              <w:rPr>
                <w:sz w:val="20"/>
                <w:szCs w:val="20"/>
                <w:color w:val="auto"/>
              </w:rPr>
            </w:pPr>
            <w:r>
              <w:rPr>
                <w:rFonts w:ascii="Arial" w:cs="Arial" w:eastAsia="Arial" w:hAnsi="Arial"/>
                <w:sz w:val="14"/>
                <w:szCs w:val="14"/>
                <w:b w:val="1"/>
                <w:bCs w:val="1"/>
                <w:color w:val="auto"/>
                <w:w w:val="94"/>
              </w:rPr>
              <w:t>Paid-In</w:t>
            </w:r>
          </w:p>
        </w:tc>
        <w:tc>
          <w:tcPr>
            <w:tcW w:w="900" w:type="dxa"/>
            <w:vAlign w:val="bottom"/>
            <w:gridSpan w:val="3"/>
            <w:vMerge w:val="restart"/>
          </w:tcPr>
          <w:p>
            <w:pPr>
              <w:jc w:val="right"/>
              <w:ind w:right="120"/>
              <w:spacing w:after="0" w:line="149" w:lineRule="exact"/>
              <w:rPr>
                <w:sz w:val="20"/>
                <w:szCs w:val="20"/>
                <w:color w:val="auto"/>
              </w:rPr>
            </w:pPr>
            <w:r>
              <w:rPr>
                <w:rFonts w:ascii="Arial" w:cs="Arial" w:eastAsia="Arial" w:hAnsi="Arial"/>
                <w:sz w:val="14"/>
                <w:szCs w:val="14"/>
                <w:b w:val="1"/>
                <w:bCs w:val="1"/>
                <w:color w:val="auto"/>
                <w:w w:val="89"/>
              </w:rPr>
              <w:t>Stock-Based</w:t>
            </w:r>
          </w:p>
        </w:tc>
        <w:tc>
          <w:tcPr>
            <w:tcW w:w="240" w:type="dxa"/>
            <w:vAlign w:val="bottom"/>
            <w:vMerge w:val="restart"/>
          </w:tcPr>
          <w:p>
            <w:pPr>
              <w:spacing w:after="0"/>
              <w:rPr>
                <w:sz w:val="3"/>
                <w:szCs w:val="3"/>
                <w:color w:val="auto"/>
              </w:rPr>
            </w:pPr>
          </w:p>
        </w:tc>
        <w:tc>
          <w:tcPr>
            <w:tcW w:w="10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rPr>
              <w:t>Accumulated</w:t>
            </w:r>
          </w:p>
        </w:tc>
        <w:tc>
          <w:tcPr>
            <w:tcW w:w="80" w:type="dxa"/>
            <w:vAlign w:val="bottom"/>
          </w:tcPr>
          <w:p>
            <w:pPr>
              <w:spacing w:after="0"/>
              <w:rPr>
                <w:sz w:val="3"/>
                <w:szCs w:val="3"/>
                <w:color w:val="auto"/>
              </w:rPr>
            </w:pPr>
          </w:p>
        </w:tc>
        <w:tc>
          <w:tcPr>
            <w:tcW w:w="860" w:type="dxa"/>
            <w:vAlign w:val="bottom"/>
            <w:gridSpan w:val="3"/>
            <w:vMerge w:val="restart"/>
          </w:tcPr>
          <w:p>
            <w:pPr>
              <w:jc w:val="center"/>
              <w:ind w:right="380"/>
              <w:spacing w:after="0" w:line="149" w:lineRule="exact"/>
              <w:rPr>
                <w:sz w:val="20"/>
                <w:szCs w:val="20"/>
                <w:color w:val="auto"/>
              </w:rPr>
            </w:pPr>
            <w:r>
              <w:rPr>
                <w:rFonts w:ascii="Arial" w:cs="Arial" w:eastAsia="Arial" w:hAnsi="Arial"/>
                <w:sz w:val="14"/>
                <w:szCs w:val="14"/>
                <w:b w:val="1"/>
                <w:bCs w:val="1"/>
                <w:color w:val="auto"/>
                <w:w w:val="89"/>
              </w:rPr>
              <w:t>from</w:t>
            </w:r>
          </w:p>
        </w:tc>
        <w:tc>
          <w:tcPr>
            <w:tcW w:w="3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860" w:type="dxa"/>
            <w:vAlign w:val="bottom"/>
            <w:gridSpan w:val="3"/>
            <w:vMerge w:val="restart"/>
          </w:tcPr>
          <w:p>
            <w:pPr>
              <w:spacing w:after="0" w:line="149" w:lineRule="exact"/>
              <w:rPr>
                <w:sz w:val="20"/>
                <w:szCs w:val="20"/>
                <w:color w:val="auto"/>
              </w:rPr>
            </w:pPr>
            <w:r>
              <w:rPr>
                <w:rFonts w:ascii="Arial" w:cs="Arial" w:eastAsia="Arial" w:hAnsi="Arial"/>
                <w:sz w:val="14"/>
                <w:szCs w:val="14"/>
                <w:b w:val="1"/>
                <w:bCs w:val="1"/>
                <w:color w:val="auto"/>
                <w:w w:val="90"/>
              </w:rPr>
              <w:t>Stockholders’</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Pr>
          <w:p>
            <w:pPr>
              <w:spacing w:after="0"/>
              <w:rPr>
                <w:sz w:val="7"/>
                <w:szCs w:val="7"/>
                <w:color w:val="auto"/>
              </w:rPr>
            </w:pPr>
          </w:p>
        </w:tc>
        <w:tc>
          <w:tcPr>
            <w:tcW w:w="8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900" w:type="dxa"/>
            <w:vAlign w:val="bottom"/>
            <w:gridSpan w:val="3"/>
            <w:vMerge w:val="continue"/>
          </w:tcPr>
          <w:p>
            <w:pPr>
              <w:spacing w:after="0"/>
              <w:rPr>
                <w:sz w:val="7"/>
                <w:szCs w:val="7"/>
                <w:color w:val="auto"/>
              </w:rPr>
            </w:pPr>
          </w:p>
        </w:tc>
        <w:tc>
          <w:tcPr>
            <w:tcW w:w="240" w:type="dxa"/>
            <w:vAlign w:val="bottom"/>
            <w:vMerge w:val="continue"/>
          </w:tcPr>
          <w:p>
            <w:pPr>
              <w:spacing w:after="0"/>
              <w:rPr>
                <w:sz w:val="7"/>
                <w:szCs w:val="7"/>
                <w:color w:val="auto"/>
              </w:rPr>
            </w:pPr>
          </w:p>
        </w:tc>
        <w:tc>
          <w:tcPr>
            <w:tcW w:w="106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380" w:type="dxa"/>
            <w:vAlign w:val="bottom"/>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Pr>
          <w:p>
            <w:pPr>
              <w:spacing w:after="0"/>
              <w:rPr>
                <w:sz w:val="7"/>
                <w:szCs w:val="7"/>
                <w:color w:val="auto"/>
              </w:rPr>
            </w:pPr>
          </w:p>
        </w:tc>
        <w:tc>
          <w:tcPr>
            <w:tcW w:w="380" w:type="dxa"/>
            <w:vAlign w:val="bottom"/>
          </w:tcPr>
          <w:p>
            <w:pPr>
              <w:spacing w:after="0"/>
              <w:rPr>
                <w:sz w:val="7"/>
                <w:szCs w:val="7"/>
                <w:color w:val="auto"/>
              </w:rPr>
            </w:pPr>
          </w:p>
        </w:tc>
        <w:tc>
          <w:tcPr>
            <w:tcW w:w="320" w:type="dxa"/>
            <w:vAlign w:val="bottom"/>
          </w:tcPr>
          <w:p>
            <w:pPr>
              <w:spacing w:after="0"/>
              <w:rPr>
                <w:sz w:val="7"/>
                <w:szCs w:val="7"/>
                <w:color w:val="auto"/>
              </w:rPr>
            </w:pPr>
          </w:p>
        </w:tc>
        <w:tc>
          <w:tcPr>
            <w:tcW w:w="860" w:type="dxa"/>
            <w:vAlign w:val="bottom"/>
            <w:gridSpan w:val="3"/>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4"/>
                <w:szCs w:val="14"/>
                <w:b w:val="1"/>
                <w:bCs w:val="1"/>
                <w:color w:val="auto"/>
              </w:rPr>
              <w:t>Shares</w:t>
            </w: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rPr>
              <w:t>Amount</w:t>
            </w:r>
          </w:p>
        </w:tc>
        <w:tc>
          <w:tcPr>
            <w:tcW w:w="480" w:type="dxa"/>
            <w:vAlign w:val="bottom"/>
          </w:tcPr>
          <w:p>
            <w:pPr>
              <w:ind w:left="40"/>
              <w:spacing w:after="0"/>
              <w:rPr>
                <w:sz w:val="20"/>
                <w:szCs w:val="20"/>
                <w:color w:val="auto"/>
              </w:rPr>
            </w:pPr>
            <w:r>
              <w:rPr>
                <w:rFonts w:ascii="Arial" w:cs="Arial" w:eastAsia="Arial" w:hAnsi="Arial"/>
                <w:sz w:val="14"/>
                <w:szCs w:val="14"/>
                <w:b w:val="1"/>
                <w:bCs w:val="1"/>
                <w:color w:val="auto"/>
                <w:w w:val="89"/>
              </w:rPr>
              <w:t>Shares</w:t>
            </w:r>
          </w:p>
        </w:tc>
        <w:tc>
          <w:tcPr>
            <w:tcW w:w="220" w:type="dxa"/>
            <w:vAlign w:val="bottom"/>
          </w:tcPr>
          <w:p>
            <w:pPr>
              <w:spacing w:after="0"/>
              <w:rPr>
                <w:sz w:val="15"/>
                <w:szCs w:val="15"/>
                <w:color w:val="auto"/>
              </w:rPr>
            </w:pPr>
          </w:p>
        </w:tc>
        <w:tc>
          <w:tcPr>
            <w:tcW w:w="720" w:type="dxa"/>
            <w:vAlign w:val="bottom"/>
            <w:gridSpan w:val="3"/>
          </w:tcPr>
          <w:p>
            <w:pPr>
              <w:jc w:val="right"/>
              <w:ind w:right="240"/>
              <w:spacing w:after="0"/>
              <w:rPr>
                <w:sz w:val="20"/>
                <w:szCs w:val="20"/>
                <w:color w:val="auto"/>
              </w:rPr>
            </w:pPr>
            <w:r>
              <w:rPr>
                <w:rFonts w:ascii="Arial" w:cs="Arial" w:eastAsia="Arial" w:hAnsi="Arial"/>
                <w:sz w:val="14"/>
                <w:szCs w:val="14"/>
                <w:b w:val="1"/>
                <w:bCs w:val="1"/>
                <w:color w:val="auto"/>
                <w:w w:val="86"/>
              </w:rPr>
              <w:t>Amount</w:t>
            </w:r>
          </w:p>
        </w:tc>
        <w:tc>
          <w:tcPr>
            <w:tcW w:w="80" w:type="dxa"/>
            <w:vAlign w:val="bottom"/>
          </w:tcPr>
          <w:p>
            <w:pPr>
              <w:spacing w:after="0"/>
              <w:rPr>
                <w:sz w:val="15"/>
                <w:szCs w:val="15"/>
                <w:color w:val="auto"/>
              </w:rPr>
            </w:pPr>
          </w:p>
        </w:tc>
        <w:tc>
          <w:tcPr>
            <w:tcW w:w="86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w w:val="89"/>
              </w:rPr>
              <w:t>Capital</w:t>
            </w:r>
          </w:p>
        </w:tc>
        <w:tc>
          <w:tcPr>
            <w:tcW w:w="900" w:type="dxa"/>
            <w:vAlign w:val="bottom"/>
            <w:gridSpan w:val="3"/>
          </w:tcPr>
          <w:p>
            <w:pPr>
              <w:spacing w:after="0"/>
              <w:rPr>
                <w:sz w:val="20"/>
                <w:szCs w:val="20"/>
                <w:color w:val="auto"/>
              </w:rPr>
            </w:pPr>
            <w:r>
              <w:rPr>
                <w:rFonts w:ascii="Arial" w:cs="Arial" w:eastAsia="Arial" w:hAnsi="Arial"/>
                <w:sz w:val="14"/>
                <w:szCs w:val="14"/>
                <w:b w:val="1"/>
                <w:bCs w:val="1"/>
                <w:color w:val="auto"/>
                <w:w w:val="90"/>
              </w:rPr>
              <w:t>Compensation</w:t>
            </w: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w w:val="98"/>
              </w:rPr>
              <w:t>Deficit</w:t>
            </w:r>
          </w:p>
        </w:tc>
        <w:tc>
          <w:tcPr>
            <w:tcW w:w="80" w:type="dxa"/>
            <w:vAlign w:val="bottom"/>
          </w:tcPr>
          <w:p>
            <w:pPr>
              <w:spacing w:after="0"/>
              <w:rPr>
                <w:sz w:val="15"/>
                <w:szCs w:val="15"/>
                <w:color w:val="auto"/>
              </w:rPr>
            </w:pPr>
          </w:p>
        </w:tc>
        <w:tc>
          <w:tcPr>
            <w:tcW w:w="8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6"/>
              </w:rPr>
              <w:t>Officers</w:t>
            </w:r>
          </w:p>
        </w:tc>
        <w:tc>
          <w:tcPr>
            <w:tcW w:w="68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76"/>
              </w:rPr>
              <w:t>Shares</w:t>
            </w:r>
          </w:p>
        </w:tc>
        <w:tc>
          <w:tcPr>
            <w:tcW w:w="800" w:type="dxa"/>
            <w:vAlign w:val="bottom"/>
            <w:gridSpan w:val="3"/>
          </w:tcPr>
          <w:p>
            <w:pPr>
              <w:spacing w:after="0"/>
              <w:rPr>
                <w:sz w:val="20"/>
                <w:szCs w:val="20"/>
                <w:color w:val="auto"/>
              </w:rPr>
            </w:pPr>
            <w:r>
              <w:rPr>
                <w:rFonts w:ascii="Arial" w:cs="Arial" w:eastAsia="Arial" w:hAnsi="Arial"/>
                <w:sz w:val="14"/>
                <w:szCs w:val="14"/>
                <w:b w:val="1"/>
                <w:bCs w:val="1"/>
                <w:color w:val="auto"/>
              </w:rPr>
              <w:t>Amount</w:t>
            </w:r>
          </w:p>
        </w:tc>
        <w:tc>
          <w:tcPr>
            <w:tcW w:w="140" w:type="dxa"/>
            <w:vAlign w:val="bottom"/>
          </w:tcPr>
          <w:p>
            <w:pPr>
              <w:spacing w:after="0"/>
              <w:rPr>
                <w:sz w:val="15"/>
                <w:szCs w:val="15"/>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Deficit</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210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1999</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12,691</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88"/>
              </w:rPr>
              <w:t>$ 19,510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5,078</w:t>
            </w:r>
          </w:p>
        </w:tc>
        <w:tc>
          <w:tcPr>
            <w:tcW w:w="64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5</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1,739</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(1,558)</w:t>
            </w:r>
          </w:p>
        </w:tc>
        <w:tc>
          <w:tcPr>
            <w:tcW w:w="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(8,487)</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(467)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(8,302)</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tcPr>
          <w:p>
            <w:pPr>
              <w:spacing w:after="0" w:line="138" w:lineRule="exact"/>
              <w:rPr>
                <w:sz w:val="20"/>
                <w:szCs w:val="20"/>
                <w:color w:val="auto"/>
              </w:rPr>
            </w:pPr>
            <w:r>
              <w:rPr>
                <w:rFonts w:ascii="Arial" w:cs="Arial" w:eastAsia="Arial" w:hAnsi="Arial"/>
                <w:sz w:val="14"/>
                <w:szCs w:val="14"/>
                <w:color w:val="auto"/>
              </w:rPr>
              <w:t>Issuance of Series D redeemable</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color w:val="auto"/>
              </w:rPr>
              <w:t>convertible preferred stock, net of</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line="159" w:lineRule="exact"/>
              <w:rPr>
                <w:sz w:val="20"/>
                <w:szCs w:val="20"/>
                <w:color w:val="auto"/>
              </w:rPr>
            </w:pPr>
            <w:r>
              <w:rPr>
                <w:rFonts w:ascii="Arial" w:cs="Arial" w:eastAsia="Arial" w:hAnsi="Arial"/>
                <w:sz w:val="14"/>
                <w:szCs w:val="14"/>
                <w:color w:val="auto"/>
              </w:rPr>
              <w:t>issuance costs of $76</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3,703</w:t>
            </w:r>
          </w:p>
        </w:tc>
        <w:tc>
          <w:tcPr>
            <w:tcW w:w="220" w:type="dxa"/>
            <w:vAlign w:val="bottom"/>
          </w:tcPr>
          <w:p>
            <w:pPr>
              <w:spacing w:after="0"/>
              <w:rPr>
                <w:sz w:val="13"/>
                <w:szCs w:val="13"/>
                <w:color w:val="auto"/>
              </w:rPr>
            </w:pP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24,924</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20" w:type="dxa"/>
            <w:vAlign w:val="bottom"/>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Issuance of common stock</w:t>
            </w: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1,210</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1</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8,074</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8,075</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tcPr>
          <w:p>
            <w:pPr>
              <w:spacing w:after="0" w:line="138" w:lineRule="exact"/>
              <w:rPr>
                <w:sz w:val="20"/>
                <w:szCs w:val="20"/>
                <w:color w:val="auto"/>
              </w:rPr>
            </w:pPr>
            <w:r>
              <w:rPr>
                <w:rFonts w:ascii="Arial" w:cs="Arial" w:eastAsia="Arial" w:hAnsi="Arial"/>
                <w:sz w:val="14"/>
                <w:szCs w:val="14"/>
                <w:color w:val="auto"/>
              </w:rPr>
              <w:t>Discount on common stock and</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color w:val="auto"/>
              </w:rPr>
              <w:t>warrants issued below deemed</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color w:val="auto"/>
              </w:rPr>
              <w:t>fair value for offset to future</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line="159" w:lineRule="exact"/>
              <w:rPr>
                <w:sz w:val="20"/>
                <w:szCs w:val="20"/>
                <w:color w:val="auto"/>
              </w:rPr>
            </w:pPr>
            <w:r>
              <w:rPr>
                <w:rFonts w:ascii="Arial" w:cs="Arial" w:eastAsia="Arial" w:hAnsi="Arial"/>
                <w:sz w:val="14"/>
                <w:szCs w:val="14"/>
                <w:color w:val="auto"/>
              </w:rPr>
              <w:t>related revenue</w:t>
            </w:r>
          </w:p>
        </w:tc>
        <w:tc>
          <w:tcPr>
            <w:tcW w:w="7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20" w:type="dxa"/>
            <w:vAlign w:val="bottom"/>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(279)</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common stock and</w:t>
            </w: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warrants in connection with</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acquisitions</w:t>
            </w:r>
          </w:p>
        </w:tc>
        <w:tc>
          <w:tcPr>
            <w:tcW w:w="72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76"/>
              </w:rPr>
              <w:t>185</w:t>
            </w: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1,417</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1,417</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tcPr>
          <w:p>
            <w:pPr>
              <w:spacing w:after="0" w:line="138" w:lineRule="exact"/>
              <w:rPr>
                <w:sz w:val="20"/>
                <w:szCs w:val="20"/>
                <w:color w:val="auto"/>
              </w:rPr>
            </w:pPr>
            <w:r>
              <w:rPr>
                <w:rFonts w:ascii="Arial" w:cs="Arial" w:eastAsia="Arial" w:hAnsi="Arial"/>
                <w:sz w:val="14"/>
                <w:szCs w:val="14"/>
                <w:color w:val="auto"/>
              </w:rPr>
              <w:t>Issuance of common stock in</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color w:val="auto"/>
              </w:rPr>
              <w:t>connection with stock option</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line="159" w:lineRule="exact"/>
              <w:rPr>
                <w:sz w:val="20"/>
                <w:szCs w:val="20"/>
                <w:color w:val="auto"/>
              </w:rPr>
            </w:pPr>
            <w:r>
              <w:rPr>
                <w:rFonts w:ascii="Arial" w:cs="Arial" w:eastAsia="Arial" w:hAnsi="Arial"/>
                <w:sz w:val="14"/>
                <w:szCs w:val="14"/>
                <w:color w:val="auto"/>
              </w:rPr>
              <w:t>exercises</w:t>
            </w:r>
          </w:p>
        </w:tc>
        <w:tc>
          <w:tcPr>
            <w:tcW w:w="7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w w:val="76"/>
              </w:rPr>
              <w:t>999</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326</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327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6"/>
              </w:rPr>
              <w:t>Issuance of warrants in connection</w:t>
            </w: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with line of credit</w:t>
            </w:r>
          </w:p>
        </w:tc>
        <w:tc>
          <w:tcPr>
            <w:tcW w:w="72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133</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tcPr>
          <w:p>
            <w:pPr>
              <w:spacing w:after="0" w:line="138" w:lineRule="exact"/>
              <w:rPr>
                <w:sz w:val="20"/>
                <w:szCs w:val="20"/>
                <w:color w:val="auto"/>
              </w:rPr>
            </w:pPr>
            <w:r>
              <w:rPr>
                <w:rFonts w:ascii="Arial" w:cs="Arial" w:eastAsia="Arial" w:hAnsi="Arial"/>
                <w:sz w:val="14"/>
                <w:szCs w:val="14"/>
                <w:color w:val="auto"/>
              </w:rPr>
              <w:t>Issuance of common stock in</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color w:val="auto"/>
              </w:rPr>
              <w:t>exchange for notes receivable</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line="159" w:lineRule="exact"/>
              <w:rPr>
                <w:sz w:val="20"/>
                <w:szCs w:val="20"/>
                <w:color w:val="auto"/>
              </w:rPr>
            </w:pPr>
            <w:r>
              <w:rPr>
                <w:rFonts w:ascii="Arial" w:cs="Arial" w:eastAsia="Arial" w:hAnsi="Arial"/>
                <w:sz w:val="14"/>
                <w:szCs w:val="14"/>
                <w:color w:val="auto"/>
              </w:rPr>
              <w:t>from officers</w:t>
            </w:r>
          </w:p>
        </w:tc>
        <w:tc>
          <w:tcPr>
            <w:tcW w:w="7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w w:val="76"/>
              </w:rPr>
              <w:t>715</w:t>
            </w:r>
          </w:p>
        </w:tc>
        <w:tc>
          <w:tcPr>
            <w:tcW w:w="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jc w:val="right"/>
              <w:spacing w:after="0" w:line="159" w:lineRule="exact"/>
              <w:rPr>
                <w:sz w:val="20"/>
                <w:szCs w:val="20"/>
                <w:color w:val="auto"/>
              </w:rPr>
            </w:pPr>
            <w:r>
              <w:rPr>
                <w:rFonts w:ascii="Arial" w:cs="Arial" w:eastAsia="Arial" w:hAnsi="Arial"/>
                <w:sz w:val="14"/>
                <w:szCs w:val="14"/>
                <w:color w:val="auto"/>
                <w:w w:val="76"/>
              </w:rPr>
              <w:t>1</w:t>
            </w: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1,052</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40" w:type="dxa"/>
            <w:vAlign w:val="bottom"/>
            <w:gridSpan w:val="2"/>
          </w:tcPr>
          <w:p>
            <w:pPr>
              <w:jc w:val="right"/>
              <w:ind w:right="240"/>
              <w:spacing w:after="0" w:line="159" w:lineRule="exact"/>
              <w:rPr>
                <w:sz w:val="20"/>
                <w:szCs w:val="20"/>
                <w:color w:val="auto"/>
              </w:rPr>
            </w:pPr>
            <w:r>
              <w:rPr>
                <w:rFonts w:ascii="Arial" w:cs="Arial" w:eastAsia="Arial" w:hAnsi="Arial"/>
                <w:sz w:val="14"/>
                <w:szCs w:val="14"/>
                <w:color w:val="auto"/>
              </w:rPr>
              <w:t>(1,053)</w:t>
            </w:r>
          </w:p>
        </w:tc>
        <w:tc>
          <w:tcPr>
            <w:tcW w:w="20" w:type="dxa"/>
            <w:vAlign w:val="bottom"/>
          </w:tcPr>
          <w:p>
            <w:pPr>
              <w:spacing w:after="0"/>
              <w:rPr>
                <w:sz w:val="13"/>
                <w:szCs w:val="13"/>
                <w:color w:val="auto"/>
              </w:rPr>
            </w:pPr>
          </w:p>
        </w:tc>
        <w:tc>
          <w:tcPr>
            <w:tcW w:w="6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Preferred stock Series B, C and D</w:t>
            </w: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accruing dividends</w:t>
            </w:r>
          </w:p>
        </w:tc>
        <w:tc>
          <w:tcPr>
            <w:tcW w:w="72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50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2,366</w:t>
            </w:r>
          </w:p>
        </w:tc>
        <w:tc>
          <w:tcPr>
            <w:tcW w:w="22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(2,366)</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(2,366)</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tcPr>
          <w:p>
            <w:pPr>
              <w:spacing w:after="0" w:line="138" w:lineRule="exact"/>
              <w:rPr>
                <w:sz w:val="20"/>
                <w:szCs w:val="20"/>
                <w:color w:val="auto"/>
              </w:rPr>
            </w:pPr>
            <w:r>
              <w:rPr>
                <w:rFonts w:ascii="Arial" w:cs="Arial" w:eastAsia="Arial" w:hAnsi="Arial"/>
                <w:sz w:val="14"/>
                <w:szCs w:val="14"/>
                <w:color w:val="auto"/>
              </w:rPr>
              <w:t>Issuance of warrant for services</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line="159" w:lineRule="exact"/>
              <w:rPr>
                <w:sz w:val="20"/>
                <w:szCs w:val="20"/>
                <w:color w:val="auto"/>
              </w:rPr>
            </w:pPr>
            <w:r>
              <w:rPr>
                <w:rFonts w:ascii="Arial" w:cs="Arial" w:eastAsia="Arial" w:hAnsi="Arial"/>
                <w:sz w:val="14"/>
                <w:szCs w:val="14"/>
                <w:color w:val="auto"/>
              </w:rPr>
              <w:t>and revenue</w:t>
            </w:r>
          </w:p>
        </w:tc>
        <w:tc>
          <w:tcPr>
            <w:tcW w:w="7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20" w:type="dxa"/>
            <w:vAlign w:val="bottom"/>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512</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512</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Deferred stock-based</w:t>
            </w: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compensation</w:t>
            </w:r>
          </w:p>
        </w:tc>
        <w:tc>
          <w:tcPr>
            <w:tcW w:w="72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3,478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(3,478)</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tcPr>
          <w:p>
            <w:pPr>
              <w:spacing w:after="0" w:line="138" w:lineRule="exact"/>
              <w:rPr>
                <w:sz w:val="20"/>
                <w:szCs w:val="20"/>
                <w:color w:val="auto"/>
              </w:rPr>
            </w:pPr>
            <w:r>
              <w:rPr>
                <w:rFonts w:ascii="Arial" w:cs="Arial" w:eastAsia="Arial" w:hAnsi="Arial"/>
                <w:sz w:val="14"/>
                <w:szCs w:val="14"/>
                <w:color w:val="auto"/>
              </w:rPr>
              <w:t>Amortization of deferred stock-</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line="159" w:lineRule="exact"/>
              <w:rPr>
                <w:sz w:val="20"/>
                <w:szCs w:val="20"/>
                <w:color w:val="auto"/>
              </w:rPr>
            </w:pPr>
            <w:r>
              <w:rPr>
                <w:rFonts w:ascii="Arial" w:cs="Arial" w:eastAsia="Arial" w:hAnsi="Arial"/>
                <w:sz w:val="14"/>
                <w:szCs w:val="14"/>
                <w:color w:val="auto"/>
              </w:rPr>
              <w:t>based compensation</w:t>
            </w:r>
          </w:p>
        </w:tc>
        <w:tc>
          <w:tcPr>
            <w:tcW w:w="7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20" w:type="dxa"/>
            <w:vAlign w:val="bottom"/>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2,443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2,443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Issuance of notes receivable to</w:t>
            </w: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officers</w:t>
            </w:r>
          </w:p>
        </w:tc>
        <w:tc>
          <w:tcPr>
            <w:tcW w:w="72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40" w:type="dxa"/>
            <w:vAlign w:val="bottom"/>
            <w:gridSpan w:val="2"/>
            <w:shd w:val="clear" w:color="auto" w:fill="CCEEFF"/>
          </w:tcPr>
          <w:p>
            <w:pPr>
              <w:jc w:val="right"/>
              <w:ind w:right="240"/>
              <w:spacing w:after="0" w:line="159" w:lineRule="exact"/>
              <w:rPr>
                <w:sz w:val="20"/>
                <w:szCs w:val="20"/>
                <w:color w:val="auto"/>
              </w:rPr>
            </w:pPr>
            <w:r>
              <w:rPr>
                <w:rFonts w:ascii="Arial" w:cs="Arial" w:eastAsia="Arial" w:hAnsi="Arial"/>
                <w:sz w:val="14"/>
                <w:szCs w:val="14"/>
                <w:color w:val="auto"/>
              </w:rPr>
              <w:t>(200)</w:t>
            </w:r>
          </w:p>
        </w:tc>
        <w:tc>
          <w:tcPr>
            <w:tcW w:w="20" w:type="dxa"/>
            <w:vAlign w:val="bottom"/>
            <w:shd w:val="clear" w:color="auto" w:fill="CCEEFF"/>
          </w:tcPr>
          <w:p>
            <w:pPr>
              <w:spacing w:after="0"/>
              <w:rPr>
                <w:sz w:val="13"/>
                <w:szCs w:val="13"/>
                <w:color w:val="auto"/>
              </w:rPr>
            </w:pPr>
          </w:p>
        </w:tc>
        <w:tc>
          <w:tcPr>
            <w:tcW w:w="6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tcPr>
          <w:p>
            <w:pPr>
              <w:spacing w:after="0" w:line="138" w:lineRule="exact"/>
              <w:rPr>
                <w:sz w:val="20"/>
                <w:szCs w:val="20"/>
                <w:color w:val="auto"/>
              </w:rPr>
            </w:pPr>
            <w:r>
              <w:rPr>
                <w:rFonts w:ascii="Arial" w:cs="Arial" w:eastAsia="Arial" w:hAnsi="Arial"/>
                <w:sz w:val="14"/>
                <w:szCs w:val="14"/>
                <w:color w:val="auto"/>
                <w:w w:val="98"/>
              </w:rPr>
              <w:t>Repurchase of founders’ common</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line="159" w:lineRule="exact"/>
              <w:rPr>
                <w:sz w:val="20"/>
                <w:szCs w:val="20"/>
                <w:color w:val="auto"/>
              </w:rPr>
            </w:pPr>
            <w:r>
              <w:rPr>
                <w:rFonts w:ascii="Arial" w:cs="Arial" w:eastAsia="Arial" w:hAnsi="Arial"/>
                <w:sz w:val="14"/>
                <w:szCs w:val="14"/>
                <w:color w:val="auto"/>
              </w:rPr>
              <w:t>stock</w:t>
            </w:r>
          </w:p>
        </w:tc>
        <w:tc>
          <w:tcPr>
            <w:tcW w:w="7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20" w:type="dxa"/>
            <w:vAlign w:val="bottom"/>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560" w:type="dxa"/>
            <w:vAlign w:val="bottom"/>
          </w:tcPr>
          <w:p>
            <w:pPr>
              <w:ind w:left="360"/>
              <w:spacing w:after="0" w:line="159" w:lineRule="exact"/>
              <w:rPr>
                <w:sz w:val="20"/>
                <w:szCs w:val="20"/>
                <w:color w:val="auto"/>
              </w:rPr>
            </w:pPr>
            <w:r>
              <w:rPr>
                <w:rFonts w:ascii="Arial" w:cs="Arial" w:eastAsia="Arial" w:hAnsi="Arial"/>
                <w:sz w:val="14"/>
                <w:szCs w:val="14"/>
                <w:color w:val="auto"/>
                <w:w w:val="76"/>
              </w:rPr>
              <w:t>200</w:t>
            </w:r>
          </w:p>
        </w:tc>
        <w:tc>
          <w:tcPr>
            <w:tcW w:w="2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8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(250)</w:t>
            </w:r>
          </w:p>
        </w:tc>
        <w:tc>
          <w:tcPr>
            <w:tcW w:w="100" w:type="dxa"/>
            <w:vAlign w:val="bottom"/>
          </w:tcPr>
          <w:p>
            <w:pPr>
              <w:spacing w:after="0"/>
              <w:rPr>
                <w:sz w:val="13"/>
                <w:szCs w:val="13"/>
                <w:color w:val="auto"/>
              </w:rPr>
            </w:pPr>
          </w:p>
        </w:tc>
        <w:tc>
          <w:tcPr>
            <w:tcW w:w="70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w w:val="94"/>
              </w:rPr>
              <w:t>(1,000)</w:t>
            </w:r>
          </w:p>
        </w:tc>
        <w:tc>
          <w:tcPr>
            <w:tcW w:w="14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(800)</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Net loss</w:t>
            </w:r>
          </w:p>
        </w:tc>
        <w:tc>
          <w:tcPr>
            <w:tcW w:w="720" w:type="dxa"/>
            <w:vAlign w:val="bottom"/>
            <w:gridSpan w:val="2"/>
            <w:shd w:val="clear" w:color="auto" w:fill="CCEEFF"/>
          </w:tcPr>
          <w:p>
            <w:pPr>
              <w:ind w:left="300"/>
              <w:spacing w:after="0" w:line="14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4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ind w:left="300"/>
              <w:spacing w:after="0" w:line="14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6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(27,782)</w:t>
            </w:r>
          </w:p>
        </w:tc>
        <w:tc>
          <w:tcPr>
            <w:tcW w:w="80" w:type="dxa"/>
            <w:vAlign w:val="bottom"/>
            <w:shd w:val="clear" w:color="auto" w:fill="CCEEFF"/>
          </w:tcPr>
          <w:p>
            <w:pPr>
              <w:spacing w:after="0"/>
              <w:rPr>
                <w:sz w:val="12"/>
                <w:szCs w:val="12"/>
                <w:color w:val="auto"/>
              </w:rPr>
            </w:pPr>
          </w:p>
        </w:tc>
        <w:tc>
          <w:tcPr>
            <w:tcW w:w="860" w:type="dxa"/>
            <w:vAlign w:val="bottom"/>
            <w:gridSpan w:val="3"/>
            <w:shd w:val="clear" w:color="auto" w:fill="CCEEFF"/>
          </w:tcPr>
          <w:p>
            <w:pPr>
              <w:ind w:left="360"/>
              <w:spacing w:after="0" w:line="14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6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380"/>
              <w:spacing w:after="0" w:line="14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(27,782)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2000</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16,394</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46,800</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8,187</w:t>
            </w: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14,086</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(2,593)</w:t>
            </w: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(36,269)</w:t>
            </w:r>
          </w:p>
        </w:tc>
        <w:tc>
          <w:tcPr>
            <w:tcW w:w="80" w:type="dxa"/>
            <w:vAlign w:val="bottom"/>
            <w:shd w:val="clear" w:color="auto" w:fill="CCEEFF"/>
          </w:tcPr>
          <w:p>
            <w:pPr>
              <w:spacing w:after="0"/>
              <w:rPr>
                <w:sz w:val="12"/>
                <w:szCs w:val="12"/>
                <w:color w:val="auto"/>
              </w:rPr>
            </w:pP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(1,053)</w:t>
            </w:r>
          </w:p>
        </w:tc>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(717)</w:t>
            </w:r>
          </w:p>
        </w:tc>
        <w:tc>
          <w:tcPr>
            <w:tcW w:w="100" w:type="dxa"/>
            <w:vAlign w:val="bottom"/>
            <w:shd w:val="clear" w:color="auto" w:fill="CCEEFF"/>
          </w:tcPr>
          <w:p>
            <w:pPr>
              <w:spacing w:after="0"/>
              <w:rPr>
                <w:sz w:val="12"/>
                <w:szCs w:val="12"/>
                <w:color w:val="auto"/>
              </w:rPr>
            </w:pP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(1,001)</w:t>
            </w:r>
          </w:p>
        </w:tc>
        <w:tc>
          <w:tcPr>
            <w:tcW w:w="140" w:type="dxa"/>
            <w:vAlign w:val="bottom"/>
            <w:shd w:val="clear" w:color="auto" w:fill="CCEEFF"/>
          </w:tcPr>
          <w:p>
            <w:pPr>
              <w:spacing w:after="0"/>
              <w:rPr>
                <w:sz w:val="12"/>
                <w:szCs w:val="12"/>
                <w:color w:val="auto"/>
              </w:rPr>
            </w:pP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(26,822)</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10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50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20" w:type="dxa"/>
            <w:vAlign w:val="bottom"/>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42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20" w:type="dxa"/>
            <w:vAlign w:val="bottom"/>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8"/>
        </w:trPr>
        <w:tc>
          <w:tcPr>
            <w:tcW w:w="20" w:type="dxa"/>
            <w:vAlign w:val="bottom"/>
            <w:vMerge w:val="continue"/>
          </w:tcPr>
          <w:p>
            <w:pPr>
              <w:spacing w:after="0"/>
              <w:rPr>
                <w:sz w:val="11"/>
                <w:szCs w:val="11"/>
                <w:color w:val="auto"/>
              </w:rPr>
            </w:pPr>
          </w:p>
        </w:tc>
        <w:tc>
          <w:tcPr>
            <w:tcW w:w="2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Amortization of discount on</w:t>
            </w: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common stock and warrants</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issued below deemed fair value</w:t>
            </w: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w w:val="98"/>
              </w:rPr>
              <w:t>for offset to future related revenue</w:t>
            </w:r>
          </w:p>
        </w:tc>
        <w:tc>
          <w:tcPr>
            <w:tcW w:w="72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120</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120</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tcPr>
          <w:p>
            <w:pPr>
              <w:spacing w:after="0" w:line="138" w:lineRule="exact"/>
              <w:rPr>
                <w:sz w:val="20"/>
                <w:szCs w:val="20"/>
                <w:color w:val="auto"/>
              </w:rPr>
            </w:pPr>
            <w:r>
              <w:rPr>
                <w:rFonts w:ascii="Arial" w:cs="Arial" w:eastAsia="Arial" w:hAnsi="Arial"/>
                <w:sz w:val="14"/>
                <w:szCs w:val="14"/>
                <w:color w:val="auto"/>
              </w:rPr>
              <w:t>Issuance of common stock in</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color w:val="auto"/>
              </w:rPr>
              <w:t>connection with stock option</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color w:val="auto"/>
              </w:rPr>
              <w:t>exercises, net of repurchased</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100" w:type="dxa"/>
            <w:vAlign w:val="bottom"/>
          </w:tcPr>
          <w:p>
            <w:pPr>
              <w:spacing w:after="0" w:line="149" w:lineRule="exact"/>
              <w:rPr>
                <w:sz w:val="20"/>
                <w:szCs w:val="20"/>
                <w:color w:val="auto"/>
              </w:rPr>
            </w:pPr>
            <w:r>
              <w:rPr>
                <w:rFonts w:ascii="Arial" w:cs="Arial" w:eastAsia="Arial" w:hAnsi="Arial"/>
                <w:sz w:val="14"/>
                <w:szCs w:val="14"/>
                <w:color w:val="auto"/>
              </w:rPr>
              <w:t>unvested common stock upon</w:t>
            </w: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line="159" w:lineRule="exact"/>
              <w:rPr>
                <w:sz w:val="20"/>
                <w:szCs w:val="20"/>
                <w:color w:val="auto"/>
              </w:rPr>
            </w:pPr>
            <w:r>
              <w:rPr>
                <w:rFonts w:ascii="Arial" w:cs="Arial" w:eastAsia="Arial" w:hAnsi="Arial"/>
                <w:sz w:val="14"/>
                <w:szCs w:val="14"/>
                <w:color w:val="auto"/>
              </w:rPr>
              <w:t>termination</w:t>
            </w:r>
          </w:p>
        </w:tc>
        <w:tc>
          <w:tcPr>
            <w:tcW w:w="7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jc w:val="right"/>
              <w:spacing w:after="0" w:line="159" w:lineRule="exact"/>
              <w:rPr>
                <w:sz w:val="20"/>
                <w:szCs w:val="20"/>
                <w:color w:val="auto"/>
              </w:rPr>
            </w:pPr>
            <w:r>
              <w:rPr>
                <w:rFonts w:ascii="Arial" w:cs="Arial" w:eastAsia="Arial" w:hAnsi="Arial"/>
                <w:sz w:val="14"/>
                <w:szCs w:val="14"/>
                <w:color w:val="auto"/>
              </w:rPr>
              <w:t>10</w:t>
            </w:r>
          </w:p>
        </w:tc>
        <w:tc>
          <w:tcPr>
            <w:tcW w:w="220" w:type="dxa"/>
            <w:vAlign w:val="bottom"/>
          </w:tcPr>
          <w:p>
            <w:pPr>
              <w:spacing w:after="0"/>
              <w:rPr>
                <w:sz w:val="13"/>
                <w:szCs w:val="13"/>
                <w:color w:val="auto"/>
              </w:rPr>
            </w:pPr>
          </w:p>
        </w:tc>
        <w:tc>
          <w:tcPr>
            <w:tcW w:w="420" w:type="dxa"/>
            <w:vAlign w:val="bottom"/>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jc w:val="right"/>
              <w:spacing w:after="0" w:line="159" w:lineRule="exact"/>
              <w:rPr>
                <w:sz w:val="20"/>
                <w:szCs w:val="20"/>
                <w:color w:val="auto"/>
              </w:rPr>
            </w:pPr>
            <w:r>
              <w:rPr>
                <w:rFonts w:ascii="Arial" w:cs="Arial" w:eastAsia="Arial" w:hAnsi="Arial"/>
                <w:sz w:val="14"/>
                <w:szCs w:val="14"/>
                <w:color w:val="auto"/>
              </w:rPr>
              <w:t>57</w:t>
            </w: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57</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9"/>
              </w:rPr>
              <w:t>Issuance of common stock, net of</w:t>
            </w: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issuance costs of $21</w:t>
            </w:r>
          </w:p>
        </w:tc>
        <w:tc>
          <w:tcPr>
            <w:tcW w:w="72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w w:val="76"/>
              </w:rPr>
              <w:t>507</w:t>
            </w: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3,778</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66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3,778</w:t>
            </w:r>
          </w:p>
        </w:tc>
        <w:tc>
          <w:tcPr>
            <w:tcW w:w="6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tcPr>
          <w:p>
            <w:pPr>
              <w:spacing w:after="0" w:line="138" w:lineRule="exact"/>
              <w:rPr>
                <w:sz w:val="20"/>
                <w:szCs w:val="20"/>
                <w:color w:val="auto"/>
              </w:rPr>
            </w:pPr>
            <w:r>
              <w:rPr>
                <w:rFonts w:ascii="Arial" w:cs="Arial" w:eastAsia="Arial" w:hAnsi="Arial"/>
                <w:sz w:val="14"/>
                <w:szCs w:val="14"/>
                <w:color w:val="auto"/>
                <w:w w:val="98"/>
              </w:rPr>
              <w:t>Preferred stock Series B, C and D</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line="159" w:lineRule="exact"/>
              <w:rPr>
                <w:sz w:val="20"/>
                <w:szCs w:val="20"/>
                <w:color w:val="auto"/>
              </w:rPr>
            </w:pPr>
            <w:r>
              <w:rPr>
                <w:rFonts w:ascii="Arial" w:cs="Arial" w:eastAsia="Arial" w:hAnsi="Arial"/>
                <w:sz w:val="14"/>
                <w:szCs w:val="14"/>
                <w:color w:val="auto"/>
              </w:rPr>
              <w:t>accruing dividends</w:t>
            </w:r>
          </w:p>
        </w:tc>
        <w:tc>
          <w:tcPr>
            <w:tcW w:w="7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500" w:type="dxa"/>
            <w:vAlign w:val="bottom"/>
          </w:tcPr>
          <w:p>
            <w:pPr>
              <w:jc w:val="right"/>
              <w:spacing w:after="0" w:line="159" w:lineRule="exact"/>
              <w:rPr>
                <w:sz w:val="20"/>
                <w:szCs w:val="20"/>
                <w:color w:val="auto"/>
              </w:rPr>
            </w:pPr>
            <w:r>
              <w:rPr>
                <w:rFonts w:ascii="Arial" w:cs="Arial" w:eastAsia="Arial" w:hAnsi="Arial"/>
                <w:sz w:val="14"/>
                <w:szCs w:val="14"/>
                <w:color w:val="auto"/>
              </w:rPr>
              <w:t>3,247</w:t>
            </w:r>
          </w:p>
        </w:tc>
        <w:tc>
          <w:tcPr>
            <w:tcW w:w="2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20" w:type="dxa"/>
            <w:vAlign w:val="bottom"/>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260"/>
              <w:spacing w:after="0" w:line="159" w:lineRule="exact"/>
              <w:rPr>
                <w:sz w:val="20"/>
                <w:szCs w:val="20"/>
                <w:color w:val="auto"/>
              </w:rPr>
            </w:pPr>
            <w:r>
              <w:rPr>
                <w:rFonts w:ascii="Arial" w:cs="Arial" w:eastAsia="Arial" w:hAnsi="Arial"/>
                <w:sz w:val="14"/>
                <w:szCs w:val="14"/>
                <w:color w:val="auto"/>
              </w:rPr>
              <w:t>(3,247)</w:t>
            </w:r>
          </w:p>
        </w:tc>
        <w:tc>
          <w:tcPr>
            <w:tcW w:w="120" w:type="dxa"/>
            <w:vAlign w:val="bottom"/>
          </w:tcPr>
          <w:p>
            <w:pPr>
              <w:spacing w:after="0"/>
              <w:rPr>
                <w:sz w:val="13"/>
                <w:szCs w:val="13"/>
                <w:color w:val="auto"/>
              </w:rPr>
            </w:pPr>
          </w:p>
        </w:tc>
        <w:tc>
          <w:tcPr>
            <w:tcW w:w="780" w:type="dxa"/>
            <w:vAlign w:val="bottom"/>
            <w:gridSpan w:val="2"/>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720" w:type="dxa"/>
            <w:vAlign w:val="bottom"/>
            <w:gridSpan w:val="2"/>
          </w:tcPr>
          <w:p>
            <w:pPr>
              <w:jc w:val="right"/>
              <w:spacing w:after="0" w:line="159" w:lineRule="exact"/>
              <w:rPr>
                <w:sz w:val="20"/>
                <w:szCs w:val="20"/>
                <w:color w:val="auto"/>
              </w:rPr>
            </w:pPr>
            <w:r>
              <w:rPr>
                <w:rFonts w:ascii="Arial" w:cs="Arial" w:eastAsia="Arial" w:hAnsi="Arial"/>
                <w:sz w:val="14"/>
                <w:szCs w:val="14"/>
                <w:color w:val="auto"/>
              </w:rPr>
              <w:t>(3,247)</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rPr>
              <w:t>Deferred stock-based</w:t>
            </w: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compensation</w:t>
            </w:r>
          </w:p>
        </w:tc>
        <w:tc>
          <w:tcPr>
            <w:tcW w:w="72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40" w:type="dxa"/>
            <w:vAlign w:val="bottom"/>
            <w:shd w:val="clear" w:color="auto" w:fill="CCEEFF"/>
          </w:tcPr>
          <w:p>
            <w:pPr>
              <w:jc w:val="right"/>
              <w:spacing w:after="0" w:line="159" w:lineRule="exact"/>
              <w:rPr>
                <w:sz w:val="20"/>
                <w:szCs w:val="20"/>
                <w:color w:val="auto"/>
              </w:rPr>
            </w:pPr>
            <w:r>
              <w:rPr>
                <w:rFonts w:ascii="Arial" w:cs="Arial" w:eastAsia="Arial" w:hAnsi="Arial"/>
                <w:sz w:val="14"/>
                <w:szCs w:val="14"/>
                <w:color w:val="auto"/>
              </w:rPr>
              <w:t>152</w:t>
            </w:r>
          </w:p>
        </w:tc>
        <w:tc>
          <w:tcPr>
            <w:tcW w:w="3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20"/>
              <w:spacing w:after="0" w:line="159" w:lineRule="exact"/>
              <w:rPr>
                <w:sz w:val="20"/>
                <w:szCs w:val="20"/>
                <w:color w:val="auto"/>
              </w:rPr>
            </w:pPr>
            <w:r>
              <w:rPr>
                <w:rFonts w:ascii="Arial" w:cs="Arial" w:eastAsia="Arial" w:hAnsi="Arial"/>
                <w:sz w:val="14"/>
                <w:szCs w:val="14"/>
                <w:color w:val="auto"/>
              </w:rPr>
              <w:t>(152)</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ind w:right="120"/>
              <w:spacing w:after="0" w:line="159" w:lineRule="exact"/>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tcPr>
          <w:p>
            <w:pPr>
              <w:spacing w:after="0" w:line="138" w:lineRule="exact"/>
              <w:rPr>
                <w:sz w:val="20"/>
                <w:szCs w:val="20"/>
                <w:color w:val="auto"/>
              </w:rPr>
            </w:pPr>
            <w:r>
              <w:rPr>
                <w:rFonts w:ascii="Arial" w:cs="Arial" w:eastAsia="Arial" w:hAnsi="Arial"/>
                <w:sz w:val="14"/>
                <w:szCs w:val="14"/>
                <w:color w:val="auto"/>
              </w:rPr>
              <w:t>Amortization of deferred stock-</w:t>
            </w: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tcPr>
          <w:p>
            <w:pPr>
              <w:spacing w:after="0" w:line="159" w:lineRule="exact"/>
              <w:rPr>
                <w:sz w:val="20"/>
                <w:szCs w:val="20"/>
                <w:color w:val="auto"/>
              </w:rPr>
            </w:pPr>
            <w:r>
              <w:rPr>
                <w:rFonts w:ascii="Arial" w:cs="Arial" w:eastAsia="Arial" w:hAnsi="Arial"/>
                <w:sz w:val="14"/>
                <w:szCs w:val="14"/>
                <w:color w:val="auto"/>
              </w:rPr>
              <w:t>based compensation</w:t>
            </w:r>
          </w:p>
        </w:tc>
        <w:tc>
          <w:tcPr>
            <w:tcW w:w="720" w:type="dxa"/>
            <w:vAlign w:val="bottom"/>
            <w:gridSpan w:val="2"/>
          </w:tcPr>
          <w:p>
            <w:pPr>
              <w:ind w:left="3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tcPr>
          <w:p>
            <w:pPr>
              <w:spacing w:after="0"/>
              <w:rPr>
                <w:sz w:val="13"/>
                <w:szCs w:val="13"/>
                <w:color w:val="auto"/>
              </w:rPr>
            </w:pPr>
          </w:p>
        </w:tc>
        <w:tc>
          <w:tcPr>
            <w:tcW w:w="420" w:type="dxa"/>
            <w:vAlign w:val="bottom"/>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6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20" w:type="dxa"/>
            <w:vAlign w:val="bottom"/>
          </w:tcPr>
          <w:p>
            <w:pPr>
              <w:spacing w:after="0"/>
              <w:rPr>
                <w:sz w:val="13"/>
                <w:szCs w:val="13"/>
                <w:color w:val="auto"/>
              </w:rPr>
            </w:pPr>
          </w:p>
        </w:tc>
        <w:tc>
          <w:tcPr>
            <w:tcW w:w="720" w:type="dxa"/>
            <w:vAlign w:val="bottom"/>
          </w:tcPr>
          <w:p>
            <w:pPr>
              <w:jc w:val="right"/>
              <w:spacing w:after="0" w:line="159" w:lineRule="exact"/>
              <w:rPr>
                <w:sz w:val="20"/>
                <w:szCs w:val="20"/>
                <w:color w:val="auto"/>
              </w:rPr>
            </w:pPr>
            <w:r>
              <w:rPr>
                <w:rFonts w:ascii="Arial" w:cs="Arial" w:eastAsia="Arial" w:hAnsi="Arial"/>
                <w:sz w:val="14"/>
                <w:szCs w:val="14"/>
                <w:color w:val="auto"/>
              </w:rPr>
              <w:t>1,583</w:t>
            </w: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2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tcPr>
          <w:p>
            <w:pPr>
              <w:spacing w:after="0"/>
              <w:rPr>
                <w:sz w:val="13"/>
                <w:szCs w:val="13"/>
                <w:color w:val="auto"/>
              </w:rPr>
            </w:pPr>
          </w:p>
        </w:tc>
        <w:tc>
          <w:tcPr>
            <w:tcW w:w="860" w:type="dxa"/>
            <w:vAlign w:val="bottom"/>
            <w:gridSpan w:val="3"/>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3"/>
                <w:szCs w:val="13"/>
                <w:color w:val="auto"/>
              </w:rPr>
            </w:pPr>
          </w:p>
        </w:tc>
        <w:tc>
          <w:tcPr>
            <w:tcW w:w="700" w:type="dxa"/>
            <w:vAlign w:val="bottom"/>
            <w:gridSpan w:val="2"/>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40" w:type="dxa"/>
            <w:vAlign w:val="bottom"/>
          </w:tcPr>
          <w:p>
            <w:pPr>
              <w:spacing w:after="0"/>
              <w:rPr>
                <w:sz w:val="13"/>
                <w:szCs w:val="13"/>
                <w:color w:val="auto"/>
              </w:rPr>
            </w:pPr>
          </w:p>
        </w:tc>
        <w:tc>
          <w:tcPr>
            <w:tcW w:w="660" w:type="dxa"/>
            <w:vAlign w:val="bottom"/>
          </w:tcPr>
          <w:p>
            <w:pPr>
              <w:jc w:val="right"/>
              <w:spacing w:after="0" w:line="159" w:lineRule="exact"/>
              <w:rPr>
                <w:sz w:val="20"/>
                <w:szCs w:val="20"/>
                <w:color w:val="auto"/>
              </w:rPr>
            </w:pPr>
            <w:r>
              <w:rPr>
                <w:rFonts w:ascii="Arial" w:cs="Arial" w:eastAsia="Arial" w:hAnsi="Arial"/>
                <w:sz w:val="14"/>
                <w:szCs w:val="14"/>
                <w:color w:val="auto"/>
              </w:rPr>
              <w:t>1,583</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100" w:type="dxa"/>
            <w:vAlign w:val="bottom"/>
            <w:shd w:val="clear" w:color="auto" w:fill="CCEEFF"/>
          </w:tcPr>
          <w:p>
            <w:pPr>
              <w:spacing w:after="0" w:line="138" w:lineRule="exact"/>
              <w:rPr>
                <w:sz w:val="20"/>
                <w:szCs w:val="20"/>
                <w:color w:val="auto"/>
              </w:rPr>
            </w:pPr>
            <w:r>
              <w:rPr>
                <w:rFonts w:ascii="Arial" w:cs="Arial" w:eastAsia="Arial" w:hAnsi="Arial"/>
                <w:sz w:val="14"/>
                <w:szCs w:val="14"/>
                <w:color w:val="auto"/>
                <w:w w:val="98"/>
              </w:rPr>
              <w:t>Repurchase of founders’ common</w:t>
            </w: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50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4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4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4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2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560" w:type="dxa"/>
            <w:vAlign w:val="bottom"/>
            <w:shd w:val="clear" w:color="auto" w:fill="CCEEFF"/>
          </w:tcPr>
          <w:p>
            <w:pPr>
              <w:spacing w:after="0"/>
              <w:rPr>
                <w:sz w:val="11"/>
                <w:szCs w:val="11"/>
                <w:color w:val="auto"/>
              </w:rPr>
            </w:pPr>
          </w:p>
        </w:tc>
        <w:tc>
          <w:tcPr>
            <w:tcW w:w="2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380" w:type="dxa"/>
            <w:vAlign w:val="bottom"/>
            <w:shd w:val="clear" w:color="auto" w:fill="CCEEFF"/>
          </w:tcPr>
          <w:p>
            <w:pPr>
              <w:spacing w:after="0"/>
              <w:rPr>
                <w:sz w:val="11"/>
                <w:szCs w:val="11"/>
                <w:color w:val="auto"/>
              </w:rPr>
            </w:pPr>
          </w:p>
        </w:tc>
        <w:tc>
          <w:tcPr>
            <w:tcW w:w="3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2100" w:type="dxa"/>
            <w:vAlign w:val="bottom"/>
            <w:shd w:val="clear" w:color="auto" w:fill="CCEEFF"/>
          </w:tcPr>
          <w:p>
            <w:pPr>
              <w:spacing w:after="0" w:line="159" w:lineRule="exact"/>
              <w:rPr>
                <w:sz w:val="20"/>
                <w:szCs w:val="20"/>
                <w:color w:val="auto"/>
              </w:rPr>
            </w:pPr>
            <w:r>
              <w:rPr>
                <w:rFonts w:ascii="Arial" w:cs="Arial" w:eastAsia="Arial" w:hAnsi="Arial"/>
                <w:sz w:val="14"/>
                <w:szCs w:val="14"/>
                <w:color w:val="auto"/>
              </w:rPr>
              <w:t>stock</w:t>
            </w:r>
          </w:p>
        </w:tc>
        <w:tc>
          <w:tcPr>
            <w:tcW w:w="720" w:type="dxa"/>
            <w:vAlign w:val="bottom"/>
            <w:gridSpan w:val="2"/>
            <w:shd w:val="clear" w:color="auto" w:fill="CCEEFF"/>
          </w:tcPr>
          <w:p>
            <w:pPr>
              <w:ind w:left="300"/>
              <w:spacing w:after="0" w:line="159" w:lineRule="exact"/>
              <w:rPr>
                <w:sz w:val="20"/>
                <w:szCs w:val="20"/>
                <w:color w:val="auto"/>
              </w:rPr>
            </w:pPr>
            <w:r>
              <w:rPr>
                <w:rFonts w:ascii="Arial" w:cs="Arial" w:eastAsia="Arial" w:hAnsi="Arial"/>
                <w:sz w:val="14"/>
                <w:szCs w:val="14"/>
                <w:color w:val="auto"/>
              </w:rPr>
              <w:t>—</w:t>
            </w:r>
          </w:p>
        </w:tc>
        <w:tc>
          <w:tcPr>
            <w:tcW w:w="740" w:type="dxa"/>
            <w:vAlign w:val="bottom"/>
            <w:gridSpan w:val="3"/>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480" w:type="dxa"/>
            <w:vAlign w:val="bottom"/>
            <w:shd w:val="clear" w:color="auto" w:fill="CCEEFF"/>
          </w:tcPr>
          <w:p>
            <w:pPr>
              <w:ind w:left="280"/>
              <w:spacing w:after="0" w:line="159" w:lineRule="exact"/>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3"/>
                <w:szCs w:val="13"/>
                <w:color w:val="auto"/>
              </w:rPr>
            </w:pPr>
          </w:p>
        </w:tc>
        <w:tc>
          <w:tcPr>
            <w:tcW w:w="420" w:type="dxa"/>
            <w:vAlign w:val="bottom"/>
            <w:shd w:val="clear" w:color="auto" w:fill="CCEEFF"/>
          </w:tcPr>
          <w:p>
            <w:pPr>
              <w:ind w:left="300"/>
              <w:spacing w:after="0" w:line="159" w:lineRule="exact"/>
              <w:rPr>
                <w:sz w:val="20"/>
                <w:szCs w:val="20"/>
                <w:color w:val="auto"/>
              </w:rPr>
            </w:pPr>
            <w:r>
              <w:rPr>
                <w:rFonts w:ascii="Arial" w:cs="Arial" w:eastAsia="Arial" w:hAnsi="Arial"/>
                <w:sz w:val="14"/>
                <w:szCs w:val="14"/>
                <w:color w:val="auto"/>
                <w:w w:val="71"/>
              </w:rPr>
              <w:t>—</w:t>
            </w:r>
          </w:p>
        </w:tc>
        <w:tc>
          <w:tcPr>
            <w:tcW w:w="80" w:type="dxa"/>
            <w:vAlign w:val="bottom"/>
            <w:shd w:val="clear" w:color="auto" w:fill="CCEEFF"/>
          </w:tcPr>
          <w:p>
            <w:pPr>
              <w:spacing w:after="0"/>
              <w:rPr>
                <w:sz w:val="13"/>
                <w:szCs w:val="13"/>
                <w:color w:val="auto"/>
              </w:rPr>
            </w:pPr>
          </w:p>
        </w:tc>
        <w:tc>
          <w:tcPr>
            <w:tcW w:w="2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60" w:type="dxa"/>
            <w:vAlign w:val="bottom"/>
            <w:gridSpan w:val="2"/>
            <w:shd w:val="clear" w:color="auto" w:fill="CCEEFF"/>
          </w:tcPr>
          <w:p>
            <w:pPr>
              <w:jc w:val="right"/>
              <w:ind w:right="380"/>
              <w:spacing w:after="0" w:line="159" w:lineRule="exact"/>
              <w:rPr>
                <w:sz w:val="20"/>
                <w:szCs w:val="20"/>
                <w:color w:val="auto"/>
              </w:rPr>
            </w:pPr>
            <w:r>
              <w:rPr>
                <w:rFonts w:ascii="Arial" w:cs="Arial" w:eastAsia="Arial" w:hAnsi="Arial"/>
                <w:sz w:val="14"/>
                <w:szCs w:val="14"/>
                <w:color w:val="auto"/>
              </w:rPr>
              <w:t>—</w:t>
            </w:r>
          </w:p>
        </w:tc>
        <w:tc>
          <w:tcPr>
            <w:tcW w:w="120" w:type="dxa"/>
            <w:vAlign w:val="bottom"/>
            <w:shd w:val="clear" w:color="auto" w:fill="CCEEFF"/>
          </w:tcPr>
          <w:p>
            <w:pPr>
              <w:spacing w:after="0"/>
              <w:rPr>
                <w:sz w:val="13"/>
                <w:szCs w:val="13"/>
                <w:color w:val="auto"/>
              </w:rPr>
            </w:pPr>
          </w:p>
        </w:tc>
        <w:tc>
          <w:tcPr>
            <w:tcW w:w="780" w:type="dxa"/>
            <w:vAlign w:val="bottom"/>
            <w:gridSpan w:val="2"/>
            <w:shd w:val="clear" w:color="auto" w:fill="CCEEFF"/>
          </w:tcPr>
          <w:p>
            <w:pPr>
              <w:jc w:val="right"/>
              <w:ind w:right="140"/>
              <w:spacing w:after="0" w:line="159" w:lineRule="exact"/>
              <w:rPr>
                <w:sz w:val="20"/>
                <w:szCs w:val="20"/>
                <w:color w:val="auto"/>
              </w:rPr>
            </w:pPr>
            <w:r>
              <w:rPr>
                <w:rFonts w:ascii="Arial" w:cs="Arial" w:eastAsia="Arial" w:hAnsi="Arial"/>
                <w:sz w:val="14"/>
                <w:szCs w:val="14"/>
                <w:color w:val="auto"/>
              </w:rPr>
              <w:t>—</w:t>
            </w:r>
          </w:p>
        </w:tc>
        <w:tc>
          <w:tcPr>
            <w:tcW w:w="24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920" w:type="dxa"/>
            <w:vAlign w:val="bottom"/>
            <w:gridSpan w:val="2"/>
            <w:shd w:val="clear" w:color="auto" w:fill="CCEEFF"/>
          </w:tcPr>
          <w:p>
            <w:pPr>
              <w:jc w:val="right"/>
              <w:ind w:right="360"/>
              <w:spacing w:after="0" w:line="15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spacing w:after="0"/>
              <w:rPr>
                <w:sz w:val="13"/>
                <w:szCs w:val="13"/>
                <w:color w:val="auto"/>
              </w:rPr>
            </w:pPr>
          </w:p>
        </w:tc>
        <w:tc>
          <w:tcPr>
            <w:tcW w:w="860" w:type="dxa"/>
            <w:vAlign w:val="bottom"/>
            <w:gridSpan w:val="3"/>
            <w:shd w:val="clear" w:color="auto" w:fill="CCEEFF"/>
          </w:tcPr>
          <w:p>
            <w:pPr>
              <w:ind w:left="360"/>
              <w:spacing w:after="0" w:line="159" w:lineRule="exact"/>
              <w:rPr>
                <w:sz w:val="20"/>
                <w:szCs w:val="20"/>
                <w:color w:val="auto"/>
              </w:rPr>
            </w:pPr>
            <w:r>
              <w:rPr>
                <w:rFonts w:ascii="Arial" w:cs="Arial" w:eastAsia="Arial" w:hAnsi="Arial"/>
                <w:sz w:val="14"/>
                <w:szCs w:val="14"/>
                <w:color w:val="auto"/>
              </w:rPr>
              <w:t>—</w:t>
            </w:r>
          </w:p>
        </w:tc>
        <w:tc>
          <w:tcPr>
            <w:tcW w:w="68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(50)</w:t>
            </w:r>
          </w:p>
        </w:tc>
        <w:tc>
          <w:tcPr>
            <w:tcW w:w="100" w:type="dxa"/>
            <w:vAlign w:val="bottom"/>
            <w:shd w:val="clear" w:color="auto" w:fill="CCEEFF"/>
          </w:tcPr>
          <w:p>
            <w:pPr>
              <w:spacing w:after="0"/>
              <w:rPr>
                <w:sz w:val="13"/>
                <w:szCs w:val="13"/>
                <w:color w:val="auto"/>
              </w:rPr>
            </w:pPr>
          </w:p>
        </w:tc>
        <w:tc>
          <w:tcPr>
            <w:tcW w:w="700" w:type="dxa"/>
            <w:vAlign w:val="bottom"/>
            <w:gridSpan w:val="2"/>
            <w:shd w:val="clear" w:color="auto" w:fill="CCEEFF"/>
          </w:tcPr>
          <w:p>
            <w:pPr>
              <w:jc w:val="right"/>
              <w:ind w:right="260"/>
              <w:spacing w:after="0" w:line="159" w:lineRule="exact"/>
              <w:rPr>
                <w:sz w:val="20"/>
                <w:szCs w:val="20"/>
                <w:color w:val="auto"/>
              </w:rPr>
            </w:pPr>
            <w:r>
              <w:rPr>
                <w:rFonts w:ascii="Arial" w:cs="Arial" w:eastAsia="Arial" w:hAnsi="Arial"/>
                <w:sz w:val="14"/>
                <w:szCs w:val="14"/>
                <w:color w:val="auto"/>
              </w:rPr>
              <w:t>(200)</w:t>
            </w:r>
          </w:p>
        </w:tc>
        <w:tc>
          <w:tcPr>
            <w:tcW w:w="140" w:type="dxa"/>
            <w:vAlign w:val="bottom"/>
            <w:shd w:val="clear" w:color="auto" w:fill="CCEEFF"/>
          </w:tcPr>
          <w:p>
            <w:pPr>
              <w:spacing w:after="0"/>
              <w:rPr>
                <w:sz w:val="13"/>
                <w:szCs w:val="13"/>
                <w:color w:val="auto"/>
              </w:rPr>
            </w:pPr>
          </w:p>
        </w:tc>
        <w:tc>
          <w:tcPr>
            <w:tcW w:w="720" w:type="dxa"/>
            <w:vAlign w:val="bottom"/>
            <w:gridSpan w:val="2"/>
            <w:shd w:val="clear" w:color="auto" w:fill="CCEEFF"/>
          </w:tcPr>
          <w:p>
            <w:pPr>
              <w:jc w:val="right"/>
              <w:spacing w:after="0" w:line="159" w:lineRule="exact"/>
              <w:rPr>
                <w:sz w:val="20"/>
                <w:szCs w:val="20"/>
                <w:color w:val="auto"/>
              </w:rPr>
            </w:pPr>
            <w:r>
              <w:rPr>
                <w:rFonts w:ascii="Arial" w:cs="Arial" w:eastAsia="Arial" w:hAnsi="Arial"/>
                <w:sz w:val="14"/>
                <w:szCs w:val="14"/>
                <w:color w:val="auto"/>
              </w:rPr>
              <w:t>(200)</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2100" w:type="dxa"/>
            <w:vAlign w:val="bottom"/>
          </w:tcPr>
          <w:p>
            <w:pPr>
              <w:spacing w:after="0"/>
              <w:rPr>
                <w:sz w:val="20"/>
                <w:szCs w:val="20"/>
                <w:color w:val="auto"/>
              </w:rPr>
            </w:pPr>
            <w:r>
              <w:rPr>
                <w:rFonts w:ascii="Arial" w:cs="Arial" w:eastAsia="Arial" w:hAnsi="Arial"/>
                <w:sz w:val="14"/>
                <w:szCs w:val="14"/>
                <w:color w:val="auto"/>
              </w:rPr>
              <w:t>Net loss</w:t>
            </w:r>
          </w:p>
        </w:tc>
        <w:tc>
          <w:tcPr>
            <w:tcW w:w="720" w:type="dxa"/>
            <w:vAlign w:val="bottom"/>
            <w:gridSpan w:val="2"/>
          </w:tcPr>
          <w:p>
            <w:pPr>
              <w:ind w:left="300"/>
              <w:spacing w:after="0"/>
              <w:rPr>
                <w:sz w:val="20"/>
                <w:szCs w:val="20"/>
                <w:color w:val="auto"/>
              </w:rPr>
            </w:pPr>
            <w:r>
              <w:rPr>
                <w:rFonts w:ascii="Arial" w:cs="Arial" w:eastAsia="Arial" w:hAnsi="Arial"/>
                <w:sz w:val="14"/>
                <w:szCs w:val="14"/>
                <w:color w:val="auto"/>
              </w:rPr>
              <w:t>—</w:t>
            </w:r>
          </w:p>
        </w:tc>
        <w:tc>
          <w:tcPr>
            <w:tcW w:w="740" w:type="dxa"/>
            <w:vAlign w:val="bottom"/>
            <w:gridSpan w:val="3"/>
          </w:tcPr>
          <w:p>
            <w:pPr>
              <w:ind w:left="280"/>
              <w:spacing w:after="0"/>
              <w:rPr>
                <w:sz w:val="20"/>
                <w:szCs w:val="20"/>
                <w:color w:val="auto"/>
              </w:rPr>
            </w:pPr>
            <w:r>
              <w:rPr>
                <w:rFonts w:ascii="Arial" w:cs="Arial" w:eastAsia="Arial" w:hAnsi="Arial"/>
                <w:sz w:val="14"/>
                <w:szCs w:val="14"/>
                <w:color w:val="auto"/>
              </w:rPr>
              <w:t>—</w:t>
            </w:r>
          </w:p>
        </w:tc>
        <w:tc>
          <w:tcPr>
            <w:tcW w:w="480" w:type="dxa"/>
            <w:vAlign w:val="bottom"/>
          </w:tcPr>
          <w:p>
            <w:pPr>
              <w:ind w:left="280"/>
              <w:spacing w:after="0"/>
              <w:rPr>
                <w:sz w:val="20"/>
                <w:szCs w:val="20"/>
                <w:color w:val="auto"/>
              </w:rPr>
            </w:pPr>
            <w:r>
              <w:rPr>
                <w:rFonts w:ascii="Arial" w:cs="Arial" w:eastAsia="Arial" w:hAnsi="Arial"/>
                <w:sz w:val="14"/>
                <w:szCs w:val="14"/>
                <w:color w:val="auto"/>
              </w:rPr>
              <w:t>—</w:t>
            </w:r>
          </w:p>
        </w:tc>
        <w:tc>
          <w:tcPr>
            <w:tcW w:w="220" w:type="dxa"/>
            <w:vAlign w:val="bottom"/>
          </w:tcPr>
          <w:p>
            <w:pPr>
              <w:spacing w:after="0"/>
              <w:rPr>
                <w:sz w:val="14"/>
                <w:szCs w:val="14"/>
                <w:color w:val="auto"/>
              </w:rPr>
            </w:pPr>
          </w:p>
        </w:tc>
        <w:tc>
          <w:tcPr>
            <w:tcW w:w="420" w:type="dxa"/>
            <w:vAlign w:val="bottom"/>
          </w:tcPr>
          <w:p>
            <w:pPr>
              <w:ind w:left="300"/>
              <w:spacing w:after="0"/>
              <w:rPr>
                <w:sz w:val="20"/>
                <w:szCs w:val="20"/>
                <w:color w:val="auto"/>
              </w:rPr>
            </w:pPr>
            <w:r>
              <w:rPr>
                <w:rFonts w:ascii="Arial" w:cs="Arial" w:eastAsia="Arial" w:hAnsi="Arial"/>
                <w:sz w:val="14"/>
                <w:szCs w:val="14"/>
                <w:color w:val="auto"/>
                <w:w w:val="71"/>
              </w:rPr>
              <w:t>—</w:t>
            </w:r>
          </w:p>
        </w:tc>
        <w:tc>
          <w:tcPr>
            <w:tcW w:w="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4"/>
                <w:szCs w:val="14"/>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2"/>
          </w:tcPr>
          <w:p>
            <w:pPr>
              <w:jc w:val="right"/>
              <w:ind w:right="240"/>
              <w:spacing w:after="0"/>
              <w:rPr>
                <w:sz w:val="20"/>
                <w:szCs w:val="20"/>
                <w:color w:val="auto"/>
              </w:rPr>
            </w:pPr>
            <w:r>
              <w:rPr>
                <w:rFonts w:ascii="Arial" w:cs="Arial" w:eastAsia="Arial" w:hAnsi="Arial"/>
                <w:sz w:val="14"/>
                <w:szCs w:val="14"/>
                <w:color w:val="auto"/>
              </w:rPr>
              <w:t>(18,331)</w:t>
            </w:r>
          </w:p>
        </w:tc>
        <w:tc>
          <w:tcPr>
            <w:tcW w:w="80" w:type="dxa"/>
            <w:vAlign w:val="bottom"/>
          </w:tcPr>
          <w:p>
            <w:pPr>
              <w:spacing w:after="0"/>
              <w:rPr>
                <w:sz w:val="14"/>
                <w:szCs w:val="14"/>
                <w:color w:val="auto"/>
              </w:rPr>
            </w:pPr>
          </w:p>
        </w:tc>
        <w:tc>
          <w:tcPr>
            <w:tcW w:w="860" w:type="dxa"/>
            <w:vAlign w:val="bottom"/>
            <w:gridSpan w:val="3"/>
          </w:tcPr>
          <w:p>
            <w:pPr>
              <w:ind w:left="360"/>
              <w:spacing w:after="0"/>
              <w:rPr>
                <w:sz w:val="20"/>
                <w:szCs w:val="20"/>
                <w:color w:val="auto"/>
              </w:rPr>
            </w:pPr>
            <w:r>
              <w:rPr>
                <w:rFonts w:ascii="Arial" w:cs="Arial" w:eastAsia="Arial" w:hAnsi="Arial"/>
                <w:sz w:val="14"/>
                <w:szCs w:val="14"/>
                <w:color w:val="auto"/>
              </w:rPr>
              <w:t>—</w:t>
            </w:r>
          </w:p>
        </w:tc>
        <w:tc>
          <w:tcPr>
            <w:tcW w:w="680" w:type="dxa"/>
            <w:vAlign w:val="bottom"/>
            <w:gridSpan w:val="2"/>
          </w:tcPr>
          <w:p>
            <w:pPr>
              <w:jc w:val="right"/>
              <w:ind w:right="360"/>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700" w:type="dxa"/>
            <w:vAlign w:val="bottom"/>
            <w:gridSpan w:val="2"/>
          </w:tcPr>
          <w:p>
            <w:pPr>
              <w:jc w:val="right"/>
              <w:ind w:right="38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720" w:type="dxa"/>
            <w:vAlign w:val="bottom"/>
            <w:gridSpan w:val="2"/>
          </w:tcPr>
          <w:p>
            <w:pPr>
              <w:jc w:val="right"/>
              <w:spacing w:after="0"/>
              <w:rPr>
                <w:sz w:val="20"/>
                <w:szCs w:val="20"/>
                <w:color w:val="auto"/>
              </w:rPr>
            </w:pPr>
            <w:r>
              <w:rPr>
                <w:rFonts w:ascii="Arial" w:cs="Arial" w:eastAsia="Arial" w:hAnsi="Arial"/>
                <w:sz w:val="14"/>
                <w:szCs w:val="14"/>
                <w:color w:val="auto"/>
              </w:rPr>
              <w:t>(18,331)</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210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50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420" w:type="dxa"/>
            <w:vAlign w:val="bottom"/>
            <w:tcBorders>
              <w:bottom w:val="single" w:sz="8" w:color="auto"/>
            </w:tcBorders>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22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4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Borders>
              <w:bottom w:val="single" w:sz="8" w:color="auto"/>
            </w:tcBorders>
          </w:tcPr>
          <w:p>
            <w:pPr>
              <w:spacing w:after="0"/>
              <w:rPr>
                <w:sz w:val="7"/>
                <w:szCs w:val="7"/>
                <w:color w:val="auto"/>
              </w:rPr>
            </w:pPr>
          </w:p>
        </w:tc>
        <w:tc>
          <w:tcPr>
            <w:tcW w:w="72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24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4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Borders>
              <w:bottom w:val="single" w:sz="8" w:color="auto"/>
            </w:tcBorders>
          </w:tcPr>
          <w:p>
            <w:pPr>
              <w:spacing w:after="0"/>
              <w:rPr>
                <w:sz w:val="7"/>
                <w:szCs w:val="7"/>
                <w:color w:val="auto"/>
              </w:rPr>
            </w:pPr>
          </w:p>
        </w:tc>
        <w:tc>
          <w:tcPr>
            <w:tcW w:w="560" w:type="dxa"/>
            <w:vAlign w:val="bottom"/>
            <w:tcBorders>
              <w:bottom w:val="single" w:sz="8" w:color="auto"/>
            </w:tcBorders>
          </w:tcPr>
          <w:p>
            <w:pPr>
              <w:spacing w:after="0"/>
              <w:rPr>
                <w:sz w:val="7"/>
                <w:szCs w:val="7"/>
                <w:color w:val="auto"/>
              </w:rPr>
            </w:pPr>
          </w:p>
        </w:tc>
        <w:tc>
          <w:tcPr>
            <w:tcW w:w="280" w:type="dxa"/>
            <w:vAlign w:val="bottom"/>
          </w:tcPr>
          <w:p>
            <w:pPr>
              <w:spacing w:after="0"/>
              <w:rPr>
                <w:sz w:val="7"/>
                <w:szCs w:val="7"/>
                <w:color w:val="auto"/>
              </w:rPr>
            </w:pPr>
          </w:p>
        </w:tc>
        <w:tc>
          <w:tcPr>
            <w:tcW w:w="20" w:type="dxa"/>
            <w:vAlign w:val="bottom"/>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00" w:type="dxa"/>
            <w:vAlign w:val="bottom"/>
          </w:tcPr>
          <w:p>
            <w:pPr>
              <w:spacing w:after="0"/>
              <w:rPr>
                <w:sz w:val="7"/>
                <w:szCs w:val="7"/>
                <w:color w:val="auto"/>
              </w:rPr>
            </w:pPr>
          </w:p>
        </w:tc>
        <w:tc>
          <w:tcPr>
            <w:tcW w:w="100" w:type="dxa"/>
            <w:vAlign w:val="bottom"/>
            <w:tcBorders>
              <w:bottom w:val="single" w:sz="8" w:color="auto"/>
            </w:tcBorders>
          </w:tcPr>
          <w:p>
            <w:pPr>
              <w:spacing w:after="0"/>
              <w:rPr>
                <w:sz w:val="7"/>
                <w:szCs w:val="7"/>
                <w:color w:val="auto"/>
              </w:rPr>
            </w:pPr>
          </w:p>
        </w:tc>
        <w:tc>
          <w:tcPr>
            <w:tcW w:w="380" w:type="dxa"/>
            <w:vAlign w:val="bottom"/>
            <w:tcBorders>
              <w:bottom w:val="single" w:sz="8" w:color="auto"/>
            </w:tcBorders>
          </w:tcPr>
          <w:p>
            <w:pPr>
              <w:spacing w:after="0"/>
              <w:rPr>
                <w:sz w:val="7"/>
                <w:szCs w:val="7"/>
                <w:color w:val="auto"/>
              </w:rPr>
            </w:pPr>
          </w:p>
        </w:tc>
        <w:tc>
          <w:tcPr>
            <w:tcW w:w="320" w:type="dxa"/>
            <w:vAlign w:val="bottom"/>
          </w:tcPr>
          <w:p>
            <w:pPr>
              <w:spacing w:after="0"/>
              <w:rPr>
                <w:sz w:val="7"/>
                <w:szCs w:val="7"/>
                <w:color w:val="auto"/>
              </w:rPr>
            </w:pPr>
          </w:p>
        </w:tc>
        <w:tc>
          <w:tcPr>
            <w:tcW w:w="140" w:type="dxa"/>
            <w:vAlign w:val="bottom"/>
            <w:tcBorders>
              <w:bottom w:val="single" w:sz="8" w:color="auto"/>
            </w:tcBorders>
          </w:tcPr>
          <w:p>
            <w:pPr>
              <w:spacing w:after="0"/>
              <w:rPr>
                <w:sz w:val="7"/>
                <w:szCs w:val="7"/>
                <w:color w:val="auto"/>
              </w:rPr>
            </w:pPr>
          </w:p>
        </w:tc>
        <w:tc>
          <w:tcPr>
            <w:tcW w:w="660" w:type="dxa"/>
            <w:vAlign w:val="bottom"/>
            <w:tcBorders>
              <w:bottom w:val="single" w:sz="8" w:color="auto"/>
            </w:tcBorders>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210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22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22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320" w:type="dxa"/>
            <w:vAlign w:val="bottom"/>
          </w:tcPr>
          <w:p>
            <w:pPr>
              <w:spacing w:after="0"/>
              <w:rPr>
                <w:sz w:val="8"/>
                <w:szCs w:val="8"/>
                <w:color w:val="auto"/>
              </w:rPr>
            </w:pPr>
          </w:p>
        </w:tc>
        <w:tc>
          <w:tcPr>
            <w:tcW w:w="12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 w:type="dxa"/>
            <w:vAlign w:val="bottom"/>
          </w:tcPr>
          <w:p>
            <w:pPr>
              <w:spacing w:after="0"/>
              <w:rPr>
                <w:sz w:val="8"/>
                <w:szCs w:val="8"/>
                <w:color w:val="auto"/>
              </w:rPr>
            </w:pPr>
          </w:p>
        </w:tc>
        <w:tc>
          <w:tcPr>
            <w:tcW w:w="2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100" w:type="dxa"/>
            <w:vAlign w:val="bottom"/>
          </w:tcPr>
          <w:p>
            <w:pPr>
              <w:spacing w:after="0"/>
              <w:rPr>
                <w:sz w:val="8"/>
                <w:szCs w:val="8"/>
                <w:color w:val="auto"/>
              </w:rPr>
            </w:pPr>
          </w:p>
        </w:tc>
        <w:tc>
          <w:tcPr>
            <w:tcW w:w="3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20" w:type="dxa"/>
            <w:vAlign w:val="bottom"/>
            <w:vMerge w:val="continue"/>
          </w:tcPr>
          <w:p>
            <w:pPr>
              <w:spacing w:after="0"/>
              <w:rPr>
                <w:sz w:val="12"/>
                <w:szCs w:val="12"/>
                <w:color w:val="auto"/>
              </w:rPr>
            </w:pPr>
          </w:p>
        </w:tc>
        <w:tc>
          <w:tcPr>
            <w:tcW w:w="210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Balance at December 31, 2001</w:t>
            </w: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16,394</w:t>
            </w:r>
          </w:p>
        </w:tc>
        <w:tc>
          <w:tcPr>
            <w:tcW w:w="220" w:type="dxa"/>
            <w:vAlign w:val="bottom"/>
            <w:shd w:val="clear" w:color="auto" w:fill="CCEEFF"/>
          </w:tcPr>
          <w:p>
            <w:pPr>
              <w:spacing w:after="0"/>
              <w:rPr>
                <w:sz w:val="12"/>
                <w:szCs w:val="12"/>
                <w:color w:val="auto"/>
              </w:rPr>
            </w:pPr>
          </w:p>
        </w:tc>
        <w:tc>
          <w:tcPr>
            <w:tcW w:w="5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94"/>
              </w:rPr>
              <w:t>$50,047</w:t>
            </w:r>
          </w:p>
        </w:tc>
        <w:tc>
          <w:tcPr>
            <w:tcW w:w="22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8,704</w:t>
            </w:r>
          </w:p>
        </w:tc>
        <w:tc>
          <w:tcPr>
            <w:tcW w:w="640" w:type="dxa"/>
            <w:vAlign w:val="bottom"/>
            <w:gridSpan w:val="2"/>
            <w:shd w:val="clear" w:color="auto" w:fill="CCEEFF"/>
          </w:tcPr>
          <w:p>
            <w:pPr>
              <w:jc w:val="right"/>
              <w:ind w:right="272"/>
              <w:spacing w:after="0" w:line="149" w:lineRule="exact"/>
              <w:rPr>
                <w:sz w:val="20"/>
                <w:szCs w:val="20"/>
                <w:color w:val="auto"/>
              </w:rPr>
            </w:pPr>
            <w:r>
              <w:rPr>
                <w:rFonts w:ascii="Arial" w:cs="Arial" w:eastAsia="Arial" w:hAnsi="Arial"/>
                <w:sz w:val="14"/>
                <w:szCs w:val="14"/>
                <w:color w:val="auto"/>
              </w:rPr>
              <w:t>$</w:t>
            </w:r>
          </w:p>
        </w:tc>
        <w:tc>
          <w:tcPr>
            <w:tcW w:w="8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8</w:t>
            </w:r>
          </w:p>
        </w:tc>
        <w:tc>
          <w:tcPr>
            <w:tcW w:w="2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w w:val="76"/>
              </w:rPr>
              <w:t>$</w:t>
            </w:r>
          </w:p>
        </w:tc>
        <w:tc>
          <w:tcPr>
            <w:tcW w:w="54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14,946</w:t>
            </w:r>
          </w:p>
        </w:tc>
        <w:tc>
          <w:tcPr>
            <w:tcW w:w="3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80" w:type="dxa"/>
            <w:vAlign w:val="bottom"/>
            <w:gridSpan w:val="2"/>
            <w:shd w:val="clear" w:color="auto" w:fill="CCEEFF"/>
          </w:tcPr>
          <w:p>
            <w:pPr>
              <w:jc w:val="right"/>
              <w:ind w:right="20"/>
              <w:spacing w:after="0" w:line="149" w:lineRule="exact"/>
              <w:rPr>
                <w:sz w:val="20"/>
                <w:szCs w:val="20"/>
                <w:color w:val="auto"/>
              </w:rPr>
            </w:pPr>
            <w:r>
              <w:rPr>
                <w:rFonts w:ascii="Arial" w:cs="Arial" w:eastAsia="Arial" w:hAnsi="Arial"/>
                <w:sz w:val="14"/>
                <w:szCs w:val="14"/>
                <w:color w:val="auto"/>
              </w:rPr>
              <w:t>(1,162)</w:t>
            </w:r>
          </w:p>
        </w:tc>
        <w:tc>
          <w:tcPr>
            <w:tcW w:w="380" w:type="dxa"/>
            <w:vAlign w:val="bottom"/>
            <w:gridSpan w:val="2"/>
            <w:shd w:val="clear" w:color="auto" w:fill="CCEEFF"/>
          </w:tcPr>
          <w:p>
            <w:pPr>
              <w:ind w:left="240"/>
              <w:spacing w:after="0" w:line="149" w:lineRule="exact"/>
              <w:rPr>
                <w:sz w:val="20"/>
                <w:szCs w:val="20"/>
                <w:color w:val="auto"/>
              </w:rPr>
            </w:pPr>
            <w:r>
              <w:rPr>
                <w:rFonts w:ascii="Arial" w:cs="Arial" w:eastAsia="Arial" w:hAnsi="Arial"/>
                <w:sz w:val="14"/>
                <w:szCs w:val="14"/>
                <w:color w:val="auto"/>
              </w:rPr>
              <w:t>$</w:t>
            </w:r>
          </w:p>
        </w:tc>
        <w:tc>
          <w:tcPr>
            <w:tcW w:w="92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(54,600)</w:t>
            </w:r>
          </w:p>
        </w:tc>
        <w:tc>
          <w:tcPr>
            <w:tcW w:w="8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40" w:type="dxa"/>
            <w:vAlign w:val="bottom"/>
            <w:gridSpan w:val="2"/>
            <w:shd w:val="clear" w:color="auto" w:fill="CCEEFF"/>
          </w:tcPr>
          <w:p>
            <w:pPr>
              <w:jc w:val="right"/>
              <w:ind w:right="240"/>
              <w:spacing w:after="0" w:line="149" w:lineRule="exact"/>
              <w:rPr>
                <w:sz w:val="20"/>
                <w:szCs w:val="20"/>
                <w:color w:val="auto"/>
              </w:rPr>
            </w:pPr>
            <w:r>
              <w:rPr>
                <w:rFonts w:ascii="Arial" w:cs="Arial" w:eastAsia="Arial" w:hAnsi="Arial"/>
                <w:sz w:val="14"/>
                <w:szCs w:val="14"/>
                <w:color w:val="auto"/>
              </w:rPr>
              <w:t>(1,053)</w:t>
            </w:r>
          </w:p>
        </w:tc>
        <w:tc>
          <w:tcPr>
            <w:tcW w:w="20" w:type="dxa"/>
            <w:vAlign w:val="bottom"/>
            <w:shd w:val="clear" w:color="auto" w:fill="CCEEFF"/>
          </w:tcPr>
          <w:p>
            <w:pPr>
              <w:spacing w:after="0"/>
              <w:rPr>
                <w:sz w:val="12"/>
                <w:szCs w:val="12"/>
                <w:color w:val="auto"/>
              </w:rPr>
            </w:pPr>
          </w:p>
        </w:tc>
        <w:tc>
          <w:tcPr>
            <w:tcW w:w="68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rPr>
              <w:t>(767)</w:t>
            </w:r>
          </w:p>
        </w:tc>
        <w:tc>
          <w:tcPr>
            <w:tcW w:w="10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00" w:type="dxa"/>
            <w:vAlign w:val="bottom"/>
            <w:gridSpan w:val="2"/>
            <w:shd w:val="clear" w:color="auto" w:fill="CCEEFF"/>
          </w:tcPr>
          <w:p>
            <w:pPr>
              <w:jc w:val="right"/>
              <w:ind w:right="260"/>
              <w:spacing w:after="0" w:line="149" w:lineRule="exact"/>
              <w:rPr>
                <w:sz w:val="20"/>
                <w:szCs w:val="20"/>
                <w:color w:val="auto"/>
              </w:rPr>
            </w:pPr>
            <w:r>
              <w:rPr>
                <w:rFonts w:ascii="Arial" w:cs="Arial" w:eastAsia="Arial" w:hAnsi="Arial"/>
                <w:sz w:val="14"/>
                <w:szCs w:val="14"/>
                <w:color w:val="auto"/>
                <w:w w:val="94"/>
              </w:rPr>
              <w:t>(1,201)</w:t>
            </w:r>
          </w:p>
        </w:tc>
        <w:tc>
          <w:tcPr>
            <w:tcW w:w="14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w:t>
            </w:r>
          </w:p>
        </w:tc>
        <w:tc>
          <w:tcPr>
            <w:tcW w:w="720" w:type="dxa"/>
            <w:vAlign w:val="bottom"/>
            <w:gridSpan w:val="2"/>
            <w:shd w:val="clear" w:color="auto" w:fill="CCEEFF"/>
          </w:tcPr>
          <w:p>
            <w:pPr>
              <w:jc w:val="right"/>
              <w:spacing w:after="0" w:line="149" w:lineRule="exact"/>
              <w:rPr>
                <w:sz w:val="20"/>
                <w:szCs w:val="20"/>
                <w:color w:val="auto"/>
              </w:rPr>
            </w:pPr>
            <w:r>
              <w:rPr>
                <w:rFonts w:ascii="Arial" w:cs="Arial" w:eastAsia="Arial" w:hAnsi="Arial"/>
                <w:sz w:val="14"/>
                <w:szCs w:val="14"/>
                <w:color w:val="auto"/>
              </w:rPr>
              <w:t>(43,062)</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4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1649730</wp:posOffset>
            </wp:positionH>
            <wp:positionV relativeFrom="paragraph">
              <wp:posOffset>-29210</wp:posOffset>
            </wp:positionV>
            <wp:extent cx="12700"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1341120</wp:posOffset>
            </wp:positionH>
            <wp:positionV relativeFrom="paragraph">
              <wp:posOffset>-29210</wp:posOffset>
            </wp:positionV>
            <wp:extent cx="12700"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1804035</wp:posOffset>
            </wp:positionH>
            <wp:positionV relativeFrom="paragraph">
              <wp:posOffset>-29210</wp:posOffset>
            </wp:positionV>
            <wp:extent cx="12700" cy="298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2104390</wp:posOffset>
            </wp:positionH>
            <wp:positionV relativeFrom="paragraph">
              <wp:posOffset>-29210</wp:posOffset>
            </wp:positionV>
            <wp:extent cx="12700" cy="298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1863725</wp:posOffset>
            </wp:positionH>
            <wp:positionV relativeFrom="paragraph">
              <wp:posOffset>-29210</wp:posOffset>
            </wp:positionV>
            <wp:extent cx="21590" cy="298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2567305</wp:posOffset>
            </wp:positionH>
            <wp:positionV relativeFrom="paragraph">
              <wp:posOffset>-29210</wp:posOffset>
            </wp:positionV>
            <wp:extent cx="12700" cy="298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2258695</wp:posOffset>
            </wp:positionH>
            <wp:positionV relativeFrom="paragraph">
              <wp:posOffset>-29210</wp:posOffset>
            </wp:positionV>
            <wp:extent cx="12700"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2721610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3021965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2790190</wp:posOffset>
            </wp:positionH>
            <wp:positionV relativeFrom="paragraph">
              <wp:posOffset>-29210</wp:posOffset>
            </wp:positionV>
            <wp:extent cx="21590"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3176270</wp:posOffset>
            </wp:positionH>
            <wp:positionV relativeFrom="paragraph">
              <wp:posOffset>-29210</wp:posOffset>
            </wp:positionV>
            <wp:extent cx="12700" cy="298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3218815</wp:posOffset>
            </wp:positionH>
            <wp:positionV relativeFrom="paragraph">
              <wp:posOffset>-29210</wp:posOffset>
            </wp:positionV>
            <wp:extent cx="21590"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3561715</wp:posOffset>
            </wp:positionH>
            <wp:positionV relativeFrom="paragraph">
              <wp:posOffset>-29210</wp:posOffset>
            </wp:positionV>
            <wp:extent cx="38735"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3768090</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3844925</wp:posOffset>
            </wp:positionH>
            <wp:positionV relativeFrom="paragraph">
              <wp:posOffset>-29210</wp:posOffset>
            </wp:positionV>
            <wp:extent cx="21590"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4290695</wp:posOffset>
            </wp:positionH>
            <wp:positionV relativeFrom="paragraph">
              <wp:posOffset>-29210</wp:posOffset>
            </wp:positionV>
            <wp:extent cx="3873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-29210</wp:posOffset>
            </wp:positionV>
            <wp:extent cx="12700"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4548505</wp:posOffset>
            </wp:positionH>
            <wp:positionV relativeFrom="paragraph">
              <wp:posOffset>-29210</wp:posOffset>
            </wp:positionV>
            <wp:extent cx="21590"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-29210</wp:posOffset>
            </wp:positionV>
            <wp:extent cx="3873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5165725</wp:posOffset>
            </wp:positionH>
            <wp:positionV relativeFrom="paragraph">
              <wp:posOffset>-29210</wp:posOffset>
            </wp:positionV>
            <wp:extent cx="12700"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5217160</wp:posOffset>
            </wp:positionH>
            <wp:positionV relativeFrom="paragraph">
              <wp:posOffset>-29210</wp:posOffset>
            </wp:positionV>
            <wp:extent cx="21590"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-29210</wp:posOffset>
            </wp:positionV>
            <wp:extent cx="3873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5757545</wp:posOffset>
            </wp:positionH>
            <wp:positionV relativeFrom="paragraph">
              <wp:posOffset>-29210</wp:posOffset>
            </wp:positionV>
            <wp:extent cx="12700"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5997575</wp:posOffset>
            </wp:positionH>
            <wp:positionV relativeFrom="paragraph">
              <wp:posOffset>-29210</wp:posOffset>
            </wp:positionV>
            <wp:extent cx="3873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6195060</wp:posOffset>
            </wp:positionH>
            <wp:positionV relativeFrom="paragraph">
              <wp:posOffset>-29210</wp:posOffset>
            </wp:positionV>
            <wp:extent cx="12700"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6229350</wp:posOffset>
            </wp:positionH>
            <wp:positionV relativeFrom="paragraph">
              <wp:posOffset>-29210</wp:posOffset>
            </wp:positionV>
            <wp:extent cx="21590"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3873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6709410</wp:posOffset>
            </wp:positionH>
            <wp:positionV relativeFrom="paragraph">
              <wp:posOffset>-29210</wp:posOffset>
            </wp:positionV>
            <wp:extent cx="12700"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6769100</wp:posOffset>
            </wp:positionH>
            <wp:positionV relativeFrom="paragraph">
              <wp:posOffset>-29210</wp:posOffset>
            </wp:positionV>
            <wp:extent cx="21590"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7206615</wp:posOffset>
            </wp:positionH>
            <wp:positionV relativeFrom="paragraph">
              <wp:posOffset>-29210</wp:posOffset>
            </wp:positionV>
            <wp:extent cx="3873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418" w:right="239" w:bottom="1440" w:gutter="0" w:footer="0" w:header="0"/>
        </w:sectPr>
      </w:pPr>
    </w:p>
    <w:bookmarkStart w:id="9" w:name="page10"/>
    <w:bookmarkEnd w:id="9"/>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67575" cy="27940"/>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b w:val="1"/>
          <w:bCs w:val="1"/>
          <w:color w:val="auto"/>
        </w:rPr>
        <w:t>Silicon Energy Corp.</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Consolidated Statements of Cash Flows</w:t>
      </w:r>
    </w:p>
    <w:p>
      <w:pPr>
        <w:spacing w:after="0"/>
        <w:rPr>
          <w:sz w:val="20"/>
          <w:szCs w:val="20"/>
          <w:color w:val="auto"/>
        </w:rPr>
      </w:pPr>
      <w:r>
        <w:rPr>
          <w:rFonts w:ascii="Arial" w:cs="Arial" w:eastAsia="Arial" w:hAnsi="Arial"/>
          <w:sz w:val="18"/>
          <w:szCs w:val="18"/>
          <w:b w:val="1"/>
          <w:bCs w:val="1"/>
          <w:color w:val="auto"/>
        </w:rPr>
        <w:t>(in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8" w:lineRule="exact"/>
        <w:rPr>
          <w:sz w:val="20"/>
          <w:szCs w:val="20"/>
          <w:color w:val="auto"/>
        </w:rPr>
      </w:pPr>
    </w:p>
    <w:p>
      <w:pPr>
        <w:ind w:left="10140"/>
        <w:spacing w:after="0"/>
        <w:rPr>
          <w:sz w:val="20"/>
          <w:szCs w:val="20"/>
          <w:color w:val="auto"/>
        </w:rPr>
      </w:pPr>
      <w:r>
        <w:rPr>
          <w:rFonts w:ascii="Arial" w:cs="Arial" w:eastAsia="Arial" w:hAnsi="Arial"/>
          <w:sz w:val="14"/>
          <w:szCs w:val="14"/>
          <w:b w:val="1"/>
          <w:bCs w:val="1"/>
          <w:color w:val="auto"/>
        </w:rPr>
        <w:t>Years Ended</w:t>
      </w:r>
    </w:p>
    <w:p>
      <w:pPr>
        <w:spacing w:after="0" w:line="1" w:lineRule="exact"/>
        <w:rPr>
          <w:sz w:val="20"/>
          <w:szCs w:val="20"/>
          <w:color w:val="auto"/>
        </w:rPr>
      </w:pPr>
    </w:p>
    <w:p>
      <w:pPr>
        <w:ind w:left="101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6128385</wp:posOffset>
            </wp:positionH>
            <wp:positionV relativeFrom="paragraph">
              <wp:posOffset>60325</wp:posOffset>
            </wp:positionV>
            <wp:extent cx="108077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080770" cy="8890"/>
                    </a:xfrm>
                    <a:prstGeom prst="rect">
                      <a:avLst/>
                    </a:prstGeom>
                    <a:noFill/>
                  </pic:spPr>
                </pic:pic>
              </a:graphicData>
            </a:graphic>
          </wp:anchor>
        </w:drawing>
      </w:r>
    </w:p>
    <w:p>
      <w:pPr>
        <w:spacing w:after="0" w:line="1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9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tcPr>
          <w:p>
            <w:pPr>
              <w:jc w:val="right"/>
              <w:ind w:right="93"/>
              <w:spacing w:after="0"/>
              <w:rPr>
                <w:sz w:val="20"/>
                <w:szCs w:val="20"/>
                <w:color w:val="auto"/>
              </w:rPr>
            </w:pPr>
            <w:r>
              <w:rPr>
                <w:rFonts w:ascii="Arial" w:cs="Arial" w:eastAsia="Arial" w:hAnsi="Arial"/>
                <w:sz w:val="14"/>
                <w:szCs w:val="14"/>
                <w:b w:val="1"/>
                <w:bCs w:val="1"/>
                <w:color w:val="auto"/>
              </w:rPr>
              <w:t>2001</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113"/>
              <w:spacing w:after="0"/>
              <w:rPr>
                <w:sz w:val="20"/>
                <w:szCs w:val="20"/>
                <w:color w:val="auto"/>
              </w:rPr>
            </w:pPr>
            <w:r>
              <w:rPr>
                <w:rFonts w:ascii="Arial" w:cs="Arial" w:eastAsia="Arial" w:hAnsi="Arial"/>
                <w:sz w:val="14"/>
                <w:szCs w:val="14"/>
                <w:b w:val="1"/>
                <w:bCs w:val="1"/>
                <w:color w:val="auto"/>
              </w:rPr>
              <w:t>2000</w:t>
            </w:r>
          </w:p>
        </w:tc>
        <w:tc>
          <w:tcPr>
            <w:tcW w:w="60" w:type="dxa"/>
            <w:vAlign w:val="bottom"/>
          </w:tcPr>
          <w:p>
            <w:pPr>
              <w:spacing w:after="0"/>
              <w:rPr>
                <w:sz w:val="15"/>
                <w:szCs w:val="15"/>
                <w:color w:val="auto"/>
              </w:rPr>
            </w:pPr>
          </w:p>
        </w:tc>
      </w:tr>
      <w:tr>
        <w:trPr>
          <w:trHeight w:val="95"/>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w w:val="89"/>
              </w:rPr>
              <w:t>(18,331)</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(27,782)</w:t>
            </w: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Non-cash discount on common stock and warrants issued below deemed fair value offset against related revenue</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405</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740</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Depreciation and amortization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924</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Stock-based compensation</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1,583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2443</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Amortization of financing costs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Amortization of intangibles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774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368</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Gain on sale of short-term investments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Warrant related to non-cash marketing expense</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341</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Warrant related to non-cash interest expense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400"/>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Accounts receivable, net</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(3,549)</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(2,800)</w:t>
            </w:r>
          </w:p>
        </w:tc>
      </w:tr>
      <w:tr>
        <w:trPr>
          <w:trHeight w:val="216"/>
        </w:trPr>
        <w:tc>
          <w:tcPr>
            <w:tcW w:w="9660" w:type="dxa"/>
            <w:vAlign w:val="bottom"/>
            <w:gridSpan w:val="2"/>
          </w:tcPr>
          <w:p>
            <w:pPr>
              <w:ind w:left="580"/>
              <w:spacing w:after="0"/>
              <w:rPr>
                <w:sz w:val="20"/>
                <w:szCs w:val="20"/>
                <w:color w:val="auto"/>
              </w:rPr>
            </w:pPr>
            <w:r>
              <w:rPr>
                <w:rFonts w:ascii="Arial" w:cs="Arial" w:eastAsia="Arial" w:hAnsi="Arial"/>
                <w:sz w:val="18"/>
                <w:szCs w:val="18"/>
                <w:color w:val="auto"/>
              </w:rPr>
              <w:t>Costs in excess of billings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87</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(129)</w:t>
            </w:r>
          </w:p>
        </w:tc>
      </w:tr>
      <w:tr>
        <w:trPr>
          <w:trHeight w:val="216"/>
        </w:trPr>
        <w:tc>
          <w:tcPr>
            <w:tcW w:w="96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Prepaid expenses and other current assets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(1,551)</w:t>
            </w:r>
          </w:p>
        </w:tc>
      </w:tr>
      <w:tr>
        <w:trPr>
          <w:trHeight w:val="216"/>
        </w:trPr>
        <w:tc>
          <w:tcPr>
            <w:tcW w:w="9660" w:type="dxa"/>
            <w:vAlign w:val="bottom"/>
            <w:gridSpan w:val="2"/>
          </w:tcPr>
          <w:p>
            <w:pPr>
              <w:ind w:left="58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1,202</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(1,247)</w:t>
            </w:r>
          </w:p>
        </w:tc>
      </w:tr>
      <w:tr>
        <w:trPr>
          <w:trHeight w:val="216"/>
        </w:trPr>
        <w:tc>
          <w:tcPr>
            <w:tcW w:w="96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(1,339)</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1,753</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580"/>
              <w:spacing w:after="0"/>
              <w:rPr>
                <w:sz w:val="20"/>
                <w:szCs w:val="20"/>
                <w:color w:val="auto"/>
              </w:rPr>
            </w:pPr>
            <w:r>
              <w:rPr>
                <w:rFonts w:ascii="Arial" w:cs="Arial" w:eastAsia="Arial" w:hAnsi="Arial"/>
                <w:sz w:val="18"/>
                <w:szCs w:val="18"/>
                <w:color w:val="auto"/>
              </w:rPr>
              <w:t>Accrued and other current liabilities</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(926)</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4,135</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Deferred revenue</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6,079</w:t>
            </w:r>
          </w:p>
        </w:tc>
        <w:tc>
          <w:tcPr>
            <w:tcW w:w="60" w:type="dxa"/>
            <w:vAlign w:val="bottom"/>
            <w:shd w:val="clear" w:color="auto" w:fill="CCEEFF"/>
          </w:tcPr>
          <w:p>
            <w:pPr>
              <w:spacing w:after="0"/>
              <w:rPr>
                <w:sz w:val="18"/>
                <w:szCs w:val="18"/>
                <w:color w:val="auto"/>
              </w:rPr>
            </w:pPr>
          </w:p>
        </w:tc>
      </w:tr>
      <w:tr>
        <w:trPr>
          <w:trHeight w:val="222"/>
        </w:trPr>
        <w:tc>
          <w:tcPr>
            <w:tcW w:w="9660" w:type="dxa"/>
            <w:vAlign w:val="bottom"/>
            <w:gridSpan w:val="2"/>
          </w:tcPr>
          <w:p>
            <w:pPr>
              <w:ind w:left="580"/>
              <w:spacing w:after="0"/>
              <w:rPr>
                <w:sz w:val="20"/>
                <w:szCs w:val="20"/>
                <w:color w:val="auto"/>
              </w:rPr>
            </w:pPr>
            <w:r>
              <w:rPr>
                <w:rFonts w:ascii="Arial" w:cs="Arial" w:eastAsia="Arial" w:hAnsi="Arial"/>
                <w:sz w:val="18"/>
                <w:szCs w:val="18"/>
                <w:color w:val="auto"/>
              </w:rPr>
              <w:t>Other liabilities</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569</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60</w:t>
            </w:r>
          </w:p>
        </w:tc>
        <w:tc>
          <w:tcPr>
            <w:tcW w:w="60" w:type="dxa"/>
            <w:vAlign w:val="bottom"/>
          </w:tcPr>
          <w:p>
            <w:pPr>
              <w:spacing w:after="0"/>
              <w:rPr>
                <w:sz w:val="19"/>
                <w:szCs w:val="19"/>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9"/>
              </w:rPr>
              <w:t>(15,654)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(16,542)</w:t>
            </w: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69"/>
        </w:trPr>
        <w:tc>
          <w:tcPr>
            <w:tcW w:w="9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Purchases of short-term investments</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(2,064)</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w w:val="89"/>
              </w:rPr>
              <w:t>(15,227)</w:t>
            </w: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sales of short-term investments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17,530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3,016</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Purchases of property and equipment</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(1,468)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(2,806)</w:t>
            </w: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Increase in restricted cash equivalents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Acquisition of ECI, SRC and EPS, net of acquired cash</w:t>
            </w:r>
          </w:p>
        </w:tc>
        <w:tc>
          <w:tcPr>
            <w:tcW w:w="80" w:type="dxa"/>
            <w:vAlign w:val="bottom"/>
          </w:tcPr>
          <w:p>
            <w:pPr>
              <w:spacing w:after="0"/>
              <w:rPr>
                <w:sz w:val="19"/>
                <w:szCs w:val="19"/>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(771)</w:t>
            </w: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Net cash provided by (used in) investing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13,894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(15,788)</w:t>
            </w: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69"/>
        </w:trPr>
        <w:tc>
          <w:tcPr>
            <w:tcW w:w="9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Proceeds from issuance of redeemable convertible preferred stock, net of issuance costs</w:t>
            </w:r>
          </w:p>
        </w:tc>
        <w:tc>
          <w:tcPr>
            <w:tcW w:w="80" w:type="dxa"/>
            <w:vAlign w:val="bottom"/>
          </w:tcPr>
          <w:p>
            <w:pPr>
              <w:spacing w:after="0"/>
              <w:rPr>
                <w:sz w:val="18"/>
                <w:szCs w:val="18"/>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24,924</w:t>
            </w:r>
          </w:p>
        </w:tc>
        <w:tc>
          <w:tcPr>
            <w:tcW w:w="60" w:type="dxa"/>
            <w:vAlign w:val="bottom"/>
          </w:tcPr>
          <w:p>
            <w:pPr>
              <w:spacing w:after="0"/>
              <w:rPr>
                <w:sz w:val="18"/>
                <w:szCs w:val="18"/>
                <w:color w:val="auto"/>
              </w:rPr>
            </w:pP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issuance of common stock, net of issuance costs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6,123</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Issuance of note receivable to officer</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common stock from officer</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Repayment of capital lease obligations</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(158)</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(200)</w:t>
            </w: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Proceeds from bank borrowings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1,168</w:t>
            </w:r>
          </w:p>
        </w:tc>
        <w:tc>
          <w:tcPr>
            <w:tcW w:w="60" w:type="dxa"/>
            <w:vAlign w:val="bottom"/>
            <w:shd w:val="clear" w:color="auto" w:fill="CCEEFF"/>
          </w:tcPr>
          <w:p>
            <w:pPr>
              <w:spacing w:after="0"/>
              <w:rPr>
                <w:sz w:val="18"/>
                <w:szCs w:val="18"/>
                <w:color w:val="auto"/>
              </w:rPr>
            </w:pPr>
          </w:p>
        </w:tc>
      </w:tr>
      <w:tr>
        <w:trPr>
          <w:trHeight w:val="216"/>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Repayment of bank borrowings</w:t>
            </w:r>
          </w:p>
        </w:tc>
        <w:tc>
          <w:tcPr>
            <w:tcW w:w="80" w:type="dxa"/>
            <w:vAlign w:val="bottom"/>
          </w:tcPr>
          <w:p>
            <w:pPr>
              <w:spacing w:after="0"/>
              <w:rPr>
                <w:sz w:val="18"/>
                <w:szCs w:val="18"/>
                <w:color w:val="auto"/>
              </w:rPr>
            </w:pPr>
          </w:p>
        </w:tc>
        <w:tc>
          <w:tcPr>
            <w:tcW w:w="960" w:type="dxa"/>
            <w:vAlign w:val="bottom"/>
            <w:gridSpan w:val="2"/>
          </w:tcPr>
          <w:p>
            <w:pPr>
              <w:jc w:val="right"/>
              <w:ind w:right="340"/>
              <w:spacing w:after="0"/>
              <w:rPr>
                <w:sz w:val="20"/>
                <w:szCs w:val="20"/>
                <w:color w:val="auto"/>
              </w:rPr>
            </w:pPr>
            <w:r>
              <w:rPr>
                <w:rFonts w:ascii="Arial" w:cs="Arial" w:eastAsia="Arial" w:hAnsi="Arial"/>
                <w:sz w:val="18"/>
                <w:szCs w:val="18"/>
                <w:color w:val="auto"/>
              </w:rPr>
              <w:t>(645)</w:t>
            </w:r>
          </w:p>
        </w:tc>
        <w:tc>
          <w:tcPr>
            <w:tcW w:w="100" w:type="dxa"/>
            <w:vAlign w:val="bottom"/>
          </w:tcPr>
          <w:p>
            <w:pPr>
              <w:spacing w:after="0"/>
              <w:rPr>
                <w:sz w:val="18"/>
                <w:szCs w:val="18"/>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color w:val="auto"/>
              </w:rPr>
              <w:t>(595)</w:t>
            </w: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Repayment of debt assumed in ECI, SRC and EPS acquisitions</w:t>
            </w:r>
          </w:p>
        </w:tc>
        <w:tc>
          <w:tcPr>
            <w:tcW w:w="8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(1,076)</w:t>
            </w:r>
          </w:p>
        </w:tc>
      </w:tr>
      <w:tr>
        <w:trPr>
          <w:trHeight w:val="222"/>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Proceeds from exercised stock options, net of repurchased unvested common stock upon termination</w:t>
            </w:r>
          </w:p>
        </w:tc>
        <w:tc>
          <w:tcPr>
            <w:tcW w:w="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57</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327</w:t>
            </w:r>
          </w:p>
        </w:tc>
        <w:tc>
          <w:tcPr>
            <w:tcW w:w="60" w:type="dxa"/>
            <w:vAlign w:val="bottom"/>
          </w:tcPr>
          <w:p>
            <w:pPr>
              <w:spacing w:after="0"/>
              <w:rPr>
                <w:sz w:val="19"/>
                <w:szCs w:val="19"/>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Net cash provided by financing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29,671</w:t>
            </w:r>
          </w:p>
        </w:tc>
        <w:tc>
          <w:tcPr>
            <w:tcW w:w="60" w:type="dxa"/>
            <w:vAlign w:val="bottom"/>
            <w:shd w:val="clear" w:color="auto" w:fill="CCEEFF"/>
          </w:tcPr>
          <w:p>
            <w:pPr>
              <w:spacing w:after="0"/>
              <w:rPr>
                <w:sz w:val="18"/>
                <w:szCs w:val="18"/>
                <w:color w:val="auto"/>
              </w:rPr>
            </w:pPr>
          </w:p>
        </w:tc>
      </w:tr>
      <w:tr>
        <w:trPr>
          <w:trHeight w:val="108"/>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780"/>
              <w:spacing w:after="0"/>
              <w:rPr>
                <w:sz w:val="20"/>
                <w:szCs w:val="20"/>
                <w:color w:val="auto"/>
              </w:rPr>
            </w:pPr>
            <w:r>
              <w:rPr>
                <w:rFonts w:ascii="Arial" w:cs="Arial" w:eastAsia="Arial" w:hAnsi="Arial"/>
                <w:sz w:val="18"/>
                <w:szCs w:val="18"/>
                <w:color w:val="auto"/>
              </w:rPr>
              <w:t>Net increase (decrease) in cash and cash equivalents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(2,659)</w:t>
            </w:r>
          </w:p>
        </w:tc>
      </w:tr>
      <w:tr>
        <w:trPr>
          <w:trHeight w:val="322"/>
        </w:trPr>
        <w:tc>
          <w:tcPr>
            <w:tcW w:w="9660" w:type="dxa"/>
            <w:vAlign w:val="bottom"/>
            <w:gridSpan w:val="2"/>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5,181</w:t>
            </w: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7,840</w:t>
            </w:r>
          </w:p>
        </w:tc>
        <w:tc>
          <w:tcPr>
            <w:tcW w:w="60" w:type="dxa"/>
            <w:vAlign w:val="bottom"/>
          </w:tcPr>
          <w:p>
            <w:pPr>
              <w:spacing w:after="0"/>
              <w:rPr>
                <w:sz w:val="24"/>
                <w:szCs w:val="24"/>
                <w:color w:val="auto"/>
              </w:rPr>
            </w:pPr>
          </w:p>
        </w:tc>
      </w:tr>
      <w:tr>
        <w:trPr>
          <w:trHeight w:val="110"/>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6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60" w:type="dxa"/>
            <w:vAlign w:val="bottom"/>
            <w:shd w:val="clear" w:color="auto" w:fill="CCEEFF"/>
          </w:tcPr>
          <w:p>
            <w:pPr>
              <w:spacing w:after="0"/>
              <w:rPr>
                <w:sz w:val="18"/>
                <w:szCs w:val="18"/>
                <w:color w:val="auto"/>
              </w:rPr>
            </w:pPr>
          </w:p>
        </w:tc>
      </w:tr>
      <w:tr>
        <w:trPr>
          <w:trHeight w:val="132"/>
        </w:trPr>
        <w:tc>
          <w:tcPr>
            <w:tcW w:w="9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2"/>
        </w:trPr>
        <w:tc>
          <w:tcPr>
            <w:tcW w:w="9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2"/>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Exercise of stock options in exchange for notes receivable from officers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1,053</w:t>
            </w:r>
          </w:p>
        </w:tc>
        <w:tc>
          <w:tcPr>
            <w:tcW w:w="60" w:type="dxa"/>
            <w:vAlign w:val="bottom"/>
          </w:tcPr>
          <w:p>
            <w:pPr>
              <w:spacing w:after="0"/>
              <w:rPr>
                <w:sz w:val="19"/>
                <w:szCs w:val="19"/>
                <w:color w:val="auto"/>
              </w:rPr>
            </w:pPr>
          </w:p>
        </w:tc>
      </w:tr>
      <w:tr>
        <w:trPr>
          <w:trHeight w:val="125"/>
        </w:trPr>
        <w:tc>
          <w:tcPr>
            <w:tcW w:w="96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r>
      <w:tr>
        <w:trPr>
          <w:trHeight w:val="105"/>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Repurchase of common stock in exchange for note receivable from officer</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r>
      <w:tr>
        <w:trPr>
          <w:trHeight w:val="132"/>
        </w:trPr>
        <w:tc>
          <w:tcPr>
            <w:tcW w:w="9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 of common stock and warrants below deemed fair value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1,952</w:t>
            </w:r>
          </w:p>
        </w:tc>
        <w:tc>
          <w:tcPr>
            <w:tcW w:w="60" w:type="dxa"/>
            <w:vAlign w:val="bottom"/>
            <w:shd w:val="clear" w:color="auto" w:fill="CCEEFF"/>
          </w:tcPr>
          <w:p>
            <w:pPr>
              <w:spacing w:after="0"/>
              <w:rPr>
                <w:sz w:val="18"/>
                <w:szCs w:val="18"/>
                <w:color w:val="auto"/>
              </w:rPr>
            </w:pPr>
          </w:p>
        </w:tc>
      </w:tr>
      <w:tr>
        <w:trPr>
          <w:trHeight w:val="132"/>
        </w:trPr>
        <w:tc>
          <w:tcPr>
            <w:tcW w:w="9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Issuance of common stock and warrants in connection with acquisitions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1,417</w:t>
            </w:r>
          </w:p>
        </w:tc>
        <w:tc>
          <w:tcPr>
            <w:tcW w:w="60" w:type="dxa"/>
            <w:vAlign w:val="bottom"/>
            <w:shd w:val="clear" w:color="auto" w:fill="CCEEFF"/>
          </w:tcPr>
          <w:p>
            <w:pPr>
              <w:spacing w:after="0"/>
              <w:rPr>
                <w:sz w:val="18"/>
                <w:szCs w:val="18"/>
                <w:color w:val="auto"/>
              </w:rPr>
            </w:pPr>
          </w:p>
        </w:tc>
      </w:tr>
      <w:tr>
        <w:trPr>
          <w:trHeight w:val="132"/>
        </w:trPr>
        <w:tc>
          <w:tcPr>
            <w:tcW w:w="9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Assets acquired under capital leases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60" w:type="dxa"/>
            <w:vAlign w:val="bottom"/>
            <w:shd w:val="clear" w:color="auto" w:fill="CCEEFF"/>
          </w:tcPr>
          <w:p>
            <w:pPr>
              <w:spacing w:after="0"/>
              <w:rPr>
                <w:sz w:val="18"/>
                <w:szCs w:val="18"/>
                <w:color w:val="auto"/>
              </w:rPr>
            </w:pPr>
          </w:p>
        </w:tc>
      </w:tr>
      <w:tr>
        <w:trPr>
          <w:trHeight w:val="132"/>
        </w:trPr>
        <w:tc>
          <w:tcPr>
            <w:tcW w:w="9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Redeemable convertible preferred stock accruing dividends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3,247</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2,366</w:t>
            </w:r>
          </w:p>
        </w:tc>
        <w:tc>
          <w:tcPr>
            <w:tcW w:w="60" w:type="dxa"/>
            <w:vAlign w:val="bottom"/>
            <w:shd w:val="clear" w:color="auto" w:fill="CCEEFF"/>
          </w:tcPr>
          <w:p>
            <w:pPr>
              <w:spacing w:after="0"/>
              <w:rPr>
                <w:sz w:val="18"/>
                <w:szCs w:val="18"/>
                <w:color w:val="auto"/>
              </w:rPr>
            </w:pPr>
          </w:p>
        </w:tc>
      </w:tr>
      <w:tr>
        <w:trPr>
          <w:trHeight w:val="132"/>
        </w:trPr>
        <w:tc>
          <w:tcPr>
            <w:tcW w:w="964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r>
      <w:tr>
        <w:trPr>
          <w:trHeight w:val="172"/>
        </w:trPr>
        <w:tc>
          <w:tcPr>
            <w:tcW w:w="9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151"/>
        </w:trPr>
        <w:tc>
          <w:tcPr>
            <w:tcW w:w="9640" w:type="dxa"/>
            <w:vAlign w:val="bottom"/>
            <w:shd w:val="clear" w:color="auto" w:fill="CCEEFF"/>
          </w:tcPr>
          <w:p>
            <w:pPr>
              <w:spacing w:after="0"/>
              <w:rPr>
                <w:sz w:val="13"/>
                <w:szCs w:val="13"/>
                <w:color w:val="auto"/>
              </w:rPr>
            </w:pPr>
          </w:p>
        </w:tc>
        <w:tc>
          <w:tcPr>
            <w:tcW w:w="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56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-2215515</wp:posOffset>
            </wp:positionV>
            <wp:extent cx="12700"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-2215515</wp:posOffset>
            </wp:positionV>
            <wp:extent cx="21590" cy="2984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-2215515</wp:posOffset>
            </wp:positionV>
            <wp:extent cx="38735" cy="298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-2215515</wp:posOffset>
            </wp:positionV>
            <wp:extent cx="441325" cy="298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-1735455</wp:posOffset>
            </wp:positionV>
            <wp:extent cx="12700" cy="298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-1735455</wp:posOffset>
            </wp:positionV>
            <wp:extent cx="21590" cy="298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-1735455</wp:posOffset>
            </wp:positionV>
            <wp:extent cx="38735" cy="298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-1735455</wp:posOffset>
            </wp:positionV>
            <wp:extent cx="12700" cy="298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-1735455</wp:posOffset>
            </wp:positionV>
            <wp:extent cx="21590" cy="298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-1735455</wp:posOffset>
            </wp:positionV>
            <wp:extent cx="38735" cy="298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-1435100</wp:posOffset>
            </wp:positionV>
            <wp:extent cx="441325" cy="298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44132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-1435100</wp:posOffset>
            </wp:positionV>
            <wp:extent cx="12700" cy="298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-1435100</wp:posOffset>
            </wp:positionV>
            <wp:extent cx="21590" cy="298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-1435100</wp:posOffset>
            </wp:positionV>
            <wp:extent cx="38735" cy="298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-1135380</wp:posOffset>
            </wp:positionV>
            <wp:extent cx="12700" cy="298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-1135380</wp:posOffset>
            </wp:positionV>
            <wp:extent cx="21590" cy="298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-1135380</wp:posOffset>
            </wp:positionV>
            <wp:extent cx="38735" cy="298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-1135380</wp:posOffset>
            </wp:positionV>
            <wp:extent cx="12700" cy="298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-1135380</wp:posOffset>
            </wp:positionV>
            <wp:extent cx="21590" cy="298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-1135380</wp:posOffset>
            </wp:positionV>
            <wp:extent cx="38735" cy="2984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-835025</wp:posOffset>
            </wp:positionV>
            <wp:extent cx="12700" cy="2984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-835025</wp:posOffset>
            </wp:positionV>
            <wp:extent cx="21590" cy="2984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-835025</wp:posOffset>
            </wp:positionV>
            <wp:extent cx="38735" cy="2984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-835025</wp:posOffset>
            </wp:positionV>
            <wp:extent cx="12700" cy="298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-835025</wp:posOffset>
            </wp:positionV>
            <wp:extent cx="21590" cy="2984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-835025</wp:posOffset>
            </wp:positionV>
            <wp:extent cx="38735" cy="2984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-534670</wp:posOffset>
            </wp:positionV>
            <wp:extent cx="12700" cy="2984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-534670</wp:posOffset>
            </wp:positionV>
            <wp:extent cx="21590" cy="2984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-534670</wp:posOffset>
            </wp:positionV>
            <wp:extent cx="38735" cy="298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-534670</wp:posOffset>
            </wp:positionV>
            <wp:extent cx="12700" cy="2984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-534670</wp:posOffset>
            </wp:positionV>
            <wp:extent cx="21590" cy="2984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-534670</wp:posOffset>
            </wp:positionV>
            <wp:extent cx="38735" cy="2984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-234315</wp:posOffset>
            </wp:positionV>
            <wp:extent cx="12700" cy="2984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-234315</wp:posOffset>
            </wp:positionV>
            <wp:extent cx="21590" cy="298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-234315</wp:posOffset>
            </wp:positionV>
            <wp:extent cx="38735" cy="2984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-234315</wp:posOffset>
            </wp:positionV>
            <wp:extent cx="441325" cy="2984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41325" cy="29845"/>
                    </a:xfrm>
                    <a:prstGeom prst="rect">
                      <a:avLst/>
                    </a:prstGeom>
                    <a:noFill/>
                  </pic:spPr>
                </pic:pic>
              </a:graphicData>
            </a:graphic>
          </wp:anchor>
        </w:drawing>
      </w:r>
    </w:p>
    <w:p>
      <w:pPr>
        <w:sectPr>
          <w:pgSz w:w="11900" w:h="16900" w:orient="portrait"/>
          <w:cols w:equalWidth="0" w:num="1">
            <w:col w:w="11420"/>
          </w:cols>
          <w:pgMar w:left="240" w:top="269" w:right="239" w:bottom="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16"/>
        </w:trPr>
        <w:tc>
          <w:tcPr>
            <w:tcW w:w="966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9660" w:type="dxa"/>
            <w:vAlign w:val="bottom"/>
            <w:gridSpan w:val="2"/>
          </w:tcPr>
          <w:p>
            <w:pPr>
              <w:ind w:left="200"/>
              <w:spacing w:after="0"/>
              <w:rPr>
                <w:sz w:val="20"/>
                <w:szCs w:val="20"/>
                <w:color w:val="auto"/>
              </w:rPr>
            </w:pPr>
            <w:r>
              <w:rPr>
                <w:rFonts w:ascii="Arial" w:cs="Arial" w:eastAsia="Arial" w:hAnsi="Arial"/>
                <w:sz w:val="18"/>
                <w:szCs w:val="18"/>
                <w:color w:val="auto"/>
              </w:rPr>
              <w:t>Cash paid for interest</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122</w:t>
            </w:r>
          </w:p>
        </w:tc>
        <w:tc>
          <w:tcPr>
            <w:tcW w:w="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rPr>
              <w:t>282</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5"/>
        </w:trPr>
        <w:tc>
          <w:tcPr>
            <w:tcW w:w="9640" w:type="dxa"/>
            <w:vAlign w:val="bottom"/>
          </w:tcPr>
          <w:p>
            <w:pPr>
              <w:spacing w:after="0"/>
              <w:rPr>
                <w:sz w:val="10"/>
                <w:szCs w:val="10"/>
                <w:color w:val="auto"/>
              </w:rPr>
            </w:pPr>
          </w:p>
        </w:tc>
        <w:tc>
          <w:tcPr>
            <w:tcW w:w="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400" w:type="dxa"/>
            <w:vAlign w:val="bottom"/>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96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966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Cash paid for taxes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9660" w:type="dxa"/>
            <w:vAlign w:val="bottom"/>
            <w:gridSpan w:val="2"/>
            <w:vMerge w:val="restart"/>
          </w:tcPr>
          <w:p>
            <w:pPr>
              <w:ind w:left="134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tc>
        <w:tc>
          <w:tcPr>
            <w:tcW w:w="8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9660" w:type="dxa"/>
            <w:vAlign w:val="bottom"/>
            <w:gridSpan w:val="2"/>
            <w:vMerge w:val="continue"/>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9640" w:type="dxa"/>
            <w:vAlign w:val="bottom"/>
          </w:tcPr>
          <w:p>
            <w:pPr>
              <w:ind w:left="5680"/>
              <w:spacing w:after="0"/>
              <w:rPr>
                <w:sz w:val="20"/>
                <w:szCs w:val="20"/>
                <w:color w:val="auto"/>
              </w:rPr>
            </w:pPr>
            <w:r>
              <w:rPr>
                <w:rFonts w:ascii="Arial" w:cs="Arial" w:eastAsia="Arial" w:hAnsi="Arial"/>
                <w:sz w:val="18"/>
                <w:szCs w:val="18"/>
                <w:color w:val="auto"/>
              </w:rPr>
              <w:t>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6126480</wp:posOffset>
            </wp:positionH>
            <wp:positionV relativeFrom="paragraph">
              <wp:posOffset>-857885</wp:posOffset>
            </wp:positionV>
            <wp:extent cx="12700" cy="2984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6177915</wp:posOffset>
            </wp:positionH>
            <wp:positionV relativeFrom="paragraph">
              <wp:posOffset>-857885</wp:posOffset>
            </wp:positionV>
            <wp:extent cx="21590" cy="298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6529070</wp:posOffset>
            </wp:positionH>
            <wp:positionV relativeFrom="paragraph">
              <wp:posOffset>-857885</wp:posOffset>
            </wp:positionV>
            <wp:extent cx="38735" cy="2984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6795135</wp:posOffset>
            </wp:positionH>
            <wp:positionV relativeFrom="paragraph">
              <wp:posOffset>-857885</wp:posOffset>
            </wp:positionV>
            <wp:extent cx="12700" cy="2984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6846570</wp:posOffset>
            </wp:positionH>
            <wp:positionV relativeFrom="paragraph">
              <wp:posOffset>-857885</wp:posOffset>
            </wp:positionV>
            <wp:extent cx="21590" cy="2984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-857885</wp:posOffset>
            </wp:positionV>
            <wp:extent cx="38735" cy="2984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6126480</wp:posOffset>
            </wp:positionH>
            <wp:positionV relativeFrom="paragraph">
              <wp:posOffset>-557530</wp:posOffset>
            </wp:positionV>
            <wp:extent cx="1110615" cy="2984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110615" cy="29845"/>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bookmarkStart w:id="11" w:name="page12"/>
    <w:bookmarkEnd w:id="1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460" w:right="7420" w:hanging="452"/>
        <w:spacing w:after="0" w:line="426" w:lineRule="auto"/>
        <w:tabs>
          <w:tab w:leader="none" w:pos="184"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Nature of Business and Principles of Consolidation The Company</w:t>
      </w:r>
    </w:p>
    <w:p>
      <w:pPr>
        <w:ind w:left="240" w:right="60" w:firstLine="223"/>
        <w:spacing w:after="0" w:line="306" w:lineRule="auto"/>
        <w:rPr>
          <w:sz w:val="20"/>
          <w:szCs w:val="20"/>
          <w:color w:val="auto"/>
        </w:rPr>
      </w:pPr>
      <w:r>
        <w:rPr>
          <w:rFonts w:ascii="Arial" w:cs="Arial" w:eastAsia="Arial" w:hAnsi="Arial"/>
          <w:sz w:val="16"/>
          <w:szCs w:val="16"/>
          <w:color w:val="auto"/>
        </w:rPr>
        <w:t>Silicon Energy Corp. (the “Company”) was incorporated in California in December 1997 and began substantive operations in January 1998. The Company develops and sells enterprise energy management software that enables enterprises to reduce energy costs and other related expenditures. The Company’s sources of revenue are license fees, professional services, maintenance, hosting and bill management services fees.</w:t>
      </w:r>
    </w:p>
    <w:p>
      <w:pPr>
        <w:spacing w:after="0" w:line="93" w:lineRule="exact"/>
        <w:rPr>
          <w:sz w:val="20"/>
          <w:szCs w:val="20"/>
          <w:color w:val="auto"/>
        </w:rPr>
      </w:pPr>
    </w:p>
    <w:p>
      <w:pPr>
        <w:ind w:left="240" w:right="160" w:firstLine="223"/>
        <w:spacing w:after="0" w:line="306" w:lineRule="auto"/>
        <w:rPr>
          <w:sz w:val="20"/>
          <w:szCs w:val="20"/>
          <w:color w:val="auto"/>
        </w:rPr>
      </w:pPr>
      <w:r>
        <w:rPr>
          <w:rFonts w:ascii="Arial" w:cs="Arial" w:eastAsia="Arial" w:hAnsi="Arial"/>
          <w:sz w:val="16"/>
          <w:szCs w:val="16"/>
          <w:color w:val="auto"/>
        </w:rPr>
        <w:t>The consolidated financial statements of Silicon Energy Corp. include the accounts of the Company and its wholly owned subsidiaries, Energy Concepts, Inc., acquired on May 5, 2000, SRC Systems Inc. acquired on June 7, 2000, EPS Solutions Incorporated, acquired on October 5, 2000, SLCN Limited and Silicon Energy Corp. (BVI), Ltd. All significant intercompany balances and transactions have been eliminated in consolidation.</w:t>
      </w:r>
    </w:p>
    <w:p>
      <w:pPr>
        <w:spacing w:after="0" w:line="93" w:lineRule="exact"/>
        <w:rPr>
          <w:sz w:val="20"/>
          <w:szCs w:val="20"/>
          <w:color w:val="auto"/>
        </w:rPr>
      </w:pPr>
    </w:p>
    <w:p>
      <w:pPr>
        <w:ind w:left="240" w:firstLine="223"/>
        <w:spacing w:after="0" w:line="291" w:lineRule="auto"/>
        <w:rPr>
          <w:sz w:val="20"/>
          <w:szCs w:val="20"/>
          <w:color w:val="auto"/>
        </w:rPr>
      </w:pPr>
      <w:r>
        <w:rPr>
          <w:rFonts w:ascii="Arial" w:cs="Arial" w:eastAsia="Arial" w:hAnsi="Arial"/>
          <w:sz w:val="16"/>
          <w:szCs w:val="16"/>
          <w:color w:val="auto"/>
        </w:rPr>
        <w:t>The Company’s consolidated financial statements have been prepared assuming the Company will continue as a going concern. The Company has incurred losses and negative cash flows from operations since inception. As of December 31, 2001, the Company had an accumulated deficit of $54,600,000. These factors raise substantial doubt about the Company’s ability to continue as a going concern. The Company is striving to generate positive cash flow by increasing revenues and controlling operating expenditures. The Company may seek to raise additional funds through public or private debt or equity financings. The Company cannot assume that additional financing will be available on favorable terms, if at all. These consolidated financial statements do not include any adjustments that might result from the outcome of this uncertainty.</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Reincorporation</w:t>
      </w:r>
    </w:p>
    <w:p>
      <w:pPr>
        <w:spacing w:after="0" w:line="164" w:lineRule="exact"/>
        <w:rPr>
          <w:sz w:val="20"/>
          <w:szCs w:val="20"/>
          <w:color w:val="auto"/>
        </w:rPr>
      </w:pPr>
    </w:p>
    <w:p>
      <w:pPr>
        <w:ind w:left="240" w:right="120" w:firstLine="223"/>
        <w:spacing w:after="0" w:line="259" w:lineRule="auto"/>
        <w:rPr>
          <w:sz w:val="20"/>
          <w:szCs w:val="20"/>
          <w:color w:val="auto"/>
        </w:rPr>
      </w:pPr>
      <w:r>
        <w:rPr>
          <w:rFonts w:ascii="Arial" w:cs="Arial" w:eastAsia="Arial" w:hAnsi="Arial"/>
          <w:sz w:val="18"/>
          <w:szCs w:val="18"/>
          <w:color w:val="auto"/>
        </w:rPr>
        <w:t>On July 19, 2000, the Company reincorporated in the state of Delaware. As a result of the reincorporation, the Company is authorized to issue 40,000,000 shares of $0.001 par value common stock and 16,394,328 shares of $0.001 par value preferred stock. The accompanying consolidated financial statements reflect the reincorporation.</w:t>
      </w:r>
    </w:p>
    <w:p>
      <w:pPr>
        <w:spacing w:after="0" w:line="121" w:lineRule="exact"/>
        <w:rPr>
          <w:sz w:val="20"/>
          <w:szCs w:val="20"/>
          <w:color w:val="auto"/>
        </w:rPr>
      </w:pPr>
    </w:p>
    <w:p>
      <w:pPr>
        <w:ind w:left="460" w:right="7920" w:hanging="452"/>
        <w:spacing w:after="0" w:line="426" w:lineRule="auto"/>
        <w:tabs>
          <w:tab w:leader="none" w:pos="184"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 Use of estimates</w:t>
      </w:r>
    </w:p>
    <w:p>
      <w:pPr>
        <w:ind w:left="240" w:right="240" w:firstLine="223"/>
        <w:spacing w:after="0" w:line="306" w:lineRule="auto"/>
        <w:rPr>
          <w:sz w:val="20"/>
          <w:szCs w:val="20"/>
          <w:color w:val="auto"/>
        </w:rPr>
      </w:pPr>
      <w:r>
        <w:rPr>
          <w:rFonts w:ascii="Arial" w:cs="Arial" w:eastAsia="Arial" w:hAnsi="Arial"/>
          <w:sz w:val="16"/>
          <w:szCs w:val="16"/>
          <w:color w:val="auto"/>
        </w:rPr>
        <w:t>The preparation of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reported amounts of revenues and expenses during the reporting period. Actual results could differ from those estimates.</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Cash and cash equivalents</w:t>
      </w:r>
    </w:p>
    <w:p>
      <w:pPr>
        <w:spacing w:after="0" w:line="164" w:lineRule="exact"/>
        <w:rPr>
          <w:sz w:val="20"/>
          <w:szCs w:val="20"/>
          <w:color w:val="auto"/>
        </w:rPr>
      </w:pPr>
    </w:p>
    <w:p>
      <w:pPr>
        <w:ind w:left="240" w:right="40" w:firstLine="223"/>
        <w:spacing w:after="0" w:line="332" w:lineRule="auto"/>
        <w:rPr>
          <w:sz w:val="20"/>
          <w:szCs w:val="20"/>
          <w:color w:val="auto"/>
        </w:rPr>
      </w:pPr>
      <w:r>
        <w:rPr>
          <w:rFonts w:ascii="Arial" w:cs="Arial" w:eastAsia="Arial" w:hAnsi="Arial"/>
          <w:sz w:val="16"/>
          <w:szCs w:val="16"/>
          <w:color w:val="auto"/>
        </w:rPr>
        <w:t>The Company considers all highly liquid investments purchased with an original or remaining maturity at the date of purchase of 90 days or less to be cash equivalents. Restricted cash equivalents represent commercial deposits which are required as collateral for one of the Company’s operating leases.</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00"/>
          </w:cols>
          <w:pgMar w:left="240" w:top="269" w:right="259" w:bottom="1440" w:gutter="0" w:footer="0" w:header="0"/>
        </w:sectPr>
      </w:pPr>
    </w:p>
    <w:bookmarkStart w:id="12" w:name="page13"/>
    <w:bookmarkEnd w:id="1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Short-term investments</w:t>
      </w:r>
    </w:p>
    <w:p>
      <w:pPr>
        <w:spacing w:after="0" w:line="164" w:lineRule="exact"/>
        <w:rPr>
          <w:sz w:val="20"/>
          <w:szCs w:val="20"/>
          <w:color w:val="auto"/>
        </w:rPr>
      </w:pPr>
    </w:p>
    <w:p>
      <w:pPr>
        <w:ind w:left="240" w:right="200" w:firstLine="223"/>
        <w:spacing w:after="0" w:line="298" w:lineRule="auto"/>
        <w:rPr>
          <w:sz w:val="20"/>
          <w:szCs w:val="20"/>
          <w:color w:val="auto"/>
        </w:rPr>
      </w:pPr>
      <w:r>
        <w:rPr>
          <w:rFonts w:ascii="Arial" w:cs="Arial" w:eastAsia="Arial" w:hAnsi="Arial"/>
          <w:sz w:val="16"/>
          <w:szCs w:val="16"/>
          <w:color w:val="auto"/>
        </w:rPr>
        <w:t>Short-term investments consist primarily of highly liquid, investment grade corporate obligations purchased with an original or remaining maturity at the date of purchase of greater than 90 days. Short-term investments are classified as available-for-sale securities and are stated at market value with any temporary difference between an investment’s amortized cost and its market value recorded as a separate component of stockholders’ equity (deficit) until such gains or losses are realized. Gains or losses on the sales of securities are determined on a specific identification basis.</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of financial instruments</w:t>
      </w:r>
    </w:p>
    <w:p>
      <w:pPr>
        <w:spacing w:after="0" w:line="164" w:lineRule="exact"/>
        <w:rPr>
          <w:sz w:val="20"/>
          <w:szCs w:val="20"/>
          <w:color w:val="auto"/>
        </w:rPr>
      </w:pPr>
    </w:p>
    <w:p>
      <w:pPr>
        <w:ind w:left="240" w:right="120" w:firstLine="223"/>
        <w:spacing w:after="0" w:line="259" w:lineRule="auto"/>
        <w:rPr>
          <w:sz w:val="20"/>
          <w:szCs w:val="20"/>
          <w:color w:val="auto"/>
        </w:rPr>
      </w:pPr>
      <w:r>
        <w:rPr>
          <w:rFonts w:ascii="Arial" w:cs="Arial" w:eastAsia="Arial" w:hAnsi="Arial"/>
          <w:sz w:val="18"/>
          <w:szCs w:val="18"/>
          <w:color w:val="auto"/>
        </w:rPr>
        <w:t>Amounts reported for cash and cash equivalents, accounts receivable, accounts payable and accrued liabilities are considered to approximate fair value primarily due to their short maturities. The carrying amount of bank borrowings approximates fair value based on the terms of similar arrangements available to the Company.</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Concentration of credit risk</w:t>
      </w:r>
    </w:p>
    <w:p>
      <w:pPr>
        <w:spacing w:after="0" w:line="164" w:lineRule="exact"/>
        <w:rPr>
          <w:sz w:val="20"/>
          <w:szCs w:val="20"/>
          <w:color w:val="auto"/>
        </w:rPr>
      </w:pPr>
    </w:p>
    <w:p>
      <w:pPr>
        <w:ind w:left="240" w:right="60" w:firstLine="223"/>
        <w:spacing w:after="0" w:line="268" w:lineRule="auto"/>
        <w:rPr>
          <w:sz w:val="20"/>
          <w:szCs w:val="20"/>
          <w:color w:val="auto"/>
        </w:rPr>
      </w:pPr>
      <w:r>
        <w:rPr>
          <w:rFonts w:ascii="Arial" w:cs="Arial" w:eastAsia="Arial" w:hAnsi="Arial"/>
          <w:sz w:val="18"/>
          <w:szCs w:val="18"/>
          <w:color w:val="auto"/>
        </w:rPr>
        <w:t>Financial instruments that potentially subject the Company to concentrations of credit risk consist of cash and cash equivalents, short-term investments and accounts receivable. Risks associated with cash are mitigated by banking with creditworthy institutions.</w:t>
      </w:r>
    </w:p>
    <w:p>
      <w:pPr>
        <w:spacing w:after="0" w:line="118" w:lineRule="exact"/>
        <w:rPr>
          <w:sz w:val="20"/>
          <w:szCs w:val="20"/>
          <w:color w:val="auto"/>
        </w:rPr>
      </w:pPr>
    </w:p>
    <w:p>
      <w:pPr>
        <w:ind w:left="240" w:firstLine="223"/>
        <w:spacing w:after="0" w:line="255" w:lineRule="auto"/>
        <w:rPr>
          <w:sz w:val="20"/>
          <w:szCs w:val="20"/>
          <w:color w:val="auto"/>
        </w:rPr>
      </w:pPr>
      <w:r>
        <w:rPr>
          <w:rFonts w:ascii="Arial" w:cs="Arial" w:eastAsia="Arial" w:hAnsi="Arial"/>
          <w:sz w:val="18"/>
          <w:szCs w:val="18"/>
          <w:color w:val="auto"/>
        </w:rPr>
        <w:t>At December 31, 2001, and 2000, 89%, and 86%, respectively, of the Company’s accounts receivable are derived from revenue earned or deferred from customers primarily located in the United States. The Company performs periodic credit evaluations of its customers’ financial condition and, generally, requires no collateral. The Company maintains an allowance for doubtful accounts receivable for potential credit losses. At December 31, 2001, two individual customers accounted for 19% and 16% of the total accounts receivable. At December 31, 2000, three individual customers accounted for 13%, 11% and 11% of the total accounts receivable.</w:t>
      </w:r>
    </w:p>
    <w:p>
      <w:pPr>
        <w:spacing w:after="0" w:line="129" w:lineRule="exact"/>
        <w:rPr>
          <w:sz w:val="20"/>
          <w:szCs w:val="20"/>
          <w:color w:val="auto"/>
        </w:rPr>
      </w:pPr>
    </w:p>
    <w:p>
      <w:pPr>
        <w:ind w:left="240" w:right="160" w:firstLine="223"/>
        <w:spacing w:after="0" w:line="306" w:lineRule="auto"/>
        <w:rPr>
          <w:sz w:val="20"/>
          <w:szCs w:val="20"/>
          <w:color w:val="auto"/>
        </w:rPr>
      </w:pPr>
      <w:r>
        <w:rPr>
          <w:rFonts w:ascii="Arial" w:cs="Arial" w:eastAsia="Arial" w:hAnsi="Arial"/>
          <w:sz w:val="16"/>
          <w:szCs w:val="16"/>
          <w:color w:val="auto"/>
        </w:rPr>
        <w:t>Revenue related to Silicon Energy EEM Suite of enterprise energy management software accounted for approximately 62% of the revenue for each of the years ended December 31, 2001 and 2000. For the year ended December 31, 2001, two individual customers accounted for 19% and 14% of revenue, respectively. For the year ended December 31, 2000, one individual customer accounted for 11% of revenue.</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and uncertainties</w:t>
      </w:r>
    </w:p>
    <w:p>
      <w:pPr>
        <w:spacing w:after="0" w:line="164" w:lineRule="exact"/>
        <w:rPr>
          <w:sz w:val="20"/>
          <w:szCs w:val="20"/>
          <w:color w:val="auto"/>
        </w:rPr>
      </w:pPr>
    </w:p>
    <w:p>
      <w:pPr>
        <w:jc w:val="both"/>
        <w:ind w:left="240" w:right="80" w:firstLine="223"/>
        <w:spacing w:after="0" w:line="306" w:lineRule="auto"/>
        <w:rPr>
          <w:sz w:val="20"/>
          <w:szCs w:val="20"/>
          <w:color w:val="auto"/>
        </w:rPr>
      </w:pPr>
      <w:r>
        <w:rPr>
          <w:rFonts w:ascii="Arial" w:cs="Arial" w:eastAsia="Arial" w:hAnsi="Arial"/>
          <w:sz w:val="16"/>
          <w:szCs w:val="16"/>
          <w:color w:val="auto"/>
        </w:rPr>
        <w:t>The Company is subject to all of the risks inherent in an early stage company in the software industry. These risks include, but are not limited to, a limited operating history, its ability to raise capital, limited management resources, dependence upon consumer acceptance of the software and the changing nature of the software industry. The Company’s operating results may be materially affected by the foregoing factors.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269"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Property and equipment are stated at cost and depreciated using the straight-line method over the estimated useful lives of the asset as follows: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3120" w:type="dxa"/>
            <w:vAlign w:val="bottom"/>
            <w:shd w:val="clear" w:color="auto" w:fill="CCEEFF"/>
          </w:tcPr>
          <w:p>
            <w:pPr>
              <w:ind w:left="2620"/>
              <w:spacing w:after="0"/>
              <w:rPr>
                <w:sz w:val="20"/>
                <w:szCs w:val="20"/>
                <w:color w:val="auto"/>
              </w:rPr>
            </w:pPr>
            <w:r>
              <w:rPr>
                <w:rFonts w:ascii="Arial" w:cs="Arial" w:eastAsia="Arial" w:hAnsi="Arial"/>
                <w:sz w:val="18"/>
                <w:szCs w:val="18"/>
                <w:color w:val="auto"/>
                <w:w w:val="81"/>
              </w:rPr>
              <w:t>3 years</w:t>
            </w:r>
          </w:p>
        </w:tc>
      </w:tr>
      <w:tr>
        <w:trPr>
          <w:trHeight w:val="222"/>
        </w:trPr>
        <w:tc>
          <w:tcPr>
            <w:tcW w:w="542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3120" w:type="dxa"/>
            <w:vAlign w:val="bottom"/>
          </w:tcPr>
          <w:p>
            <w:pPr>
              <w:ind w:left="2620"/>
              <w:spacing w:after="0"/>
              <w:rPr>
                <w:sz w:val="20"/>
                <w:szCs w:val="20"/>
                <w:color w:val="auto"/>
              </w:rPr>
            </w:pPr>
            <w:r>
              <w:rPr>
                <w:rFonts w:ascii="Arial" w:cs="Arial" w:eastAsia="Arial" w:hAnsi="Arial"/>
                <w:sz w:val="18"/>
                <w:szCs w:val="18"/>
                <w:color w:val="auto"/>
                <w:w w:val="81"/>
              </w:rPr>
              <w:t>3 years</w:t>
            </w:r>
          </w:p>
        </w:tc>
      </w:tr>
    </w:tbl>
    <w:p>
      <w:pPr>
        <w:spacing w:after="0" w:line="13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Leasehold improvements are amortized on a straight-line basis over the shorter of their estimated useful lives or the lease term.</w:t>
      </w:r>
    </w:p>
    <w:p>
      <w:pPr>
        <w:spacing w:after="0" w:line="158" w:lineRule="exact"/>
        <w:rPr>
          <w:sz w:val="20"/>
          <w:szCs w:val="20"/>
          <w:color w:val="auto"/>
        </w:rPr>
      </w:pPr>
    </w:p>
    <w:p>
      <w:pPr>
        <w:ind w:left="240" w:right="120" w:firstLine="223"/>
        <w:spacing w:after="0" w:line="268" w:lineRule="auto"/>
        <w:rPr>
          <w:sz w:val="20"/>
          <w:szCs w:val="20"/>
          <w:color w:val="auto"/>
        </w:rPr>
      </w:pPr>
      <w:r>
        <w:rPr>
          <w:rFonts w:ascii="Arial" w:cs="Arial" w:eastAsia="Arial" w:hAnsi="Arial"/>
          <w:sz w:val="18"/>
          <w:szCs w:val="18"/>
          <w:color w:val="auto"/>
        </w:rPr>
        <w:t>When assets are retired or otherwise disposed of, the cost and accumulated depreciation are removed from their separate accounts, and any gain or loss on such sale or disposal is reflected in operations.</w:t>
      </w:r>
    </w:p>
    <w:p>
      <w:pPr>
        <w:spacing w:after="0" w:line="118" w:lineRule="exact"/>
        <w:rPr>
          <w:sz w:val="20"/>
          <w:szCs w:val="20"/>
          <w:color w:val="auto"/>
        </w:rPr>
      </w:pPr>
    </w:p>
    <w:p>
      <w:pPr>
        <w:ind w:left="460" w:right="1140"/>
        <w:spacing w:after="0" w:line="422" w:lineRule="auto"/>
        <w:rPr>
          <w:sz w:val="20"/>
          <w:szCs w:val="20"/>
          <w:color w:val="auto"/>
        </w:rPr>
      </w:pPr>
      <w:r>
        <w:rPr>
          <w:rFonts w:ascii="Arial" w:cs="Arial" w:eastAsia="Arial" w:hAnsi="Arial"/>
          <w:sz w:val="18"/>
          <w:szCs w:val="18"/>
          <w:color w:val="auto"/>
        </w:rPr>
        <w:t xml:space="preserve">Maintenance and repairs are charged to expense as incurred. Expenditures which substantially increase an asset’s useful life are capitalized. </w:t>
      </w:r>
      <w:r>
        <w:rPr>
          <w:rFonts w:ascii="Arial" w:cs="Arial" w:eastAsia="Arial" w:hAnsi="Arial"/>
          <w:sz w:val="18"/>
          <w:szCs w:val="18"/>
          <w:b w:val="1"/>
          <w:bCs w:val="1"/>
          <w:color w:val="auto"/>
        </w:rPr>
        <w:t>Goodwill and other intangibles</w:t>
      </w:r>
    </w:p>
    <w:p>
      <w:pPr>
        <w:spacing w:after="0" w:line="1" w:lineRule="exact"/>
        <w:rPr>
          <w:sz w:val="20"/>
          <w:szCs w:val="20"/>
          <w:color w:val="auto"/>
        </w:rPr>
      </w:pPr>
    </w:p>
    <w:p>
      <w:pPr>
        <w:ind w:left="240" w:right="440" w:firstLine="223"/>
        <w:spacing w:after="0" w:line="268" w:lineRule="auto"/>
        <w:rPr>
          <w:sz w:val="20"/>
          <w:szCs w:val="20"/>
          <w:color w:val="auto"/>
        </w:rPr>
      </w:pPr>
      <w:r>
        <w:rPr>
          <w:rFonts w:ascii="Arial" w:cs="Arial" w:eastAsia="Arial" w:hAnsi="Arial"/>
          <w:sz w:val="18"/>
          <w:szCs w:val="18"/>
          <w:color w:val="auto"/>
        </w:rPr>
        <w:t>Goodwill and other identifiable intangibles are carried at cost less accumulated amortization. The Company amortizes goodwill and other identifiable intangibles on a straight-line basis over their estimated useful life, generally three to five years.</w:t>
      </w:r>
    </w:p>
    <w:p>
      <w:pPr>
        <w:spacing w:after="0" w:line="118" w:lineRule="exact"/>
        <w:rPr>
          <w:sz w:val="20"/>
          <w:szCs w:val="20"/>
          <w:color w:val="auto"/>
        </w:rPr>
      </w:pPr>
    </w:p>
    <w:p>
      <w:pPr>
        <w:ind w:left="240" w:firstLine="223"/>
        <w:spacing w:after="0" w:line="308" w:lineRule="auto"/>
        <w:rPr>
          <w:sz w:val="20"/>
          <w:szCs w:val="20"/>
          <w:color w:val="auto"/>
        </w:rPr>
      </w:pPr>
      <w:r>
        <w:rPr>
          <w:rFonts w:ascii="Arial" w:cs="Arial" w:eastAsia="Arial" w:hAnsi="Arial"/>
          <w:sz w:val="15"/>
          <w:szCs w:val="15"/>
          <w:color w:val="auto"/>
        </w:rPr>
        <w:t xml:space="preserve">The Company assesses the impairment of identifiable intangibles and related goodwill periodically in accordance with the provisions of Statement of Financial Accounting Standards (SFAS) No. 121, </w:t>
      </w:r>
      <w:r>
        <w:rPr>
          <w:rFonts w:ascii="Arial" w:cs="Arial" w:eastAsia="Arial" w:hAnsi="Arial"/>
          <w:sz w:val="15"/>
          <w:szCs w:val="15"/>
          <w:i w:val="1"/>
          <w:iCs w:val="1"/>
          <w:color w:val="auto"/>
        </w:rPr>
        <w:t>Accounting for the Impairment of Long-Lived Assets and for Long-Lived Assets to Be Disposed of.</w:t>
      </w:r>
      <w:r>
        <w:rPr>
          <w:rFonts w:ascii="Arial" w:cs="Arial" w:eastAsia="Arial" w:hAnsi="Arial"/>
          <w:sz w:val="15"/>
          <w:szCs w:val="15"/>
          <w:color w:val="auto"/>
        </w:rPr>
        <w:t xml:space="preserve"> The Company also assesses the impairment of enterprise level goodwill periodically in accordance with the provision of Accounting Principles Board Opinion (APB) No. 17, </w:t>
      </w:r>
      <w:r>
        <w:rPr>
          <w:rFonts w:ascii="Arial" w:cs="Arial" w:eastAsia="Arial" w:hAnsi="Arial"/>
          <w:sz w:val="15"/>
          <w:szCs w:val="15"/>
          <w:i w:val="1"/>
          <w:iCs w:val="1"/>
          <w:color w:val="auto"/>
        </w:rPr>
        <w:t>Intangible Assets.</w:t>
      </w:r>
      <w:r>
        <w:rPr>
          <w:rFonts w:ascii="Arial" w:cs="Arial" w:eastAsia="Arial" w:hAnsi="Arial"/>
          <w:sz w:val="15"/>
          <w:szCs w:val="15"/>
          <w:color w:val="auto"/>
        </w:rPr>
        <w:t xml:space="preserve"> An impairment review is performed whenever events or changes in circumstances indicate that the carrying value may not be recoverable. Factors the Company consider important which could trigger an impairment review include, but are not limited to, significant underperformance relative to expected historical or projected future operating results, undiscounted cash flows are less than the carrying value, significant changes in the manner of use of the acquired assets or the strategy for our overall business, significant negative industry or economic trends, a significant decline in our stock price for a sustained period, and the Company’s market capitalization relative to net book value. When the Company determines that the carrying value of goodwill may not be recoverable based upon the existence of one or more of the above indicators of impairment, the Company measures any impairment based on a projected discounted cash flow method using a discount rate commensurate with the risk inherent in the Company’s current business model.</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Software development costs</w:t>
      </w:r>
    </w:p>
    <w:p>
      <w:pPr>
        <w:spacing w:after="0" w:line="164" w:lineRule="exact"/>
        <w:rPr>
          <w:sz w:val="20"/>
          <w:szCs w:val="20"/>
          <w:color w:val="auto"/>
        </w:rPr>
      </w:pPr>
    </w:p>
    <w:p>
      <w:pPr>
        <w:ind w:left="240" w:right="20" w:firstLine="223"/>
        <w:spacing w:after="0" w:line="298" w:lineRule="auto"/>
        <w:rPr>
          <w:sz w:val="20"/>
          <w:szCs w:val="20"/>
          <w:color w:val="auto"/>
        </w:rPr>
      </w:pPr>
      <w:r>
        <w:rPr>
          <w:rFonts w:ascii="Arial" w:cs="Arial" w:eastAsia="Arial" w:hAnsi="Arial"/>
          <w:sz w:val="16"/>
          <w:szCs w:val="16"/>
          <w:color w:val="auto"/>
        </w:rPr>
        <w:t>Costs related to the research and development of new software products and enhancements to existing software products are expensed as incurred until technological feasibility (generally in the form of a working model) of the product has been established, at which time such costs are capitalized, subject to net realizable value. To date, the Company has not capitalized any development costs related to software products because the time period between technological feasibility and general release of a product has not been significant and related costs incurred during that time period have not been material.</w:t>
      </w:r>
    </w:p>
    <w:p>
      <w:pPr>
        <w:spacing w:after="0" w:line="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00"/>
          </w:cols>
          <w:pgMar w:left="240" w:top="269" w:right="25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Internal-use software costs</w:t>
      </w:r>
    </w:p>
    <w:p>
      <w:pPr>
        <w:spacing w:after="0" w:line="164" w:lineRule="exact"/>
        <w:rPr>
          <w:sz w:val="20"/>
          <w:szCs w:val="20"/>
          <w:color w:val="auto"/>
        </w:rPr>
      </w:pPr>
    </w:p>
    <w:p>
      <w:pPr>
        <w:ind w:left="240" w:right="20" w:firstLine="223"/>
        <w:spacing w:after="0" w:line="291" w:lineRule="auto"/>
        <w:rPr>
          <w:sz w:val="20"/>
          <w:szCs w:val="20"/>
          <w:color w:val="auto"/>
        </w:rPr>
      </w:pPr>
      <w:r>
        <w:rPr>
          <w:rFonts w:ascii="Arial" w:cs="Arial" w:eastAsia="Arial" w:hAnsi="Arial"/>
          <w:sz w:val="16"/>
          <w:szCs w:val="16"/>
          <w:color w:val="auto"/>
        </w:rPr>
        <w:t>Development costs associated with internal-use software including web-site development costs is charged to operations until certain capitalization criteria are met. Software development costs, including costs incurred to purchase third-party software, are capitalized beginning when the Company has determined certain factors are present, including among others, that technology exists to achieve the performance requirements, buy versus internal development decisions have been made and the Company’s management has authorized the funding for the project. Capitalization of software costs ceases when then software is substantially complete and is ready for its intended use and is amortized over its estimated useful life of the asset or no more than three years, whichever is shorter, using the straight-line method.</w:t>
      </w:r>
    </w:p>
    <w:p>
      <w:pPr>
        <w:spacing w:after="0" w:line="10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Revenue recognition</w:t>
      </w:r>
    </w:p>
    <w:p>
      <w:pPr>
        <w:spacing w:after="0" w:line="164" w:lineRule="exact"/>
        <w:rPr>
          <w:sz w:val="20"/>
          <w:szCs w:val="20"/>
          <w:color w:val="auto"/>
        </w:rPr>
      </w:pPr>
    </w:p>
    <w:p>
      <w:pPr>
        <w:ind w:left="240" w:right="180" w:firstLine="223"/>
        <w:spacing w:after="0" w:line="268" w:lineRule="auto"/>
        <w:rPr>
          <w:sz w:val="20"/>
          <w:szCs w:val="20"/>
          <w:color w:val="auto"/>
        </w:rPr>
      </w:pPr>
      <w:r>
        <w:rPr>
          <w:rFonts w:ascii="Arial" w:cs="Arial" w:eastAsia="Arial" w:hAnsi="Arial"/>
          <w:sz w:val="18"/>
          <w:szCs w:val="18"/>
          <w:color w:val="auto"/>
        </w:rPr>
        <w:t>The Company derives revenue from fees for software licenses and services. Services revenue is derived from professional, maintenance, hosting, Internet and integrated bill analysis services.</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Company recognizes revenue when all of the following conditions are met:</w:t>
      </w:r>
    </w:p>
    <w:p>
      <w:pPr>
        <w:spacing w:after="0" w:line="158" w:lineRule="exact"/>
        <w:rPr>
          <w:sz w:val="20"/>
          <w:szCs w:val="20"/>
          <w:color w:val="auto"/>
        </w:rPr>
      </w:pPr>
    </w:p>
    <w:p>
      <w:pPr>
        <w:ind w:left="760" w:hanging="30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has delivered the software product and services essential to its functionality to the customer;</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Company believes that collection of these fees is reasonably assured;</w:t>
      </w:r>
    </w:p>
    <w:p>
      <w:pPr>
        <w:spacing w:after="0" w:line="36" w:lineRule="exact"/>
        <w:rPr>
          <w:rFonts w:ascii="Arial" w:cs="Arial" w:eastAsia="Arial" w:hAnsi="Arial"/>
          <w:sz w:val="18"/>
          <w:szCs w:val="18"/>
          <w:color w:val="auto"/>
        </w:rPr>
      </w:pPr>
    </w:p>
    <w:p>
      <w:pPr>
        <w:ind w:left="760" w:hanging="306"/>
        <w:spacing w:after="0"/>
        <w:tabs>
          <w:tab w:leader="none" w:pos="7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amount of fees to be paid by the customer is fixed or determinable.</w:t>
      </w:r>
    </w:p>
    <w:p>
      <w:pPr>
        <w:spacing w:after="0" w:line="185" w:lineRule="exact"/>
        <w:rPr>
          <w:sz w:val="20"/>
          <w:szCs w:val="20"/>
          <w:color w:val="auto"/>
        </w:rPr>
      </w:pPr>
    </w:p>
    <w:p>
      <w:pPr>
        <w:ind w:left="240" w:firstLine="223"/>
        <w:spacing w:after="0" w:line="294" w:lineRule="auto"/>
        <w:rPr>
          <w:sz w:val="20"/>
          <w:szCs w:val="20"/>
          <w:color w:val="auto"/>
        </w:rPr>
      </w:pPr>
      <w:r>
        <w:rPr>
          <w:rFonts w:ascii="Arial" w:cs="Arial" w:eastAsia="Arial" w:hAnsi="Arial"/>
          <w:sz w:val="16"/>
          <w:szCs w:val="16"/>
          <w:color w:val="auto"/>
        </w:rPr>
        <w:t>Generally, the Company has vendor specific objective evidence of fair value for the maintenance and hosting element of software arrangements based on renewal rates for maintenance and hosting in future years as specified in the contracts. In such cases, the Company defers the maintenance and hosting revenue at the outset of the arrangement and recognizes it ratably over the period during which the maintenance and hosting is to be provided, which normally commences on the date the software is delivered and fully installed. In cases where there is no vendor specific objective evidence of fair value for maintenance and hosting services, license fees and services are recognized concurrently and ratably over the term of the agreement.</w:t>
      </w:r>
    </w:p>
    <w:p>
      <w:pPr>
        <w:spacing w:after="0" w:line="102" w:lineRule="exact"/>
        <w:rPr>
          <w:sz w:val="20"/>
          <w:szCs w:val="20"/>
          <w:color w:val="auto"/>
        </w:rPr>
      </w:pPr>
    </w:p>
    <w:p>
      <w:pPr>
        <w:ind w:left="240" w:right="60" w:firstLine="223"/>
        <w:spacing w:after="0" w:line="298" w:lineRule="auto"/>
        <w:rPr>
          <w:sz w:val="20"/>
          <w:szCs w:val="20"/>
          <w:color w:val="auto"/>
        </w:rPr>
      </w:pPr>
      <w:r>
        <w:rPr>
          <w:rFonts w:ascii="Arial" w:cs="Arial" w:eastAsia="Arial" w:hAnsi="Arial"/>
          <w:sz w:val="16"/>
          <w:szCs w:val="16"/>
          <w:color w:val="auto"/>
        </w:rPr>
        <w:t xml:space="preserve">As the Company’s license contracts involve significant implementation essential to the functionality of the Company’s software product, license and services revenue, excluding the maintenance element described above, is recognized using contract accounting in accordance with the provisions of Statement of Position (SOP) 81-1, </w:t>
      </w:r>
      <w:r>
        <w:rPr>
          <w:rFonts w:ascii="Arial" w:cs="Arial" w:eastAsia="Arial" w:hAnsi="Arial"/>
          <w:sz w:val="16"/>
          <w:szCs w:val="16"/>
          <w:i w:val="1"/>
          <w:iCs w:val="1"/>
          <w:color w:val="auto"/>
        </w:rPr>
        <w:t>Accounting for Performance of Construction Type and Certain Production Type Contracts.</w:t>
      </w:r>
      <w:r>
        <w:rPr>
          <w:rFonts w:ascii="Arial" w:cs="Arial" w:eastAsia="Arial" w:hAnsi="Arial"/>
          <w:sz w:val="16"/>
          <w:szCs w:val="16"/>
          <w:color w:val="auto"/>
        </w:rPr>
        <w:t xml:space="preserve"> The Company classifies revenue from these arrangements as product and services revenue, respectively, based upon the estimated fair value of each element.</w:t>
      </w:r>
    </w:p>
    <w:p>
      <w:pPr>
        <w:spacing w:after="0" w:line="99" w:lineRule="exact"/>
        <w:rPr>
          <w:sz w:val="20"/>
          <w:szCs w:val="20"/>
          <w:color w:val="auto"/>
        </w:rPr>
      </w:pPr>
    </w:p>
    <w:p>
      <w:pPr>
        <w:ind w:left="240" w:right="100" w:firstLine="223"/>
        <w:spacing w:after="0" w:line="259" w:lineRule="auto"/>
        <w:rPr>
          <w:sz w:val="20"/>
          <w:szCs w:val="20"/>
          <w:color w:val="auto"/>
        </w:rPr>
      </w:pPr>
      <w:r>
        <w:rPr>
          <w:rFonts w:ascii="Arial" w:cs="Arial" w:eastAsia="Arial" w:hAnsi="Arial"/>
          <w:sz w:val="18"/>
          <w:szCs w:val="18"/>
          <w:color w:val="auto"/>
        </w:rPr>
        <w:t>On contracts for which reliable estimates can not be made by management with respect to the extent of implementation services required for full functionality, the license and services revenue, excluding the maintenance element, is recognized on a completed contract method. Approximately 21% of the Company’s revenue was derived from contracts accounted for</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269"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0"/>
          <w:szCs w:val="20"/>
          <w:color w:val="auto"/>
        </w:rPr>
      </w:pPr>
    </w:p>
    <w:p>
      <w:pPr>
        <w:ind w:left="240" w:right="220" w:firstLine="223"/>
        <w:spacing w:after="0" w:line="268" w:lineRule="auto"/>
        <w:rPr>
          <w:sz w:val="20"/>
          <w:szCs w:val="20"/>
          <w:color w:val="auto"/>
        </w:rPr>
      </w:pPr>
      <w:r>
        <w:rPr>
          <w:rFonts w:ascii="Arial" w:cs="Arial" w:eastAsia="Arial" w:hAnsi="Arial"/>
          <w:sz w:val="18"/>
          <w:szCs w:val="18"/>
          <w:color w:val="auto"/>
        </w:rPr>
        <w:t>under the completed contract method for the year ended December 31, 2000. The Company had no revenue derived from the completed contract method for the year ended December 31, 2001.</w:t>
      </w:r>
    </w:p>
    <w:p>
      <w:pPr>
        <w:spacing w:after="0" w:line="118" w:lineRule="exact"/>
        <w:rPr>
          <w:sz w:val="20"/>
          <w:szCs w:val="20"/>
          <w:color w:val="auto"/>
        </w:rPr>
      </w:pPr>
    </w:p>
    <w:p>
      <w:pPr>
        <w:ind w:left="240" w:right="80" w:firstLine="223"/>
        <w:spacing w:after="0" w:line="255" w:lineRule="auto"/>
        <w:rPr>
          <w:sz w:val="20"/>
          <w:szCs w:val="20"/>
          <w:color w:val="auto"/>
        </w:rPr>
      </w:pPr>
      <w:r>
        <w:rPr>
          <w:rFonts w:ascii="Arial" w:cs="Arial" w:eastAsia="Arial" w:hAnsi="Arial"/>
          <w:sz w:val="18"/>
          <w:szCs w:val="18"/>
          <w:color w:val="auto"/>
        </w:rPr>
        <w:t>On contracts for which reliable estimates can be made by management with respect to the extent of implementation services required for full functionality, the license and services revenue, excluding the maintenance element, is recognized on a percentage-of-completion method. Management estimates the percentage of completion for contracts based on the labor hours incurred compared to total estimated hours as well as contract milestones completed. Approximately 90% and 39% of the Company’s revenue was derived from contracts accounted for under the percentage-of-completion method for the years ended December 31, 2001 and 2000, respectively.</w:t>
      </w:r>
    </w:p>
    <w:p>
      <w:pPr>
        <w:spacing w:after="0" w:line="129" w:lineRule="exact"/>
        <w:rPr>
          <w:sz w:val="20"/>
          <w:szCs w:val="20"/>
          <w:color w:val="auto"/>
        </w:rPr>
      </w:pPr>
    </w:p>
    <w:p>
      <w:pPr>
        <w:ind w:left="240" w:right="220" w:firstLine="223"/>
        <w:spacing w:after="0" w:line="259" w:lineRule="auto"/>
        <w:rPr>
          <w:sz w:val="20"/>
          <w:szCs w:val="20"/>
          <w:color w:val="auto"/>
        </w:rPr>
      </w:pPr>
      <w:r>
        <w:rPr>
          <w:rFonts w:ascii="Arial" w:cs="Arial" w:eastAsia="Arial" w:hAnsi="Arial"/>
          <w:sz w:val="18"/>
          <w:szCs w:val="18"/>
          <w:color w:val="auto"/>
        </w:rPr>
        <w:t>Provisions for estimated contract losses are recognized in the period in which the loss becomes probable and can be reasonably estimated. Provisions for estimated contract losses was $121,000 for the year ended December 31, 2000. There was no provision for estimated contract losses for the year ended December 31, 2001.</w:t>
      </w:r>
    </w:p>
    <w:p>
      <w:pPr>
        <w:spacing w:after="0" w:line="127" w:lineRule="exact"/>
        <w:rPr>
          <w:sz w:val="20"/>
          <w:szCs w:val="20"/>
          <w:color w:val="auto"/>
        </w:rPr>
      </w:pPr>
    </w:p>
    <w:p>
      <w:pPr>
        <w:ind w:left="240" w:firstLine="223"/>
        <w:spacing w:after="0" w:line="255" w:lineRule="auto"/>
        <w:rPr>
          <w:sz w:val="20"/>
          <w:szCs w:val="20"/>
          <w:color w:val="auto"/>
        </w:rPr>
      </w:pPr>
      <w:r>
        <w:rPr>
          <w:rFonts w:ascii="Arial" w:cs="Arial" w:eastAsia="Arial" w:hAnsi="Arial"/>
          <w:sz w:val="18"/>
          <w:szCs w:val="18"/>
          <w:color w:val="auto"/>
        </w:rPr>
        <w:t>Fees for maintenance, hosting, content services, integrated bill analysis services and other consulting services are recognized as the services are provided or ratably over the term of the agreement. In cases where these services are provided with software licenses and there is vendor specific objective evidence of these services generally established through renewal rates for these services in future years as specified in the contracts or from rates which the services have been sold separately, license fees are recognized separately from these services and the services are recognized as they are provided or ratably over the term of the service agreement.</w:t>
      </w:r>
    </w:p>
    <w:p>
      <w:pPr>
        <w:spacing w:after="0" w:line="129" w:lineRule="exact"/>
        <w:rPr>
          <w:sz w:val="20"/>
          <w:szCs w:val="20"/>
          <w:color w:val="auto"/>
        </w:rPr>
      </w:pPr>
    </w:p>
    <w:p>
      <w:pPr>
        <w:ind w:left="240" w:firstLine="223"/>
        <w:spacing w:after="0" w:line="370" w:lineRule="auto"/>
        <w:rPr>
          <w:sz w:val="20"/>
          <w:szCs w:val="20"/>
          <w:color w:val="auto"/>
        </w:rPr>
      </w:pPr>
      <w:r>
        <w:rPr>
          <w:rFonts w:ascii="Arial" w:cs="Arial" w:eastAsia="Arial" w:hAnsi="Arial"/>
          <w:sz w:val="15"/>
          <w:szCs w:val="15"/>
          <w:color w:val="auto"/>
        </w:rPr>
        <w:t>Earned but unbilled project revenues are classified under current assets as costs in excess of billings. Deferred revenue includes billings in excess of project revenue earned, amounts payable on behalf of and billed to customers, cash received and other amounts billed in advance for services to be performed.</w:t>
      </w:r>
    </w:p>
    <w:p>
      <w:pPr>
        <w:spacing w:after="0" w:line="4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Stock-based compensation</w:t>
      </w:r>
    </w:p>
    <w:p>
      <w:pPr>
        <w:spacing w:after="0" w:line="164" w:lineRule="exact"/>
        <w:rPr>
          <w:sz w:val="20"/>
          <w:szCs w:val="20"/>
          <w:color w:val="auto"/>
        </w:rPr>
      </w:pPr>
    </w:p>
    <w:p>
      <w:pPr>
        <w:ind w:left="240" w:firstLine="223"/>
        <w:spacing w:after="0" w:line="289" w:lineRule="auto"/>
        <w:rPr>
          <w:sz w:val="20"/>
          <w:szCs w:val="20"/>
          <w:color w:val="auto"/>
        </w:rPr>
      </w:pPr>
      <w:r>
        <w:rPr>
          <w:rFonts w:ascii="Arial" w:cs="Arial" w:eastAsia="Arial" w:hAnsi="Arial"/>
          <w:sz w:val="16"/>
          <w:szCs w:val="16"/>
          <w:color w:val="auto"/>
        </w:rPr>
        <w:t>The Company uses the intrinsic value method to record stock-based compensation for employees provided the stock option terms meet the requirements for fixed accounting. The intrinsic value method requires that deferred stock compensation is recorded for the difference between the exercise price and fair value of the underlying common stock on the grant date of the stock option. Pro forma net loss disclosures are presented in Note 10, assuming all employee stock options were valued using the Black-Scholes model and the resulting stock-based compensation is amortized over the term the stock option becomes exercisable, using an accelerated method described in Financial Accounting Standards Board (“FASB”) Interpretation No. 28 (FIN No. 28). Stock-based compensation to non-employees is based on the fair value of the stock option estimated using the Black-Scholes model on the date of grant and re-measured until vested. Compensation expense resulting from employee and non-employee stock options is amortized to expense using the accelerated FIN No. 28 method.</w:t>
      </w:r>
    </w:p>
    <w:p>
      <w:pPr>
        <w:spacing w:after="0" w:line="105" w:lineRule="exact"/>
        <w:rPr>
          <w:sz w:val="20"/>
          <w:szCs w:val="20"/>
          <w:color w:val="auto"/>
        </w:rPr>
      </w:pPr>
    </w:p>
    <w:p>
      <w:pPr>
        <w:ind w:left="240" w:right="760" w:firstLine="223"/>
        <w:spacing w:after="0" w:line="332" w:lineRule="auto"/>
        <w:rPr>
          <w:sz w:val="20"/>
          <w:szCs w:val="20"/>
          <w:color w:val="auto"/>
        </w:rPr>
      </w:pPr>
      <w:r>
        <w:rPr>
          <w:rFonts w:ascii="Arial" w:cs="Arial" w:eastAsia="Arial" w:hAnsi="Arial"/>
          <w:sz w:val="16"/>
          <w:szCs w:val="16"/>
          <w:color w:val="auto"/>
        </w:rPr>
        <w:t>The Company has granted warrants to purchase its common stock to non-employees and certain companies for services or software. Stock-based compensation is estimated using the Black-Scholes model on the date of grant if vested and if not vested, re-measured until vested.</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00"/>
          </w:cols>
          <w:pgMar w:left="240" w:top="269" w:right="25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Advertising costs</w:t>
      </w:r>
    </w:p>
    <w:p>
      <w:pPr>
        <w:spacing w:after="0" w:line="164" w:lineRule="exact"/>
        <w:rPr>
          <w:sz w:val="20"/>
          <w:szCs w:val="20"/>
          <w:color w:val="auto"/>
        </w:rPr>
      </w:pPr>
    </w:p>
    <w:p>
      <w:pPr>
        <w:ind w:left="240" w:right="540" w:firstLine="223"/>
        <w:spacing w:after="0" w:line="268" w:lineRule="auto"/>
        <w:rPr>
          <w:sz w:val="20"/>
          <w:szCs w:val="20"/>
          <w:color w:val="auto"/>
        </w:rPr>
      </w:pPr>
      <w:r>
        <w:rPr>
          <w:rFonts w:ascii="Arial" w:cs="Arial" w:eastAsia="Arial" w:hAnsi="Arial"/>
          <w:sz w:val="18"/>
          <w:szCs w:val="18"/>
          <w:color w:val="auto"/>
        </w:rPr>
        <w:t>The cost of advertising is expensed as incurred. For the years ended December 31, 2001 and 2000, advertising costs totaled $120,000 and $659,000, respectively.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Income taxes</w:t>
      </w:r>
    </w:p>
    <w:p>
      <w:pPr>
        <w:spacing w:after="0" w:line="164" w:lineRule="exact"/>
        <w:rPr>
          <w:sz w:val="20"/>
          <w:szCs w:val="20"/>
          <w:color w:val="auto"/>
        </w:rPr>
      </w:pPr>
    </w:p>
    <w:p>
      <w:pPr>
        <w:ind w:left="240" w:right="60" w:firstLine="223"/>
        <w:spacing w:after="0" w:line="298" w:lineRule="auto"/>
        <w:rPr>
          <w:sz w:val="20"/>
          <w:szCs w:val="20"/>
          <w:color w:val="auto"/>
        </w:rPr>
      </w:pPr>
      <w:r>
        <w:rPr>
          <w:rFonts w:ascii="Arial" w:cs="Arial" w:eastAsia="Arial" w:hAnsi="Arial"/>
          <w:sz w:val="16"/>
          <w:szCs w:val="16"/>
          <w:color w:val="auto"/>
        </w:rPr>
        <w:t xml:space="preserve">The Company accounts for income taxes in accordance with SFAS No. 109, </w:t>
      </w:r>
      <w:r>
        <w:rPr>
          <w:rFonts w:ascii="Arial" w:cs="Arial" w:eastAsia="Arial" w:hAnsi="Arial"/>
          <w:sz w:val="16"/>
          <w:szCs w:val="16"/>
          <w:i w:val="1"/>
          <w:iCs w:val="1"/>
          <w:color w:val="auto"/>
        </w:rPr>
        <w:t>Accounting for Income Taxes</w:t>
      </w:r>
      <w:r>
        <w:rPr>
          <w:rFonts w:ascii="Arial" w:cs="Arial" w:eastAsia="Arial" w:hAnsi="Arial"/>
          <w:sz w:val="16"/>
          <w:szCs w:val="16"/>
          <w:color w:val="auto"/>
        </w:rPr>
        <w:t>. This statement prescribes the use of the liability method whereby deferred tax assets and liabilities are determined based on the differences between financial reporting and tax bases of assets and liabilities and measured at tax rates that will be in effect when the differences are expected to reverse. Valuation allowances are established when necessary to reduce deferred tax assets where it is more likely than not that the deferred tax asset will not be realized.</w:t>
      </w:r>
    </w:p>
    <w:p>
      <w:pPr>
        <w:spacing w:after="0" w:line="9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Segment reporting</w:t>
      </w:r>
    </w:p>
    <w:p>
      <w:pPr>
        <w:spacing w:after="0" w:line="164" w:lineRule="exact"/>
        <w:rPr>
          <w:sz w:val="20"/>
          <w:szCs w:val="20"/>
          <w:color w:val="auto"/>
        </w:rPr>
      </w:pPr>
    </w:p>
    <w:p>
      <w:pPr>
        <w:ind w:left="240" w:firstLine="223"/>
        <w:spacing w:after="0" w:line="256" w:lineRule="auto"/>
        <w:rPr>
          <w:sz w:val="20"/>
          <w:szCs w:val="20"/>
          <w:color w:val="auto"/>
        </w:rPr>
      </w:pPr>
      <w:r>
        <w:rPr>
          <w:rFonts w:ascii="Arial" w:cs="Arial" w:eastAsia="Arial" w:hAnsi="Arial"/>
          <w:sz w:val="18"/>
          <w:szCs w:val="18"/>
          <w:color w:val="auto"/>
        </w:rPr>
        <w:t xml:space="preserve">SFAS No. 131, </w:t>
      </w:r>
      <w:r>
        <w:rPr>
          <w:rFonts w:ascii="Arial" w:cs="Arial" w:eastAsia="Arial" w:hAnsi="Arial"/>
          <w:sz w:val="18"/>
          <w:szCs w:val="18"/>
          <w:i w:val="1"/>
          <w:iCs w:val="1"/>
          <w:color w:val="auto"/>
        </w:rPr>
        <w:t>Disclosures About Segments of an Enterprise and Related Information</w:t>
      </w:r>
      <w:r>
        <w:rPr>
          <w:rFonts w:ascii="Arial" w:cs="Arial" w:eastAsia="Arial" w:hAnsi="Arial"/>
          <w:sz w:val="18"/>
          <w:szCs w:val="18"/>
          <w:color w:val="auto"/>
        </w:rPr>
        <w:t xml:space="preserve"> establishes annual and interim reporting standards for an enterprise’s business segments and related disclosures about its products, services, geographic areas and major customers. The method for determining what information to report is based on the way management organizes the operating segments within the Company for making operating decisions and assessing financial performance.</w:t>
      </w:r>
    </w:p>
    <w:p>
      <w:pPr>
        <w:spacing w:after="0" w:line="130" w:lineRule="exact"/>
        <w:rPr>
          <w:sz w:val="20"/>
          <w:szCs w:val="20"/>
          <w:color w:val="auto"/>
        </w:rPr>
      </w:pPr>
    </w:p>
    <w:p>
      <w:pPr>
        <w:ind w:left="240" w:right="100" w:firstLine="223"/>
        <w:spacing w:after="0" w:line="294" w:lineRule="auto"/>
        <w:rPr>
          <w:sz w:val="20"/>
          <w:szCs w:val="20"/>
          <w:color w:val="auto"/>
        </w:rPr>
      </w:pPr>
      <w:r>
        <w:rPr>
          <w:rFonts w:ascii="Arial" w:cs="Arial" w:eastAsia="Arial" w:hAnsi="Arial"/>
          <w:sz w:val="16"/>
          <w:szCs w:val="16"/>
          <w:color w:val="auto"/>
        </w:rPr>
        <w:t>The Company’s chief operating decision-maker is considered to be the chief executive officer (“CEO”). The CEO reviews financial information presented for purposes of making operating decisions and assessing financial performance. The financial information is consistent with the information presented in the accompanying statements of operations and the Company had no significant foreign operations through December 31, 2001. For the years ended December 31, 2001 and 2000, revenues from customers located outside the United States of America were $4,621,000 and $749,000, respectively. Long-lived assets outside the United States of America were not significant during the years presented.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Comprehensive loss</w:t>
      </w:r>
    </w:p>
    <w:p>
      <w:pPr>
        <w:spacing w:after="0" w:line="164" w:lineRule="exact"/>
        <w:rPr>
          <w:sz w:val="20"/>
          <w:szCs w:val="20"/>
          <w:color w:val="auto"/>
        </w:rPr>
      </w:pPr>
    </w:p>
    <w:p>
      <w:pPr>
        <w:ind w:left="240" w:right="160" w:firstLine="223"/>
        <w:spacing w:after="0" w:line="259" w:lineRule="auto"/>
        <w:rPr>
          <w:sz w:val="20"/>
          <w:szCs w:val="20"/>
          <w:color w:val="auto"/>
        </w:rPr>
      </w:pPr>
      <w:r>
        <w:rPr>
          <w:rFonts w:ascii="Arial" w:cs="Arial" w:eastAsia="Arial" w:hAnsi="Arial"/>
          <w:sz w:val="18"/>
          <w:szCs w:val="18"/>
          <w:color w:val="auto"/>
        </w:rPr>
        <w:t xml:space="preserve">SFAS No. 130, </w:t>
      </w:r>
      <w:r>
        <w:rPr>
          <w:rFonts w:ascii="Arial" w:cs="Arial" w:eastAsia="Arial" w:hAnsi="Arial"/>
          <w:sz w:val="18"/>
          <w:szCs w:val="18"/>
          <w:i w:val="1"/>
          <w:iCs w:val="1"/>
          <w:color w:val="auto"/>
        </w:rPr>
        <w:t>Reporting Comprehensive Income</w:t>
      </w:r>
      <w:r>
        <w:rPr>
          <w:rFonts w:ascii="Arial" w:cs="Arial" w:eastAsia="Arial" w:hAnsi="Arial"/>
          <w:sz w:val="18"/>
          <w:szCs w:val="18"/>
          <w:color w:val="auto"/>
        </w:rPr>
        <w:t xml:space="preserve"> requires an enterprise to report by major components and as a single total, the change in its net assets during the period from non-stockholder sources. The Company’s total comprehensive loss approximates net loss for the years ended December 31, 2001 and 2000 as unrealized investment gains or losses in each year was insignificant.</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Recent accounting pronouncements</w:t>
      </w:r>
    </w:p>
    <w:p>
      <w:pPr>
        <w:spacing w:after="0" w:line="164" w:lineRule="exact"/>
        <w:rPr>
          <w:sz w:val="20"/>
          <w:szCs w:val="20"/>
          <w:color w:val="auto"/>
        </w:rPr>
      </w:pPr>
    </w:p>
    <w:p>
      <w:pPr>
        <w:ind w:left="240" w:right="220" w:firstLine="223"/>
        <w:spacing w:after="0" w:line="294" w:lineRule="auto"/>
        <w:rPr>
          <w:sz w:val="20"/>
          <w:szCs w:val="20"/>
          <w:color w:val="auto"/>
        </w:rPr>
      </w:pPr>
      <w:r>
        <w:rPr>
          <w:rFonts w:ascii="Arial" w:cs="Arial" w:eastAsia="Arial" w:hAnsi="Arial"/>
          <w:sz w:val="16"/>
          <w:szCs w:val="16"/>
          <w:color w:val="auto"/>
        </w:rPr>
        <w:t xml:space="preserve">In July 2001, the FASB issued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SFAS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SFAS No. 141 revises accounting treatment for business combinations requiring the use of purchase accounting and prohibiting the use of pooling-of-interests method for all business combinations initiated after June 30, 2001 and broadens the criteria for recording intangible assets separate from goodwill for all business combinations completed after June 30, 2001. SFAS No. 142 revises the accounting for goodwill and other intangible assets by not allowing amortization of goodwill and establishing accounting for impairment of goodwill and other intangible assets. SFAS No. 142 will be</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00"/>
          </w:cols>
          <w:pgMar w:left="240" w:top="269" w:right="25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0"/>
          <w:szCs w:val="20"/>
          <w:color w:val="auto"/>
        </w:rPr>
      </w:pPr>
    </w:p>
    <w:p>
      <w:pPr>
        <w:ind w:left="240" w:right="480" w:firstLine="223"/>
        <w:spacing w:after="0" w:line="256" w:lineRule="auto"/>
        <w:rPr>
          <w:sz w:val="20"/>
          <w:szCs w:val="20"/>
          <w:color w:val="auto"/>
        </w:rPr>
      </w:pPr>
      <w:r>
        <w:rPr>
          <w:rFonts w:ascii="Arial" w:cs="Arial" w:eastAsia="Arial" w:hAnsi="Arial"/>
          <w:sz w:val="18"/>
          <w:szCs w:val="18"/>
          <w:color w:val="auto"/>
        </w:rPr>
        <w:t>effective for fiscal years beginning after December 15, 2001. Adoption of SFAS No. 142 will result in the reclassification of certain intangible assets, primarily in place workforce of $465,000 at December 31, 2001 and 2000, to goodwill and the cessation of amortization of goodwill. The sum of the amortization of goodwill and the assets to be reclassified to goodwill was $249,000 and $139,000 for the years ended December 31, 2001 and 2000, respectively.</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Had the Company been accounting for its goodwill under SFAS No. 142 for the years ended December 31, 2001 and December 31, 2000, respectively, the</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Company’s net loss would have been as follows:</w:t>
      </w:r>
    </w:p>
    <w:p>
      <w:pPr>
        <w:spacing w:after="0" w:line="147" w:lineRule="exact"/>
        <w:rPr>
          <w:sz w:val="20"/>
          <w:szCs w:val="20"/>
          <w:color w:val="auto"/>
        </w:rPr>
      </w:pPr>
    </w:p>
    <w:p>
      <w:pPr>
        <w:ind w:left="768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60325</wp:posOffset>
            </wp:positionV>
            <wp:extent cx="1209040" cy="88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44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ind w:right="177"/>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r>
      <w:tr>
        <w:trPr>
          <w:trHeight w:val="95"/>
        </w:trPr>
        <w:tc>
          <w:tcPr>
            <w:tcW w:w="4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Reported net loss</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(18,331)</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(27,782)</w:t>
            </w:r>
          </w:p>
        </w:tc>
      </w:tr>
      <w:tr>
        <w:trPr>
          <w:trHeight w:val="216"/>
        </w:trPr>
        <w:tc>
          <w:tcPr>
            <w:tcW w:w="4480" w:type="dxa"/>
            <w:vAlign w:val="bottom"/>
          </w:tcPr>
          <w:p>
            <w:pPr>
              <w:spacing w:after="0"/>
              <w:rPr>
                <w:sz w:val="20"/>
                <w:szCs w:val="20"/>
                <w:color w:val="auto"/>
              </w:rPr>
            </w:pPr>
            <w:r>
              <w:rPr>
                <w:rFonts w:ascii="Arial" w:cs="Arial" w:eastAsia="Arial" w:hAnsi="Arial"/>
                <w:sz w:val="18"/>
                <w:szCs w:val="18"/>
                <w:color w:val="auto"/>
              </w:rPr>
              <w:t>Add back:</w:t>
            </w:r>
          </w:p>
        </w:tc>
        <w:tc>
          <w:tcPr>
            <w:tcW w:w="3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4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6"/>
              </w:rPr>
              <w:t>Goodwill and reclassified assets amortization, net of tax</w:t>
            </w:r>
          </w:p>
        </w:tc>
        <w:tc>
          <w:tcPr>
            <w:tcW w:w="3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w:t>
            </w:r>
          </w:p>
        </w:tc>
        <w:tc>
          <w:tcPr>
            <w:tcW w:w="100" w:type="dxa"/>
            <w:vAlign w:val="bottom"/>
            <w:shd w:val="clear" w:color="auto" w:fill="CCEEFF"/>
          </w:tcPr>
          <w:p>
            <w:pPr>
              <w:spacing w:after="0"/>
              <w:rPr>
                <w:sz w:val="18"/>
                <w:szCs w:val="18"/>
                <w:color w:val="auto"/>
              </w:rPr>
            </w:pPr>
          </w:p>
        </w:tc>
      </w:tr>
      <w:tr>
        <w:trPr>
          <w:trHeight w:val="108"/>
        </w:trPr>
        <w:tc>
          <w:tcPr>
            <w:tcW w:w="4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4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480" w:type="dxa"/>
            <w:vAlign w:val="bottom"/>
            <w:shd w:val="clear" w:color="auto" w:fill="CCEEFF"/>
          </w:tcPr>
          <w:p>
            <w:pPr>
              <w:spacing w:after="0"/>
              <w:rPr>
                <w:sz w:val="20"/>
                <w:szCs w:val="20"/>
                <w:color w:val="auto"/>
              </w:rPr>
            </w:pPr>
            <w:r>
              <w:rPr>
                <w:rFonts w:ascii="Arial" w:cs="Arial" w:eastAsia="Arial" w:hAnsi="Arial"/>
                <w:sz w:val="18"/>
                <w:szCs w:val="18"/>
                <w:color w:val="auto"/>
              </w:rPr>
              <w:t>Adjusted net loss</w:t>
            </w:r>
          </w:p>
        </w:tc>
        <w:tc>
          <w:tcPr>
            <w:tcW w:w="5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8"/>
              </w:rPr>
              <w:t>(18,082)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(27,643)</w:t>
            </w:r>
          </w:p>
        </w:tc>
      </w:tr>
      <w:tr>
        <w:trPr>
          <w:trHeight w:val="108"/>
        </w:trPr>
        <w:tc>
          <w:tcPr>
            <w:tcW w:w="4480" w:type="dxa"/>
            <w:vAlign w:val="bottom"/>
          </w:tcPr>
          <w:p>
            <w:pPr>
              <w:spacing w:after="0"/>
              <w:rPr>
                <w:sz w:val="9"/>
                <w:szCs w:val="9"/>
                <w:color w:val="auto"/>
              </w:rPr>
            </w:pPr>
          </w:p>
        </w:tc>
        <w:tc>
          <w:tcPr>
            <w:tcW w:w="36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bl>
    <w:p>
      <w:pPr>
        <w:spacing w:after="0" w:line="248" w:lineRule="exact"/>
        <w:rPr>
          <w:sz w:val="20"/>
          <w:szCs w:val="20"/>
          <w:color w:val="auto"/>
        </w:rPr>
      </w:pPr>
    </w:p>
    <w:p>
      <w:pPr>
        <w:ind w:left="240" w:firstLine="223"/>
        <w:spacing w:after="0" w:line="255" w:lineRule="auto"/>
        <w:rPr>
          <w:sz w:val="20"/>
          <w:szCs w:val="20"/>
          <w:color w:val="auto"/>
        </w:rPr>
      </w:pPr>
      <w:r>
        <w:rPr>
          <w:rFonts w:ascii="Arial" w:cs="Arial" w:eastAsia="Arial" w:hAnsi="Arial"/>
          <w:sz w:val="18"/>
          <w:szCs w:val="18"/>
          <w:color w:val="auto"/>
        </w:rPr>
        <w:t xml:space="preserve">In October 2001, the FASB issued SFAS No. 144, </w:t>
      </w:r>
      <w:r>
        <w:rPr>
          <w:rFonts w:ascii="Arial" w:cs="Arial" w:eastAsia="Arial" w:hAnsi="Arial"/>
          <w:sz w:val="18"/>
          <w:szCs w:val="18"/>
          <w:i w:val="1"/>
          <w:iCs w:val="1"/>
          <w:color w:val="auto"/>
        </w:rPr>
        <w:t>Accounting for the Impairment or Disposal of Long-Lived Assets.</w:t>
      </w:r>
      <w:r>
        <w:rPr>
          <w:rFonts w:ascii="Arial" w:cs="Arial" w:eastAsia="Arial" w:hAnsi="Arial"/>
          <w:sz w:val="18"/>
          <w:szCs w:val="18"/>
          <w:color w:val="auto"/>
        </w:rPr>
        <w:t xml:space="preserve"> SFAS No. 144 supercedes Statement of Financial Accounting Standards No. 121 and applies to all long-lived assets including discontinued operations and consequently amends APB Opinion No. 30, </w:t>
      </w:r>
      <w:r>
        <w:rPr>
          <w:rFonts w:ascii="Arial" w:cs="Arial" w:eastAsia="Arial" w:hAnsi="Arial"/>
          <w:sz w:val="18"/>
          <w:szCs w:val="18"/>
          <w:i w:val="1"/>
          <w:iCs w:val="1"/>
          <w:color w:val="auto"/>
        </w:rPr>
        <w:t>Reporting the Results of Operations—Reporting the Effects of Disposal of a Segment of a Business.</w:t>
      </w:r>
      <w:r>
        <w:rPr>
          <w:rFonts w:ascii="Arial" w:cs="Arial" w:eastAsia="Arial" w:hAnsi="Arial"/>
          <w:sz w:val="18"/>
          <w:szCs w:val="18"/>
          <w:color w:val="auto"/>
        </w:rPr>
        <w:t xml:space="preserve"> SFAS No. 144 will be effective for financial statements issued for fiscal years beginning after December 15, 2001. The Company has not yet determined the impact adoption of SFAS No. 144 will have on the Company’s future financial statements.</w:t>
      </w:r>
    </w:p>
    <w:p>
      <w:pPr>
        <w:spacing w:after="0" w:line="12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Reclassifications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Certain reclassifications have been made to the December 31, 2000 financial statements to conform to the current period presentation.</w:t>
      </w:r>
    </w:p>
    <w:p>
      <w:pPr>
        <w:spacing w:after="0" w:line="152" w:lineRule="exact"/>
        <w:rPr>
          <w:sz w:val="20"/>
          <w:szCs w:val="20"/>
          <w:color w:val="auto"/>
        </w:rPr>
      </w:pPr>
    </w:p>
    <w:p>
      <w:pPr>
        <w:ind w:left="460" w:right="8980" w:hanging="452"/>
        <w:spacing w:after="0" w:line="511" w:lineRule="auto"/>
        <w:tabs>
          <w:tab w:leader="none" w:pos="184" w:val="left"/>
        </w:tabs>
        <w:numPr>
          <w:ilvl w:val="0"/>
          <w:numId w:val="5"/>
        </w:numPr>
        <w:rPr>
          <w:rFonts w:ascii="Arial" w:cs="Arial" w:eastAsia="Arial" w:hAnsi="Arial"/>
          <w:sz w:val="15"/>
          <w:szCs w:val="15"/>
          <w:b w:val="1"/>
          <w:bCs w:val="1"/>
          <w:color w:val="auto"/>
        </w:rPr>
      </w:pPr>
      <w:r>
        <w:rPr>
          <w:rFonts w:ascii="Arial" w:cs="Arial" w:eastAsia="Arial" w:hAnsi="Arial"/>
          <w:sz w:val="15"/>
          <w:szCs w:val="15"/>
          <w:b w:val="1"/>
          <w:bCs w:val="1"/>
          <w:color w:val="auto"/>
        </w:rPr>
        <w:t>Balance Sheet Accounts Cash and cash equivalents</w:t>
      </w:r>
    </w:p>
    <w:p>
      <w:pPr>
        <w:ind w:left="460"/>
        <w:spacing w:after="0"/>
        <w:rPr>
          <w:rFonts w:ascii="Arial" w:cs="Arial" w:eastAsia="Arial" w:hAnsi="Arial"/>
          <w:sz w:val="15"/>
          <w:szCs w:val="15"/>
          <w:b w:val="1"/>
          <w:bCs w:val="1"/>
          <w:color w:val="auto"/>
        </w:rPr>
      </w:pPr>
      <w:r>
        <w:rPr>
          <w:rFonts w:ascii="Arial" w:cs="Arial" w:eastAsia="Arial" w:hAnsi="Arial"/>
          <w:sz w:val="18"/>
          <w:szCs w:val="18"/>
          <w:color w:val="auto"/>
        </w:rPr>
        <w:t>Cash and cash equivalents consist of the following:</w:t>
      </w:r>
    </w:p>
    <w:p>
      <w:pPr>
        <w:spacing w:after="0" w:line="153"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60325</wp:posOffset>
            </wp:positionV>
            <wp:extent cx="114046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50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7"/>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Money market funds</w:t>
            </w: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6,815</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4,964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0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04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5,181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0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-29210</wp:posOffset>
            </wp:positionV>
            <wp:extent cx="1144905" cy="2984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44905" cy="2984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Short-term investments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cost of short-term investments approximated the fair value and the amount of unrealized gains or losses were not significant at December 31, 2001 and</w:t>
      </w:r>
    </w:p>
    <w:p>
      <w:pPr>
        <w:spacing w:after="0" w:line="50" w:lineRule="exact"/>
        <w:rPr>
          <w:sz w:val="20"/>
          <w:szCs w:val="20"/>
          <w:color w:val="auto"/>
        </w:rPr>
      </w:pPr>
    </w:p>
    <w:p>
      <w:pPr>
        <w:ind w:left="240"/>
        <w:spacing w:after="0"/>
        <w:rPr>
          <w:sz w:val="20"/>
          <w:szCs w:val="20"/>
          <w:color w:val="auto"/>
        </w:rPr>
      </w:pPr>
      <w:r>
        <w:rPr>
          <w:rFonts w:ascii="Arial" w:cs="Arial" w:eastAsia="Arial" w:hAnsi="Arial"/>
          <w:sz w:val="18"/>
          <w:szCs w:val="18"/>
          <w:color w:val="auto"/>
        </w:rPr>
        <w:t>2000. Short-term investments consist of the following:</w:t>
      </w:r>
    </w:p>
    <w:p>
      <w:pPr>
        <w:spacing w:after="0" w:line="147"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60325</wp:posOffset>
            </wp:positionV>
            <wp:extent cx="1140460" cy="88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84" w:lineRule="exact"/>
        <w:rPr>
          <w:sz w:val="20"/>
          <w:szCs w:val="20"/>
          <w:color w:val="auto"/>
        </w:rPr>
      </w:pPr>
    </w:p>
    <w:p>
      <w:pPr>
        <w:ind w:left="7540"/>
        <w:spacing w:after="0"/>
        <w:tabs>
          <w:tab w:leader="none" w:pos="8500" w:val="left"/>
        </w:tabs>
        <w:rPr>
          <w:sz w:val="20"/>
          <w:szCs w:val="20"/>
          <w:color w:val="auto"/>
        </w:rPr>
      </w:pPr>
      <w:r>
        <w:rPr>
          <w:rFonts w:ascii="Arial" w:cs="Arial" w:eastAsia="Arial" w:hAnsi="Arial"/>
          <w:sz w:val="14"/>
          <w:szCs w:val="14"/>
          <w:b w:val="1"/>
          <w:bCs w:val="1"/>
          <w:color w:val="auto"/>
        </w:rPr>
        <w:t>2001</w:t>
      </w:r>
      <w:r>
        <w:rPr>
          <w:sz w:val="20"/>
          <w:szCs w:val="20"/>
          <w:color w:val="auto"/>
        </w:rPr>
        <w:tab/>
      </w:r>
      <w:r>
        <w:rPr>
          <w:rFonts w:ascii="Arial" w:cs="Arial" w:eastAsia="Arial" w:hAnsi="Arial"/>
          <w:sz w:val="14"/>
          <w:szCs w:val="14"/>
          <w:b w:val="1"/>
          <w:bCs w:val="1"/>
          <w:color w:val="auto"/>
        </w:rPr>
        <w:t>2000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68580</wp:posOffset>
            </wp:positionV>
            <wp:extent cx="114046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202" w:lineRule="exact"/>
        <w:rPr>
          <w:sz w:val="20"/>
          <w:szCs w:val="20"/>
          <w:color w:val="auto"/>
        </w:rPr>
      </w:pPr>
    </w:p>
    <w:p>
      <w:pPr>
        <w:ind w:left="2300"/>
        <w:spacing w:after="0"/>
        <w:tabs>
          <w:tab w:leader="none" w:pos="7320" w:val="left"/>
          <w:tab w:leader="none" w:pos="7700" w:val="left"/>
          <w:tab w:leader="none" w:pos="8180" w:val="left"/>
          <w:tab w:leader="none" w:pos="8640" w:val="left"/>
        </w:tabs>
        <w:rPr>
          <w:sz w:val="20"/>
          <w:szCs w:val="20"/>
          <w:color w:val="auto"/>
        </w:rPr>
      </w:pPr>
      <w:r>
        <w:rPr>
          <w:rFonts w:ascii="Arial" w:cs="Arial" w:eastAsia="Arial" w:hAnsi="Arial"/>
          <w:sz w:val="18"/>
          <w:szCs w:val="18"/>
          <w:color w:val="auto"/>
        </w:rPr>
        <w:t>Investment-grade corporate obligations</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5"/>
          <w:szCs w:val="15"/>
          <w:color w:val="auto"/>
        </w:rPr>
        <w:t>15,462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1454150</wp:posOffset>
            </wp:positionH>
            <wp:positionV relativeFrom="paragraph">
              <wp:posOffset>-125730</wp:posOffset>
            </wp:positionV>
            <wp:extent cx="4347845" cy="13716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347845" cy="13716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77470</wp:posOffset>
            </wp:positionV>
            <wp:extent cx="1144905" cy="298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1144905" cy="29845"/>
                    </a:xfrm>
                    <a:prstGeom prst="rect">
                      <a:avLst/>
                    </a:prstGeom>
                    <a:noFill/>
                  </pic:spPr>
                </pic:pic>
              </a:graphicData>
            </a:graphic>
          </wp:anchor>
        </w:drawing>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69"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0"/>
          <w:szCs w:val="20"/>
          <w:color w:val="auto"/>
        </w:rPr>
      </w:pPr>
    </w:p>
    <w:p>
      <w:pPr>
        <w:ind w:left="460"/>
        <w:spacing w:after="0"/>
        <w:rPr>
          <w:sz w:val="20"/>
          <w:szCs w:val="20"/>
          <w:color w:val="auto"/>
        </w:rPr>
      </w:pPr>
      <w:r>
        <w:rPr>
          <w:rFonts w:ascii="Arial" w:cs="Arial" w:eastAsia="Arial" w:hAnsi="Arial"/>
          <w:sz w:val="16"/>
          <w:szCs w:val="16"/>
          <w:color w:val="auto"/>
        </w:rPr>
        <w:t>All of the Company’s short-term investments are classified as available-for-sale since the Company intends to sell them as needed for operations.</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6"/>
          <w:szCs w:val="16"/>
          <w:color w:val="auto"/>
        </w:rPr>
        <w:t>For the years ended December 31, 2001 and 2000, the Company realized a gain of $4,000 and $9,000, respectively, on the sale of securities.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Prepaid expenses and other current assets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Prepaid expenses and other current assets consist of the following:</w:t>
      </w:r>
    </w:p>
    <w:p>
      <w:pPr>
        <w:spacing w:after="0" w:line="153"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60325</wp:posOffset>
            </wp:positionV>
            <wp:extent cx="114046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50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jc w:val="right"/>
              <w:ind w:right="177"/>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right"/>
              <w:ind w:right="197"/>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0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Prepaid commissions</w:t>
            </w: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1,498</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040" w:type="dxa"/>
            <w:vAlign w:val="bottom"/>
          </w:tcPr>
          <w:p>
            <w:pPr>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588</w:t>
            </w:r>
          </w:p>
        </w:tc>
        <w:tc>
          <w:tcPr>
            <w:tcW w:w="2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233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0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0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0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4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3"/>
              <w:spacing w:after="0"/>
              <w:rPr>
                <w:sz w:val="20"/>
                <w:szCs w:val="20"/>
                <w:color w:val="auto"/>
              </w:rPr>
            </w:pPr>
            <w:r>
              <w:rPr>
                <w:rFonts w:ascii="Arial" w:cs="Arial" w:eastAsia="Arial" w:hAnsi="Arial"/>
                <w:sz w:val="15"/>
                <w:szCs w:val="15"/>
                <w:color w:val="auto"/>
                <w:w w:val="71"/>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3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04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-29210</wp:posOffset>
            </wp:positionV>
            <wp:extent cx="12700" cy="2984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5148580</wp:posOffset>
            </wp:positionH>
            <wp:positionV relativeFrom="paragraph">
              <wp:posOffset>-29210</wp:posOffset>
            </wp:positionV>
            <wp:extent cx="12700" cy="2984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4745355</wp:posOffset>
            </wp:positionH>
            <wp:positionV relativeFrom="paragraph">
              <wp:posOffset>-29210</wp:posOffset>
            </wp:positionV>
            <wp:extent cx="21590" cy="2984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-29210</wp:posOffset>
            </wp:positionV>
            <wp:extent cx="12700" cy="2984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-29210</wp:posOffset>
            </wp:positionV>
            <wp:extent cx="12700" cy="2984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5371465</wp:posOffset>
            </wp:positionH>
            <wp:positionV relativeFrom="paragraph">
              <wp:posOffset>-29210</wp:posOffset>
            </wp:positionV>
            <wp:extent cx="21590" cy="2984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Property and equipment, net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Property and equipment consists of the following:</w:t>
      </w:r>
    </w:p>
    <w:p>
      <w:pPr>
        <w:spacing w:after="0" w:line="153" w:lineRule="exact"/>
        <w:rPr>
          <w:sz w:val="20"/>
          <w:szCs w:val="20"/>
          <w:color w:val="auto"/>
        </w:rPr>
      </w:pPr>
    </w:p>
    <w:p>
      <w:pPr>
        <w:ind w:left="774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776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4618990</wp:posOffset>
            </wp:positionH>
            <wp:positionV relativeFrom="paragraph">
              <wp:posOffset>60325</wp:posOffset>
            </wp:positionV>
            <wp:extent cx="112331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23315" cy="8890"/>
                    </a:xfrm>
                    <a:prstGeom prst="rect">
                      <a:avLst/>
                    </a:prstGeom>
                    <a:noFill/>
                  </pic:spPr>
                </pic:pic>
              </a:graphicData>
            </a:graphic>
          </wp:anchor>
        </w:drawing>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4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jc w:val="right"/>
              <w:ind w:right="135"/>
              <w:spacing w:after="0"/>
              <w:rPr>
                <w:sz w:val="20"/>
                <w:szCs w:val="20"/>
                <w:color w:val="auto"/>
              </w:rPr>
            </w:pPr>
            <w:r>
              <w:rPr>
                <w:rFonts w:ascii="Arial" w:cs="Arial" w:eastAsia="Arial" w:hAnsi="Arial"/>
                <w:sz w:val="14"/>
                <w:szCs w:val="14"/>
                <w:b w:val="1"/>
                <w:bCs w:val="1"/>
                <w:color w:val="auto"/>
              </w:rPr>
              <w:t>2001</w:t>
            </w:r>
          </w:p>
        </w:tc>
        <w:tc>
          <w:tcPr>
            <w:tcW w:w="2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580" w:type="dxa"/>
            <w:vAlign w:val="bottom"/>
          </w:tcPr>
          <w:p>
            <w:pPr>
              <w:jc w:val="right"/>
              <w:ind w:right="155"/>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r>
      <w:tr>
        <w:trPr>
          <w:trHeight w:val="95"/>
        </w:trPr>
        <w:tc>
          <w:tcPr>
            <w:tcW w:w="49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2,955</w:t>
            </w:r>
          </w:p>
        </w:tc>
        <w:tc>
          <w:tcPr>
            <w:tcW w:w="100" w:type="dxa"/>
            <w:vAlign w:val="bottom"/>
            <w:shd w:val="clear" w:color="auto" w:fill="CCEEFF"/>
          </w:tcPr>
          <w:p>
            <w:pPr>
              <w:spacing w:after="0"/>
              <w:rPr>
                <w:sz w:val="18"/>
                <w:szCs w:val="18"/>
                <w:color w:val="auto"/>
              </w:rPr>
            </w:pPr>
          </w:p>
        </w:tc>
      </w:tr>
      <w:tr>
        <w:trPr>
          <w:trHeight w:val="216"/>
        </w:trPr>
        <w:tc>
          <w:tcPr>
            <w:tcW w:w="498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16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1,430</w:t>
            </w: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1,192</w:t>
            </w:r>
          </w:p>
        </w:tc>
        <w:tc>
          <w:tcPr>
            <w:tcW w:w="100" w:type="dxa"/>
            <w:vAlign w:val="bottom"/>
          </w:tcPr>
          <w:p>
            <w:pPr>
              <w:spacing w:after="0"/>
              <w:rPr>
                <w:sz w:val="18"/>
                <w:szCs w:val="18"/>
                <w:color w:val="auto"/>
              </w:rPr>
            </w:pPr>
          </w:p>
        </w:tc>
      </w:tr>
      <w:tr>
        <w:trPr>
          <w:trHeight w:val="216"/>
        </w:trPr>
        <w:tc>
          <w:tcPr>
            <w:tcW w:w="498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shd w:val="clear" w:color="auto" w:fill="CCEEFF"/>
          </w:tcPr>
          <w:p>
            <w:pPr>
              <w:spacing w:after="0"/>
              <w:rPr>
                <w:sz w:val="18"/>
                <w:szCs w:val="18"/>
                <w:color w:val="auto"/>
              </w:rPr>
            </w:pPr>
          </w:p>
        </w:tc>
      </w:tr>
      <w:tr>
        <w:trPr>
          <w:trHeight w:val="108"/>
        </w:trPr>
        <w:tc>
          <w:tcPr>
            <w:tcW w:w="49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property and equipment</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4,245</w:t>
            </w:r>
          </w:p>
        </w:tc>
        <w:tc>
          <w:tcPr>
            <w:tcW w:w="100" w:type="dxa"/>
            <w:vAlign w:val="bottom"/>
            <w:shd w:val="clear" w:color="auto" w:fill="CCEEFF"/>
          </w:tcPr>
          <w:p>
            <w:pPr>
              <w:spacing w:after="0"/>
              <w:rPr>
                <w:sz w:val="18"/>
                <w:szCs w:val="18"/>
                <w:color w:val="auto"/>
              </w:rPr>
            </w:pPr>
          </w:p>
        </w:tc>
      </w:tr>
      <w:tr>
        <w:trPr>
          <w:trHeight w:val="322"/>
        </w:trPr>
        <w:tc>
          <w:tcPr>
            <w:tcW w:w="4980" w:type="dxa"/>
            <w:vAlign w:val="bottom"/>
          </w:tcPr>
          <w:p>
            <w:pPr>
              <w:spacing w:after="0"/>
              <w:rPr>
                <w:sz w:val="20"/>
                <w:szCs w:val="20"/>
                <w:color w:val="auto"/>
              </w:rPr>
            </w:pPr>
            <w:r>
              <w:rPr>
                <w:rFonts w:ascii="Arial" w:cs="Arial" w:eastAsia="Arial" w:hAnsi="Arial"/>
                <w:sz w:val="18"/>
                <w:szCs w:val="18"/>
                <w:color w:val="auto"/>
              </w:rPr>
              <w:t>Less: Accumulated depreciation and amortization</w:t>
            </w:r>
          </w:p>
        </w:tc>
        <w:tc>
          <w:tcPr>
            <w:tcW w:w="16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(2,752)</w:t>
            </w:r>
          </w:p>
        </w:tc>
        <w:tc>
          <w:tcPr>
            <w:tcW w:w="180" w:type="dxa"/>
            <w:vAlign w:val="bottom"/>
          </w:tcPr>
          <w:p>
            <w:pPr>
              <w:spacing w:after="0"/>
              <w:rPr>
                <w:sz w:val="24"/>
                <w:szCs w:val="24"/>
                <w:color w:val="auto"/>
              </w:rPr>
            </w:pPr>
          </w:p>
        </w:tc>
        <w:tc>
          <w:tcPr>
            <w:tcW w:w="680" w:type="dxa"/>
            <w:vAlign w:val="bottom"/>
            <w:gridSpan w:val="2"/>
          </w:tcPr>
          <w:p>
            <w:pPr>
              <w:jc w:val="right"/>
              <w:ind w:right="40"/>
              <w:spacing w:after="0"/>
              <w:rPr>
                <w:sz w:val="20"/>
                <w:szCs w:val="20"/>
                <w:color w:val="auto"/>
              </w:rPr>
            </w:pPr>
            <w:r>
              <w:rPr>
                <w:rFonts w:ascii="Arial" w:cs="Arial" w:eastAsia="Arial" w:hAnsi="Arial"/>
                <w:sz w:val="18"/>
                <w:szCs w:val="18"/>
                <w:color w:val="auto"/>
              </w:rPr>
              <w:t>(1,080)</w:t>
            </w:r>
          </w:p>
        </w:tc>
      </w:tr>
      <w:tr>
        <w:trPr>
          <w:trHeight w:val="110"/>
        </w:trPr>
        <w:tc>
          <w:tcPr>
            <w:tcW w:w="49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49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80" w:type="dxa"/>
            <w:vAlign w:val="bottom"/>
          </w:tcPr>
          <w:p>
            <w:pPr>
              <w:spacing w:after="0"/>
              <w:rPr>
                <w:sz w:val="8"/>
                <w:szCs w:val="8"/>
                <w:color w:val="auto"/>
              </w:rPr>
            </w:pPr>
          </w:p>
        </w:tc>
        <w:tc>
          <w:tcPr>
            <w:tcW w:w="58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98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28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3,165</w:t>
            </w:r>
          </w:p>
        </w:tc>
        <w:tc>
          <w:tcPr>
            <w:tcW w:w="100" w:type="dxa"/>
            <w:vAlign w:val="bottom"/>
            <w:shd w:val="clear" w:color="auto" w:fill="CCEEFF"/>
          </w:tcPr>
          <w:p>
            <w:pPr>
              <w:spacing w:after="0"/>
              <w:rPr>
                <w:sz w:val="18"/>
                <w:szCs w:val="18"/>
                <w:color w:val="auto"/>
              </w:rPr>
            </w:pPr>
          </w:p>
        </w:tc>
      </w:tr>
      <w:tr>
        <w:trPr>
          <w:trHeight w:val="132"/>
        </w:trPr>
        <w:tc>
          <w:tcPr>
            <w:tcW w:w="49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4617085</wp:posOffset>
            </wp:positionH>
            <wp:positionV relativeFrom="paragraph">
              <wp:posOffset>-29210</wp:posOffset>
            </wp:positionV>
            <wp:extent cx="12700" cy="2984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-29210</wp:posOffset>
            </wp:positionV>
            <wp:extent cx="21590" cy="298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5071110</wp:posOffset>
            </wp:positionH>
            <wp:positionV relativeFrom="paragraph">
              <wp:posOffset>-29210</wp:posOffset>
            </wp:positionV>
            <wp:extent cx="38735" cy="2984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5259705</wp:posOffset>
            </wp:positionH>
            <wp:positionV relativeFrom="paragraph">
              <wp:posOffset>-29210</wp:posOffset>
            </wp:positionV>
            <wp:extent cx="12700" cy="2984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5328920</wp:posOffset>
            </wp:positionH>
            <wp:positionV relativeFrom="paragraph">
              <wp:posOffset>-29210</wp:posOffset>
            </wp:positionV>
            <wp:extent cx="21590" cy="2984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38735" cy="2984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firstLine="223"/>
        <w:spacing w:after="0" w:line="256" w:lineRule="auto"/>
        <w:rPr>
          <w:sz w:val="20"/>
          <w:szCs w:val="20"/>
          <w:color w:val="auto"/>
        </w:rPr>
      </w:pPr>
      <w:r>
        <w:rPr>
          <w:rFonts w:ascii="Arial" w:cs="Arial" w:eastAsia="Arial" w:hAnsi="Arial"/>
          <w:sz w:val="18"/>
          <w:szCs w:val="18"/>
          <w:color w:val="auto"/>
        </w:rPr>
        <w:t>At December 31, 2001 and 2000, property and equipment includes $431,000 and $431,000, respectively, of computer and office equipment acquired under capital leases. Accumulated amortization of assets under capital leases totaled $346,000 and $202,000 at December 31, 2001, and 2000, respectively. Depreciation and amortization expense related to property and equipment was $1,672,000 and $924,000 for the years ended December 31, 2001 and 2000, respectively.</w:t>
      </w:r>
    </w:p>
    <w:p>
      <w:pPr>
        <w:spacing w:after="0" w:line="130"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40"/>
          </w:cols>
          <w:pgMar w:left="240" w:top="269" w:right="31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Goodwill and other intangibles, net</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Goodwill and other intangibles consists of the following:</w:t>
      </w:r>
    </w:p>
    <w:p>
      <w:pPr>
        <w:spacing w:after="0" w:line="14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44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5"/>
          </w:tcPr>
          <w:p>
            <w:pPr>
              <w:jc w:val="right"/>
              <w:ind w:right="46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174"/>
        </w:trPr>
        <w:tc>
          <w:tcPr>
            <w:tcW w:w="444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Useful</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0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December 31,</w:t>
            </w:r>
          </w:p>
        </w:tc>
        <w:tc>
          <w:tcPr>
            <w:tcW w:w="0" w:type="dxa"/>
            <w:vAlign w:val="bottom"/>
          </w:tcPr>
          <w:p>
            <w:pPr>
              <w:spacing w:after="0"/>
              <w:rPr>
                <w:sz w:val="1"/>
                <w:szCs w:val="1"/>
                <w:color w:val="auto"/>
              </w:rPr>
            </w:pPr>
          </w:p>
        </w:tc>
      </w:tr>
      <w:tr>
        <w:trPr>
          <w:trHeight w:val="55"/>
        </w:trPr>
        <w:tc>
          <w:tcPr>
            <w:tcW w:w="4440" w:type="dxa"/>
            <w:vAlign w:val="bottom"/>
          </w:tcPr>
          <w:p>
            <w:pPr>
              <w:spacing w:after="0"/>
              <w:rPr>
                <w:sz w:val="4"/>
                <w:szCs w:val="4"/>
                <w:color w:val="auto"/>
              </w:rPr>
            </w:pPr>
          </w:p>
        </w:tc>
        <w:tc>
          <w:tcPr>
            <w:tcW w:w="560" w:type="dxa"/>
            <w:vAlign w:val="bottom"/>
            <w:vMerge w:val="continue"/>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5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0" w:type="dxa"/>
            <w:vAlign w:val="bottom"/>
          </w:tcPr>
          <w:p>
            <w:pPr>
              <w:spacing w:after="0"/>
              <w:rPr>
                <w:sz w:val="4"/>
                <w:szCs w:val="4"/>
                <w:color w:val="auto"/>
              </w:rPr>
            </w:pPr>
          </w:p>
        </w:tc>
        <w:tc>
          <w:tcPr>
            <w:tcW w:w="46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0"/>
        </w:trPr>
        <w:tc>
          <w:tcPr>
            <w:tcW w:w="4440" w:type="dxa"/>
            <w:vAlign w:val="bottom"/>
          </w:tcPr>
          <w:p>
            <w:pPr>
              <w:spacing w:after="0"/>
              <w:rPr>
                <w:sz w:val="3"/>
                <w:szCs w:val="3"/>
                <w:color w:val="auto"/>
              </w:rPr>
            </w:pPr>
          </w:p>
        </w:tc>
        <w:tc>
          <w:tcPr>
            <w:tcW w:w="560" w:type="dxa"/>
            <w:vAlign w:val="bottom"/>
            <w:vMerge w:val="restart"/>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2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89"/>
        </w:trPr>
        <w:tc>
          <w:tcPr>
            <w:tcW w:w="444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520" w:type="dxa"/>
            <w:vAlign w:val="bottom"/>
          </w:tcPr>
          <w:p>
            <w:pPr>
              <w:spacing w:after="0"/>
              <w:rPr>
                <w:sz w:val="7"/>
                <w:szCs w:val="7"/>
                <w:color w:val="auto"/>
              </w:rPr>
            </w:pPr>
          </w:p>
        </w:tc>
        <w:tc>
          <w:tcPr>
            <w:tcW w:w="280" w:type="dxa"/>
            <w:vAlign w:val="bottom"/>
          </w:tcPr>
          <w:p>
            <w:pPr>
              <w:spacing w:after="0"/>
              <w:rPr>
                <w:sz w:val="7"/>
                <w:szCs w:val="7"/>
                <w:color w:val="auto"/>
              </w:rPr>
            </w:pPr>
          </w:p>
        </w:tc>
        <w:tc>
          <w:tcPr>
            <w:tcW w:w="140" w:type="dxa"/>
            <w:vAlign w:val="bottom"/>
          </w:tcPr>
          <w:p>
            <w:pPr>
              <w:spacing w:after="0"/>
              <w:rPr>
                <w:sz w:val="7"/>
                <w:szCs w:val="7"/>
                <w:color w:val="auto"/>
              </w:rPr>
            </w:pPr>
          </w:p>
        </w:tc>
        <w:tc>
          <w:tcPr>
            <w:tcW w:w="46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440" w:type="dxa"/>
            <w:vAlign w:val="bottom"/>
          </w:tcPr>
          <w:p>
            <w:pPr>
              <w:spacing w:after="0"/>
              <w:rPr>
                <w:sz w:val="15"/>
                <w:szCs w:val="15"/>
                <w:color w:val="auto"/>
              </w:rPr>
            </w:pPr>
          </w:p>
        </w:tc>
        <w:tc>
          <w:tcPr>
            <w:tcW w:w="560" w:type="dxa"/>
            <w:vAlign w:val="bottom"/>
          </w:tcPr>
          <w:p>
            <w:pPr>
              <w:jc w:val="center"/>
              <w:spacing w:after="0"/>
              <w:rPr>
                <w:sz w:val="20"/>
                <w:szCs w:val="20"/>
                <w:color w:val="auto"/>
              </w:rPr>
            </w:pPr>
            <w:r>
              <w:rPr>
                <w:rFonts w:ascii="Arial" w:cs="Arial" w:eastAsia="Arial" w:hAnsi="Arial"/>
                <w:sz w:val="14"/>
                <w:szCs w:val="14"/>
                <w:b w:val="1"/>
                <w:bCs w:val="1"/>
                <w:color w:val="auto"/>
                <w:w w:val="87"/>
              </w:rPr>
              <w:t>(in Years)</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20" w:type="dxa"/>
            <w:vAlign w:val="bottom"/>
          </w:tcPr>
          <w:p>
            <w:pPr>
              <w:jc w:val="right"/>
              <w:ind w:right="118"/>
              <w:spacing w:after="0"/>
              <w:rPr>
                <w:sz w:val="20"/>
                <w:szCs w:val="20"/>
                <w:color w:val="auto"/>
              </w:rPr>
            </w:pPr>
            <w:r>
              <w:rPr>
                <w:rFonts w:ascii="Arial" w:cs="Arial" w:eastAsia="Arial" w:hAnsi="Arial"/>
                <w:sz w:val="14"/>
                <w:szCs w:val="14"/>
                <w:b w:val="1"/>
                <w:bCs w:val="1"/>
                <w:color w:val="auto"/>
                <w:w w:val="96"/>
              </w:rPr>
              <w:t>2001</w:t>
            </w:r>
          </w:p>
        </w:tc>
        <w:tc>
          <w:tcPr>
            <w:tcW w:w="2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60" w:type="dxa"/>
            <w:vAlign w:val="bottom"/>
          </w:tcPr>
          <w:p>
            <w:pPr>
              <w:jc w:val="right"/>
              <w:ind w:right="74"/>
              <w:spacing w:after="0"/>
              <w:rPr>
                <w:sz w:val="20"/>
                <w:szCs w:val="20"/>
                <w:color w:val="auto"/>
              </w:rPr>
            </w:pPr>
            <w:r>
              <w:rPr>
                <w:rFonts w:ascii="Arial" w:cs="Arial" w:eastAsia="Arial" w:hAnsi="Arial"/>
                <w:sz w:val="14"/>
                <w:szCs w:val="14"/>
                <w:b w:val="1"/>
                <w:bCs w:val="1"/>
                <w:color w:val="auto"/>
                <w:w w:val="89"/>
              </w:rPr>
              <w:t>2000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44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Customer base</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1,217</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1,217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Existing products and technology</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1,381</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1,381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tcPr>
          <w:p>
            <w:pPr>
              <w:spacing w:after="0"/>
              <w:rPr>
                <w:sz w:val="20"/>
                <w:szCs w:val="20"/>
                <w:color w:val="auto"/>
              </w:rPr>
            </w:pPr>
            <w:r>
              <w:rPr>
                <w:rFonts w:ascii="Arial" w:cs="Arial" w:eastAsia="Arial" w:hAnsi="Arial"/>
                <w:sz w:val="18"/>
                <w:szCs w:val="18"/>
                <w:color w:val="auto"/>
              </w:rPr>
              <w:t>In-place workforce</w:t>
            </w:r>
          </w:p>
        </w:tc>
        <w:tc>
          <w:tcPr>
            <w:tcW w:w="5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465</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20"/>
                <w:szCs w:val="20"/>
                <w:color w:val="auto"/>
              </w:rPr>
            </w:pPr>
            <w:r>
              <w:rPr>
                <w:rFonts w:ascii="Arial" w:cs="Arial" w:eastAsia="Arial" w:hAnsi="Arial"/>
                <w:sz w:val="18"/>
                <w:szCs w:val="18"/>
                <w:color w:val="auto"/>
              </w:rPr>
              <w:t>Non-compete agreements</w:t>
            </w:r>
          </w:p>
        </w:tc>
        <w:tc>
          <w:tcPr>
            <w:tcW w:w="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44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520" w:type="dxa"/>
            <w:vAlign w:val="bottom"/>
            <w:tcBorders>
              <w:bottom w:val="single" w:sz="8" w:color="auto"/>
            </w:tcBorders>
          </w:tcPr>
          <w:p>
            <w:pPr>
              <w:spacing w:after="0"/>
              <w:rPr>
                <w:sz w:val="9"/>
                <w:szCs w:val="9"/>
                <w:color w:val="auto"/>
              </w:rPr>
            </w:pPr>
          </w:p>
        </w:tc>
        <w:tc>
          <w:tcPr>
            <w:tcW w:w="28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460" w:type="dxa"/>
            <w:vAlign w:val="bottom"/>
            <w:tcBorders>
              <w:bottom w:val="single" w:sz="8" w:color="auto"/>
            </w:tcBorders>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3,860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440" w:type="dxa"/>
            <w:vAlign w:val="bottom"/>
          </w:tcPr>
          <w:p>
            <w:pPr>
              <w:spacing w:after="0"/>
              <w:rPr>
                <w:sz w:val="20"/>
                <w:szCs w:val="20"/>
                <w:color w:val="auto"/>
              </w:rPr>
            </w:pPr>
            <w:r>
              <w:rPr>
                <w:rFonts w:ascii="Arial" w:cs="Arial" w:eastAsia="Arial" w:hAnsi="Arial"/>
                <w:sz w:val="18"/>
                <w:szCs w:val="18"/>
                <w:color w:val="auto"/>
              </w:rPr>
              <w:t>Less: Accumulated amortization</w:t>
            </w: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gridSpan w:val="2"/>
          </w:tcPr>
          <w:p>
            <w:pPr>
              <w:jc w:val="right"/>
              <w:ind w:right="220"/>
              <w:spacing w:after="0"/>
              <w:rPr>
                <w:sz w:val="20"/>
                <w:szCs w:val="20"/>
                <w:color w:val="auto"/>
              </w:rPr>
            </w:pPr>
            <w:r>
              <w:rPr>
                <w:rFonts w:ascii="Arial" w:cs="Arial" w:eastAsia="Arial" w:hAnsi="Arial"/>
                <w:sz w:val="18"/>
                <w:szCs w:val="18"/>
                <w:color w:val="auto"/>
                <w:w w:val="98"/>
              </w:rPr>
              <w:t>(1,142)</w:t>
            </w:r>
          </w:p>
        </w:tc>
        <w:tc>
          <w:tcPr>
            <w:tcW w:w="140" w:type="dxa"/>
            <w:vAlign w:val="bottom"/>
          </w:tcPr>
          <w:p>
            <w:pPr>
              <w:spacing w:after="0"/>
              <w:rPr>
                <w:sz w:val="19"/>
                <w:szCs w:val="19"/>
                <w:color w:val="auto"/>
              </w:rPr>
            </w:pPr>
          </w:p>
        </w:tc>
        <w:tc>
          <w:tcPr>
            <w:tcW w:w="56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520" w:type="dxa"/>
            <w:vAlign w:val="bottom"/>
            <w:tcBorders>
              <w:bottom w:val="single" w:sz="8" w:color="auto"/>
            </w:tcBorders>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46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44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5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40" w:type="dxa"/>
            <w:vAlign w:val="bottom"/>
          </w:tcPr>
          <w:p>
            <w:pPr>
              <w:spacing w:after="0"/>
              <w:rPr>
                <w:sz w:val="8"/>
                <w:szCs w:val="8"/>
                <w:color w:val="auto"/>
              </w:rPr>
            </w:pPr>
          </w:p>
        </w:tc>
        <w:tc>
          <w:tcPr>
            <w:tcW w:w="46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3,492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4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520" w:type="dxa"/>
            <w:vAlign w:val="bottom"/>
            <w:tcBorders>
              <w:bottom w:val="single" w:sz="8" w:color="auto"/>
            </w:tcBorders>
          </w:tcPr>
          <w:p>
            <w:pPr>
              <w:spacing w:after="0"/>
              <w:rPr>
                <w:sz w:val="11"/>
                <w:szCs w:val="11"/>
                <w:color w:val="auto"/>
              </w:rPr>
            </w:pPr>
          </w:p>
        </w:tc>
        <w:tc>
          <w:tcPr>
            <w:tcW w:w="28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46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4762500</wp:posOffset>
            </wp:positionH>
            <wp:positionV relativeFrom="paragraph">
              <wp:posOffset>-29210</wp:posOffset>
            </wp:positionV>
            <wp:extent cx="12700" cy="2984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4822825</wp:posOffset>
            </wp:positionH>
            <wp:positionV relativeFrom="paragraph">
              <wp:posOffset>-29210</wp:posOffset>
            </wp:positionV>
            <wp:extent cx="21590" cy="2984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5173980</wp:posOffset>
            </wp:positionH>
            <wp:positionV relativeFrom="paragraph">
              <wp:posOffset>-29210</wp:posOffset>
            </wp:positionV>
            <wp:extent cx="38735" cy="298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-29210</wp:posOffset>
            </wp:positionV>
            <wp:extent cx="12700" cy="298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5422900</wp:posOffset>
            </wp:positionH>
            <wp:positionV relativeFrom="paragraph">
              <wp:posOffset>-29210</wp:posOffset>
            </wp:positionV>
            <wp:extent cx="21590" cy="2984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38735" cy="298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5"/>
          <w:szCs w:val="15"/>
          <w:color w:val="auto"/>
        </w:rPr>
        <w:t>Amortization expense related to goodwill and other intangibles was $774,000 and $368,000 for the years ended December 31, 2001 and 2000, respectively.</w:t>
      </w:r>
    </w:p>
    <w:p>
      <w:pPr>
        <w:spacing w:after="0" w:line="18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Other assets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Other assets consists of the following:</w:t>
      </w:r>
    </w:p>
    <w:p>
      <w:pPr>
        <w:spacing w:after="0" w:line="153" w:lineRule="exact"/>
        <w:rPr>
          <w:sz w:val="20"/>
          <w:szCs w:val="20"/>
          <w:color w:val="auto"/>
        </w:rPr>
      </w:pPr>
    </w:p>
    <w:p>
      <w:pPr>
        <w:ind w:left="786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78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60325</wp:posOffset>
            </wp:positionV>
            <wp:extent cx="1089025"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512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490" w:type="dxa"/>
            <w:vAlign w:val="bottom"/>
          </w:tcPr>
          <w:p>
            <w:pPr>
              <w:jc w:val="right"/>
              <w:ind w:right="97"/>
              <w:spacing w:after="0"/>
              <w:rPr>
                <w:sz w:val="20"/>
                <w:szCs w:val="20"/>
                <w:color w:val="auto"/>
              </w:rPr>
            </w:pPr>
            <w:r>
              <w:rPr>
                <w:rFonts w:ascii="Arial" w:cs="Arial" w:eastAsia="Arial" w:hAnsi="Arial"/>
                <w:sz w:val="14"/>
                <w:szCs w:val="14"/>
                <w:b w:val="1"/>
                <w:bCs w:val="1"/>
                <w:color w:val="auto"/>
                <w:w w:val="89"/>
              </w:rPr>
              <w:t>2001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20" w:type="dxa"/>
            <w:vAlign w:val="bottom"/>
          </w:tcPr>
          <w:p>
            <w:pPr>
              <w:jc w:val="right"/>
              <w:ind w:right="217"/>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1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2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Receivable from reseller</w:t>
            </w:r>
          </w:p>
        </w:tc>
        <w:tc>
          <w:tcPr>
            <w:tcW w:w="1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90" w:type="dxa"/>
            <w:vAlign w:val="bottom"/>
            <w:gridSpan w:val="2"/>
            <w:shd w:val="clear" w:color="auto" w:fill="CCEEFF"/>
          </w:tcPr>
          <w:p>
            <w:pPr>
              <w:ind w:left="23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1,127</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5120" w:type="dxa"/>
            <w:vAlign w:val="bottom"/>
          </w:tcPr>
          <w:p>
            <w:pPr>
              <w:spacing w:after="0"/>
              <w:rPr>
                <w:sz w:val="20"/>
                <w:szCs w:val="20"/>
                <w:color w:val="auto"/>
              </w:rPr>
            </w:pPr>
            <w:r>
              <w:rPr>
                <w:rFonts w:ascii="Arial" w:cs="Arial" w:eastAsia="Arial" w:hAnsi="Arial"/>
                <w:sz w:val="18"/>
                <w:szCs w:val="18"/>
                <w:color w:val="auto"/>
              </w:rPr>
              <w:t>Other</w:t>
            </w:r>
          </w:p>
        </w:tc>
        <w:tc>
          <w:tcPr>
            <w:tcW w:w="150" w:type="dxa"/>
            <w:vAlign w:val="bottom"/>
          </w:tcPr>
          <w:p>
            <w:pPr>
              <w:spacing w:after="0"/>
              <w:rPr>
                <w:sz w:val="19"/>
                <w:szCs w:val="19"/>
                <w:color w:val="auto"/>
              </w:rPr>
            </w:pPr>
          </w:p>
        </w:tc>
        <w:tc>
          <w:tcPr>
            <w:tcW w:w="490" w:type="dxa"/>
            <w:vAlign w:val="bottom"/>
          </w:tcPr>
          <w:p>
            <w:pPr>
              <w:ind w:left="230"/>
              <w:spacing w:after="0"/>
              <w:rPr>
                <w:sz w:val="20"/>
                <w:szCs w:val="20"/>
                <w:color w:val="auto"/>
              </w:rPr>
            </w:pPr>
            <w:r>
              <w:rPr>
                <w:rFonts w:ascii="Arial" w:cs="Arial" w:eastAsia="Arial" w:hAnsi="Arial"/>
                <w:sz w:val="18"/>
                <w:szCs w:val="18"/>
                <w:color w:val="auto"/>
                <w:w w:val="79"/>
              </w:rPr>
              <w:t>175</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193</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512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49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120" w:type="dxa"/>
            <w:vAlign w:val="bottom"/>
          </w:tcPr>
          <w:p>
            <w:pPr>
              <w:spacing w:after="0"/>
              <w:rPr>
                <w:sz w:val="8"/>
                <w:szCs w:val="8"/>
                <w:color w:val="auto"/>
              </w:rPr>
            </w:pPr>
          </w:p>
        </w:tc>
        <w:tc>
          <w:tcPr>
            <w:tcW w:w="150" w:type="dxa"/>
            <w:vAlign w:val="bottom"/>
          </w:tcPr>
          <w:p>
            <w:pPr>
              <w:spacing w:after="0"/>
              <w:rPr>
                <w:sz w:val="8"/>
                <w:szCs w:val="8"/>
                <w:color w:val="auto"/>
              </w:rPr>
            </w:pPr>
          </w:p>
        </w:tc>
        <w:tc>
          <w:tcPr>
            <w:tcW w:w="49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2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120" w:type="dxa"/>
            <w:vAlign w:val="bottom"/>
            <w:shd w:val="clear" w:color="auto" w:fill="CCEEFF"/>
          </w:tcPr>
          <w:p>
            <w:pPr>
              <w:spacing w:after="0"/>
              <w:rPr>
                <w:sz w:val="18"/>
                <w:szCs w:val="18"/>
                <w:color w:val="auto"/>
              </w:rPr>
            </w:pPr>
          </w:p>
        </w:tc>
        <w:tc>
          <w:tcPr>
            <w:tcW w:w="1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490" w:type="dxa"/>
            <w:vAlign w:val="bottom"/>
            <w:shd w:val="clear" w:color="auto" w:fill="CCEEFF"/>
          </w:tcPr>
          <w:p>
            <w:pPr>
              <w:ind w:left="230"/>
              <w:spacing w:after="0"/>
              <w:rPr>
                <w:sz w:val="20"/>
                <w:szCs w:val="20"/>
                <w:color w:val="auto"/>
              </w:rPr>
            </w:pPr>
            <w:r>
              <w:rPr>
                <w:rFonts w:ascii="Arial" w:cs="Arial" w:eastAsia="Arial" w:hAnsi="Arial"/>
                <w:sz w:val="18"/>
                <w:szCs w:val="18"/>
                <w:color w:val="auto"/>
                <w:w w:val="79"/>
              </w:rPr>
              <w:t>175</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512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49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4711065</wp:posOffset>
            </wp:positionH>
            <wp:positionV relativeFrom="paragraph">
              <wp:posOffset>-29210</wp:posOffset>
            </wp:positionV>
            <wp:extent cx="12700" cy="298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4805680</wp:posOffset>
            </wp:positionH>
            <wp:positionV relativeFrom="paragraph">
              <wp:posOffset>-29210</wp:posOffset>
            </wp:positionV>
            <wp:extent cx="998855" cy="2984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998855" cy="29845"/>
                    </a:xfrm>
                    <a:prstGeom prst="rect">
                      <a:avLst/>
                    </a:prstGeom>
                    <a:noFill/>
                  </pic:spPr>
                </pic:pic>
              </a:graphicData>
            </a:graphic>
          </wp:anchor>
        </w:drawing>
      </w:r>
    </w:p>
    <w:p>
      <w:pPr>
        <w:spacing w:after="0" w:line="21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Accrued and other current liabilities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Accrued and other current liabilities consists of the following:</w:t>
      </w:r>
    </w:p>
    <w:p>
      <w:pPr>
        <w:spacing w:after="0" w:line="153" w:lineRule="exact"/>
        <w:rPr>
          <w:sz w:val="20"/>
          <w:szCs w:val="20"/>
          <w:color w:val="auto"/>
        </w:rPr>
      </w:pPr>
    </w:p>
    <w:p>
      <w:pPr>
        <w:ind w:left="782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78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4661535</wp:posOffset>
            </wp:positionH>
            <wp:positionV relativeFrom="paragraph">
              <wp:posOffset>60325</wp:posOffset>
            </wp:positionV>
            <wp:extent cx="114046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140460" cy="8890"/>
                    </a:xfrm>
                    <a:prstGeom prst="rect">
                      <a:avLst/>
                    </a:prstGeom>
                    <a:noFill/>
                  </pic:spPr>
                </pic:pic>
              </a:graphicData>
            </a:graphic>
          </wp:anchor>
        </w:drawing>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2620" w:type="dxa"/>
            <w:vAlign w:val="bottom"/>
          </w:tcPr>
          <w:p>
            <w:pPr>
              <w:spacing w:after="0"/>
              <w:rPr>
                <w:sz w:val="15"/>
                <w:szCs w:val="15"/>
                <w:color w:val="auto"/>
              </w:rPr>
            </w:pPr>
          </w:p>
        </w:tc>
        <w:tc>
          <w:tcPr>
            <w:tcW w:w="24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176"/>
              <w:spacing w:after="0"/>
              <w:rPr>
                <w:sz w:val="20"/>
                <w:szCs w:val="20"/>
                <w:color w:val="auto"/>
              </w:rPr>
            </w:pPr>
            <w:r>
              <w:rPr>
                <w:rFonts w:ascii="Arial" w:cs="Arial" w:eastAsia="Arial" w:hAnsi="Arial"/>
                <w:sz w:val="14"/>
                <w:szCs w:val="14"/>
                <w:b w:val="1"/>
                <w:bCs w:val="1"/>
                <w:color w:val="auto"/>
              </w:rPr>
              <w:t>2001</w:t>
            </w:r>
          </w:p>
        </w:tc>
        <w:tc>
          <w:tcPr>
            <w:tcW w:w="2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60" w:type="dxa"/>
            <w:vAlign w:val="bottom"/>
          </w:tcPr>
          <w:p>
            <w:pPr>
              <w:jc w:val="right"/>
              <w:ind w:right="196"/>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6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Accrued sales commissions</w:t>
            </w:r>
          </w:p>
        </w:tc>
        <w:tc>
          <w:tcPr>
            <w:tcW w:w="2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tcPr>
          <w:p>
            <w:pPr>
              <w:spacing w:after="0"/>
              <w:rPr>
                <w:sz w:val="20"/>
                <w:szCs w:val="20"/>
                <w:color w:val="auto"/>
              </w:rPr>
            </w:pPr>
            <w:r>
              <w:rPr>
                <w:rFonts w:ascii="Arial" w:cs="Arial" w:eastAsia="Arial" w:hAnsi="Arial"/>
                <w:sz w:val="18"/>
                <w:szCs w:val="18"/>
                <w:color w:val="auto"/>
              </w:rPr>
              <w:t>Accrued bonus</w:t>
            </w:r>
          </w:p>
        </w:tc>
        <w:tc>
          <w:tcPr>
            <w:tcW w:w="24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497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Accrued vacation</w:t>
            </w:r>
          </w:p>
        </w:tc>
        <w:tc>
          <w:tcPr>
            <w:tcW w:w="24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620" w:type="dxa"/>
            <w:vAlign w:val="bottom"/>
          </w:tcPr>
          <w:p>
            <w:pPr>
              <w:spacing w:after="0"/>
              <w:rPr>
                <w:sz w:val="20"/>
                <w:szCs w:val="20"/>
                <w:color w:val="auto"/>
              </w:rPr>
            </w:pPr>
            <w:r>
              <w:rPr>
                <w:rFonts w:ascii="Arial" w:cs="Arial" w:eastAsia="Arial" w:hAnsi="Arial"/>
                <w:sz w:val="18"/>
                <w:szCs w:val="18"/>
                <w:color w:val="auto"/>
              </w:rPr>
              <w:t>Other</w:t>
            </w:r>
          </w:p>
        </w:tc>
        <w:tc>
          <w:tcPr>
            <w:tcW w:w="2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2,183</w:t>
            </w:r>
          </w:p>
        </w:tc>
        <w:tc>
          <w:tcPr>
            <w:tcW w:w="2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2,747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6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620" w:type="dxa"/>
            <w:vAlign w:val="bottom"/>
          </w:tcPr>
          <w:p>
            <w:pPr>
              <w:spacing w:after="0"/>
              <w:rPr>
                <w:sz w:val="8"/>
                <w:szCs w:val="8"/>
                <w:color w:val="auto"/>
              </w:rPr>
            </w:pPr>
          </w:p>
        </w:tc>
        <w:tc>
          <w:tcPr>
            <w:tcW w:w="24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6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620" w:type="dxa"/>
            <w:vAlign w:val="bottom"/>
            <w:shd w:val="clear" w:color="auto" w:fill="CCEEFF"/>
          </w:tcPr>
          <w:p>
            <w:pPr>
              <w:spacing w:after="0"/>
              <w:rPr>
                <w:sz w:val="18"/>
                <w:szCs w:val="18"/>
                <w:color w:val="auto"/>
              </w:rPr>
            </w:pPr>
          </w:p>
        </w:tc>
        <w:tc>
          <w:tcPr>
            <w:tcW w:w="25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5,160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2620" w:type="dxa"/>
            <w:vAlign w:val="bottom"/>
          </w:tcPr>
          <w:p>
            <w:pPr>
              <w:spacing w:after="0"/>
              <w:rPr>
                <w:sz w:val="11"/>
                <w:szCs w:val="11"/>
                <w:color w:val="auto"/>
              </w:rPr>
            </w:pPr>
          </w:p>
        </w:tc>
        <w:tc>
          <w:tcPr>
            <w:tcW w:w="2420" w:type="dxa"/>
            <w:vAlign w:val="bottom"/>
            <w:vMerge w:val="restart"/>
          </w:tcPr>
          <w:p>
            <w:pPr>
              <w:jc w:val="right"/>
              <w:ind w:right="1452"/>
              <w:spacing w:after="0"/>
              <w:rPr>
                <w:sz w:val="20"/>
                <w:szCs w:val="20"/>
                <w:color w:val="auto"/>
              </w:rPr>
            </w:pPr>
            <w:r>
              <w:rPr>
                <w:rFonts w:ascii="Arial" w:cs="Arial" w:eastAsia="Arial" w:hAnsi="Arial"/>
                <w:sz w:val="18"/>
                <w:szCs w:val="18"/>
                <w:color w:val="auto"/>
              </w:rPr>
              <w:t>15</w:t>
            </w:r>
          </w:p>
        </w:tc>
        <w:tc>
          <w:tcPr>
            <w:tcW w:w="14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2620" w:type="dxa"/>
            <w:vAlign w:val="bottom"/>
          </w:tcPr>
          <w:p>
            <w:pPr>
              <w:spacing w:after="0"/>
              <w:rPr>
                <w:sz w:val="24"/>
                <w:szCs w:val="24"/>
                <w:color w:val="auto"/>
              </w:rPr>
            </w:pPr>
          </w:p>
        </w:tc>
        <w:tc>
          <w:tcPr>
            <w:tcW w:w="242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4659630</wp:posOffset>
            </wp:positionH>
            <wp:positionV relativeFrom="paragraph">
              <wp:posOffset>-325755</wp:posOffset>
            </wp:positionV>
            <wp:extent cx="1144905" cy="2984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144905" cy="29845"/>
                    </a:xfrm>
                    <a:prstGeom prst="rect">
                      <a:avLst/>
                    </a:prstGeom>
                    <a:noFill/>
                  </pic:spPr>
                </pic:pic>
              </a:graphicData>
            </a:graphic>
          </wp:anchor>
        </w:drawing>
      </w:r>
    </w:p>
    <w:p>
      <w:pPr>
        <w:sectPr>
          <w:pgSz w:w="11900" w:h="16838" w:orient="portrait"/>
          <w:cols w:equalWidth="0" w:num="1">
            <w:col w:w="11380"/>
          </w:cols>
          <w:pgMar w:left="240" w:top="269" w:right="27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Acquisitions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On May 5, 2000, the Company acquired substantially all of the assets and liabilities of Energy Concepts, Inc., (ECI) a New Jersey Corporation, for</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5"/>
          <w:szCs w:val="15"/>
          <w:color w:val="auto"/>
        </w:rPr>
        <w:t>$450,000 in cash, the assumption of debt of $123,000 and acquisition costs of $71,000. This transaction was accounted for as a purchase resulting in $520,000</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allocated to goodwill and other identifiable intangible assets. The results of operations of ECI are included in the consolidated results of operations for periods</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subsequent to the acquisition date.</w:t>
      </w:r>
    </w:p>
    <w:p>
      <w:pPr>
        <w:spacing w:after="0" w:line="151" w:lineRule="exact"/>
        <w:rPr>
          <w:sz w:val="20"/>
          <w:szCs w:val="20"/>
          <w:color w:val="auto"/>
        </w:rPr>
      </w:pPr>
    </w:p>
    <w:p>
      <w:pPr>
        <w:ind w:left="240" w:firstLine="223"/>
        <w:spacing w:after="0" w:line="254" w:lineRule="auto"/>
        <w:rPr>
          <w:sz w:val="20"/>
          <w:szCs w:val="20"/>
          <w:color w:val="auto"/>
        </w:rPr>
      </w:pPr>
      <w:r>
        <w:rPr>
          <w:rFonts w:ascii="Arial" w:cs="Arial" w:eastAsia="Arial" w:hAnsi="Arial"/>
          <w:sz w:val="18"/>
          <w:szCs w:val="18"/>
          <w:color w:val="auto"/>
        </w:rPr>
        <w:t>On June 7, 2000, the Company acquired substantially all of the assets and liabilities of SRC Systems Inc., (SRC) a Nevada Corporation, in exchange for 150,000 shares of the Company’s common stock and warrants to purchase 50,000 shares of the Company’s common stock with an aggregated estimated fair value of $1,138,000, the assumption of debt of $800,000 and acquisition costs of $79,000. The shares were valued on June 7, 2000, the closing date of the acquisition. The deemed fair value for the common stock was $6.08 per share. This transaction was accounted for as a purchase resulting in $1,951,000 allocated to goodwill and other identifiable intangible assets. The results of operations of SRC are included in the consolidated results of operations for periods subsequent to the acquisition date.</w:t>
      </w:r>
    </w:p>
    <w:p>
      <w:pPr>
        <w:spacing w:after="0" w:line="131" w:lineRule="exact"/>
        <w:rPr>
          <w:sz w:val="20"/>
          <w:szCs w:val="20"/>
          <w:color w:val="auto"/>
        </w:rPr>
      </w:pPr>
    </w:p>
    <w:p>
      <w:pPr>
        <w:ind w:left="240" w:right="120" w:firstLine="223"/>
        <w:spacing w:after="0" w:line="254" w:lineRule="auto"/>
        <w:rPr>
          <w:sz w:val="20"/>
          <w:szCs w:val="20"/>
          <w:color w:val="auto"/>
        </w:rPr>
      </w:pPr>
      <w:r>
        <w:rPr>
          <w:rFonts w:ascii="Arial" w:cs="Arial" w:eastAsia="Arial" w:hAnsi="Arial"/>
          <w:sz w:val="18"/>
          <w:szCs w:val="18"/>
          <w:color w:val="auto"/>
        </w:rPr>
        <w:t>On October 5, 2000, the Company acquired substantially all of the assets and liabilities of EPS Solutions Incorporated (EPS), a Minnesota Corporation, in exchange for 35,000 shares of the Company’s common stock with an estimated fair value of $280,000, assumption of debt and liabilities of $1,114,000 and acquisition costs of $171,000. The shares were valued on October 5, 2000, the closing date of the acquisition, which was the date the number of shares were agreed upon. The deemed fair value of the common stock was $8.00 per share. This transaction was accounted for as a purchase resulting in $1,389,000 allocated to identifiable intangible assets. The results of operations of EPS are included in the consolidated results of operations for periods subsequent to the acquisition date.</w:t>
      </w:r>
    </w:p>
    <w:p>
      <w:pPr>
        <w:spacing w:after="0" w:line="131" w:lineRule="exact"/>
        <w:rPr>
          <w:sz w:val="20"/>
          <w:szCs w:val="20"/>
          <w:color w:val="auto"/>
        </w:rPr>
      </w:pPr>
    </w:p>
    <w:p>
      <w:pPr>
        <w:ind w:left="240" w:right="380" w:firstLine="223"/>
        <w:spacing w:after="0" w:line="298" w:lineRule="auto"/>
        <w:rPr>
          <w:sz w:val="20"/>
          <w:szCs w:val="20"/>
          <w:color w:val="auto"/>
        </w:rPr>
      </w:pPr>
      <w:r>
        <w:rPr>
          <w:rFonts w:ascii="Arial" w:cs="Arial" w:eastAsia="Arial" w:hAnsi="Arial"/>
          <w:sz w:val="16"/>
          <w:szCs w:val="16"/>
          <w:color w:val="auto"/>
        </w:rPr>
        <w:t>The following unaudited pro forma consolidated financial information presents the combined results of the Company, ECI, SRC, and EPS as if the acquisitions had occurred at the beginning of the year presented below, after giving effect to certain adjustments, principally amortization of goodwill and other intangible assets. This unaudited pro forma consolidated financial information does not necessarily reflect the results of operations that would have occurred had the acquisitions been completed as of the beginning of the year.</w:t>
      </w:r>
    </w:p>
    <w:p>
      <w:pPr>
        <w:spacing w:after="0" w:line="82" w:lineRule="exact"/>
        <w:rPr>
          <w:sz w:val="20"/>
          <w:szCs w:val="20"/>
          <w:color w:val="auto"/>
        </w:rPr>
      </w:pPr>
    </w:p>
    <w:tbl>
      <w:tblPr>
        <w:tblLayout w:type="fixed"/>
        <w:tblInd w:w="286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2680" w:type="dxa"/>
            <w:vAlign w:val="bottom"/>
          </w:tcPr>
          <w:p>
            <w:pPr>
              <w:spacing w:after="0"/>
              <w:rPr>
                <w:sz w:val="14"/>
                <w:szCs w:val="14"/>
                <w:color w:val="auto"/>
              </w:rPr>
            </w:pPr>
          </w:p>
        </w:tc>
        <w:tc>
          <w:tcPr>
            <w:tcW w:w="150" w:type="dxa"/>
            <w:vAlign w:val="bottom"/>
          </w:tcPr>
          <w:p>
            <w:pPr>
              <w:spacing w:after="0"/>
              <w:rPr>
                <w:sz w:val="14"/>
                <w:szCs w:val="14"/>
                <w:color w:val="auto"/>
              </w:rPr>
            </w:pPr>
          </w:p>
        </w:tc>
        <w:tc>
          <w:tcPr>
            <w:tcW w:w="1190" w:type="dxa"/>
            <w:vAlign w:val="bottom"/>
            <w:gridSpan w:val="2"/>
          </w:tcPr>
          <w:p>
            <w:pPr>
              <w:jc w:val="center"/>
              <w:ind w:right="27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190" w:type="dxa"/>
            <w:vAlign w:val="bottom"/>
            <w:gridSpan w:val="2"/>
          </w:tcPr>
          <w:p>
            <w:pPr>
              <w:jc w:val="center"/>
              <w:ind w:right="290"/>
              <w:spacing w:after="0" w:line="149" w:lineRule="exact"/>
              <w:rPr>
                <w:sz w:val="20"/>
                <w:szCs w:val="20"/>
                <w:color w:val="auto"/>
              </w:rPr>
            </w:pPr>
            <w:r>
              <w:rPr>
                <w:rFonts w:ascii="Arial" w:cs="Arial" w:eastAsia="Arial" w:hAnsi="Arial"/>
                <w:sz w:val="14"/>
                <w:szCs w:val="14"/>
                <w:b w:val="1"/>
                <w:bCs w:val="1"/>
                <w:color w:val="auto"/>
                <w:w w:val="88"/>
              </w:rPr>
              <w:t>Year 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80" w:type="dxa"/>
            <w:vAlign w:val="bottom"/>
          </w:tcPr>
          <w:p>
            <w:pPr>
              <w:spacing w:after="0"/>
              <w:rPr>
                <w:sz w:val="12"/>
                <w:szCs w:val="12"/>
                <w:color w:val="auto"/>
              </w:rPr>
            </w:pPr>
          </w:p>
        </w:tc>
        <w:tc>
          <w:tcPr>
            <w:tcW w:w="2680" w:type="dxa"/>
            <w:vAlign w:val="bottom"/>
          </w:tcPr>
          <w:p>
            <w:pPr>
              <w:spacing w:after="0"/>
              <w:rPr>
                <w:sz w:val="12"/>
                <w:szCs w:val="12"/>
                <w:color w:val="auto"/>
              </w:rPr>
            </w:pPr>
          </w:p>
        </w:tc>
        <w:tc>
          <w:tcPr>
            <w:tcW w:w="150" w:type="dxa"/>
            <w:vAlign w:val="bottom"/>
          </w:tcPr>
          <w:p>
            <w:pPr>
              <w:spacing w:after="0"/>
              <w:rPr>
                <w:sz w:val="12"/>
                <w:szCs w:val="12"/>
                <w:color w:val="auto"/>
              </w:rPr>
            </w:pPr>
          </w:p>
        </w:tc>
        <w:tc>
          <w:tcPr>
            <w:tcW w:w="1190" w:type="dxa"/>
            <w:vAlign w:val="bottom"/>
            <w:gridSpan w:val="2"/>
          </w:tcPr>
          <w:p>
            <w:pPr>
              <w:jc w:val="center"/>
              <w:ind w:right="27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680" w:type="dxa"/>
            <w:vAlign w:val="bottom"/>
          </w:tcPr>
          <w:p>
            <w:pPr>
              <w:spacing w:after="0"/>
              <w:rPr>
                <w:sz w:val="15"/>
                <w:szCs w:val="15"/>
                <w:color w:val="auto"/>
              </w:rPr>
            </w:pPr>
          </w:p>
        </w:tc>
        <w:tc>
          <w:tcPr>
            <w:tcW w:w="268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1070" w:type="dxa"/>
            <w:vAlign w:val="bottom"/>
          </w:tcPr>
          <w:p>
            <w:pPr>
              <w:jc w:val="center"/>
              <w:ind w:right="76"/>
              <w:spacing w:after="0"/>
              <w:rPr>
                <w:sz w:val="20"/>
                <w:szCs w:val="20"/>
                <w:color w:val="auto"/>
              </w:rPr>
            </w:pPr>
            <w:r>
              <w:rPr>
                <w:rFonts w:ascii="Arial" w:cs="Arial" w:eastAsia="Arial" w:hAnsi="Arial"/>
                <w:sz w:val="14"/>
                <w:szCs w:val="14"/>
                <w:b w:val="1"/>
                <w:bCs w:val="1"/>
                <w:color w:val="auto"/>
                <w:w w:val="83"/>
              </w:rPr>
              <w:t>2000</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1070" w:type="dxa"/>
            <w:vAlign w:val="bottom"/>
            <w:tcBorders>
              <w:bottom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680" w:type="dxa"/>
            <w:vAlign w:val="bottom"/>
          </w:tcPr>
          <w:p>
            <w:pPr>
              <w:spacing w:after="0"/>
              <w:rPr>
                <w:sz w:val="8"/>
                <w:szCs w:val="8"/>
                <w:color w:val="auto"/>
              </w:rPr>
            </w:pPr>
          </w:p>
        </w:tc>
        <w:tc>
          <w:tcPr>
            <w:tcW w:w="2680" w:type="dxa"/>
            <w:vAlign w:val="bottom"/>
          </w:tcPr>
          <w:p>
            <w:pPr>
              <w:spacing w:after="0"/>
              <w:rPr>
                <w:sz w:val="8"/>
                <w:szCs w:val="8"/>
                <w:color w:val="auto"/>
              </w:rPr>
            </w:pPr>
          </w:p>
        </w:tc>
        <w:tc>
          <w:tcPr>
            <w:tcW w:w="150" w:type="dxa"/>
            <w:vAlign w:val="bottom"/>
          </w:tcPr>
          <w:p>
            <w:pPr>
              <w:spacing w:after="0"/>
              <w:rPr>
                <w:sz w:val="8"/>
                <w:szCs w:val="8"/>
                <w:color w:val="auto"/>
              </w:rPr>
            </w:pPr>
          </w:p>
        </w:tc>
        <w:tc>
          <w:tcPr>
            <w:tcW w:w="1070" w:type="dxa"/>
            <w:vAlign w:val="bottom"/>
          </w:tcPr>
          <w:p>
            <w:pPr>
              <w:spacing w:after="0"/>
              <w:rPr>
                <w:sz w:val="8"/>
                <w:szCs w:val="8"/>
                <w:color w:val="auto"/>
              </w:rPr>
            </w:pPr>
          </w:p>
        </w:tc>
        <w:tc>
          <w:tcPr>
            <w:tcW w:w="1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83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7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7,838</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68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20" w:type="dxa"/>
            <w:vAlign w:val="bottom"/>
            <w:vMerge w:val="restart"/>
          </w:tcPr>
          <w:p>
            <w:pPr>
              <w:spacing w:after="0"/>
              <w:rPr>
                <w:sz w:val="9"/>
                <w:szCs w:val="9"/>
                <w:color w:val="auto"/>
              </w:rPr>
            </w:pPr>
          </w:p>
        </w:tc>
        <w:tc>
          <w:tcPr>
            <w:tcW w:w="1680" w:type="dxa"/>
            <w:vAlign w:val="bottom"/>
          </w:tcPr>
          <w:p>
            <w:pPr>
              <w:spacing w:after="0"/>
              <w:rPr>
                <w:sz w:val="9"/>
                <w:szCs w:val="9"/>
                <w:color w:val="auto"/>
              </w:rPr>
            </w:pPr>
          </w:p>
        </w:tc>
        <w:tc>
          <w:tcPr>
            <w:tcW w:w="2680" w:type="dxa"/>
            <w:vAlign w:val="bottom"/>
          </w:tcPr>
          <w:p>
            <w:pPr>
              <w:spacing w:after="0"/>
              <w:rPr>
                <w:sz w:val="9"/>
                <w:szCs w:val="9"/>
                <w:color w:val="auto"/>
              </w:rPr>
            </w:pPr>
          </w:p>
        </w:tc>
        <w:tc>
          <w:tcPr>
            <w:tcW w:w="150" w:type="dxa"/>
            <w:vAlign w:val="bottom"/>
          </w:tcPr>
          <w:p>
            <w:pPr>
              <w:spacing w:after="0"/>
              <w:rPr>
                <w:sz w:val="9"/>
                <w:szCs w:val="9"/>
                <w:color w:val="auto"/>
              </w:rPr>
            </w:pPr>
          </w:p>
        </w:tc>
        <w:tc>
          <w:tcPr>
            <w:tcW w:w="107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68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2830" w:type="dxa"/>
            <w:vAlign w:val="bottom"/>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19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(27,794)</w:t>
            </w: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1680" w:type="dxa"/>
            <w:vAlign w:val="bottom"/>
          </w:tcPr>
          <w:p>
            <w:pPr>
              <w:spacing w:after="0"/>
              <w:rPr>
                <w:sz w:val="11"/>
                <w:szCs w:val="11"/>
                <w:color w:val="auto"/>
              </w:rPr>
            </w:pPr>
          </w:p>
        </w:tc>
        <w:tc>
          <w:tcPr>
            <w:tcW w:w="2680" w:type="dxa"/>
            <w:vAlign w:val="bottom"/>
            <w:vMerge w:val="restart"/>
          </w:tcPr>
          <w:p>
            <w:pPr>
              <w:jc w:val="right"/>
              <w:ind w:right="1352"/>
              <w:spacing w:after="0"/>
              <w:rPr>
                <w:sz w:val="20"/>
                <w:szCs w:val="20"/>
                <w:color w:val="auto"/>
              </w:rPr>
            </w:pPr>
            <w:r>
              <w:rPr>
                <w:rFonts w:ascii="Arial" w:cs="Arial" w:eastAsia="Arial" w:hAnsi="Arial"/>
                <w:sz w:val="18"/>
                <w:szCs w:val="18"/>
                <w:color w:val="auto"/>
              </w:rPr>
              <w:t>16</w:t>
            </w:r>
          </w:p>
        </w:tc>
        <w:tc>
          <w:tcPr>
            <w:tcW w:w="150" w:type="dxa"/>
            <w:vAlign w:val="bottom"/>
            <w:tcBorders>
              <w:bottom w:val="single" w:sz="8" w:color="auto"/>
            </w:tcBorders>
          </w:tcPr>
          <w:p>
            <w:pPr>
              <w:spacing w:after="0"/>
              <w:rPr>
                <w:sz w:val="11"/>
                <w:szCs w:val="11"/>
                <w:color w:val="auto"/>
              </w:rPr>
            </w:pPr>
          </w:p>
        </w:tc>
        <w:tc>
          <w:tcPr>
            <w:tcW w:w="107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2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2680" w:type="dxa"/>
            <w:vAlign w:val="bottom"/>
            <w:vMerge w:val="continue"/>
          </w:tcPr>
          <w:p>
            <w:pPr>
              <w:spacing w:after="0"/>
              <w:rPr>
                <w:sz w:val="24"/>
                <w:szCs w:val="24"/>
                <w:color w:val="auto"/>
              </w:rPr>
            </w:pPr>
          </w:p>
        </w:tc>
        <w:tc>
          <w:tcPr>
            <w:tcW w:w="150" w:type="dxa"/>
            <w:vAlign w:val="bottom"/>
          </w:tcPr>
          <w:p>
            <w:pPr>
              <w:spacing w:after="0"/>
              <w:rPr>
                <w:sz w:val="24"/>
                <w:szCs w:val="24"/>
                <w:color w:val="auto"/>
              </w:rPr>
            </w:pPr>
          </w:p>
        </w:tc>
        <w:tc>
          <w:tcPr>
            <w:tcW w:w="107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4599940</wp:posOffset>
            </wp:positionH>
            <wp:positionV relativeFrom="paragraph">
              <wp:posOffset>-626110</wp:posOffset>
            </wp:positionV>
            <wp:extent cx="12700" cy="298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-626110</wp:posOffset>
            </wp:positionV>
            <wp:extent cx="21590" cy="2984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-626110</wp:posOffset>
            </wp:positionV>
            <wp:extent cx="38735" cy="298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4599940</wp:posOffset>
            </wp:positionH>
            <wp:positionV relativeFrom="paragraph">
              <wp:posOffset>-325755</wp:posOffset>
            </wp:positionV>
            <wp:extent cx="12700" cy="2984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-325755</wp:posOffset>
            </wp:positionV>
            <wp:extent cx="21590" cy="298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5363210</wp:posOffset>
            </wp:positionH>
            <wp:positionV relativeFrom="paragraph">
              <wp:posOffset>-325755</wp:posOffset>
            </wp:positionV>
            <wp:extent cx="38735" cy="2984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420"/>
          </w:cols>
          <w:pgMar w:left="240" w:top="269"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164" w:lineRule="exact"/>
        <w:rPr>
          <w:sz w:val="20"/>
          <w:szCs w:val="20"/>
          <w:color w:val="auto"/>
        </w:rPr>
      </w:pPr>
    </w:p>
    <w:p>
      <w:pPr>
        <w:ind w:left="240" w:firstLine="223"/>
        <w:spacing w:after="0" w:line="268" w:lineRule="auto"/>
        <w:rPr>
          <w:sz w:val="20"/>
          <w:szCs w:val="20"/>
          <w:color w:val="auto"/>
        </w:rPr>
      </w:pPr>
      <w:r>
        <w:rPr>
          <w:rFonts w:ascii="Arial" w:cs="Arial" w:eastAsia="Arial" w:hAnsi="Arial"/>
          <w:sz w:val="18"/>
          <w:szCs w:val="18"/>
          <w:color w:val="auto"/>
        </w:rPr>
        <w:t>For the years ended December 31, 2001 and 2000, no provision for federal or state income taxes has been recorded as the Company incurred net operating losses. Temporary differences, which give rise to deferred tax assets, are as follows:</w:t>
      </w:r>
    </w:p>
    <w:p>
      <w:pPr>
        <w:spacing w:after="0" w:line="114" w:lineRule="exact"/>
        <w:rPr>
          <w:sz w:val="20"/>
          <w:szCs w:val="20"/>
          <w:color w:val="auto"/>
        </w:rPr>
      </w:pPr>
    </w:p>
    <w:p>
      <w:pPr>
        <w:ind w:left="8260"/>
        <w:spacing w:after="0"/>
        <w:rPr>
          <w:sz w:val="20"/>
          <w:szCs w:val="20"/>
          <w:color w:val="auto"/>
        </w:rPr>
      </w:pPr>
      <w:r>
        <w:rPr>
          <w:rFonts w:ascii="Arial" w:cs="Arial" w:eastAsia="Arial" w:hAnsi="Arial"/>
          <w:sz w:val="14"/>
          <w:szCs w:val="14"/>
          <w:b w:val="1"/>
          <w:bCs w:val="1"/>
          <w:color w:val="auto"/>
        </w:rPr>
        <w:t>(in thousands)</w:t>
      </w:r>
    </w:p>
    <w:p>
      <w:pPr>
        <w:spacing w:after="0" w:line="1" w:lineRule="exact"/>
        <w:rPr>
          <w:sz w:val="20"/>
          <w:szCs w:val="20"/>
          <w:color w:val="auto"/>
        </w:rPr>
      </w:pPr>
    </w:p>
    <w:p>
      <w:pPr>
        <w:ind w:left="828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4756150</wp:posOffset>
            </wp:positionH>
            <wp:positionV relativeFrom="paragraph">
              <wp:posOffset>60325</wp:posOffset>
            </wp:positionV>
            <wp:extent cx="1509395"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509395" cy="8890"/>
                    </a:xfrm>
                    <a:prstGeom prst="rect">
                      <a:avLst/>
                    </a:prstGeom>
                    <a:noFill/>
                  </pic:spPr>
                </pic:pic>
              </a:graphicData>
            </a:graphic>
          </wp:anchor>
        </w:drawing>
      </w:r>
    </w:p>
    <w:p>
      <w:pPr>
        <w:spacing w:after="0" w:line="184"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6040" w:type="dxa"/>
            <w:vAlign w:val="bottom"/>
          </w:tcPr>
          <w:p>
            <w:pPr>
              <w:spacing w:after="0"/>
              <w:rPr>
                <w:sz w:val="15"/>
                <w:szCs w:val="15"/>
                <w:color w:val="auto"/>
              </w:rPr>
            </w:pPr>
          </w:p>
        </w:tc>
        <w:tc>
          <w:tcPr>
            <w:tcW w:w="150" w:type="dxa"/>
            <w:vAlign w:val="bottom"/>
          </w:tcPr>
          <w:p>
            <w:pPr>
              <w:spacing w:after="0"/>
              <w:rPr>
                <w:sz w:val="15"/>
                <w:szCs w:val="15"/>
                <w:color w:val="auto"/>
              </w:rPr>
            </w:pPr>
          </w:p>
        </w:tc>
        <w:tc>
          <w:tcPr>
            <w:tcW w:w="890" w:type="dxa"/>
            <w:vAlign w:val="bottom"/>
          </w:tcPr>
          <w:p>
            <w:pPr>
              <w:jc w:val="right"/>
              <w:ind w:right="294"/>
              <w:spacing w:after="0"/>
              <w:rPr>
                <w:sz w:val="20"/>
                <w:szCs w:val="20"/>
                <w:color w:val="auto"/>
              </w:rPr>
            </w:pPr>
            <w:r>
              <w:rPr>
                <w:rFonts w:ascii="Arial" w:cs="Arial" w:eastAsia="Arial" w:hAnsi="Arial"/>
                <w:sz w:val="14"/>
                <w:szCs w:val="14"/>
                <w:b w:val="1"/>
                <w:bCs w:val="1"/>
                <w:color w:val="auto"/>
              </w:rPr>
              <w:t>2001</w:t>
            </w:r>
          </w:p>
        </w:tc>
        <w:tc>
          <w:tcPr>
            <w:tcW w:w="3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60" w:type="dxa"/>
            <w:vAlign w:val="bottom"/>
          </w:tcPr>
          <w:p>
            <w:pPr>
              <w:jc w:val="right"/>
              <w:ind w:right="274"/>
              <w:spacing w:after="0"/>
              <w:rPr>
                <w:sz w:val="20"/>
                <w:szCs w:val="20"/>
                <w:color w:val="auto"/>
              </w:rPr>
            </w:pPr>
            <w:r>
              <w:rPr>
                <w:rFonts w:ascii="Arial" w:cs="Arial" w:eastAsia="Arial" w:hAnsi="Arial"/>
                <w:sz w:val="14"/>
                <w:szCs w:val="14"/>
                <w:b w:val="1"/>
                <w:bCs w:val="1"/>
                <w:color w:val="auto"/>
              </w:rPr>
              <w:t>2000</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95"/>
        </w:trPr>
        <w:tc>
          <w:tcPr>
            <w:tcW w:w="6040" w:type="dxa"/>
            <w:vAlign w:val="bottom"/>
          </w:tcPr>
          <w:p>
            <w:pPr>
              <w:spacing w:after="0"/>
              <w:rPr>
                <w:sz w:val="8"/>
                <w:szCs w:val="8"/>
                <w:color w:val="auto"/>
              </w:rPr>
            </w:pPr>
          </w:p>
        </w:tc>
        <w:tc>
          <w:tcPr>
            <w:tcW w:w="150" w:type="dxa"/>
            <w:vAlign w:val="bottom"/>
            <w:tcBorders>
              <w:bottom w:val="single" w:sz="8" w:color="auto"/>
            </w:tcBorders>
          </w:tcPr>
          <w:p>
            <w:pPr>
              <w:spacing w:after="0"/>
              <w:rPr>
                <w:sz w:val="8"/>
                <w:szCs w:val="8"/>
                <w:color w:val="auto"/>
              </w:rPr>
            </w:pPr>
          </w:p>
        </w:tc>
        <w:tc>
          <w:tcPr>
            <w:tcW w:w="89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6040" w:type="dxa"/>
            <w:vAlign w:val="bottom"/>
          </w:tcPr>
          <w:p>
            <w:pPr>
              <w:spacing w:after="0"/>
              <w:rPr>
                <w:sz w:val="8"/>
                <w:szCs w:val="8"/>
                <w:color w:val="auto"/>
              </w:rPr>
            </w:pPr>
          </w:p>
        </w:tc>
        <w:tc>
          <w:tcPr>
            <w:tcW w:w="150" w:type="dxa"/>
            <w:vAlign w:val="bottom"/>
          </w:tcPr>
          <w:p>
            <w:pPr>
              <w:spacing w:after="0"/>
              <w:rPr>
                <w:sz w:val="8"/>
                <w:szCs w:val="8"/>
                <w:color w:val="auto"/>
              </w:rPr>
            </w:pPr>
          </w:p>
        </w:tc>
        <w:tc>
          <w:tcPr>
            <w:tcW w:w="89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50" w:type="dxa"/>
            <w:vAlign w:val="bottom"/>
            <w:shd w:val="clear" w:color="auto" w:fill="CCEEFF"/>
          </w:tcPr>
          <w:p>
            <w:pPr>
              <w:spacing w:after="0"/>
              <w:rPr>
                <w:sz w:val="18"/>
                <w:szCs w:val="18"/>
                <w:color w:val="auto"/>
              </w:rPr>
            </w:pPr>
          </w:p>
        </w:tc>
        <w:tc>
          <w:tcPr>
            <w:tcW w:w="89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Net operating loss carryforwards</w:t>
            </w:r>
          </w:p>
        </w:tc>
        <w:tc>
          <w:tcPr>
            <w:tcW w:w="15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tcPr>
          <w:p>
            <w:pPr>
              <w:jc w:val="right"/>
              <w:spacing w:after="0"/>
              <w:rPr>
                <w:sz w:val="20"/>
                <w:szCs w:val="20"/>
                <w:color w:val="auto"/>
              </w:rPr>
            </w:pPr>
            <w:r>
              <w:rPr>
                <w:rFonts w:ascii="Arial" w:cs="Arial" w:eastAsia="Arial" w:hAnsi="Arial"/>
                <w:sz w:val="18"/>
                <w:szCs w:val="18"/>
                <w:color w:val="auto"/>
              </w:rPr>
              <w:t>16,255</w:t>
            </w:r>
          </w:p>
        </w:tc>
        <w:tc>
          <w:tcPr>
            <w:tcW w:w="3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10,983</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Research and development credit</w:t>
            </w:r>
          </w:p>
        </w:tc>
        <w:tc>
          <w:tcPr>
            <w:tcW w:w="15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987</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040" w:type="dxa"/>
            <w:vAlign w:val="bottom"/>
          </w:tcPr>
          <w:p>
            <w:pPr>
              <w:ind w:left="240"/>
              <w:spacing w:after="0"/>
              <w:rPr>
                <w:sz w:val="20"/>
                <w:szCs w:val="20"/>
                <w:color w:val="auto"/>
              </w:rPr>
            </w:pPr>
            <w:r>
              <w:rPr>
                <w:rFonts w:ascii="Arial" w:cs="Arial" w:eastAsia="Arial" w:hAnsi="Arial"/>
                <w:sz w:val="18"/>
                <w:szCs w:val="18"/>
                <w:color w:val="auto"/>
              </w:rPr>
              <w:t>Accruals and allowances</w:t>
            </w:r>
          </w:p>
        </w:tc>
        <w:tc>
          <w:tcPr>
            <w:tcW w:w="150" w:type="dxa"/>
            <w:vAlign w:val="bottom"/>
          </w:tcPr>
          <w:p>
            <w:pPr>
              <w:spacing w:after="0"/>
              <w:rPr>
                <w:sz w:val="18"/>
                <w:szCs w:val="18"/>
                <w:color w:val="auto"/>
              </w:rPr>
            </w:pPr>
          </w:p>
        </w:tc>
        <w:tc>
          <w:tcPr>
            <w:tcW w:w="890" w:type="dxa"/>
            <w:vAlign w:val="bottom"/>
          </w:tcPr>
          <w:p>
            <w:pPr>
              <w:jc w:val="right"/>
              <w:spacing w:after="0"/>
              <w:rPr>
                <w:sz w:val="20"/>
                <w:szCs w:val="20"/>
                <w:color w:val="auto"/>
              </w:rPr>
            </w:pPr>
            <w:r>
              <w:rPr>
                <w:rFonts w:ascii="Arial" w:cs="Arial" w:eastAsia="Arial" w:hAnsi="Arial"/>
                <w:sz w:val="18"/>
                <w:szCs w:val="18"/>
                <w:color w:val="auto"/>
              </w:rPr>
              <w:t>976</w:t>
            </w:r>
          </w:p>
        </w:tc>
        <w:tc>
          <w:tcPr>
            <w:tcW w:w="3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900</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Other</w:t>
            </w:r>
          </w:p>
        </w:tc>
        <w:tc>
          <w:tcPr>
            <w:tcW w:w="15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433</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08"/>
        </w:trPr>
        <w:tc>
          <w:tcPr>
            <w:tcW w:w="60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50" w:type="dxa"/>
            <w:vAlign w:val="bottom"/>
          </w:tcPr>
          <w:p>
            <w:pPr>
              <w:spacing w:after="0"/>
              <w:rPr>
                <w:sz w:val="8"/>
                <w:szCs w:val="8"/>
                <w:color w:val="auto"/>
              </w:rPr>
            </w:pPr>
          </w:p>
        </w:tc>
        <w:tc>
          <w:tcPr>
            <w:tcW w:w="89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deferred tax asset</w:t>
            </w:r>
          </w:p>
        </w:tc>
        <w:tc>
          <w:tcPr>
            <w:tcW w:w="15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18,651</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3"/>
        </w:trPr>
        <w:tc>
          <w:tcPr>
            <w:tcW w:w="6040" w:type="dxa"/>
            <w:vAlign w:val="bottom"/>
          </w:tcPr>
          <w:p>
            <w:pPr>
              <w:spacing w:after="0"/>
              <w:rPr>
                <w:sz w:val="20"/>
                <w:szCs w:val="20"/>
                <w:color w:val="auto"/>
              </w:rPr>
            </w:pPr>
            <w:r>
              <w:rPr>
                <w:rFonts w:ascii="Arial" w:cs="Arial" w:eastAsia="Arial" w:hAnsi="Arial"/>
                <w:sz w:val="18"/>
                <w:szCs w:val="18"/>
                <w:color w:val="auto"/>
              </w:rPr>
              <w:t>Deferred tax liabilities:</w:t>
            </w:r>
          </w:p>
        </w:tc>
        <w:tc>
          <w:tcPr>
            <w:tcW w:w="150" w:type="dxa"/>
            <w:vAlign w:val="bottom"/>
          </w:tcPr>
          <w:p>
            <w:pPr>
              <w:spacing w:after="0"/>
              <w:rPr>
                <w:sz w:val="24"/>
                <w:szCs w:val="24"/>
                <w:color w:val="auto"/>
              </w:rPr>
            </w:pPr>
          </w:p>
        </w:tc>
        <w:tc>
          <w:tcPr>
            <w:tcW w:w="89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17"/>
        </w:trPr>
        <w:tc>
          <w:tcPr>
            <w:tcW w:w="60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Acquired intangibles</w:t>
            </w:r>
          </w:p>
        </w:tc>
        <w:tc>
          <w:tcPr>
            <w:tcW w:w="150" w:type="dxa"/>
            <w:vAlign w:val="bottom"/>
            <w:shd w:val="clear" w:color="auto" w:fill="CCEEFF"/>
          </w:tcPr>
          <w:p>
            <w:pPr>
              <w:spacing w:after="0"/>
              <w:rPr>
                <w:sz w:val="18"/>
                <w:szCs w:val="18"/>
                <w:color w:val="auto"/>
              </w:rPr>
            </w:pPr>
          </w:p>
        </w:tc>
        <w:tc>
          <w:tcPr>
            <w:tcW w:w="123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(1,113)</w:t>
            </w:r>
          </w:p>
        </w:tc>
      </w:tr>
      <w:tr>
        <w:trPr>
          <w:trHeight w:val="108"/>
        </w:trPr>
        <w:tc>
          <w:tcPr>
            <w:tcW w:w="60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50" w:type="dxa"/>
            <w:vAlign w:val="bottom"/>
          </w:tcPr>
          <w:p>
            <w:pPr>
              <w:spacing w:after="0"/>
              <w:rPr>
                <w:sz w:val="8"/>
                <w:szCs w:val="8"/>
                <w:color w:val="auto"/>
              </w:rPr>
            </w:pPr>
          </w:p>
        </w:tc>
        <w:tc>
          <w:tcPr>
            <w:tcW w:w="89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Gross deferred tax liabilities</w:t>
            </w:r>
          </w:p>
        </w:tc>
        <w:tc>
          <w:tcPr>
            <w:tcW w:w="150" w:type="dxa"/>
            <w:vAlign w:val="bottom"/>
            <w:shd w:val="clear" w:color="auto" w:fill="CCEEFF"/>
          </w:tcPr>
          <w:p>
            <w:pPr>
              <w:spacing w:after="0"/>
              <w:rPr>
                <w:sz w:val="18"/>
                <w:szCs w:val="18"/>
                <w:color w:val="auto"/>
              </w:rPr>
            </w:pPr>
          </w:p>
        </w:tc>
        <w:tc>
          <w:tcPr>
            <w:tcW w:w="123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(716)</w:t>
            </w:r>
          </w:p>
        </w:tc>
        <w:tc>
          <w:tcPr>
            <w:tcW w:w="140" w:type="dxa"/>
            <w:vAlign w:val="bottom"/>
            <w:shd w:val="clear" w:color="auto" w:fill="CCEEFF"/>
          </w:tcPr>
          <w:p>
            <w:pPr>
              <w:spacing w:after="0"/>
              <w:rPr>
                <w:sz w:val="18"/>
                <w:szCs w:val="18"/>
                <w:color w:val="auto"/>
              </w:rPr>
            </w:pPr>
          </w:p>
        </w:tc>
        <w:tc>
          <w:tcPr>
            <w:tcW w:w="9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(1,113)</w:t>
            </w:r>
          </w:p>
        </w:tc>
      </w:tr>
      <w:tr>
        <w:trPr>
          <w:trHeight w:val="108"/>
        </w:trPr>
        <w:tc>
          <w:tcPr>
            <w:tcW w:w="60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50" w:type="dxa"/>
            <w:vAlign w:val="bottom"/>
          </w:tcPr>
          <w:p>
            <w:pPr>
              <w:spacing w:after="0"/>
              <w:rPr>
                <w:sz w:val="8"/>
                <w:szCs w:val="8"/>
                <w:color w:val="auto"/>
              </w:rPr>
            </w:pPr>
          </w:p>
        </w:tc>
        <w:tc>
          <w:tcPr>
            <w:tcW w:w="89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780"/>
              <w:spacing w:after="0"/>
              <w:rPr>
                <w:sz w:val="20"/>
                <w:szCs w:val="20"/>
                <w:color w:val="auto"/>
              </w:rPr>
            </w:pPr>
            <w:r>
              <w:rPr>
                <w:rFonts w:ascii="Arial" w:cs="Arial" w:eastAsia="Arial" w:hAnsi="Arial"/>
                <w:sz w:val="18"/>
                <w:szCs w:val="18"/>
                <w:color w:val="auto"/>
              </w:rPr>
              <w:t>Net deferred tax asset</w:t>
            </w:r>
          </w:p>
        </w:tc>
        <w:tc>
          <w:tcPr>
            <w:tcW w:w="150" w:type="dxa"/>
            <w:vAlign w:val="bottom"/>
            <w:shd w:val="clear" w:color="auto" w:fill="CCEEFF"/>
          </w:tcPr>
          <w:p>
            <w:pPr>
              <w:spacing w:after="0"/>
              <w:rPr>
                <w:sz w:val="18"/>
                <w:szCs w:val="18"/>
                <w:color w:val="auto"/>
              </w:rPr>
            </w:pP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17,935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11,550</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322"/>
        </w:trPr>
        <w:tc>
          <w:tcPr>
            <w:tcW w:w="6040" w:type="dxa"/>
            <w:vAlign w:val="bottom"/>
          </w:tcPr>
          <w:p>
            <w:pPr>
              <w:ind w:left="480"/>
              <w:spacing w:after="0"/>
              <w:rPr>
                <w:sz w:val="20"/>
                <w:szCs w:val="20"/>
                <w:color w:val="auto"/>
              </w:rPr>
            </w:pPr>
            <w:r>
              <w:rPr>
                <w:rFonts w:ascii="Arial" w:cs="Arial" w:eastAsia="Arial" w:hAnsi="Arial"/>
                <w:sz w:val="18"/>
                <w:szCs w:val="18"/>
                <w:color w:val="auto"/>
              </w:rPr>
              <w:t>Less: valuation allowance</w:t>
            </w:r>
          </w:p>
        </w:tc>
        <w:tc>
          <w:tcPr>
            <w:tcW w:w="150" w:type="dxa"/>
            <w:vAlign w:val="bottom"/>
          </w:tcPr>
          <w:p>
            <w:pPr>
              <w:spacing w:after="0"/>
              <w:rPr>
                <w:sz w:val="24"/>
                <w:szCs w:val="24"/>
                <w:color w:val="auto"/>
              </w:rPr>
            </w:pPr>
          </w:p>
        </w:tc>
        <w:tc>
          <w:tcPr>
            <w:tcW w:w="1230" w:type="dxa"/>
            <w:vAlign w:val="bottom"/>
            <w:gridSpan w:val="2"/>
          </w:tcPr>
          <w:p>
            <w:pPr>
              <w:jc w:val="right"/>
              <w:ind w:right="280"/>
              <w:spacing w:after="0"/>
              <w:rPr>
                <w:sz w:val="20"/>
                <w:szCs w:val="20"/>
                <w:color w:val="auto"/>
              </w:rPr>
            </w:pPr>
            <w:r>
              <w:rPr>
                <w:rFonts w:ascii="Arial" w:cs="Arial" w:eastAsia="Arial" w:hAnsi="Arial"/>
                <w:sz w:val="18"/>
                <w:szCs w:val="18"/>
                <w:color w:val="auto"/>
              </w:rPr>
              <w:t>(17,935)</w:t>
            </w:r>
          </w:p>
        </w:tc>
        <w:tc>
          <w:tcPr>
            <w:tcW w:w="140" w:type="dxa"/>
            <w:vAlign w:val="bottom"/>
          </w:tcPr>
          <w:p>
            <w:pPr>
              <w:spacing w:after="0"/>
              <w:rPr>
                <w:sz w:val="24"/>
                <w:szCs w:val="24"/>
                <w:color w:val="auto"/>
              </w:rPr>
            </w:pPr>
          </w:p>
        </w:tc>
        <w:tc>
          <w:tcPr>
            <w:tcW w:w="980" w:type="dxa"/>
            <w:vAlign w:val="bottom"/>
            <w:gridSpan w:val="3"/>
          </w:tcPr>
          <w:p>
            <w:pPr>
              <w:jc w:val="right"/>
              <w:ind w:right="60"/>
              <w:spacing w:after="0"/>
              <w:rPr>
                <w:sz w:val="20"/>
                <w:szCs w:val="20"/>
                <w:color w:val="auto"/>
              </w:rPr>
            </w:pPr>
            <w:r>
              <w:rPr>
                <w:rFonts w:ascii="Arial" w:cs="Arial" w:eastAsia="Arial" w:hAnsi="Arial"/>
                <w:sz w:val="18"/>
                <w:szCs w:val="18"/>
                <w:color w:val="auto"/>
              </w:rPr>
              <w:t>(11,550)</w:t>
            </w:r>
          </w:p>
        </w:tc>
      </w:tr>
      <w:tr>
        <w:trPr>
          <w:trHeight w:val="110"/>
        </w:trPr>
        <w:tc>
          <w:tcPr>
            <w:tcW w:w="6040" w:type="dxa"/>
            <w:vAlign w:val="bottom"/>
          </w:tcPr>
          <w:p>
            <w:pPr>
              <w:spacing w:after="0"/>
              <w:rPr>
                <w:sz w:val="9"/>
                <w:szCs w:val="9"/>
                <w:color w:val="auto"/>
              </w:rPr>
            </w:pPr>
          </w:p>
        </w:tc>
        <w:tc>
          <w:tcPr>
            <w:tcW w:w="150" w:type="dxa"/>
            <w:vAlign w:val="bottom"/>
            <w:tcBorders>
              <w:bottom w:val="single" w:sz="8" w:color="auto"/>
            </w:tcBorders>
          </w:tcPr>
          <w:p>
            <w:pPr>
              <w:spacing w:after="0"/>
              <w:rPr>
                <w:sz w:val="9"/>
                <w:szCs w:val="9"/>
                <w:color w:val="auto"/>
              </w:rPr>
            </w:pPr>
          </w:p>
        </w:tc>
        <w:tc>
          <w:tcPr>
            <w:tcW w:w="89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8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102"/>
        </w:trPr>
        <w:tc>
          <w:tcPr>
            <w:tcW w:w="6040" w:type="dxa"/>
            <w:vAlign w:val="bottom"/>
          </w:tcPr>
          <w:p>
            <w:pPr>
              <w:spacing w:after="0"/>
              <w:rPr>
                <w:sz w:val="8"/>
                <w:szCs w:val="8"/>
                <w:color w:val="auto"/>
              </w:rPr>
            </w:pPr>
          </w:p>
        </w:tc>
        <w:tc>
          <w:tcPr>
            <w:tcW w:w="150" w:type="dxa"/>
            <w:vAlign w:val="bottom"/>
          </w:tcPr>
          <w:p>
            <w:pPr>
              <w:spacing w:after="0"/>
              <w:rPr>
                <w:sz w:val="8"/>
                <w:szCs w:val="8"/>
                <w:color w:val="auto"/>
              </w:rPr>
            </w:pPr>
          </w:p>
        </w:tc>
        <w:tc>
          <w:tcPr>
            <w:tcW w:w="890" w:type="dxa"/>
            <w:vAlign w:val="bottom"/>
          </w:tcPr>
          <w:p>
            <w:pPr>
              <w:spacing w:after="0"/>
              <w:rPr>
                <w:sz w:val="8"/>
                <w:szCs w:val="8"/>
                <w:color w:val="auto"/>
              </w:rPr>
            </w:pPr>
          </w:p>
        </w:tc>
        <w:tc>
          <w:tcPr>
            <w:tcW w:w="340" w:type="dxa"/>
            <w:vAlign w:val="bottom"/>
          </w:tcPr>
          <w:p>
            <w:pPr>
              <w:spacing w:after="0"/>
              <w:rPr>
                <w:sz w:val="8"/>
                <w:szCs w:val="8"/>
                <w:color w:val="auto"/>
              </w:rPr>
            </w:pPr>
          </w:p>
        </w:tc>
        <w:tc>
          <w:tcPr>
            <w:tcW w:w="1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604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deferred tax asset</w:t>
            </w:r>
          </w:p>
        </w:tc>
        <w:tc>
          <w:tcPr>
            <w:tcW w:w="1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30" w:type="dxa"/>
            <w:vAlign w:val="bottom"/>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r>
      <w:tr>
        <w:trPr>
          <w:trHeight w:val="132"/>
        </w:trPr>
        <w:tc>
          <w:tcPr>
            <w:tcW w:w="60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89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105"/>
        </w:trPr>
        <w:tc>
          <w:tcPr>
            <w:tcW w:w="6040" w:type="dxa"/>
            <w:vAlign w:val="bottom"/>
          </w:tcPr>
          <w:p>
            <w:pPr>
              <w:spacing w:after="0"/>
              <w:rPr>
                <w:sz w:val="9"/>
                <w:szCs w:val="9"/>
                <w:color w:val="auto"/>
              </w:rPr>
            </w:pPr>
          </w:p>
        </w:tc>
        <w:tc>
          <w:tcPr>
            <w:tcW w:w="150" w:type="dxa"/>
            <w:vAlign w:val="bottom"/>
          </w:tcPr>
          <w:p>
            <w:pPr>
              <w:spacing w:after="0"/>
              <w:rPr>
                <w:sz w:val="9"/>
                <w:szCs w:val="9"/>
                <w:color w:val="auto"/>
              </w:rPr>
            </w:pPr>
          </w:p>
        </w:tc>
        <w:tc>
          <w:tcPr>
            <w:tcW w:w="890" w:type="dxa"/>
            <w:vAlign w:val="bottom"/>
          </w:tcPr>
          <w:p>
            <w:pPr>
              <w:spacing w:after="0"/>
              <w:rPr>
                <w:sz w:val="9"/>
                <w:szCs w:val="9"/>
                <w:color w:val="auto"/>
              </w:rPr>
            </w:pPr>
          </w:p>
        </w:tc>
        <w:tc>
          <w:tcPr>
            <w:tcW w:w="340" w:type="dxa"/>
            <w:vAlign w:val="bottom"/>
          </w:tcPr>
          <w:p>
            <w:pPr>
              <w:spacing w:after="0"/>
              <w:rPr>
                <w:sz w:val="9"/>
                <w:szCs w:val="9"/>
                <w:color w:val="auto"/>
              </w:rPr>
            </w:pPr>
          </w:p>
        </w:tc>
        <w:tc>
          <w:tcPr>
            <w:tcW w:w="140" w:type="dxa"/>
            <w:vAlign w:val="bottom"/>
          </w:tcPr>
          <w:p>
            <w:pPr>
              <w:spacing w:after="0"/>
              <w:rPr>
                <w:sz w:val="9"/>
                <w:szCs w:val="9"/>
                <w:color w:val="auto"/>
              </w:rPr>
            </w:pPr>
          </w:p>
        </w:tc>
        <w:tc>
          <w:tcPr>
            <w:tcW w:w="8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r>
      <w:tr>
        <w:trPr>
          <w:trHeight w:val="216"/>
        </w:trPr>
        <w:tc>
          <w:tcPr>
            <w:tcW w:w="6040" w:type="dxa"/>
            <w:vAlign w:val="bottom"/>
            <w:shd w:val="clear" w:color="auto" w:fill="CCEEFF"/>
          </w:tcPr>
          <w:p>
            <w:pPr>
              <w:spacing w:after="0"/>
              <w:rPr>
                <w:sz w:val="20"/>
                <w:szCs w:val="20"/>
                <w:color w:val="auto"/>
              </w:rPr>
            </w:pPr>
            <w:r>
              <w:rPr>
                <w:rFonts w:ascii="Arial" w:cs="Arial" w:eastAsia="Arial" w:hAnsi="Arial"/>
                <w:sz w:val="18"/>
                <w:szCs w:val="18"/>
                <w:color w:val="auto"/>
              </w:rPr>
              <w:t>Increase in deferred tax asset valuation allowance</w:t>
            </w:r>
          </w:p>
        </w:tc>
        <w:tc>
          <w:tcPr>
            <w:tcW w:w="15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9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6,385</w:t>
            </w:r>
          </w:p>
        </w:tc>
        <w:tc>
          <w:tcPr>
            <w:tcW w:w="3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8,163</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132"/>
        </w:trPr>
        <w:tc>
          <w:tcPr>
            <w:tcW w:w="6040" w:type="dxa"/>
            <w:vAlign w:val="bottom"/>
          </w:tcPr>
          <w:p>
            <w:pPr>
              <w:spacing w:after="0"/>
              <w:rPr>
                <w:sz w:val="11"/>
                <w:szCs w:val="11"/>
                <w:color w:val="auto"/>
              </w:rPr>
            </w:pPr>
          </w:p>
        </w:tc>
        <w:tc>
          <w:tcPr>
            <w:tcW w:w="150" w:type="dxa"/>
            <w:vAlign w:val="bottom"/>
            <w:tcBorders>
              <w:bottom w:val="single" w:sz="8" w:color="auto"/>
            </w:tcBorders>
          </w:tcPr>
          <w:p>
            <w:pPr>
              <w:spacing w:after="0"/>
              <w:rPr>
                <w:sz w:val="11"/>
                <w:szCs w:val="11"/>
                <w:color w:val="auto"/>
              </w:rPr>
            </w:pPr>
          </w:p>
        </w:tc>
        <w:tc>
          <w:tcPr>
            <w:tcW w:w="890" w:type="dxa"/>
            <w:vAlign w:val="bottom"/>
            <w:tcBorders>
              <w:bottom w:val="single" w:sz="8" w:color="auto"/>
            </w:tcBorders>
          </w:tcPr>
          <w:p>
            <w:pPr>
              <w:spacing w:after="0"/>
              <w:rPr>
                <w:sz w:val="11"/>
                <w:szCs w:val="11"/>
                <w:color w:val="auto"/>
              </w:rPr>
            </w:pPr>
          </w:p>
        </w:tc>
        <w:tc>
          <w:tcPr>
            <w:tcW w:w="34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4754245</wp:posOffset>
            </wp:positionH>
            <wp:positionV relativeFrom="paragraph">
              <wp:posOffset>-329565</wp:posOffset>
            </wp:positionV>
            <wp:extent cx="12700" cy="2984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-329565</wp:posOffset>
            </wp:positionV>
            <wp:extent cx="21590" cy="2984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-329565</wp:posOffset>
            </wp:positionV>
            <wp:extent cx="895985" cy="2984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95985" cy="29845"/>
                    </a:xfrm>
                    <a:prstGeom prst="rect">
                      <a:avLst/>
                    </a:prstGeom>
                    <a:noFill/>
                  </pic:spPr>
                </pic:pic>
              </a:graphicData>
            </a:graphic>
          </wp:anchor>
        </w:drawing>
        <w:drawing>
          <wp:anchor simplePos="0" relativeHeight="251657728" behindDoc="1" locked="0" layoutInCell="0" allowOverlap="1">
            <wp:simplePos x="0" y="0"/>
            <wp:positionH relativeFrom="column">
              <wp:posOffset>4754245</wp:posOffset>
            </wp:positionH>
            <wp:positionV relativeFrom="paragraph">
              <wp:posOffset>-29210</wp:posOffset>
            </wp:positionV>
            <wp:extent cx="12700" cy="298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21590" cy="2984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5397500</wp:posOffset>
            </wp:positionH>
            <wp:positionV relativeFrom="paragraph">
              <wp:posOffset>-29210</wp:posOffset>
            </wp:positionV>
            <wp:extent cx="38735" cy="298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5620385</wp:posOffset>
            </wp:positionH>
            <wp:positionV relativeFrom="paragraph">
              <wp:posOffset>-29210</wp:posOffset>
            </wp:positionV>
            <wp:extent cx="12700" cy="298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5706110</wp:posOffset>
            </wp:positionH>
            <wp:positionV relativeFrom="paragraph">
              <wp:posOffset>-29210</wp:posOffset>
            </wp:positionV>
            <wp:extent cx="21590" cy="298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6254750</wp:posOffset>
            </wp:positionH>
            <wp:positionV relativeFrom="paragraph">
              <wp:posOffset>-29210</wp:posOffset>
            </wp:positionV>
            <wp:extent cx="38735" cy="2984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240" w:right="280" w:firstLine="223"/>
        <w:spacing w:after="0" w:line="259" w:lineRule="auto"/>
        <w:rPr>
          <w:sz w:val="20"/>
          <w:szCs w:val="20"/>
          <w:color w:val="auto"/>
        </w:rPr>
      </w:pPr>
      <w:r>
        <w:rPr>
          <w:rFonts w:ascii="Arial" w:cs="Arial" w:eastAsia="Arial" w:hAnsi="Arial"/>
          <w:sz w:val="18"/>
          <w:szCs w:val="18"/>
          <w:color w:val="auto"/>
        </w:rPr>
        <w:t>A valuation allowance is provided when it is more likely than not that some portion of the deferred tax asset will not be realized. The Company has established a 100% valuation allowance on its net deferred tax assets as no benefit is expected to be received due to the uncertainty of realizing future tax benefits from its net operating loss carryforwards and other deferred tax assets.</w:t>
      </w:r>
    </w:p>
    <w:p>
      <w:pPr>
        <w:spacing w:after="0" w:line="127" w:lineRule="exact"/>
        <w:rPr>
          <w:sz w:val="20"/>
          <w:szCs w:val="20"/>
          <w:color w:val="auto"/>
        </w:rPr>
      </w:pPr>
    </w:p>
    <w:p>
      <w:pPr>
        <w:ind w:left="240" w:firstLine="223"/>
        <w:spacing w:after="0" w:line="255" w:lineRule="auto"/>
        <w:rPr>
          <w:sz w:val="20"/>
          <w:szCs w:val="20"/>
          <w:color w:val="auto"/>
        </w:rPr>
      </w:pPr>
      <w:r>
        <w:rPr>
          <w:rFonts w:ascii="Arial" w:cs="Arial" w:eastAsia="Arial" w:hAnsi="Arial"/>
          <w:sz w:val="18"/>
          <w:szCs w:val="18"/>
          <w:color w:val="auto"/>
        </w:rPr>
        <w:t>At December 31, 2001, the Company had net operating loss carryforwards of approximately $44,606,000 and $20,358,000 for federal and California purposes, respectively, available to reduce future federal and California taxable income. The net operating loss carryforwards expire beginning from 2017 through 2021 for federal and from 2005 through 2011 for California tax purposes unless utilized. Due to changes in the Company’s ownership in 1998, future utilization of a portion of the net operating loss carryforwards will be subject to certain limitations of annual utilization as defined by the Tax Reform Act of 1986.</w:t>
      </w:r>
    </w:p>
    <w:p>
      <w:pPr>
        <w:spacing w:after="0" w:line="129" w:lineRule="exact"/>
        <w:rPr>
          <w:sz w:val="20"/>
          <w:szCs w:val="20"/>
          <w:color w:val="auto"/>
        </w:rPr>
      </w:pPr>
    </w:p>
    <w:p>
      <w:pPr>
        <w:ind w:left="240" w:right="200" w:firstLine="223"/>
        <w:spacing w:after="0" w:line="259" w:lineRule="auto"/>
        <w:rPr>
          <w:sz w:val="20"/>
          <w:szCs w:val="20"/>
          <w:color w:val="auto"/>
        </w:rPr>
      </w:pPr>
      <w:r>
        <w:rPr>
          <w:rFonts w:ascii="Arial" w:cs="Arial" w:eastAsia="Arial" w:hAnsi="Arial"/>
          <w:sz w:val="18"/>
          <w:szCs w:val="18"/>
          <w:color w:val="auto"/>
        </w:rPr>
        <w:t>At December 31, 2001, the Company had research and experimentation credit carryforwards of approximately $804,000 and $276,000 for federal and California purposes, respectively, available to reduce future federal and California taxable income. The carryforwards expire beginning from 2017 through 2021 for federal.</w:t>
      </w:r>
    </w:p>
    <w:p>
      <w:pPr>
        <w:spacing w:after="0" w:line="12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300"/>
          </w:cols>
          <w:pgMar w:left="240" w:top="269" w:right="35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Borrowings and Lines of Credit</w:t>
      </w:r>
    </w:p>
    <w:p>
      <w:pPr>
        <w:spacing w:after="0" w:line="164" w:lineRule="exact"/>
        <w:rPr>
          <w:sz w:val="20"/>
          <w:szCs w:val="20"/>
          <w:color w:val="auto"/>
        </w:rPr>
      </w:pPr>
    </w:p>
    <w:p>
      <w:pPr>
        <w:ind w:left="240" w:right="60" w:firstLine="223"/>
        <w:spacing w:after="0" w:line="256" w:lineRule="auto"/>
        <w:rPr>
          <w:sz w:val="20"/>
          <w:szCs w:val="20"/>
          <w:color w:val="auto"/>
        </w:rPr>
      </w:pPr>
      <w:r>
        <w:rPr>
          <w:rFonts w:ascii="Arial" w:cs="Arial" w:eastAsia="Arial" w:hAnsi="Arial"/>
          <w:sz w:val="18"/>
          <w:szCs w:val="18"/>
          <w:color w:val="auto"/>
        </w:rPr>
        <w:t>At December 31, 2001 and 2000, the Company had $476,000 and $1,038,000, respectively, outstanding under an equipment line of credit with a financial institution. The amount outstanding is collateralized by certain assets of the Company, matures on November 29, 2002 and calls for monthly principal payments of approximately $43,000 plus interest at a rate of 0.75% per annum in excess of the prime rate, which was 5.5% and 10.25% at December 31, 2001 and 2000, respectively.</w:t>
      </w:r>
    </w:p>
    <w:p>
      <w:pPr>
        <w:spacing w:after="0" w:line="130" w:lineRule="exact"/>
        <w:rPr>
          <w:sz w:val="20"/>
          <w:szCs w:val="20"/>
          <w:color w:val="auto"/>
        </w:rPr>
      </w:pPr>
    </w:p>
    <w:p>
      <w:pPr>
        <w:ind w:left="240" w:firstLine="223"/>
        <w:spacing w:after="0" w:line="291" w:lineRule="auto"/>
        <w:rPr>
          <w:sz w:val="20"/>
          <w:szCs w:val="20"/>
          <w:color w:val="auto"/>
        </w:rPr>
      </w:pPr>
      <w:r>
        <w:rPr>
          <w:rFonts w:ascii="Arial" w:cs="Arial" w:eastAsia="Arial" w:hAnsi="Arial"/>
          <w:sz w:val="16"/>
          <w:szCs w:val="16"/>
          <w:color w:val="auto"/>
        </w:rPr>
        <w:t>On September 27, 2001, the Company entered into an additional revolving credit line and a $1,500,000 equipment line of credit with the same financial institution. At December 31, 2001, the Company had $586,000 outstanding under the equipment line. The amount outstanding under the equipment line of credit matures on various dates between March 2003 and September 2004 and calls for monthly principal payments of approximately $35,000 plus interest at a rate of 1.00% per annum in excess of the prime rate, which was 5.75% at December 31, 2001. The revolving line of credit is available for draws of amounts calculated as the lesser of qualified accounts receivable or $5 million. The revolving line of credit matures on March 31, 2002 and bears interest at 0.75% in excess of the prime rate. The Company had not drawn against the revolving line at December 31, 2001.</w:t>
      </w:r>
    </w:p>
    <w:p>
      <w:pPr>
        <w:spacing w:after="0" w:line="10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future minimum principal payments on the outstanding borrowings, as of December 31, 2001, is as follows (in thousands):</w:t>
      </w:r>
    </w:p>
    <w:p>
      <w:pPr>
        <w:spacing w:after="0" w:line="153"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ind w:left="40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2543810</wp:posOffset>
            </wp:positionH>
            <wp:positionV relativeFrom="paragraph">
              <wp:posOffset>60325</wp:posOffset>
            </wp:positionV>
            <wp:extent cx="66040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97" w:lineRule="exact"/>
        <w:rPr>
          <w:sz w:val="20"/>
          <w:szCs w:val="20"/>
          <w:color w:val="auto"/>
        </w:rPr>
      </w:pPr>
    </w:p>
    <w:tbl>
      <w:tblPr>
        <w:tblLayout w:type="fixed"/>
        <w:tblInd w:w="4000" w:type="dxa"/>
        <w:tblCellMar>
          <w:top w:w="0" w:type="dxa"/>
          <w:left w:w="0" w:type="dxa"/>
          <w:bottom w:w="0" w:type="dxa"/>
          <w:right w:w="0" w:type="dxa"/>
        </w:tblCellMar>
      </w:tblPr>
      <w:tr>
        <w:trPr>
          <w:trHeight w:val="216"/>
        </w:trPr>
        <w:tc>
          <w:tcPr>
            <w:tcW w:w="2240" w:type="dxa"/>
            <w:vAlign w:val="bottom"/>
            <w:shd w:val="clear" w:color="auto" w:fill="CCEEFF"/>
          </w:tcPr>
          <w:p>
            <w:pPr>
              <w:jc w:val="right"/>
              <w:ind w:right="1792"/>
              <w:spacing w:after="0"/>
              <w:rPr>
                <w:sz w:val="20"/>
                <w:szCs w:val="20"/>
                <w:color w:val="auto"/>
              </w:rPr>
            </w:pPr>
            <w:r>
              <w:rPr>
                <w:rFonts w:ascii="Arial" w:cs="Arial" w:eastAsia="Arial" w:hAnsi="Arial"/>
                <w:sz w:val="18"/>
                <w:szCs w:val="18"/>
                <w:color w:val="auto"/>
                <w:w w:val="84"/>
              </w:rPr>
              <w:t>2002</w:t>
            </w: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w:t>
            </w:r>
          </w:p>
        </w:tc>
      </w:tr>
      <w:tr>
        <w:trPr>
          <w:trHeight w:val="216"/>
        </w:trPr>
        <w:tc>
          <w:tcPr>
            <w:tcW w:w="2240" w:type="dxa"/>
            <w:vAlign w:val="bottom"/>
          </w:tcPr>
          <w:p>
            <w:pPr>
              <w:jc w:val="right"/>
              <w:ind w:right="1792"/>
              <w:spacing w:after="0"/>
              <w:rPr>
                <w:sz w:val="20"/>
                <w:szCs w:val="20"/>
                <w:color w:val="auto"/>
              </w:rPr>
            </w:pPr>
            <w:r>
              <w:rPr>
                <w:rFonts w:ascii="Arial" w:cs="Arial" w:eastAsia="Arial" w:hAnsi="Arial"/>
                <w:sz w:val="18"/>
                <w:szCs w:val="18"/>
                <w:color w:val="auto"/>
                <w:w w:val="84"/>
              </w:rPr>
              <w:t>2003</w:t>
            </w:r>
          </w:p>
        </w:tc>
        <w:tc>
          <w:tcPr>
            <w:tcW w:w="44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150</w:t>
            </w:r>
          </w:p>
        </w:tc>
      </w:tr>
      <w:tr>
        <w:trPr>
          <w:trHeight w:val="216"/>
        </w:trPr>
        <w:tc>
          <w:tcPr>
            <w:tcW w:w="2240" w:type="dxa"/>
            <w:vAlign w:val="bottom"/>
            <w:shd w:val="clear" w:color="auto" w:fill="CCEEFF"/>
          </w:tcPr>
          <w:p>
            <w:pPr>
              <w:jc w:val="right"/>
              <w:ind w:right="1792"/>
              <w:spacing w:after="0"/>
              <w:rPr>
                <w:sz w:val="20"/>
                <w:szCs w:val="20"/>
                <w:color w:val="auto"/>
              </w:rPr>
            </w:pPr>
            <w:r>
              <w:rPr>
                <w:rFonts w:ascii="Arial" w:cs="Arial" w:eastAsia="Arial" w:hAnsi="Arial"/>
                <w:sz w:val="18"/>
                <w:szCs w:val="18"/>
                <w:color w:val="auto"/>
                <w:w w:val="84"/>
              </w:rPr>
              <w:t>2004</w:t>
            </w:r>
          </w:p>
        </w:tc>
        <w:tc>
          <w:tcPr>
            <w:tcW w:w="44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r>
      <w:tr>
        <w:trPr>
          <w:trHeight w:val="108"/>
        </w:trPr>
        <w:tc>
          <w:tcPr>
            <w:tcW w:w="2240" w:type="dxa"/>
            <w:vAlign w:val="bottom"/>
          </w:tcPr>
          <w:p>
            <w:pPr>
              <w:spacing w:after="0"/>
              <w:rPr>
                <w:sz w:val="9"/>
                <w:szCs w:val="9"/>
                <w:color w:val="auto"/>
              </w:rPr>
            </w:pPr>
          </w:p>
        </w:tc>
        <w:tc>
          <w:tcPr>
            <w:tcW w:w="4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r>
      <w:tr>
        <w:trPr>
          <w:trHeight w:val="102"/>
        </w:trPr>
        <w:tc>
          <w:tcPr>
            <w:tcW w:w="224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r>
      <w:tr>
        <w:trPr>
          <w:trHeight w:val="216"/>
        </w:trPr>
        <w:tc>
          <w:tcPr>
            <w:tcW w:w="2240" w:type="dxa"/>
            <w:vAlign w:val="bottom"/>
            <w:shd w:val="clear" w:color="auto" w:fill="CCEEFF"/>
          </w:tcPr>
          <w:p>
            <w:pPr>
              <w:spacing w:after="0"/>
              <w:rPr>
                <w:sz w:val="18"/>
                <w:szCs w:val="18"/>
                <w:color w:val="auto"/>
              </w:rPr>
            </w:pPr>
          </w:p>
        </w:tc>
        <w:tc>
          <w:tcPr>
            <w:tcW w:w="440" w:type="dxa"/>
            <w:vAlign w:val="bottom"/>
            <w:shd w:val="clear" w:color="auto" w:fill="CCEEFF"/>
          </w:tcPr>
          <w:p>
            <w:pPr>
              <w:jc w:val="right"/>
              <w:ind w:right="252"/>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w:t>
            </w:r>
          </w:p>
        </w:tc>
      </w:tr>
      <w:tr>
        <w:trPr>
          <w:trHeight w:val="132"/>
        </w:trPr>
        <w:tc>
          <w:tcPr>
            <w:tcW w:w="2240" w:type="dxa"/>
            <w:vAlign w:val="bottom"/>
          </w:tcPr>
          <w:p>
            <w:pPr>
              <w:spacing w:after="0"/>
              <w:rPr>
                <w:sz w:val="11"/>
                <w:szCs w:val="11"/>
                <w:color w:val="auto"/>
              </w:rPr>
            </w:pPr>
          </w:p>
        </w:tc>
        <w:tc>
          <w:tcPr>
            <w:tcW w:w="44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3964940</wp:posOffset>
            </wp:positionH>
            <wp:positionV relativeFrom="paragraph">
              <wp:posOffset>-29210</wp:posOffset>
            </wp:positionV>
            <wp:extent cx="12700" cy="2984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4702810</wp:posOffset>
            </wp:positionH>
            <wp:positionV relativeFrom="paragraph">
              <wp:posOffset>-29210</wp:posOffset>
            </wp:positionV>
            <wp:extent cx="12700" cy="298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4093845</wp:posOffset>
            </wp:positionH>
            <wp:positionV relativeFrom="paragraph">
              <wp:posOffset>-29210</wp:posOffset>
            </wp:positionV>
            <wp:extent cx="21590" cy="298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right="120" w:firstLine="223"/>
        <w:spacing w:after="0" w:line="294" w:lineRule="auto"/>
        <w:rPr>
          <w:sz w:val="20"/>
          <w:szCs w:val="20"/>
          <w:color w:val="auto"/>
        </w:rPr>
      </w:pPr>
      <w:r>
        <w:rPr>
          <w:rFonts w:ascii="Arial" w:cs="Arial" w:eastAsia="Arial" w:hAnsi="Arial"/>
          <w:sz w:val="16"/>
          <w:szCs w:val="16"/>
          <w:color w:val="auto"/>
        </w:rPr>
        <w:t>Under the revolving and equipment lines of credit, the Company is required to maintain certain financial covenants, including minimum liquidity, minimum total net worth and minimum revenue. The Company is also required to maintain certain reporting covenants which include provision of audited financial statements and other financial reports by certain dates. The Company was not in compliance with certain of the financial covenants at December 31, 2001 and 2000 for which the Company obtained a waiver for 2000. Subsequent to December 31, 2001, the Company negotiated a new line of credit with another financial institution and repaid the outstanding balance under this line of credit (see Note 12).</w:t>
      </w:r>
    </w:p>
    <w:p>
      <w:pPr>
        <w:spacing w:after="0" w:line="102" w:lineRule="exact"/>
        <w:rPr>
          <w:sz w:val="20"/>
          <w:szCs w:val="20"/>
          <w:color w:val="auto"/>
        </w:rPr>
      </w:pPr>
    </w:p>
    <w:p>
      <w:pPr>
        <w:ind w:left="240" w:right="300" w:firstLine="223"/>
        <w:spacing w:after="0" w:line="294" w:lineRule="auto"/>
        <w:rPr>
          <w:sz w:val="20"/>
          <w:szCs w:val="20"/>
          <w:color w:val="auto"/>
        </w:rPr>
      </w:pPr>
      <w:r>
        <w:rPr>
          <w:rFonts w:ascii="Arial" w:cs="Arial" w:eastAsia="Arial" w:hAnsi="Arial"/>
          <w:sz w:val="16"/>
          <w:szCs w:val="16"/>
          <w:color w:val="auto"/>
        </w:rPr>
        <w:t>Warrants to purchase 15,909 shares of Series C redeemable convertible preferred stock at an exercise price of $2.20 per share were issued in connection with a financial institution line of credit agreement in November 1999. These warrants, including put rights for $70,000, were exercisable on or after November 29, 2001, or earlier if the Company was sold or liquidated, and expire in November 2006. The Black-Scholes method of valuation was used to determine the fair value of the warrants using the following assumptions: 100% volatility, no dividends and 6.30% risk free interest rate. The fair value of these warrants amounting to $30,000 is recorded as prepaid interest expense and is amortized over the term of the line of credit.</w:t>
      </w:r>
    </w:p>
    <w:p>
      <w:pPr>
        <w:spacing w:after="0" w:line="10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269"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0"/>
          <w:szCs w:val="20"/>
          <w:color w:val="auto"/>
        </w:rPr>
      </w:pPr>
    </w:p>
    <w:p>
      <w:pPr>
        <w:ind w:left="240" w:right="80"/>
        <w:spacing w:after="0" w:line="291" w:lineRule="auto"/>
        <w:rPr>
          <w:sz w:val="20"/>
          <w:szCs w:val="20"/>
          <w:color w:val="auto"/>
        </w:rPr>
      </w:pPr>
      <w:r>
        <w:rPr>
          <w:rFonts w:ascii="Arial" w:cs="Arial" w:eastAsia="Arial" w:hAnsi="Arial"/>
          <w:sz w:val="16"/>
          <w:szCs w:val="16"/>
          <w:color w:val="auto"/>
        </w:rPr>
        <w:t>In June 2000, the warrants for redeemable convertible preferred stock issued in November 1999 were canceled and replaced with new warrants to purchase 23,863 shares of common stock at an exercise price of $2.20 per share with no put rights. These warrants were immediately exercisable and expire in November 2006. The Black-Scholes method of valuation was used to determine the fair value of the warrants using the following assumptions: 100% volatility, no dividends and 6.30% risk free interest rate and contractual term of seven years and a deemed fair value of the underlying common stock of $6.08 per share. The fair value of these warrants amounting to $133,000 is recorded as interest expense immediately as terms of the original credit line were not renegotiated in exchange for issuance of these warrants.</w:t>
      </w:r>
    </w:p>
    <w:p>
      <w:pPr>
        <w:spacing w:after="0" w:line="101" w:lineRule="exact"/>
        <w:rPr>
          <w:sz w:val="20"/>
          <w:szCs w:val="20"/>
          <w:color w:val="auto"/>
        </w:rPr>
      </w:pPr>
    </w:p>
    <w:p>
      <w:pPr>
        <w:ind w:left="460" w:right="8740" w:hanging="452"/>
        <w:spacing w:after="0" w:line="479" w:lineRule="auto"/>
        <w:tabs>
          <w:tab w:leader="none" w:pos="184" w:val="left"/>
        </w:tabs>
        <w:numPr>
          <w:ilvl w:val="0"/>
          <w:numId w:val="6"/>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Capital leases</w:t>
      </w:r>
    </w:p>
    <w:p>
      <w:pPr>
        <w:ind w:left="460"/>
        <w:spacing w:after="0"/>
        <w:rPr>
          <w:rFonts w:ascii="Arial" w:cs="Arial" w:eastAsia="Arial" w:hAnsi="Arial"/>
          <w:sz w:val="16"/>
          <w:szCs w:val="16"/>
          <w:b w:val="1"/>
          <w:bCs w:val="1"/>
          <w:color w:val="auto"/>
        </w:rPr>
      </w:pPr>
      <w:r>
        <w:rPr>
          <w:rFonts w:ascii="Arial" w:cs="Arial" w:eastAsia="Arial" w:hAnsi="Arial"/>
          <w:sz w:val="18"/>
          <w:szCs w:val="18"/>
          <w:color w:val="auto"/>
        </w:rPr>
        <w:t>The Company has entered into capital lease agreements for certain office equipment.</w:t>
      </w:r>
    </w:p>
    <w:p>
      <w:pPr>
        <w:spacing w:after="0" w:line="151" w:lineRule="exact"/>
        <w:rPr>
          <w:rFonts w:ascii="Arial" w:cs="Arial" w:eastAsia="Arial" w:hAnsi="Arial"/>
          <w:sz w:val="16"/>
          <w:szCs w:val="16"/>
          <w:b w:val="1"/>
          <w:bCs w:val="1"/>
          <w:color w:val="auto"/>
        </w:rPr>
      </w:pPr>
    </w:p>
    <w:p>
      <w:pPr>
        <w:ind w:left="46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Operating leases</w:t>
      </w:r>
    </w:p>
    <w:p>
      <w:pPr>
        <w:spacing w:after="0" w:line="164" w:lineRule="exact"/>
        <w:rPr>
          <w:sz w:val="20"/>
          <w:szCs w:val="20"/>
          <w:color w:val="auto"/>
        </w:rPr>
      </w:pPr>
    </w:p>
    <w:p>
      <w:pPr>
        <w:ind w:left="240" w:firstLine="223"/>
        <w:spacing w:after="0" w:line="291" w:lineRule="auto"/>
        <w:rPr>
          <w:sz w:val="20"/>
          <w:szCs w:val="20"/>
          <w:color w:val="auto"/>
        </w:rPr>
      </w:pPr>
      <w:r>
        <w:rPr>
          <w:rFonts w:ascii="Arial" w:cs="Arial" w:eastAsia="Arial" w:hAnsi="Arial"/>
          <w:sz w:val="16"/>
          <w:szCs w:val="16"/>
          <w:color w:val="auto"/>
        </w:rPr>
        <w:t>The Company leases its facilities and certain office equipment under noncancelable operating leases with various expiration dates through 2008. Under the terms of its facility leases, the Company is responsible for its share of common area and operating expenses. The Company has a letter of credit from a financial institution in lieu of a security deposit for the Company’s leased facility headquarters. In addition, the Company maintains a stand by letter of credit collateralized by a $104,000 certification of deposit for a satellite office. Rent expense under operating leases for the years ended December 31, 2001 and 2000 was $1,438,000 and $656,000, respectively. The terms of the facility leases provide for rental payments on a graduated scale. The Company recognizes rent expense on a straight-line basis over the lease period and has accrued for rent expense incurred but not paid.</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269"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At December 31, 2001, the minimum lease commitments under all leases were as follows (in thousands):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tcPr>
          <w:p>
            <w:pPr>
              <w:jc w:val="right"/>
              <w:ind w:right="460"/>
              <w:spacing w:after="0"/>
              <w:rPr>
                <w:sz w:val="20"/>
                <w:szCs w:val="20"/>
                <w:color w:val="auto"/>
              </w:rPr>
            </w:pPr>
            <w:r>
              <w:rPr>
                <w:rFonts w:ascii="Arial" w:cs="Arial" w:eastAsia="Arial" w:hAnsi="Arial"/>
                <w:sz w:val="14"/>
                <w:szCs w:val="14"/>
                <w:b w:val="1"/>
                <w:bCs w:val="1"/>
                <w:color w:val="auto"/>
                <w:w w:val="94"/>
              </w:rPr>
              <w:t>Capital</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gridSpan w:val="5"/>
          </w:tcPr>
          <w:p>
            <w:pPr>
              <w:jc w:val="right"/>
              <w:ind w:right="380"/>
              <w:spacing w:after="0"/>
              <w:rPr>
                <w:sz w:val="20"/>
                <w:szCs w:val="20"/>
                <w:color w:val="auto"/>
              </w:rPr>
            </w:pPr>
            <w:r>
              <w:rPr>
                <w:rFonts w:ascii="Arial" w:cs="Arial" w:eastAsia="Arial" w:hAnsi="Arial"/>
                <w:sz w:val="14"/>
                <w:szCs w:val="14"/>
                <w:b w:val="1"/>
                <w:bCs w:val="1"/>
                <w:color w:val="auto"/>
                <w:w w:val="93"/>
              </w:rPr>
              <w:t>Operating</w:t>
            </w: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gridSpan w:val="4"/>
          </w:tcPr>
          <w:p>
            <w:pPr>
              <w:jc w:val="right"/>
              <w:ind w:right="480"/>
              <w:spacing w:after="0"/>
              <w:rPr>
                <w:sz w:val="20"/>
                <w:szCs w:val="20"/>
                <w:color w:val="auto"/>
              </w:rPr>
            </w:pPr>
            <w:r>
              <w:rPr>
                <w:rFonts w:ascii="Arial" w:cs="Arial" w:eastAsia="Arial" w:hAnsi="Arial"/>
                <w:sz w:val="14"/>
                <w:szCs w:val="14"/>
                <w:b w:val="1"/>
                <w:bCs w:val="1"/>
                <w:color w:val="auto"/>
                <w:w w:val="88"/>
              </w:rPr>
              <w:t>Leases</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rPr>
              <w:t>Leases</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Year ended December 31,</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2002</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60</w:t>
            </w:r>
          </w:p>
        </w:tc>
        <w:tc>
          <w:tcPr>
            <w:tcW w:w="300" w:type="dxa"/>
            <w:vAlign w:val="bottom"/>
          </w:tcPr>
          <w:p>
            <w:pPr>
              <w:spacing w:after="0"/>
              <w:rPr>
                <w:sz w:val="18"/>
                <w:szCs w:val="18"/>
                <w:color w:val="auto"/>
              </w:rPr>
            </w:pPr>
          </w:p>
        </w:tc>
        <w:tc>
          <w:tcPr>
            <w:tcW w:w="180" w:type="dxa"/>
            <w:vAlign w:val="bottom"/>
            <w:gridSpan w:val="2"/>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1,326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2003</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2004</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gridSpan w:val="3"/>
          </w:tcPr>
          <w:p>
            <w:pPr>
              <w:jc w:val="right"/>
              <w:spacing w:after="0"/>
              <w:rPr>
                <w:sz w:val="20"/>
                <w:szCs w:val="20"/>
                <w:color w:val="auto"/>
              </w:rPr>
            </w:pPr>
            <w:r>
              <w:rPr>
                <w:rFonts w:ascii="Arial" w:cs="Arial" w:eastAsia="Arial" w:hAnsi="Arial"/>
                <w:sz w:val="18"/>
                <w:szCs w:val="18"/>
                <w:color w:val="auto"/>
              </w:rPr>
              <w:t>7</w:t>
            </w: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1,274</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2005</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566</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20" w:type="dxa"/>
            <w:vAlign w:val="bottom"/>
          </w:tcPr>
          <w:p>
            <w:pPr>
              <w:ind w:left="180"/>
              <w:spacing w:after="0"/>
              <w:rPr>
                <w:sz w:val="20"/>
                <w:szCs w:val="20"/>
                <w:color w:val="auto"/>
              </w:rPr>
            </w:pPr>
            <w:r>
              <w:rPr>
                <w:rFonts w:ascii="Arial" w:cs="Arial" w:eastAsia="Arial" w:hAnsi="Arial"/>
                <w:sz w:val="18"/>
                <w:szCs w:val="18"/>
                <w:color w:val="auto"/>
              </w:rPr>
              <w:t>2006</w:t>
            </w:r>
          </w:p>
        </w:tc>
        <w:tc>
          <w:tcPr>
            <w:tcW w:w="66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103</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Thereafter</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20" w:type="dxa"/>
            <w:vAlign w:val="bottom"/>
            <w:tcBorders>
              <w:bottom w:val="single" w:sz="8" w:color="auto"/>
            </w:tcBorders>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120" w:type="dxa"/>
            <w:vAlign w:val="bottom"/>
            <w:vMerge w:val="restart"/>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20" w:type="dxa"/>
            <w:vAlign w:val="bottom"/>
            <w:shd w:val="clear" w:color="auto" w:fill="CCEEFF"/>
          </w:tcPr>
          <w:p>
            <w:pPr>
              <w:ind w:left="360"/>
              <w:spacing w:after="0"/>
              <w:rPr>
                <w:sz w:val="20"/>
                <w:szCs w:val="20"/>
                <w:color w:val="auto"/>
              </w:rPr>
            </w:pPr>
            <w:r>
              <w:rPr>
                <w:rFonts w:ascii="Arial" w:cs="Arial" w:eastAsia="Arial" w:hAnsi="Arial"/>
                <w:sz w:val="18"/>
                <w:szCs w:val="18"/>
                <w:color w:val="auto"/>
              </w:rPr>
              <w:t>Total minimum lease payments</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30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79"/>
              </w:rPr>
              <w:t>$</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4,699</w:t>
            </w:r>
          </w:p>
        </w:tc>
        <w:tc>
          <w:tcPr>
            <w:tcW w:w="20" w:type="dxa"/>
            <w:vAlign w:val="bottom"/>
            <w:vMerge w:val="continue"/>
          </w:tcPr>
          <w:p>
            <w:pPr>
              <w:spacing w:after="0"/>
              <w:rPr>
                <w:sz w:val="18"/>
                <w:szCs w:val="18"/>
                <w:color w:val="auto"/>
              </w:rPr>
            </w:pPr>
          </w:p>
        </w:tc>
        <w:tc>
          <w:tcPr>
            <w:tcW w:w="12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1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5"/>
        </w:trPr>
        <w:tc>
          <w:tcPr>
            <w:tcW w:w="1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380" w:type="dxa"/>
            <w:vAlign w:val="bottom"/>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20" w:type="dxa"/>
            <w:vAlign w:val="bottom"/>
            <w:gridSpan w:val="4"/>
            <w:shd w:val="clear" w:color="auto" w:fill="CCEEFF"/>
          </w:tcPr>
          <w:p>
            <w:pPr>
              <w:jc w:val="right"/>
              <w:ind w:right="240"/>
              <w:spacing w:after="0"/>
              <w:rPr>
                <w:sz w:val="20"/>
                <w:szCs w:val="20"/>
                <w:color w:val="auto"/>
              </w:rPr>
            </w:pPr>
            <w:r>
              <w:rPr>
                <w:rFonts w:ascii="Arial" w:cs="Arial" w:eastAsia="Arial" w:hAnsi="Arial"/>
                <w:sz w:val="18"/>
                <w:szCs w:val="18"/>
                <w:color w:val="auto"/>
              </w:rPr>
              <w:t>(9)</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7"/>
              </w:rPr>
              <w:t>Present value of minimum lease payments</w:t>
            </w:r>
          </w:p>
        </w:tc>
        <w:tc>
          <w:tcPr>
            <w:tcW w:w="66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20" w:type="dxa"/>
            <w:vAlign w:val="bottom"/>
          </w:tcPr>
          <w:p>
            <w:pPr>
              <w:spacing w:after="0"/>
              <w:rPr>
                <w:sz w:val="20"/>
                <w:szCs w:val="20"/>
                <w:color w:val="auto"/>
              </w:rPr>
            </w:pPr>
            <w:r>
              <w:rPr>
                <w:rFonts w:ascii="Arial" w:cs="Arial" w:eastAsia="Arial" w:hAnsi="Arial"/>
                <w:sz w:val="18"/>
                <w:szCs w:val="18"/>
                <w:color w:val="auto"/>
                <w:w w:val="87"/>
              </w:rPr>
              <w:t>Less current portion of capital lease obligations</w:t>
            </w: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gridSpan w:val="4"/>
          </w:tcPr>
          <w:p>
            <w:pPr>
              <w:jc w:val="right"/>
              <w:ind w:right="240"/>
              <w:spacing w:after="0"/>
              <w:rPr>
                <w:sz w:val="20"/>
                <w:szCs w:val="20"/>
                <w:color w:val="auto"/>
              </w:rPr>
            </w:pPr>
            <w:r>
              <w:rPr>
                <w:rFonts w:ascii="Arial" w:cs="Arial" w:eastAsia="Arial" w:hAnsi="Arial"/>
                <w:sz w:val="18"/>
                <w:szCs w:val="18"/>
                <w:color w:val="auto"/>
              </w:rPr>
              <w:t>(54)</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0"/>
        </w:trPr>
        <w:tc>
          <w:tcPr>
            <w:tcW w:w="1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3320" w:type="dxa"/>
            <w:vAlign w:val="bottom"/>
          </w:tcPr>
          <w:p>
            <w:pPr>
              <w:spacing w:after="0"/>
              <w:rPr>
                <w:sz w:val="9"/>
                <w:szCs w:val="9"/>
                <w:color w:val="auto"/>
              </w:rPr>
            </w:pPr>
          </w:p>
        </w:tc>
        <w:tc>
          <w:tcPr>
            <w:tcW w:w="660" w:type="dxa"/>
            <w:vAlign w:val="bottom"/>
          </w:tcPr>
          <w:p>
            <w:pPr>
              <w:spacing w:after="0"/>
              <w:rPr>
                <w:sz w:val="9"/>
                <w:szCs w:val="9"/>
                <w:color w:val="auto"/>
              </w:rPr>
            </w:pPr>
          </w:p>
        </w:tc>
        <w:tc>
          <w:tcPr>
            <w:tcW w:w="720" w:type="dxa"/>
            <w:vAlign w:val="bottom"/>
          </w:tcPr>
          <w:p>
            <w:pPr>
              <w:spacing w:after="0"/>
              <w:rPr>
                <w:sz w:val="9"/>
                <w:szCs w:val="9"/>
                <w:color w:val="auto"/>
              </w:rPr>
            </w:pPr>
          </w:p>
        </w:tc>
        <w:tc>
          <w:tcPr>
            <w:tcW w:w="140" w:type="dxa"/>
            <w:vAlign w:val="bottom"/>
            <w:tcBorders>
              <w:bottom w:val="single" w:sz="8" w:color="auto"/>
            </w:tcBorders>
          </w:tcPr>
          <w:p>
            <w:pPr>
              <w:spacing w:after="0"/>
              <w:rPr>
                <w:sz w:val="9"/>
                <w:szCs w:val="9"/>
                <w:color w:val="auto"/>
              </w:rPr>
            </w:pPr>
          </w:p>
        </w:tc>
        <w:tc>
          <w:tcPr>
            <w:tcW w:w="60" w:type="dxa"/>
            <w:vAlign w:val="bottom"/>
            <w:tcBorders>
              <w:bottom w:val="single" w:sz="8" w:color="auto"/>
            </w:tcBorders>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380" w:type="dxa"/>
            <w:vAlign w:val="bottom"/>
            <w:tcBorders>
              <w:bottom w:val="single" w:sz="8" w:color="auto"/>
            </w:tcBorders>
          </w:tcPr>
          <w:p>
            <w:pPr>
              <w:spacing w:after="0"/>
              <w:rPr>
                <w:sz w:val="9"/>
                <w:szCs w:val="9"/>
                <w:color w:val="auto"/>
              </w:rPr>
            </w:pPr>
          </w:p>
        </w:tc>
        <w:tc>
          <w:tcPr>
            <w:tcW w:w="30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60" w:type="dxa"/>
            <w:vAlign w:val="bottom"/>
          </w:tcPr>
          <w:p>
            <w:pPr>
              <w:spacing w:after="0"/>
              <w:rPr>
                <w:sz w:val="9"/>
                <w:szCs w:val="9"/>
                <w:color w:val="auto"/>
              </w:rPr>
            </w:pPr>
          </w:p>
        </w:tc>
        <w:tc>
          <w:tcPr>
            <w:tcW w:w="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3320" w:type="dxa"/>
            <w:vAlign w:val="bottom"/>
            <w:shd w:val="clear" w:color="auto" w:fill="CCEEFF"/>
          </w:tcPr>
          <w:p>
            <w:pPr>
              <w:spacing w:after="0"/>
              <w:rPr>
                <w:sz w:val="20"/>
                <w:szCs w:val="20"/>
                <w:color w:val="auto"/>
              </w:rPr>
            </w:pPr>
            <w:r>
              <w:rPr>
                <w:rFonts w:ascii="Arial" w:cs="Arial" w:eastAsia="Arial" w:hAnsi="Arial"/>
                <w:sz w:val="18"/>
                <w:szCs w:val="18"/>
                <w:color w:val="auto"/>
                <w:w w:val="92"/>
              </w:rPr>
              <w:t>Long-term portion of capital lease obligations</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3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562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8. Redeemable Convertible Preferred Stock</w:t>
            </w: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71"/>
        </w:trPr>
        <w:tc>
          <w:tcPr>
            <w:tcW w:w="5620" w:type="dxa"/>
            <w:vAlign w:val="bottom"/>
            <w:gridSpan w:val="3"/>
            <w:vMerge w:val="continue"/>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140" w:type="dxa"/>
            <w:vAlign w:val="bottom"/>
            <w:gridSpan w:val="6"/>
          </w:tcPr>
          <w:p>
            <w:pPr>
              <w:jc w:val="right"/>
              <w:ind w:right="572"/>
              <w:spacing w:after="0"/>
              <w:rPr>
                <w:sz w:val="20"/>
                <w:szCs w:val="20"/>
                <w:color w:val="auto"/>
              </w:rPr>
            </w:pPr>
            <w:r>
              <w:rPr>
                <w:rFonts w:ascii="Arial" w:cs="Arial" w:eastAsia="Arial" w:hAnsi="Arial"/>
                <w:sz w:val="18"/>
                <w:szCs w:val="18"/>
                <w:color w:val="auto"/>
                <w:w w:val="92"/>
              </w:rPr>
              <w:t>At December 31, 2001, redeemable convertible preferred stock consists of the following:</w:t>
            </w: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9"/>
        </w:trPr>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4"/>
              </w:rPr>
              <w:t>Shares</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2"/>
              </w:rPr>
              <w:t>Proceeds</w:t>
            </w:r>
          </w:p>
        </w:tc>
        <w:tc>
          <w:tcPr>
            <w:tcW w:w="0" w:type="dxa"/>
            <w:vAlign w:val="bottom"/>
          </w:tcPr>
          <w:p>
            <w:pPr>
              <w:spacing w:after="0"/>
              <w:rPr>
                <w:sz w:val="1"/>
                <w:szCs w:val="1"/>
                <w:color w:val="auto"/>
              </w:rPr>
            </w:pPr>
          </w:p>
        </w:tc>
      </w:tr>
      <w:tr>
        <w:trPr>
          <w:trHeight w:val="135"/>
        </w:trPr>
        <w:tc>
          <w:tcPr>
            <w:tcW w:w="1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jc w:val="center"/>
              <w:spacing w:after="0" w:line="135" w:lineRule="exact"/>
              <w:rPr>
                <w:sz w:val="20"/>
                <w:szCs w:val="20"/>
                <w:color w:val="auto"/>
              </w:rPr>
            </w:pPr>
            <w:r>
              <w:rPr>
                <w:rFonts w:ascii="Arial" w:cs="Arial" w:eastAsia="Arial" w:hAnsi="Arial"/>
                <w:sz w:val="14"/>
                <w:szCs w:val="14"/>
                <w:b w:val="1"/>
                <w:bCs w:val="1"/>
                <w:color w:val="auto"/>
                <w:w w:val="90"/>
              </w:rPr>
              <w:t>Net of</w:t>
            </w:r>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4"/>
          </w:tcPr>
          <w:p>
            <w:pPr>
              <w:spacing w:after="0" w:line="129" w:lineRule="exact"/>
              <w:rPr>
                <w:sz w:val="20"/>
                <w:szCs w:val="20"/>
                <w:color w:val="auto"/>
              </w:rPr>
            </w:pPr>
            <w:r>
              <w:rPr>
                <w:rFonts w:ascii="Arial" w:cs="Arial" w:eastAsia="Arial" w:hAnsi="Arial"/>
                <w:sz w:val="14"/>
                <w:szCs w:val="14"/>
                <w:b w:val="1"/>
                <w:bCs w:val="1"/>
                <w:color w:val="auto"/>
              </w:rPr>
              <w:t>Liquidation</w:t>
            </w:r>
          </w:p>
        </w:tc>
        <w:tc>
          <w:tcPr>
            <w:tcW w:w="120" w:type="dxa"/>
            <w:vAlign w:val="bottom"/>
          </w:tcPr>
          <w:p>
            <w:pPr>
              <w:spacing w:after="0"/>
              <w:rPr>
                <w:sz w:val="11"/>
                <w:szCs w:val="11"/>
                <w:color w:val="auto"/>
              </w:rPr>
            </w:pPr>
          </w:p>
        </w:tc>
        <w:tc>
          <w:tcPr>
            <w:tcW w:w="580" w:type="dxa"/>
            <w:vAlign w:val="bottom"/>
            <w:gridSpan w:val="2"/>
          </w:tcPr>
          <w:p>
            <w:pPr>
              <w:jc w:val="center"/>
              <w:spacing w:after="0" w:line="129" w:lineRule="exact"/>
              <w:rPr>
                <w:sz w:val="20"/>
                <w:szCs w:val="20"/>
                <w:color w:val="auto"/>
              </w:rPr>
            </w:pPr>
            <w:r>
              <w:rPr>
                <w:rFonts w:ascii="Arial" w:cs="Arial" w:eastAsia="Arial" w:hAnsi="Arial"/>
                <w:sz w:val="14"/>
                <w:szCs w:val="14"/>
                <w:b w:val="1"/>
                <w:bCs w:val="1"/>
                <w:color w:val="auto"/>
                <w:w w:val="80"/>
              </w:rPr>
              <w:t>Issuance</w:t>
            </w: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33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60" w:type="dxa"/>
            <w:vAlign w:val="bottom"/>
            <w:gridSpan w:val="2"/>
          </w:tcPr>
          <w:p>
            <w:pPr>
              <w:jc w:val="right"/>
              <w:ind w:right="32"/>
              <w:spacing w:after="0"/>
              <w:rPr>
                <w:sz w:val="20"/>
                <w:szCs w:val="20"/>
                <w:color w:val="auto"/>
              </w:rPr>
            </w:pPr>
            <w:r>
              <w:rPr>
                <w:rFonts w:ascii="Arial" w:cs="Arial" w:eastAsia="Arial" w:hAnsi="Arial"/>
                <w:sz w:val="14"/>
                <w:szCs w:val="14"/>
                <w:b w:val="1"/>
                <w:bCs w:val="1"/>
                <w:color w:val="auto"/>
              </w:rPr>
              <w:t>Authorized</w:t>
            </w: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5"/>
          </w:tcPr>
          <w:p>
            <w:pPr>
              <w:ind w:left="60"/>
              <w:spacing w:after="0"/>
              <w:rPr>
                <w:sz w:val="20"/>
                <w:szCs w:val="20"/>
                <w:color w:val="auto"/>
              </w:rPr>
            </w:pPr>
            <w:r>
              <w:rPr>
                <w:rFonts w:ascii="Arial" w:cs="Arial" w:eastAsia="Arial" w:hAnsi="Arial"/>
                <w:sz w:val="14"/>
                <w:szCs w:val="14"/>
                <w:b w:val="1"/>
                <w:bCs w:val="1"/>
                <w:color w:val="auto"/>
                <w:w w:val="96"/>
              </w:rPr>
              <w:t>Outstanding</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jc w:val="right"/>
              <w:ind w:right="220"/>
              <w:spacing w:after="0"/>
              <w:rPr>
                <w:sz w:val="20"/>
                <w:szCs w:val="20"/>
                <w:color w:val="auto"/>
              </w:rPr>
            </w:pPr>
            <w:r>
              <w:rPr>
                <w:rFonts w:ascii="Arial" w:cs="Arial" w:eastAsia="Arial" w:hAnsi="Arial"/>
                <w:sz w:val="14"/>
                <w:szCs w:val="14"/>
                <w:b w:val="1"/>
                <w:bCs w:val="1"/>
                <w:color w:val="auto"/>
                <w:w w:val="86"/>
              </w:rPr>
              <w:t>Amount</w:t>
            </w: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jc w:val="center"/>
              <w:spacing w:after="0"/>
              <w:rPr>
                <w:sz w:val="20"/>
                <w:szCs w:val="20"/>
                <w:color w:val="auto"/>
              </w:rPr>
            </w:pPr>
            <w:r>
              <w:rPr>
                <w:rFonts w:ascii="Arial" w:cs="Arial" w:eastAsia="Arial" w:hAnsi="Arial"/>
                <w:sz w:val="14"/>
                <w:szCs w:val="14"/>
                <w:b w:val="1"/>
                <w:bCs w:val="1"/>
                <w:color w:val="auto"/>
                <w:w w:val="82"/>
              </w:rPr>
              <w:t>Costs</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Borders>
              <w:bottom w:val="single" w:sz="8" w:color="auto"/>
            </w:tcBorders>
          </w:tcPr>
          <w:p>
            <w:pPr>
              <w:spacing w:after="0"/>
              <w:rPr>
                <w:sz w:val="8"/>
                <w:szCs w:val="8"/>
                <w:color w:val="auto"/>
              </w:rPr>
            </w:pPr>
          </w:p>
        </w:tc>
        <w:tc>
          <w:tcPr>
            <w:tcW w:w="30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240" w:type="dxa"/>
            <w:vAlign w:val="bottom"/>
            <w:gridSpan w:val="2"/>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14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33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400" w:type="dxa"/>
            <w:vAlign w:val="bottom"/>
            <w:gridSpan w:val="6"/>
          </w:tcPr>
          <w:p>
            <w:pPr>
              <w:jc w:val="right"/>
              <w:ind w:right="258"/>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418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gridSpan w:val="2"/>
          </w:tcPr>
          <w:p>
            <w:pPr>
              <w:spacing w:after="0"/>
              <w:rPr>
                <w:sz w:val="8"/>
                <w:szCs w:val="8"/>
                <w:color w:val="auto"/>
              </w:rPr>
            </w:pPr>
          </w:p>
        </w:tc>
        <w:tc>
          <w:tcPr>
            <w:tcW w:w="240" w:type="dxa"/>
            <w:vAlign w:val="bottom"/>
            <w:gridSpan w:val="2"/>
          </w:tcPr>
          <w:p>
            <w:pPr>
              <w:spacing w:after="0"/>
              <w:rPr>
                <w:sz w:val="8"/>
                <w:szCs w:val="8"/>
                <w:color w:val="auto"/>
              </w:rPr>
            </w:pPr>
          </w:p>
        </w:tc>
        <w:tc>
          <w:tcPr>
            <w:tcW w:w="860" w:type="dxa"/>
            <w:vAlign w:val="bottom"/>
            <w:gridSpan w:val="4"/>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gridSpan w:val="2"/>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11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660</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Series B</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4,990,625</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4,990,625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4,977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3,952</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C</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11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16,713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14,261</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4180" w:type="dxa"/>
            <w:vAlign w:val="bottom"/>
            <w:gridSpan w:val="2"/>
          </w:tcPr>
          <w:p>
            <w:pPr>
              <w:spacing w:after="0"/>
              <w:rPr>
                <w:sz w:val="20"/>
                <w:szCs w:val="20"/>
                <w:color w:val="auto"/>
              </w:rPr>
            </w:pPr>
            <w:r>
              <w:rPr>
                <w:rFonts w:ascii="Arial" w:cs="Arial" w:eastAsia="Arial" w:hAnsi="Arial"/>
                <w:sz w:val="18"/>
                <w:szCs w:val="18"/>
                <w:color w:val="auto"/>
              </w:rPr>
              <w:t>Series D</w:t>
            </w:r>
          </w:p>
        </w:tc>
        <w:tc>
          <w:tcPr>
            <w:tcW w:w="1520" w:type="dxa"/>
            <w:vAlign w:val="bottom"/>
            <w:gridSpan w:val="3"/>
          </w:tcPr>
          <w:p>
            <w:pPr>
              <w:jc w:val="right"/>
              <w:spacing w:after="0"/>
              <w:rPr>
                <w:sz w:val="20"/>
                <w:szCs w:val="20"/>
                <w:color w:val="auto"/>
              </w:rPr>
            </w:pPr>
            <w:r>
              <w:rPr>
                <w:rFonts w:ascii="Arial" w:cs="Arial" w:eastAsia="Arial" w:hAnsi="Arial"/>
                <w:sz w:val="18"/>
                <w:szCs w:val="18"/>
                <w:color w:val="auto"/>
              </w:rPr>
              <w:t>3,703,703</w:t>
            </w:r>
          </w:p>
        </w:tc>
        <w:tc>
          <w:tcPr>
            <w:tcW w:w="1100" w:type="dxa"/>
            <w:vAlign w:val="bottom"/>
            <w:gridSpan w:val="6"/>
          </w:tcPr>
          <w:p>
            <w:pPr>
              <w:jc w:val="right"/>
              <w:spacing w:after="0"/>
              <w:rPr>
                <w:sz w:val="20"/>
                <w:szCs w:val="20"/>
                <w:color w:val="auto"/>
              </w:rPr>
            </w:pPr>
            <w:r>
              <w:rPr>
                <w:rFonts w:ascii="Arial" w:cs="Arial" w:eastAsia="Arial" w:hAnsi="Arial"/>
                <w:sz w:val="18"/>
                <w:szCs w:val="18"/>
                <w:color w:val="auto"/>
              </w:rPr>
              <w:t>3,703,690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8"/>
                <w:szCs w:val="18"/>
                <w:color w:val="auto"/>
              </w:rPr>
              <w:t>27,859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24,924</w:t>
            </w: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4180" w:type="dxa"/>
            <w:vAlign w:val="bottom"/>
            <w:gridSpan w:val="2"/>
          </w:tcPr>
          <w:p>
            <w:pPr>
              <w:spacing w:after="0"/>
              <w:rPr>
                <w:sz w:val="8"/>
                <w:szCs w:val="8"/>
                <w:color w:val="auto"/>
              </w:rPr>
            </w:pPr>
          </w:p>
        </w:tc>
        <w:tc>
          <w:tcPr>
            <w:tcW w:w="660" w:type="dxa"/>
            <w:vAlign w:val="bottom"/>
          </w:tcPr>
          <w:p>
            <w:pPr>
              <w:spacing w:after="0"/>
              <w:rPr>
                <w:sz w:val="8"/>
                <w:szCs w:val="8"/>
                <w:color w:val="auto"/>
              </w:rPr>
            </w:pPr>
          </w:p>
        </w:tc>
        <w:tc>
          <w:tcPr>
            <w:tcW w:w="860" w:type="dxa"/>
            <w:vAlign w:val="bottom"/>
            <w:tcBorders>
              <w:bottom w:val="single" w:sz="8" w:color="auto"/>
            </w:tcBorders>
            <w:gridSpan w:val="2"/>
          </w:tcPr>
          <w:p>
            <w:pPr>
              <w:spacing w:after="0"/>
              <w:rPr>
                <w:sz w:val="8"/>
                <w:szCs w:val="8"/>
                <w:color w:val="auto"/>
              </w:rPr>
            </w:pPr>
          </w:p>
        </w:tc>
        <w:tc>
          <w:tcPr>
            <w:tcW w:w="240" w:type="dxa"/>
            <w:vAlign w:val="bottom"/>
            <w:gridSpan w:val="2"/>
          </w:tcPr>
          <w:p>
            <w:pPr>
              <w:spacing w:after="0"/>
              <w:rPr>
                <w:sz w:val="8"/>
                <w:szCs w:val="8"/>
                <w:color w:val="auto"/>
              </w:rPr>
            </w:pPr>
          </w:p>
        </w:tc>
        <w:tc>
          <w:tcPr>
            <w:tcW w:w="860" w:type="dxa"/>
            <w:vAlign w:val="bottom"/>
            <w:tcBorders>
              <w:bottom w:val="single" w:sz="8" w:color="auto"/>
            </w:tcBorders>
            <w:gridSpan w:val="4"/>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860" w:type="dxa"/>
            <w:vAlign w:val="bottom"/>
          </w:tcPr>
          <w:p>
            <w:pPr>
              <w:spacing w:after="0"/>
              <w:rPr>
                <w:sz w:val="8"/>
                <w:szCs w:val="8"/>
                <w:color w:val="auto"/>
              </w:rPr>
            </w:pPr>
          </w:p>
        </w:tc>
        <w:tc>
          <w:tcPr>
            <w:tcW w:w="3320" w:type="dxa"/>
            <w:vAlign w:val="bottom"/>
          </w:tcPr>
          <w:p>
            <w:pPr>
              <w:spacing w:after="0"/>
              <w:rPr>
                <w:sz w:val="8"/>
                <w:szCs w:val="8"/>
                <w:color w:val="auto"/>
              </w:rPr>
            </w:pPr>
          </w:p>
        </w:tc>
        <w:tc>
          <w:tcPr>
            <w:tcW w:w="660" w:type="dxa"/>
            <w:vAlign w:val="bottom"/>
          </w:tcPr>
          <w:p>
            <w:pPr>
              <w:spacing w:after="0"/>
              <w:rPr>
                <w:sz w:val="8"/>
                <w:szCs w:val="8"/>
                <w:color w:val="auto"/>
              </w:rPr>
            </w:pPr>
          </w:p>
        </w:tc>
        <w:tc>
          <w:tcPr>
            <w:tcW w:w="7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380" w:type="dxa"/>
            <w:vAlign w:val="bottom"/>
          </w:tcPr>
          <w:p>
            <w:pPr>
              <w:spacing w:after="0"/>
              <w:rPr>
                <w:sz w:val="8"/>
                <w:szCs w:val="8"/>
                <w:color w:val="auto"/>
              </w:rPr>
            </w:pPr>
          </w:p>
        </w:tc>
        <w:tc>
          <w:tcPr>
            <w:tcW w:w="300" w:type="dxa"/>
            <w:vAlign w:val="bottom"/>
          </w:tcPr>
          <w:p>
            <w:pPr>
              <w:spacing w:after="0"/>
              <w:rPr>
                <w:sz w:val="8"/>
                <w:szCs w:val="8"/>
                <w:color w:val="auto"/>
              </w:rPr>
            </w:pPr>
          </w:p>
        </w:tc>
        <w:tc>
          <w:tcPr>
            <w:tcW w:w="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41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152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16,394,328</w:t>
            </w:r>
          </w:p>
        </w:tc>
        <w:tc>
          <w:tcPr>
            <w:tcW w:w="1100" w:type="dxa"/>
            <w:vAlign w:val="bottom"/>
            <w:gridSpan w:val="6"/>
            <w:shd w:val="clear" w:color="auto" w:fill="CCEEFF"/>
          </w:tcPr>
          <w:p>
            <w:pPr>
              <w:jc w:val="right"/>
              <w:spacing w:after="0"/>
              <w:rPr>
                <w:sz w:val="20"/>
                <w:szCs w:val="20"/>
                <w:color w:val="auto"/>
              </w:rPr>
            </w:pPr>
            <w:r>
              <w:rPr>
                <w:rFonts w:ascii="Arial" w:cs="Arial" w:eastAsia="Arial" w:hAnsi="Arial"/>
                <w:sz w:val="18"/>
                <w:szCs w:val="18"/>
                <w:color w:val="auto"/>
              </w:rPr>
              <w:t>16,394,315</w:t>
            </w:r>
          </w:p>
        </w:tc>
        <w:tc>
          <w:tcPr>
            <w:tcW w:w="20" w:type="dxa"/>
            <w:vAlign w:val="bottom"/>
            <w:shd w:val="clear" w:color="auto" w:fill="CCEEFF"/>
          </w:tcPr>
          <w:p>
            <w:pPr>
              <w:spacing w:after="0"/>
              <w:rPr>
                <w:sz w:val="18"/>
                <w:szCs w:val="18"/>
                <w:color w:val="auto"/>
              </w:rPr>
            </w:pPr>
          </w:p>
        </w:tc>
        <w:tc>
          <w:tcPr>
            <w:tcW w:w="32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w w:val="79"/>
              </w:rPr>
              <w:t>$</w:t>
            </w:r>
          </w:p>
        </w:tc>
        <w:tc>
          <w:tcPr>
            <w:tcW w:w="7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50,209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43,791</w:t>
            </w:r>
          </w:p>
        </w:tc>
        <w:tc>
          <w:tcPr>
            <w:tcW w:w="0" w:type="dxa"/>
            <w:vAlign w:val="bottom"/>
          </w:tcPr>
          <w:p>
            <w:pPr>
              <w:spacing w:after="0"/>
              <w:rPr>
                <w:sz w:val="1"/>
                <w:szCs w:val="1"/>
                <w:color w:val="auto"/>
              </w:rPr>
            </w:pPr>
          </w:p>
        </w:tc>
      </w:tr>
      <w:tr>
        <w:trPr>
          <w:trHeight w:val="132"/>
        </w:trPr>
        <w:tc>
          <w:tcPr>
            <w:tcW w:w="14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3320" w:type="dxa"/>
            <w:vAlign w:val="bottom"/>
          </w:tcPr>
          <w:p>
            <w:pPr>
              <w:spacing w:after="0"/>
              <w:rPr>
                <w:sz w:val="11"/>
                <w:szCs w:val="11"/>
                <w:color w:val="auto"/>
              </w:rPr>
            </w:pPr>
          </w:p>
        </w:tc>
        <w:tc>
          <w:tcPr>
            <w:tcW w:w="660" w:type="dxa"/>
            <w:vAlign w:val="bottom"/>
            <w:vMerge w:val="restart"/>
          </w:tcPr>
          <w:p>
            <w:pPr>
              <w:jc w:val="right"/>
              <w:ind w:right="392"/>
              <w:spacing w:after="0"/>
              <w:rPr>
                <w:sz w:val="20"/>
                <w:szCs w:val="20"/>
                <w:color w:val="auto"/>
              </w:rPr>
            </w:pPr>
            <w:r>
              <w:rPr>
                <w:rFonts w:ascii="Arial" w:cs="Arial" w:eastAsia="Arial" w:hAnsi="Arial"/>
                <w:sz w:val="18"/>
                <w:szCs w:val="18"/>
                <w:color w:val="auto"/>
                <w:w w:val="79"/>
              </w:rPr>
              <w:t>20</w:t>
            </w:r>
          </w:p>
        </w:tc>
        <w:tc>
          <w:tcPr>
            <w:tcW w:w="7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14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320" w:type="dxa"/>
            <w:vAlign w:val="bottom"/>
          </w:tcPr>
          <w:p>
            <w:pPr>
              <w:spacing w:after="0"/>
              <w:rPr>
                <w:sz w:val="24"/>
                <w:szCs w:val="24"/>
                <w:color w:val="auto"/>
              </w:rPr>
            </w:pPr>
          </w:p>
        </w:tc>
        <w:tc>
          <w:tcPr>
            <w:tcW w:w="660" w:type="dxa"/>
            <w:vAlign w:val="bottom"/>
            <w:vMerge w:val="continue"/>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5122545</wp:posOffset>
            </wp:positionH>
            <wp:positionV relativeFrom="paragraph">
              <wp:posOffset>-3636010</wp:posOffset>
            </wp:positionV>
            <wp:extent cx="12700" cy="298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5791835</wp:posOffset>
            </wp:positionH>
            <wp:positionV relativeFrom="paragraph">
              <wp:posOffset>-3636010</wp:posOffset>
            </wp:positionV>
            <wp:extent cx="12700" cy="2984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5234305</wp:posOffset>
            </wp:positionH>
            <wp:positionV relativeFrom="paragraph">
              <wp:posOffset>-3636010</wp:posOffset>
            </wp:positionV>
            <wp:extent cx="21590" cy="298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4445635</wp:posOffset>
            </wp:positionH>
            <wp:positionV relativeFrom="paragraph">
              <wp:posOffset>-2564130</wp:posOffset>
            </wp:positionV>
            <wp:extent cx="509905" cy="2984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09905" cy="2984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-325755</wp:posOffset>
            </wp:positionV>
            <wp:extent cx="12700" cy="298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3990975</wp:posOffset>
            </wp:positionH>
            <wp:positionV relativeFrom="paragraph">
              <wp:posOffset>-325755</wp:posOffset>
            </wp:positionV>
            <wp:extent cx="12700" cy="2984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4685665</wp:posOffset>
            </wp:positionH>
            <wp:positionV relativeFrom="paragraph">
              <wp:posOffset>-325755</wp:posOffset>
            </wp:positionV>
            <wp:extent cx="1659255" cy="298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659255" cy="29845"/>
                    </a:xfrm>
                    <a:prstGeom prst="rect">
                      <a:avLst/>
                    </a:prstGeom>
                    <a:noFill/>
                  </pic:spPr>
                </pic:pic>
              </a:graphicData>
            </a:graphic>
          </wp:anchor>
        </w:drawing>
      </w:r>
    </w:p>
    <w:p>
      <w:pPr>
        <w:sectPr>
          <w:pgSz w:w="11900" w:h="16838" w:orient="portrait"/>
          <w:cols w:equalWidth="0" w:num="1">
            <w:col w:w="10219"/>
          </w:cols>
          <w:pgMar w:left="240" w:top="269" w:right="1440"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At December 31, 2000, redeemable convertible preferred stock consists of the following:</w:t>
      </w:r>
    </w:p>
    <w:p>
      <w:pPr>
        <w:spacing w:after="0" w:line="153" w:lineRule="exact"/>
        <w:rPr>
          <w:sz w:val="20"/>
          <w:szCs w:val="20"/>
          <w:color w:val="auto"/>
        </w:rPr>
      </w:pPr>
    </w:p>
    <w:tbl>
      <w:tblPr>
        <w:tblLayout w:type="fixed"/>
        <w:tblInd w:w="1440" w:type="dxa"/>
        <w:tblCellMar>
          <w:top w:w="0" w:type="dxa"/>
          <w:left w:w="0" w:type="dxa"/>
          <w:bottom w:w="0" w:type="dxa"/>
          <w:right w:w="0" w:type="dxa"/>
        </w:tblCellMar>
      </w:tblPr>
      <w:tr>
        <w:trPr>
          <w:trHeight w:val="174"/>
        </w:trPr>
        <w:tc>
          <w:tcPr>
            <w:tcW w:w="4260" w:type="dxa"/>
            <w:vAlign w:val="bottom"/>
          </w:tcPr>
          <w:p>
            <w:pPr>
              <w:spacing w:after="0"/>
              <w:rPr>
                <w:sz w:val="15"/>
                <w:szCs w:val="15"/>
                <w:color w:val="auto"/>
              </w:rPr>
            </w:pPr>
          </w:p>
        </w:tc>
        <w:tc>
          <w:tcPr>
            <w:tcW w:w="1940" w:type="dxa"/>
            <w:vAlign w:val="bottom"/>
            <w:gridSpan w:val="3"/>
          </w:tcPr>
          <w:p>
            <w:pPr>
              <w:jc w:val="right"/>
              <w:ind w:right="696"/>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2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Borders>
              <w:bottom w:val="single" w:sz="8" w:color="auto"/>
            </w:tcBorders>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vMerge w:val="restart"/>
          </w:tcPr>
          <w:p>
            <w:pPr>
              <w:spacing w:after="0"/>
              <w:rPr>
                <w:sz w:val="8"/>
                <w:szCs w:val="8"/>
                <w:color w:val="auto"/>
              </w:rPr>
            </w:pPr>
          </w:p>
        </w:tc>
        <w:tc>
          <w:tcPr>
            <w:tcW w:w="220" w:type="dxa"/>
            <w:vAlign w:val="bottom"/>
            <w:vMerge w:val="restart"/>
          </w:tcPr>
          <w:p>
            <w:pPr>
              <w:spacing w:after="0"/>
              <w:rPr>
                <w:sz w:val="8"/>
                <w:szCs w:val="8"/>
                <w:color w:val="auto"/>
              </w:rPr>
            </w:pPr>
          </w:p>
        </w:tc>
        <w:tc>
          <w:tcPr>
            <w:tcW w:w="760" w:type="dxa"/>
            <w:vAlign w:val="bottom"/>
            <w:gridSpan w:val="3"/>
            <w:vMerge w:val="restart"/>
          </w:tcPr>
          <w:p>
            <w:pPr>
              <w:jc w:val="right"/>
              <w:ind w:right="40"/>
              <w:spacing w:after="0"/>
              <w:rPr>
                <w:sz w:val="20"/>
                <w:szCs w:val="20"/>
                <w:color w:val="auto"/>
              </w:rPr>
            </w:pPr>
            <w:r>
              <w:rPr>
                <w:rFonts w:ascii="Arial" w:cs="Arial" w:eastAsia="Arial" w:hAnsi="Arial"/>
                <w:sz w:val="14"/>
                <w:szCs w:val="14"/>
                <w:b w:val="1"/>
                <w:bCs w:val="1"/>
                <w:color w:val="auto"/>
                <w:w w:val="92"/>
              </w:rPr>
              <w:t>Liquidation</w:t>
            </w: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vMerge w:val="restart"/>
          </w:tcPr>
          <w:p>
            <w:pPr>
              <w:jc w:val="right"/>
              <w:ind w:right="18"/>
              <w:spacing w:after="0"/>
              <w:rPr>
                <w:sz w:val="20"/>
                <w:szCs w:val="20"/>
                <w:color w:val="auto"/>
              </w:rPr>
            </w:pPr>
            <w:r>
              <w:rPr>
                <w:rFonts w:ascii="Arial" w:cs="Arial" w:eastAsia="Arial" w:hAnsi="Arial"/>
                <w:sz w:val="14"/>
                <w:szCs w:val="14"/>
                <w:b w:val="1"/>
                <w:bCs w:val="1"/>
                <w:color w:val="auto"/>
                <w:w w:val="84"/>
              </w:rPr>
              <w:t>Proceeds Net of</w:t>
            </w: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42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40" w:type="dxa"/>
            <w:vAlign w:val="bottom"/>
          </w:tcPr>
          <w:p>
            <w:pPr>
              <w:spacing w:after="0"/>
              <w:rPr>
                <w:sz w:val="7"/>
                <w:szCs w:val="7"/>
                <w:color w:val="auto"/>
              </w:rPr>
            </w:pPr>
          </w:p>
        </w:tc>
        <w:tc>
          <w:tcPr>
            <w:tcW w:w="86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gridSpan w:val="3"/>
            <w:vMerge w:val="continue"/>
          </w:tcPr>
          <w:p>
            <w:pPr>
              <w:spacing w:after="0"/>
              <w:rPr>
                <w:sz w:val="7"/>
                <w:szCs w:val="7"/>
                <w:color w:val="auto"/>
              </w:rPr>
            </w:pPr>
          </w:p>
        </w:tc>
        <w:tc>
          <w:tcPr>
            <w:tcW w:w="2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2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74"/>
        </w:trPr>
        <w:tc>
          <w:tcPr>
            <w:tcW w:w="4260" w:type="dxa"/>
            <w:vAlign w:val="bottom"/>
          </w:tcPr>
          <w:p>
            <w:pPr>
              <w:spacing w:after="0"/>
              <w:rPr>
                <w:sz w:val="15"/>
                <w:szCs w:val="15"/>
                <w:color w:val="auto"/>
              </w:rPr>
            </w:pPr>
          </w:p>
        </w:tc>
        <w:tc>
          <w:tcPr>
            <w:tcW w:w="1080" w:type="dxa"/>
            <w:vAlign w:val="bottom"/>
            <w:gridSpan w:val="2"/>
          </w:tcPr>
          <w:p>
            <w:pPr>
              <w:ind w:left="100"/>
              <w:spacing w:after="0"/>
              <w:rPr>
                <w:sz w:val="20"/>
                <w:szCs w:val="20"/>
                <w:color w:val="auto"/>
              </w:rPr>
            </w:pPr>
            <w:r>
              <w:rPr>
                <w:rFonts w:ascii="Arial" w:cs="Arial" w:eastAsia="Arial" w:hAnsi="Arial"/>
                <w:sz w:val="14"/>
                <w:szCs w:val="14"/>
                <w:b w:val="1"/>
                <w:bCs w:val="1"/>
                <w:color w:val="auto"/>
              </w:rPr>
              <w:t>Authorized</w:t>
            </w:r>
          </w:p>
        </w:tc>
        <w:tc>
          <w:tcPr>
            <w:tcW w:w="860" w:type="dxa"/>
            <w:vAlign w:val="bottom"/>
          </w:tcPr>
          <w:p>
            <w:pPr>
              <w:jc w:val="right"/>
              <w:spacing w:after="0"/>
              <w:rPr>
                <w:sz w:val="20"/>
                <w:szCs w:val="20"/>
                <w:color w:val="auto"/>
              </w:rPr>
            </w:pPr>
            <w:r>
              <w:rPr>
                <w:rFonts w:ascii="Arial" w:cs="Arial" w:eastAsia="Arial" w:hAnsi="Arial"/>
                <w:sz w:val="14"/>
                <w:szCs w:val="14"/>
                <w:b w:val="1"/>
                <w:bCs w:val="1"/>
                <w:color w:val="auto"/>
                <w:w w:val="94"/>
              </w:rPr>
              <w:t>Outstanding</w:t>
            </w: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4"/>
                <w:szCs w:val="14"/>
                <w:b w:val="1"/>
                <w:bCs w:val="1"/>
                <w:color w:val="auto"/>
                <w:w w:val="86"/>
              </w:rPr>
              <w:t>Amount</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20" w:type="dxa"/>
            <w:vAlign w:val="bottom"/>
          </w:tcPr>
          <w:p>
            <w:pPr>
              <w:jc w:val="right"/>
              <w:ind w:right="38"/>
              <w:spacing w:after="0"/>
              <w:rPr>
                <w:sz w:val="20"/>
                <w:szCs w:val="20"/>
                <w:color w:val="auto"/>
              </w:rPr>
            </w:pPr>
            <w:r>
              <w:rPr>
                <w:rFonts w:ascii="Arial" w:cs="Arial" w:eastAsia="Arial" w:hAnsi="Arial"/>
                <w:sz w:val="14"/>
                <w:szCs w:val="14"/>
                <w:b w:val="1"/>
                <w:bCs w:val="1"/>
                <w:color w:val="auto"/>
                <w:w w:val="85"/>
              </w:rPr>
              <w:t>Issuance Costs</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2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40" w:type="dxa"/>
            <w:vAlign w:val="bottom"/>
            <w:gridSpan w:val="2"/>
          </w:tcPr>
          <w:p>
            <w:pPr>
              <w:spacing w:after="0"/>
              <w:rPr>
                <w:sz w:val="8"/>
                <w:szCs w:val="8"/>
                <w:color w:val="auto"/>
              </w:rPr>
            </w:pPr>
          </w:p>
        </w:tc>
        <w:tc>
          <w:tcPr>
            <w:tcW w:w="112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26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980" w:type="dxa"/>
            <w:vAlign w:val="bottom"/>
            <w:gridSpan w:val="5"/>
          </w:tcPr>
          <w:p>
            <w:pPr>
              <w:jc w:val="right"/>
              <w:ind w:right="558"/>
              <w:spacing w:after="0"/>
              <w:rPr>
                <w:sz w:val="20"/>
                <w:szCs w:val="20"/>
                <w:color w:val="auto"/>
              </w:rPr>
            </w:pPr>
            <w:r>
              <w:rPr>
                <w:rFonts w:ascii="Arial" w:cs="Arial" w:eastAsia="Arial" w:hAnsi="Arial"/>
                <w:sz w:val="14"/>
                <w:szCs w:val="14"/>
                <w:b w:val="1"/>
                <w:bCs w:val="1"/>
                <w:color w:val="auto"/>
              </w:rPr>
              <w:t>(in thousands)</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Series A</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1,200,000</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660</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8"/>
                <w:szCs w:val="18"/>
                <w:color w:val="auto"/>
              </w:rPr>
              <w:t>Series B</w:t>
            </w:r>
          </w:p>
        </w:tc>
        <w:tc>
          <w:tcPr>
            <w:tcW w:w="840" w:type="dxa"/>
            <w:vAlign w:val="bottom"/>
          </w:tcPr>
          <w:p>
            <w:pPr>
              <w:jc w:val="right"/>
              <w:spacing w:after="0"/>
              <w:rPr>
                <w:sz w:val="20"/>
                <w:szCs w:val="20"/>
                <w:color w:val="auto"/>
              </w:rPr>
            </w:pPr>
            <w:r>
              <w:rPr>
                <w:rFonts w:ascii="Arial" w:cs="Arial" w:eastAsia="Arial" w:hAnsi="Arial"/>
                <w:sz w:val="18"/>
                <w:szCs w:val="18"/>
                <w:color w:val="auto"/>
              </w:rPr>
              <w:t>4,990,625</w:t>
            </w:r>
          </w:p>
        </w:tc>
        <w:tc>
          <w:tcPr>
            <w:tcW w:w="2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4,990,625</w:t>
            </w: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4,678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3,952</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Series C</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6,500,000</w:t>
            </w: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15,641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260" w:type="dxa"/>
            <w:vAlign w:val="bottom"/>
          </w:tcPr>
          <w:p>
            <w:pPr>
              <w:spacing w:after="0"/>
              <w:rPr>
                <w:sz w:val="20"/>
                <w:szCs w:val="20"/>
                <w:color w:val="auto"/>
              </w:rPr>
            </w:pPr>
            <w:r>
              <w:rPr>
                <w:rFonts w:ascii="Arial" w:cs="Arial" w:eastAsia="Arial" w:hAnsi="Arial"/>
                <w:sz w:val="18"/>
                <w:szCs w:val="18"/>
                <w:color w:val="auto"/>
              </w:rPr>
              <w:t>Series D</w:t>
            </w:r>
          </w:p>
        </w:tc>
        <w:tc>
          <w:tcPr>
            <w:tcW w:w="840" w:type="dxa"/>
            <w:vAlign w:val="bottom"/>
          </w:tcPr>
          <w:p>
            <w:pPr>
              <w:jc w:val="right"/>
              <w:spacing w:after="0"/>
              <w:rPr>
                <w:sz w:val="20"/>
                <w:szCs w:val="20"/>
                <w:color w:val="auto"/>
              </w:rPr>
            </w:pPr>
            <w:r>
              <w:rPr>
                <w:rFonts w:ascii="Arial" w:cs="Arial" w:eastAsia="Arial" w:hAnsi="Arial"/>
                <w:sz w:val="18"/>
                <w:szCs w:val="18"/>
                <w:color w:val="auto"/>
              </w:rPr>
              <w:t>3,703,703</w:t>
            </w:r>
          </w:p>
        </w:tc>
        <w:tc>
          <w:tcPr>
            <w:tcW w:w="24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3,703,690</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20"/>
              <w:spacing w:after="0"/>
              <w:rPr>
                <w:sz w:val="20"/>
                <w:szCs w:val="20"/>
                <w:color w:val="auto"/>
              </w:rPr>
            </w:pPr>
            <w:r>
              <w:rPr>
                <w:rFonts w:ascii="Arial" w:cs="Arial" w:eastAsia="Arial" w:hAnsi="Arial"/>
                <w:sz w:val="18"/>
                <w:szCs w:val="18"/>
                <w:color w:val="auto"/>
              </w:rPr>
              <w:t>25,983</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24,924</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4260" w:type="dxa"/>
            <w:vAlign w:val="bottom"/>
          </w:tcPr>
          <w:p>
            <w:pPr>
              <w:spacing w:after="0"/>
              <w:rPr>
                <w:sz w:val="8"/>
                <w:szCs w:val="8"/>
                <w:color w:val="auto"/>
              </w:rPr>
            </w:pPr>
          </w:p>
        </w:tc>
        <w:tc>
          <w:tcPr>
            <w:tcW w:w="840" w:type="dxa"/>
            <w:vAlign w:val="bottom"/>
            <w:tcBorders>
              <w:bottom w:val="single" w:sz="8" w:color="auto"/>
            </w:tcBorders>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240" w:type="dxa"/>
            <w:vAlign w:val="bottom"/>
          </w:tcPr>
          <w:p>
            <w:pPr>
              <w:spacing w:after="0"/>
              <w:rPr>
                <w:sz w:val="8"/>
                <w:szCs w:val="8"/>
                <w:color w:val="auto"/>
              </w:rPr>
            </w:pPr>
          </w:p>
        </w:tc>
        <w:tc>
          <w:tcPr>
            <w:tcW w:w="8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16,394,328</w:t>
            </w:r>
          </w:p>
        </w:tc>
        <w:tc>
          <w:tcPr>
            <w:tcW w:w="24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16,394,315</w:t>
            </w:r>
          </w:p>
        </w:tc>
        <w:tc>
          <w:tcPr>
            <w:tcW w:w="36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46,962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4260" w:type="dxa"/>
            <w:vAlign w:val="bottom"/>
          </w:tcPr>
          <w:p>
            <w:pPr>
              <w:spacing w:after="0"/>
              <w:rPr>
                <w:sz w:val="11"/>
                <w:szCs w:val="11"/>
                <w:color w:val="auto"/>
              </w:rPr>
            </w:pPr>
          </w:p>
        </w:tc>
        <w:tc>
          <w:tcPr>
            <w:tcW w:w="840" w:type="dxa"/>
            <w:vAlign w:val="bottom"/>
            <w:tcBorders>
              <w:bottom w:val="single" w:sz="8" w:color="auto"/>
            </w:tcBorders>
          </w:tcPr>
          <w:p>
            <w:pPr>
              <w:spacing w:after="0"/>
              <w:rPr>
                <w:sz w:val="11"/>
                <w:szCs w:val="11"/>
                <w:color w:val="auto"/>
              </w:rPr>
            </w:pPr>
          </w:p>
        </w:tc>
        <w:tc>
          <w:tcPr>
            <w:tcW w:w="240" w:type="dxa"/>
            <w:vAlign w:val="bottom"/>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-29210</wp:posOffset>
            </wp:positionV>
            <wp:extent cx="12700" cy="2984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3613150</wp:posOffset>
            </wp:positionH>
            <wp:positionV relativeFrom="paragraph">
              <wp:posOffset>-29210</wp:posOffset>
            </wp:positionV>
            <wp:extent cx="12700" cy="2984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4839970</wp:posOffset>
            </wp:positionH>
            <wp:positionV relativeFrom="paragraph">
              <wp:posOffset>-29210</wp:posOffset>
            </wp:positionV>
            <wp:extent cx="12700" cy="2984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12700" cy="2984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-29210</wp:posOffset>
            </wp:positionV>
            <wp:extent cx="12700" cy="298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5466080</wp:posOffset>
            </wp:positionH>
            <wp:positionV relativeFrom="paragraph">
              <wp:posOffset>-29210</wp:posOffset>
            </wp:positionV>
            <wp:extent cx="12700" cy="2984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-29210</wp:posOffset>
            </wp:positionV>
            <wp:extent cx="21590" cy="2984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5628640</wp:posOffset>
            </wp:positionH>
            <wp:positionV relativeFrom="paragraph">
              <wp:posOffset>-29210</wp:posOffset>
            </wp:positionV>
            <wp:extent cx="12700" cy="2984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-29210</wp:posOffset>
            </wp:positionV>
            <wp:extent cx="21590" cy="2984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holders of redeemable convertible preferred stock have various rights and preferences as follows:</w:t>
      </w:r>
    </w:p>
    <w:p>
      <w:pPr>
        <w:spacing w:after="0" w:line="15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Voting</w:t>
      </w:r>
    </w:p>
    <w:p>
      <w:pPr>
        <w:spacing w:after="0" w:line="164" w:lineRule="exact"/>
        <w:rPr>
          <w:sz w:val="20"/>
          <w:szCs w:val="20"/>
          <w:color w:val="auto"/>
        </w:rPr>
      </w:pPr>
    </w:p>
    <w:p>
      <w:pPr>
        <w:ind w:left="240" w:right="800" w:firstLine="223"/>
        <w:spacing w:after="0" w:line="268" w:lineRule="auto"/>
        <w:rPr>
          <w:sz w:val="20"/>
          <w:szCs w:val="20"/>
          <w:color w:val="auto"/>
        </w:rPr>
      </w:pPr>
      <w:r>
        <w:rPr>
          <w:rFonts w:ascii="Arial" w:cs="Arial" w:eastAsia="Arial" w:hAnsi="Arial"/>
          <w:sz w:val="18"/>
          <w:szCs w:val="18"/>
          <w:color w:val="auto"/>
        </w:rPr>
        <w:t>Each share of redeemable convertible preferred stock has voting rights equal to an equivalent number of shares of common stock into which it is convertible and votes together as one class with the common stock.</w:t>
      </w:r>
    </w:p>
    <w:p>
      <w:pPr>
        <w:spacing w:after="0" w:line="118" w:lineRule="exact"/>
        <w:rPr>
          <w:sz w:val="20"/>
          <w:szCs w:val="20"/>
          <w:color w:val="auto"/>
        </w:rPr>
      </w:pPr>
    </w:p>
    <w:p>
      <w:pPr>
        <w:ind w:left="240" w:firstLine="223"/>
        <w:spacing w:after="0" w:line="254" w:lineRule="auto"/>
        <w:rPr>
          <w:sz w:val="20"/>
          <w:szCs w:val="20"/>
          <w:color w:val="auto"/>
        </w:rPr>
      </w:pPr>
      <w:r>
        <w:rPr>
          <w:rFonts w:ascii="Arial" w:cs="Arial" w:eastAsia="Arial" w:hAnsi="Arial"/>
          <w:sz w:val="18"/>
          <w:szCs w:val="18"/>
          <w:color w:val="auto"/>
        </w:rPr>
        <w:t>As long as shares of redeemable convertible preferred stock remain outstanding, the Company must obtain approval from a majority of the holders of redeemable convertible preferred stock in order to alter the articles of incorporation as related to redeemable convertible preferred stock, change the authorized number of shares of redeemable convertible preferred stock, repurchase any shares of common stock other than shares subject to the right of repurchase by the Company, change the authorized number of Directors, authorize a dividend for any class or series other than redeemable convertible preferred stock, create a new class of stock or effect a merger, consolidation or sale of assets where the existing shareholders retain less than 50% of the voting stock of the surviving entity.</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4" w:lineRule="exact"/>
        <w:rPr>
          <w:sz w:val="20"/>
          <w:szCs w:val="20"/>
          <w:color w:val="auto"/>
        </w:rPr>
      </w:pPr>
    </w:p>
    <w:p>
      <w:pPr>
        <w:ind w:left="240" w:right="20" w:firstLine="223"/>
        <w:spacing w:after="0" w:line="294" w:lineRule="auto"/>
        <w:rPr>
          <w:sz w:val="20"/>
          <w:szCs w:val="20"/>
          <w:color w:val="auto"/>
        </w:rPr>
      </w:pPr>
      <w:r>
        <w:rPr>
          <w:rFonts w:ascii="Arial" w:cs="Arial" w:eastAsia="Arial" w:hAnsi="Arial"/>
          <w:sz w:val="16"/>
          <w:szCs w:val="16"/>
          <w:color w:val="auto"/>
        </w:rPr>
        <w:t>Holders of Series A, B, C and D redeemable convertible preferred stock are entitled to receive noncumulative dividends at the per annum rate of $0.044 per share for Series A and no stated rate per share for Series B, C and D, when and if declared by the Board of Directors. The holders of Series A, B, C and D redeemable convertible preferred stock will also be entitled to participate in dividends on common stock, when and if declared by the Board of Directors, based on the number of shares of common stock held on an as-if converted basis. No dividends on redeemable convertible preferred stock or common stock have been declared by the Board from inception through December 31, 2001.</w:t>
      </w:r>
    </w:p>
    <w:p>
      <w:pPr>
        <w:spacing w:after="0" w:line="102" w:lineRule="exact"/>
        <w:rPr>
          <w:sz w:val="20"/>
          <w:szCs w:val="20"/>
          <w:color w:val="auto"/>
        </w:rPr>
      </w:pPr>
    </w:p>
    <w:p>
      <w:pPr>
        <w:jc w:val="both"/>
        <w:ind w:left="240" w:right="80" w:firstLine="223"/>
        <w:spacing w:after="0" w:line="306" w:lineRule="auto"/>
        <w:rPr>
          <w:sz w:val="20"/>
          <w:szCs w:val="20"/>
          <w:color w:val="auto"/>
        </w:rPr>
      </w:pPr>
      <w:r>
        <w:rPr>
          <w:rFonts w:ascii="Arial" w:cs="Arial" w:eastAsia="Arial" w:hAnsi="Arial"/>
          <w:sz w:val="16"/>
          <w:szCs w:val="16"/>
          <w:color w:val="auto"/>
        </w:rPr>
        <w:t>Holders of Series B, C and D redeemable convertible preferred stock are entitled to receive cumulative and accruing dividends (“Accruing Dividends”) at the per annum rate of $0.06, $0.165 and $0.50625 per share, respectively, whether or not earned or declared. No Accruing Dividends shall be declared or paid to any shares of Series B, C or D unless all Accruing Dividends or pro-rata portions are paid to Series B, C or D on an equal basis. No dividends</w:t>
      </w:r>
    </w:p>
    <w:p>
      <w:pPr>
        <w:spacing w:after="0" w:line="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269"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0"/>
          <w:szCs w:val="20"/>
          <w:color w:val="auto"/>
        </w:rPr>
      </w:pPr>
    </w:p>
    <w:p>
      <w:pPr>
        <w:ind w:left="240" w:right="100"/>
        <w:spacing w:after="0" w:line="268" w:lineRule="auto"/>
        <w:rPr>
          <w:sz w:val="20"/>
          <w:szCs w:val="20"/>
          <w:color w:val="auto"/>
        </w:rPr>
      </w:pPr>
      <w:r>
        <w:rPr>
          <w:rFonts w:ascii="Arial" w:cs="Arial" w:eastAsia="Arial" w:hAnsi="Arial"/>
          <w:sz w:val="18"/>
          <w:szCs w:val="18"/>
          <w:color w:val="auto"/>
        </w:rPr>
        <w:t>shall be declared or paid with respect to any shares of Series A redeemable convertible preferred stock or common stock unless all Accruing Dividends have been paid.</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Liquidation</w:t>
      </w:r>
    </w:p>
    <w:p>
      <w:pPr>
        <w:spacing w:after="0" w:line="164" w:lineRule="exact"/>
        <w:rPr>
          <w:sz w:val="20"/>
          <w:szCs w:val="20"/>
          <w:color w:val="auto"/>
        </w:rPr>
      </w:pPr>
    </w:p>
    <w:p>
      <w:pPr>
        <w:ind w:left="240" w:firstLine="223"/>
        <w:spacing w:after="0" w:line="290" w:lineRule="auto"/>
        <w:rPr>
          <w:sz w:val="20"/>
          <w:szCs w:val="20"/>
          <w:color w:val="auto"/>
        </w:rPr>
      </w:pPr>
      <w:r>
        <w:rPr>
          <w:rFonts w:ascii="Arial" w:cs="Arial" w:eastAsia="Arial" w:hAnsi="Arial"/>
          <w:sz w:val="16"/>
          <w:szCs w:val="16"/>
          <w:color w:val="auto"/>
        </w:rPr>
        <w:t>In the event of any liquidation, dissolution or winding up of the Company, including a merger, acquisition or sale of assets where the beneficial owners of the Company’s common stock and redeemable convertible preferred stock own less than 51% of the resulting voting power of the surviving entity (“Liquidation Event”), the holders of the Series A, B, C and D redeemable convertible preferred stock are entitled to receive an amount of $0.55, $0.80, $2.20 and $6.75 per share, respectively, plus any Accruing Dividends due and declared but unpaid prior to and in preference to any distribution to the holders of common stock. Upon completion of the distribution to the redeemable convertible preferred stockholders, the holders of the common stock will receive all remaining assets of the corporation. Should the Company’s legally available assets be insufficient to satisfy the liquidation preferences, the funds will be distributed in an equal priority on a pro-rata basis to the Series A, B, C and D redeemable convertible preferred stock.</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Conversion</w:t>
      </w:r>
    </w:p>
    <w:p>
      <w:pPr>
        <w:spacing w:after="0" w:line="164" w:lineRule="exact"/>
        <w:rPr>
          <w:sz w:val="20"/>
          <w:szCs w:val="20"/>
          <w:color w:val="auto"/>
        </w:rPr>
      </w:pPr>
    </w:p>
    <w:p>
      <w:pPr>
        <w:ind w:left="240" w:right="380" w:firstLine="223"/>
        <w:spacing w:after="0" w:line="291" w:lineRule="auto"/>
        <w:rPr>
          <w:sz w:val="20"/>
          <w:szCs w:val="20"/>
          <w:color w:val="auto"/>
        </w:rPr>
      </w:pPr>
      <w:r>
        <w:rPr>
          <w:rFonts w:ascii="Arial" w:cs="Arial" w:eastAsia="Arial" w:hAnsi="Arial"/>
          <w:sz w:val="16"/>
          <w:szCs w:val="16"/>
          <w:color w:val="auto"/>
        </w:rPr>
        <w:t>Each share of Series A, B, C and D redeemable convertible preferred stock is convertible, at the option of the holder, according to a conversion ratio, subject to adjustment for dilution. The conversion ratio is equal to the conversion price divided by the conversion value. The Series A, B, C and D initial conversion price and value are $0.55, $0.80, $2.20 and $6.75, respectively. Each share of Series A, B, C and D redeemable convertible preferred stock automatically converts into the number of shares of common stock into which such shares are convertible at the then effective conversion ratio upon the closing of a public offering of common stock with gross proceeds of at least $30,000,000. At December 31, 2001 and 2000, each share of redeemable convertible preferred stock was convertible into one share of common stock.</w:t>
      </w:r>
    </w:p>
    <w:p>
      <w:pPr>
        <w:spacing w:after="0" w:line="107" w:lineRule="exact"/>
        <w:rPr>
          <w:sz w:val="20"/>
          <w:szCs w:val="20"/>
          <w:color w:val="auto"/>
        </w:rPr>
      </w:pPr>
    </w:p>
    <w:p>
      <w:pPr>
        <w:ind w:left="240" w:right="120" w:firstLine="223"/>
        <w:spacing w:after="0" w:line="259" w:lineRule="auto"/>
        <w:rPr>
          <w:sz w:val="20"/>
          <w:szCs w:val="20"/>
          <w:color w:val="auto"/>
        </w:rPr>
      </w:pPr>
      <w:r>
        <w:rPr>
          <w:rFonts w:ascii="Arial" w:cs="Arial" w:eastAsia="Arial" w:hAnsi="Arial"/>
          <w:sz w:val="18"/>
          <w:szCs w:val="18"/>
          <w:color w:val="auto"/>
        </w:rPr>
        <w:t>At December 31, 1999, the Company reserved 1,200,000, 4,990,625 and 6,500,000 shares of common stock for conversion of Series A, B and C redeemable convertible preferred stock, respectively. At December 31, 2000, the Company reserved an additional 3,703,703 shares of common stock for the conversion of Series D redeemable convertible preferred stock.</w:t>
      </w:r>
    </w:p>
    <w:p>
      <w:pPr>
        <w:spacing w:after="0" w:line="1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Registration rights</w:t>
      </w:r>
    </w:p>
    <w:p>
      <w:pPr>
        <w:spacing w:after="0" w:line="164" w:lineRule="exact"/>
        <w:rPr>
          <w:sz w:val="20"/>
          <w:szCs w:val="20"/>
          <w:color w:val="auto"/>
        </w:rPr>
      </w:pPr>
    </w:p>
    <w:p>
      <w:pPr>
        <w:ind w:left="240" w:right="180" w:firstLine="223"/>
        <w:spacing w:after="0" w:line="298" w:lineRule="auto"/>
        <w:rPr>
          <w:sz w:val="20"/>
          <w:szCs w:val="20"/>
          <w:color w:val="auto"/>
        </w:rPr>
      </w:pPr>
      <w:r>
        <w:rPr>
          <w:rFonts w:ascii="Arial" w:cs="Arial" w:eastAsia="Arial" w:hAnsi="Arial"/>
          <w:sz w:val="16"/>
          <w:szCs w:val="16"/>
          <w:color w:val="auto"/>
        </w:rPr>
        <w:t>The holders of redeemable convertible preferred stock and the holders of 825,000 shares of common stock are entitled to certain rights with respect to registration of such shares under the Securities Act beginning on the earlier of December 31, 2000 or six months following the effective date of an initial public offering. All registration rights terminate five years from the date of an initial public offering effective date or at such time as the holder is entitled to sell all of its shares in any 90 day period under Rule 144 of the Securities Exchange Act.</w:t>
      </w:r>
    </w:p>
    <w:p>
      <w:pPr>
        <w:spacing w:after="0" w:line="9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40"/>
          </w:cols>
          <w:pgMar w:left="240" w:top="269" w:right="31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Common Stock</w:t>
      </w:r>
    </w:p>
    <w:p>
      <w:pPr>
        <w:spacing w:after="0" w:line="164" w:lineRule="exact"/>
        <w:rPr>
          <w:sz w:val="20"/>
          <w:szCs w:val="20"/>
          <w:color w:val="auto"/>
        </w:rPr>
      </w:pPr>
    </w:p>
    <w:p>
      <w:pPr>
        <w:ind w:left="240" w:right="100"/>
        <w:spacing w:after="0" w:line="256" w:lineRule="auto"/>
        <w:rPr>
          <w:sz w:val="20"/>
          <w:szCs w:val="20"/>
          <w:color w:val="auto"/>
        </w:rPr>
      </w:pPr>
      <w:r>
        <w:rPr>
          <w:rFonts w:ascii="Arial" w:cs="Arial" w:eastAsia="Arial" w:hAnsi="Arial"/>
          <w:sz w:val="18"/>
          <w:szCs w:val="18"/>
          <w:color w:val="auto"/>
        </w:rPr>
        <w:t>The Company’s amended and restated certificate of incorporation, as amended on September 29, 2000, authorizes the Company to issue 40,000,000 shares of $0.001 par value common stock. A portion of the shares sold are subject to a right of repurchase by the Company subject to vesting, which is generally over a four year period from the earlier of grant date or employee hire date, as applicable, until vesting is complete. At December 31, 2001 and 2000, there were 587,854 shares and 832,144 shares, respectively, subject to repurchase.</w:t>
      </w:r>
    </w:p>
    <w:p>
      <w:pPr>
        <w:spacing w:after="0" w:line="12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Sale of common stock</w:t>
      </w:r>
    </w:p>
    <w:p>
      <w:pPr>
        <w:spacing w:after="0" w:line="164" w:lineRule="exact"/>
        <w:rPr>
          <w:sz w:val="20"/>
          <w:szCs w:val="20"/>
          <w:color w:val="auto"/>
        </w:rPr>
      </w:pPr>
    </w:p>
    <w:p>
      <w:pPr>
        <w:ind w:left="240" w:right="140" w:firstLine="223"/>
        <w:spacing w:after="0" w:line="268" w:lineRule="auto"/>
        <w:rPr>
          <w:sz w:val="20"/>
          <w:szCs w:val="20"/>
          <w:color w:val="auto"/>
        </w:rPr>
      </w:pPr>
      <w:r>
        <w:rPr>
          <w:rFonts w:ascii="Arial" w:cs="Arial" w:eastAsia="Arial" w:hAnsi="Arial"/>
          <w:sz w:val="18"/>
          <w:szCs w:val="18"/>
          <w:color w:val="auto"/>
        </w:rPr>
        <w:t>In June 2001, the Company sold 506,664 shares of common stock for cash at $7.50 per share to various investors. Proceeds received from this sale totaled approximately $3.8 million. Payment under the common stock agreement was received in June and July 2001.</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Common stock sold to customers</w:t>
      </w:r>
    </w:p>
    <w:p>
      <w:pPr>
        <w:spacing w:after="0" w:line="164" w:lineRule="exact"/>
        <w:rPr>
          <w:sz w:val="20"/>
          <w:szCs w:val="20"/>
          <w:color w:val="auto"/>
        </w:rPr>
      </w:pPr>
    </w:p>
    <w:p>
      <w:pPr>
        <w:ind w:left="240" w:firstLine="223"/>
        <w:spacing w:after="0" w:line="291" w:lineRule="auto"/>
        <w:rPr>
          <w:sz w:val="20"/>
          <w:szCs w:val="20"/>
          <w:color w:val="auto"/>
        </w:rPr>
      </w:pPr>
      <w:r>
        <w:rPr>
          <w:rFonts w:ascii="Arial" w:cs="Arial" w:eastAsia="Arial" w:hAnsi="Arial"/>
          <w:sz w:val="16"/>
          <w:szCs w:val="16"/>
          <w:color w:val="auto"/>
        </w:rPr>
        <w:t>In June 2000, the Company sold 825,000 shares of its common stock to a customer for $4.00 per share, a price below the deemed fair value. Simultaneously, the Company entered into a license and reseller agreement with this customer amounting to approximately $2,619,000. The reseller agreement term is 18 months. The discount from the deemed fair market value of $1,716,000 offsets the related license, service and reseller fees on a pro-rata basis as the fee is recognized as deferred revenue or revenue. The Company recorded $176,000 and $576,000 in contra revenue for the years ended December 31, 2001 and 2000, respectively, in connection with this arrangement. At December 31, 2001 and 2000, the Company had recorded contra deferred revenue of $806,000 and $980,000, respectively.</w:t>
      </w:r>
    </w:p>
    <w:p>
      <w:pPr>
        <w:spacing w:after="0" w:line="107" w:lineRule="exact"/>
        <w:rPr>
          <w:sz w:val="20"/>
          <w:szCs w:val="20"/>
          <w:color w:val="auto"/>
        </w:rPr>
      </w:pPr>
    </w:p>
    <w:p>
      <w:pPr>
        <w:ind w:left="240" w:right="60" w:firstLine="223"/>
        <w:spacing w:after="0" w:line="255" w:lineRule="auto"/>
        <w:rPr>
          <w:sz w:val="20"/>
          <w:szCs w:val="20"/>
          <w:color w:val="auto"/>
        </w:rPr>
      </w:pPr>
      <w:r>
        <w:rPr>
          <w:rFonts w:ascii="Arial" w:cs="Arial" w:eastAsia="Arial" w:hAnsi="Arial"/>
          <w:sz w:val="18"/>
          <w:szCs w:val="18"/>
          <w:color w:val="auto"/>
        </w:rPr>
        <w:t>In September 2000, the Company sold to a customer 129,032 fully vested non-forfeitable shares of common stock for a purchase price of $7.75 per share which was the deemed fair market value. This sale was in exchange for a purchase commitment from a customer to buy $500,000 of license software from the Company before December 31, 2000 or pay the amount in cash if the licenses were not purchased. In December 2000, the customer purchased in excess of $500,000 of licensed software. No contra revenue in connection with this transaction was recorded as no discount on the sale of common stock was provided to the customer.</w:t>
      </w:r>
    </w:p>
    <w:p>
      <w:pPr>
        <w:spacing w:after="0" w:line="129" w:lineRule="exact"/>
        <w:rPr>
          <w:sz w:val="20"/>
          <w:szCs w:val="20"/>
          <w:color w:val="auto"/>
        </w:rPr>
      </w:pPr>
    </w:p>
    <w:p>
      <w:pPr>
        <w:ind w:left="240" w:firstLine="223"/>
        <w:spacing w:after="0" w:line="306" w:lineRule="auto"/>
        <w:rPr>
          <w:sz w:val="20"/>
          <w:szCs w:val="20"/>
          <w:color w:val="auto"/>
        </w:rPr>
      </w:pPr>
      <w:r>
        <w:rPr>
          <w:rFonts w:ascii="Arial" w:cs="Arial" w:eastAsia="Arial" w:hAnsi="Arial"/>
          <w:sz w:val="16"/>
          <w:szCs w:val="16"/>
          <w:color w:val="auto"/>
        </w:rPr>
        <w:t>In October 2000, the Company sold a subscription license with a term of 8 years and fees of approximately $2.7 million. Simultaneously, the Company sold to this customer 50,863 fully vested non-forfeitable shares of common stock for a purchase price of $8.00 per share, which was equal to fair market value. No contra revenue in connection with this transaction was recorded as no discount on the sale of common stock was provided to the customer.</w:t>
      </w:r>
    </w:p>
    <w:p>
      <w:pPr>
        <w:spacing w:after="0" w:line="8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Repurchase of shares from executive officer</w:t>
      </w:r>
    </w:p>
    <w:p>
      <w:pPr>
        <w:spacing w:after="0" w:line="164" w:lineRule="exact"/>
        <w:rPr>
          <w:sz w:val="20"/>
          <w:szCs w:val="20"/>
          <w:color w:val="auto"/>
        </w:rPr>
      </w:pPr>
    </w:p>
    <w:p>
      <w:pPr>
        <w:ind w:left="240" w:right="20" w:firstLine="223"/>
        <w:spacing w:after="0" w:line="335" w:lineRule="auto"/>
        <w:rPr>
          <w:sz w:val="20"/>
          <w:szCs w:val="20"/>
          <w:color w:val="auto"/>
        </w:rPr>
      </w:pPr>
      <w:r>
        <w:rPr>
          <w:rFonts w:ascii="Arial" w:cs="Arial" w:eastAsia="Arial" w:hAnsi="Arial"/>
          <w:sz w:val="15"/>
          <w:szCs w:val="15"/>
          <w:color w:val="auto"/>
        </w:rPr>
        <w:t>In connection with the termination of service, the Company repurchased, 466,667 shares of common stock from an officer of the Company for an aggregate purchase price of $1,400 in 1999. In 2000, the Company repurchased an additional 250,000 shares from this former officer for an aggregate purchase price of $1.0 million. In June 2001, the Company repurchased an additional 50,000 shares from this former officer for an aggregate purchase price of $200,000.</w:t>
      </w:r>
    </w:p>
    <w:p>
      <w:pPr>
        <w:spacing w:after="0" w:line="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269" w:right="239" w:bottom="1440" w:gutter="0" w:footer="0" w:header="0"/>
        </w:sectPr>
      </w:pPr>
    </w:p>
    <w:bookmarkStart w:id="28" w:name="page29"/>
    <w:bookmarkEnd w:id="2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Warrants</w:t>
      </w:r>
    </w:p>
    <w:p>
      <w:pPr>
        <w:spacing w:after="0" w:line="164" w:lineRule="exact"/>
        <w:rPr>
          <w:sz w:val="20"/>
          <w:szCs w:val="20"/>
          <w:color w:val="auto"/>
        </w:rPr>
      </w:pPr>
    </w:p>
    <w:p>
      <w:pPr>
        <w:ind w:left="240" w:right="200" w:firstLine="223"/>
        <w:spacing w:after="0" w:line="305" w:lineRule="auto"/>
        <w:rPr>
          <w:sz w:val="20"/>
          <w:szCs w:val="20"/>
          <w:color w:val="auto"/>
        </w:rPr>
      </w:pPr>
      <w:r>
        <w:rPr>
          <w:rFonts w:ascii="Arial" w:cs="Arial" w:eastAsia="Arial" w:hAnsi="Arial"/>
          <w:sz w:val="15"/>
          <w:szCs w:val="15"/>
          <w:color w:val="auto"/>
        </w:rPr>
        <w:t>In June 2000, a fully vested nonforfeitable warrant to purchase 125,000 shares of common stock at $6.75 per share was issued in conjunction with a two-year marketing alliance and license agreement with an outside consultant. This warrant is exercisable for six months from June 30, 2003 to December 31,</w:t>
      </w:r>
    </w:p>
    <w:p>
      <w:pPr>
        <w:ind w:left="240"/>
        <w:spacing w:after="0"/>
        <w:rPr>
          <w:sz w:val="20"/>
          <w:szCs w:val="20"/>
          <w:color w:val="auto"/>
        </w:rPr>
      </w:pPr>
      <w:r>
        <w:rPr>
          <w:rFonts w:ascii="Arial" w:cs="Arial" w:eastAsia="Arial" w:hAnsi="Arial"/>
          <w:sz w:val="15"/>
          <w:szCs w:val="15"/>
          <w:color w:val="auto"/>
        </w:rPr>
        <w:t>2003. Accelerated exercisability can be attained if certain performance milestones are achieved by the warrant holders. The Black-Scholes method of valuation</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was used to determine the fair value of the warrants using the following assumptions: 100% volatility, no dividends, 6.30% risk free interest rate, contractual</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term of 3.5 years and deemed fair value of the underlying common stock of $6.09 per share. At December 31, 2000, no performance milestones had been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achieved by the warrant holders. The fair value of the warrant amounting to $512,000 was initially recorded as an offset to total revenue amounting to</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$169,000 with the remaining $343,000 charged as an immediate expense to sales and marketing as the warrant is fully vested upon issuance. The Company</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recorded $25,000 and $144,000 in contra revenue for the years ended December 31, 2001 and 2000, respectively, in connection with this arrangement. At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December 31, 2001 and 2000, the Company had recorded contra deferred revenue of $0 and $25,000, respectively.</w:t>
      </w:r>
    </w:p>
    <w:p>
      <w:pPr>
        <w:spacing w:after="0" w:line="151" w:lineRule="exact"/>
        <w:rPr>
          <w:sz w:val="20"/>
          <w:szCs w:val="20"/>
          <w:color w:val="auto"/>
        </w:rPr>
      </w:pPr>
    </w:p>
    <w:p>
      <w:pPr>
        <w:ind w:left="240" w:right="20" w:firstLine="223"/>
        <w:spacing w:after="0" w:line="298" w:lineRule="auto"/>
        <w:rPr>
          <w:sz w:val="20"/>
          <w:szCs w:val="20"/>
          <w:color w:val="auto"/>
        </w:rPr>
      </w:pPr>
      <w:r>
        <w:rPr>
          <w:rFonts w:ascii="Arial" w:cs="Arial" w:eastAsia="Arial" w:hAnsi="Arial"/>
          <w:sz w:val="16"/>
          <w:szCs w:val="16"/>
          <w:color w:val="auto"/>
        </w:rPr>
        <w:t>Warrants to purchase 50,000 shares of the Company’s common stock were issued in conjunction with the Company’s acquisition of SRC (see Note 4). The warrants are exercisable upon an initial public offering at the offering price and expire on June 1, 2005. The Black Scholes method of valuation was used to determine the fair value of the warrants upon grant using the following assumptions: 100% volatility, no dividends, 6.30% risk free interest rate, expected term of five years and a deemed fair value of the underlying common stock of $6.09 per share. The fair value of the warrants was $226,000.</w:t>
      </w:r>
    </w:p>
    <w:p>
      <w:pPr>
        <w:spacing w:after="0" w:line="99" w:lineRule="exact"/>
        <w:rPr>
          <w:sz w:val="20"/>
          <w:szCs w:val="20"/>
          <w:color w:val="auto"/>
        </w:rPr>
      </w:pPr>
    </w:p>
    <w:p>
      <w:pPr>
        <w:ind w:left="460"/>
        <w:spacing w:after="0"/>
        <w:rPr>
          <w:sz w:val="20"/>
          <w:szCs w:val="20"/>
          <w:color w:val="auto"/>
        </w:rPr>
      </w:pPr>
      <w:r>
        <w:rPr>
          <w:rFonts w:ascii="Arial" w:cs="Arial" w:eastAsia="Arial" w:hAnsi="Arial"/>
          <w:sz w:val="16"/>
          <w:szCs w:val="16"/>
          <w:color w:val="auto"/>
        </w:rPr>
        <w:t>Warrants for redeemable convertible preferred stock and common stock were issued in connection with the Company’s line of credit agreement (see Note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8"/>
          <w:szCs w:val="18"/>
          <w:color w:val="auto"/>
        </w:rPr>
        <w:t>6).</w:t>
      </w:r>
    </w:p>
    <w:p>
      <w:pPr>
        <w:spacing w:after="0" w:line="151" w:lineRule="exact"/>
        <w:rPr>
          <w:sz w:val="20"/>
          <w:szCs w:val="20"/>
          <w:color w:val="auto"/>
        </w:rPr>
      </w:pPr>
    </w:p>
    <w:p>
      <w:pPr>
        <w:ind w:left="240" w:firstLine="223"/>
        <w:spacing w:after="0" w:line="286" w:lineRule="auto"/>
        <w:rPr>
          <w:sz w:val="20"/>
          <w:szCs w:val="20"/>
          <w:color w:val="auto"/>
        </w:rPr>
      </w:pPr>
      <w:r>
        <w:rPr>
          <w:rFonts w:ascii="Arial" w:cs="Arial" w:eastAsia="Arial" w:hAnsi="Arial"/>
          <w:sz w:val="16"/>
          <w:szCs w:val="16"/>
          <w:color w:val="auto"/>
        </w:rPr>
        <w:t>In August 2000, the Company issued a warrant in connection with a license and reseller agreement for the purchase of up to 650,000 shares of common stock of the Company. No value is attributed to the warrant and the shares represented by the warrant unless the shares are earned by the customer. The shares are earned based upon the amount of revenues provided to the Company under the license and reseller agreement over certain discrete periods of time from August 2000 to December 2002. The exercise price is 85% of the fair market value at the end of each discrete revenue period. The Black-Scholes method of valuation was used to determine the fair value of the warrants upon grant using the following assumptions: 100% volatility, no dividends, 5.59% risk free interest rate, contractual term of 1 month and a deemed fair value of the underlying common stock of $6.85 per share on August 31, 2000. The fair value of the warrant upon grant was $144,000, related to the initial license agreement for $629,000, representing 105,661 vested shares. The fair value of the initial warrant grant offsets the related initial license fee and service fee on a pro-rata basis as this fee is recognized as deferred revenue or revenue. The remaining warrant for 544,339 shares will be accounted for using variable accounting which will require the re-measurement using the Black-Scholes method of valuation at the end of each interim period until the point at which the exercise price is fixed. The resulting charge, if any, will offset the related license and service fee on a pro-rata basis as the fee is recognized as deferred revenue or revenue. Any amount in excess of revenues will be recorded as a sales and marketing expense. At both December 31, 2001 and 2000, the fair value of the warrant for the remaining 544,339 shares was zero as no additional revenues were generated to earn any shares under the warrant. The</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269" w:right="2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0"/>
          <w:szCs w:val="20"/>
          <w:color w:val="auto"/>
        </w:rPr>
      </w:pPr>
    </w:p>
    <w:p>
      <w:pPr>
        <w:ind w:left="700" w:right="780"/>
        <w:spacing w:after="0" w:line="370" w:lineRule="auto"/>
        <w:rPr>
          <w:sz w:val="20"/>
          <w:szCs w:val="20"/>
          <w:color w:val="auto"/>
        </w:rPr>
      </w:pPr>
      <w:r>
        <w:rPr>
          <w:rFonts w:ascii="Arial" w:cs="Arial" w:eastAsia="Arial" w:hAnsi="Arial"/>
          <w:sz w:val="15"/>
          <w:szCs w:val="15"/>
          <w:color w:val="auto"/>
        </w:rPr>
        <w:t>Company recorded $132,000 and $0 in contra revenue for the years ended December 31, 2001 and 2000, respectively, in connection with this arrangement. At December 31, 2001 and 2000, the Company had recorded contra deferred revenue of $12,000 and $50,000, respectively.</w:t>
      </w:r>
    </w:p>
    <w:p>
      <w:pPr>
        <w:spacing w:after="0" w:line="49" w:lineRule="exact"/>
        <w:rPr>
          <w:sz w:val="20"/>
          <w:szCs w:val="20"/>
          <w:color w:val="auto"/>
        </w:rPr>
      </w:pPr>
    </w:p>
    <w:p>
      <w:pPr>
        <w:ind w:left="700" w:right="80"/>
        <w:spacing w:after="0" w:line="294" w:lineRule="auto"/>
        <w:rPr>
          <w:sz w:val="20"/>
          <w:szCs w:val="20"/>
          <w:color w:val="auto"/>
        </w:rPr>
      </w:pPr>
      <w:r>
        <w:rPr>
          <w:rFonts w:ascii="Arial" w:cs="Arial" w:eastAsia="Arial" w:hAnsi="Arial"/>
          <w:sz w:val="16"/>
          <w:szCs w:val="16"/>
          <w:color w:val="auto"/>
        </w:rPr>
        <w:t>In October 2000, in connection with a service bureau software license arrangement, the Company issued a fully vested warrant to a customer to purchase up to 300,000 shares of the Company’s common stock, of which 100,000 shares were immediately exercisable at a price of $8.00 per share, and expired on October 20, 2000. The remaining 200,000 shares are exercisable beginning on the date of the final prospectus relating to the Company’s initial public offering (“IPO”) and expire on the third trading day after the effective date of the IPO. The exercise price for these warrants is the initial price at which the Company’s common stock is sold to the public in the IPO.</w:t>
      </w:r>
    </w:p>
    <w:p>
      <w:pPr>
        <w:spacing w:after="0" w:line="102" w:lineRule="exact"/>
        <w:rPr>
          <w:sz w:val="20"/>
          <w:szCs w:val="20"/>
          <w:color w:val="auto"/>
        </w:rPr>
      </w:pPr>
    </w:p>
    <w:p>
      <w:pPr>
        <w:ind w:left="700" w:right="20"/>
        <w:spacing w:after="0" w:line="286" w:lineRule="auto"/>
        <w:rPr>
          <w:sz w:val="20"/>
          <w:szCs w:val="20"/>
          <w:color w:val="auto"/>
        </w:rPr>
      </w:pPr>
      <w:r>
        <w:rPr>
          <w:rFonts w:ascii="Arial" w:cs="Arial" w:eastAsia="Arial" w:hAnsi="Arial"/>
          <w:sz w:val="16"/>
          <w:szCs w:val="16"/>
          <w:color w:val="auto"/>
        </w:rPr>
        <w:t>The Black-Scholes method of valuation was used to determine the fair value of the warrant for the initial 100,000 shares of common stock, upon grant using the following assumptions: 100% volatility, no dividends, 5.84% risk free interest rate, contractual term of 17 days and a deemed fair value of the underlying common stock of $7.75 per share. The fair value of the warrant for these initial 100,000 shares of common stock was fixed award upon grant amounting to $57,000. This amount offsets the related initial license fee and service fee on a pro-rata basis as this fee is recognized as deferred revenue or revenue. The Company recorded $44,000 and $12,000 in contra revenue for the years ended December 31, 2001 and 2000, respectively, in connection with this arrangement. At December 31, 2001 and 2000, the Company had recorded contra deferred revenue of $1,000 and $45,000, respectively. The Black-Scholes method of valuation was used to determine the fair value of the warrant for the remaining 200,000 shares of common stock, upon grant using the following assumptions: 100% volatility, no dividends, 5.84% risk free interest rate, contractual term of the three days and a deemed fair value of the underlying common stock of $7.75 per share. The fair value of the remaining 200,000 shares of common stock is a variable award upon grant which amounts to $36,000. This amount offsets the related initial license fee and service fee on a pro-rata basis as this fee is recognized as deferred revenue or revenue. This amount will be re-measured at the end of each interim period until the point at which the exercise price for the shares is fixed.</w:t>
      </w:r>
    </w:p>
    <w:p>
      <w:pPr>
        <w:spacing w:after="0" w:line="105" w:lineRule="exact"/>
        <w:rPr>
          <w:sz w:val="20"/>
          <w:szCs w:val="20"/>
          <w:color w:val="auto"/>
        </w:rPr>
      </w:pPr>
    </w:p>
    <w:p>
      <w:pPr>
        <w:ind w:left="700"/>
        <w:spacing w:after="0"/>
        <w:rPr>
          <w:sz w:val="20"/>
          <w:szCs w:val="20"/>
          <w:color w:val="auto"/>
        </w:rPr>
      </w:pPr>
      <w:r>
        <w:rPr>
          <w:rFonts w:ascii="Arial" w:cs="Arial" w:eastAsia="Arial" w:hAnsi="Arial"/>
          <w:sz w:val="18"/>
          <w:szCs w:val="18"/>
          <w:b w:val="1"/>
          <w:bCs w:val="1"/>
          <w:color w:val="auto"/>
        </w:rPr>
        <w:t>Notes receivable from officers</w:t>
      </w:r>
    </w:p>
    <w:p>
      <w:pPr>
        <w:spacing w:after="0" w:line="164" w:lineRule="exact"/>
        <w:rPr>
          <w:sz w:val="20"/>
          <w:szCs w:val="20"/>
          <w:color w:val="auto"/>
        </w:rPr>
      </w:pPr>
    </w:p>
    <w:p>
      <w:pPr>
        <w:ind w:left="700" w:right="20"/>
        <w:spacing w:after="0" w:line="291" w:lineRule="auto"/>
        <w:rPr>
          <w:sz w:val="20"/>
          <w:szCs w:val="20"/>
          <w:color w:val="auto"/>
        </w:rPr>
      </w:pPr>
      <w:r>
        <w:rPr>
          <w:rFonts w:ascii="Arial" w:cs="Arial" w:eastAsia="Arial" w:hAnsi="Arial"/>
          <w:sz w:val="16"/>
          <w:szCs w:val="16"/>
          <w:color w:val="auto"/>
        </w:rPr>
        <w:t>During 2000, the Company issued 715,000 shares of common stock, in connection with early exercises of stock options by officers of the Company, in exchange for full recourse promissory notes totaling $1,053,000. Principal is due beginning in April 2002 through August 2002 and interest on the notes accrued at an annual rate of 10% and was due semimonthly or deferred to maturity. In June 2001, the notes receivable to officers were amended to bear interest at a rate of 4.11% per annum and principal and interest are due at maturity. The notes receivable have been classified as reduction in stockholders’ equity. In January 2002, two of the promissory notes in the aggregate amount of $937,500 were amended to non-recourse notes and the maturity date of these notes were extended to April and June 2004, respectively.</w:t>
      </w:r>
    </w:p>
    <w:p>
      <w:pPr>
        <w:spacing w:after="0" w:line="107" w:lineRule="exact"/>
        <w:rPr>
          <w:sz w:val="20"/>
          <w:szCs w:val="20"/>
          <w:color w:val="auto"/>
        </w:rPr>
      </w:pPr>
    </w:p>
    <w:p>
      <w:pPr>
        <w:ind w:left="700"/>
        <w:spacing w:after="0" w:line="332" w:lineRule="auto"/>
        <w:rPr>
          <w:sz w:val="20"/>
          <w:szCs w:val="20"/>
          <w:color w:val="auto"/>
        </w:rPr>
      </w:pPr>
      <w:r>
        <w:rPr>
          <w:rFonts w:ascii="Arial" w:cs="Arial" w:eastAsia="Arial" w:hAnsi="Arial"/>
          <w:sz w:val="16"/>
          <w:szCs w:val="16"/>
          <w:color w:val="auto"/>
        </w:rPr>
        <w:t>In October 2000, the Company entered into a Settlement Agreement and Release with an officer. Under this agreement, in April 2001, the Company lent the officer $73,000 in exchange for a promissory note that is due in June 2004 and bears interest at a rate of 4.8% per annum.</w:t>
      </w:r>
    </w:p>
    <w:p>
      <w:pPr>
        <w:spacing w:after="0" w:line="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269" w:right="23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 Option Plan</w:t>
      </w:r>
    </w:p>
    <w:p>
      <w:pPr>
        <w:spacing w:after="0" w:line="164" w:lineRule="exact"/>
        <w:rPr>
          <w:sz w:val="20"/>
          <w:szCs w:val="20"/>
          <w:color w:val="auto"/>
        </w:rPr>
      </w:pPr>
    </w:p>
    <w:p>
      <w:pPr>
        <w:ind w:left="240" w:firstLine="223"/>
        <w:spacing w:after="0" w:line="255" w:lineRule="auto"/>
        <w:rPr>
          <w:sz w:val="20"/>
          <w:szCs w:val="20"/>
          <w:color w:val="auto"/>
        </w:rPr>
      </w:pPr>
      <w:r>
        <w:rPr>
          <w:rFonts w:ascii="Arial" w:cs="Arial" w:eastAsia="Arial" w:hAnsi="Arial"/>
          <w:sz w:val="18"/>
          <w:szCs w:val="18"/>
          <w:color w:val="auto"/>
        </w:rPr>
        <w:t>In 1998, the Company adopted the 1998 Incentive Stock Option Plan (the “Plan”). The Plan provides for the granting of stock options to employees and consultants of the Company. Stock options granted under the Plan may be either incentive stock options or nonqualified stock options. Incentive stock options (“ISO”) may be granted only to Company employees (including officers and directors who are also employees). Nonqualified stock options (“NSO”) may be granted to Company employees and consultants. At December 31, 2001 and 2000, the Company has reserved 5,736,000 and 4,511,171 shares of common stock for issuance under the Plan, respectively.</w:t>
      </w:r>
    </w:p>
    <w:p>
      <w:pPr>
        <w:spacing w:after="0" w:line="129" w:lineRule="exact"/>
        <w:rPr>
          <w:sz w:val="20"/>
          <w:szCs w:val="20"/>
          <w:color w:val="auto"/>
        </w:rPr>
      </w:pPr>
    </w:p>
    <w:p>
      <w:pPr>
        <w:ind w:left="240" w:right="80" w:firstLine="223"/>
        <w:spacing w:after="0" w:line="254" w:lineRule="auto"/>
        <w:rPr>
          <w:sz w:val="20"/>
          <w:szCs w:val="20"/>
          <w:color w:val="auto"/>
        </w:rPr>
      </w:pPr>
      <w:r>
        <w:rPr>
          <w:rFonts w:ascii="Arial" w:cs="Arial" w:eastAsia="Arial" w:hAnsi="Arial"/>
          <w:sz w:val="18"/>
          <w:szCs w:val="18"/>
          <w:color w:val="auto"/>
        </w:rPr>
        <w:t>Options under the Plan may be granted for periods of up to ten years and at prices no less than 85% of the estimated fair value of the shares on the date of grant as determined by the Board of Directors, provided, however, that (i) the exercise price of an ISO and NSO shall not be less than 100% and 85% of the estimated fair value of the shares on the date of grant, respectively, and (ii) the exercise price of an ISO and NSO granted to a 10% shareholder shall not be less than 110% of the estimated fair value of the shares on the date of grant, respectively. Options are exercisable immediately but are subject to repurchase options held by the Company which lapse over a maximum period of four years at such times and under such conditions as determined by the Board of Directors.</w:t>
      </w:r>
    </w:p>
    <w:p>
      <w:pPr>
        <w:spacing w:after="0" w:line="131" w:lineRule="exact"/>
        <w:rPr>
          <w:sz w:val="20"/>
          <w:szCs w:val="20"/>
          <w:color w:val="auto"/>
        </w:rPr>
      </w:pPr>
    </w:p>
    <w:p>
      <w:pPr>
        <w:jc w:val="both"/>
        <w:ind w:left="240" w:right="20" w:firstLine="223"/>
        <w:spacing w:after="0" w:line="259" w:lineRule="auto"/>
        <w:rPr>
          <w:sz w:val="20"/>
          <w:szCs w:val="20"/>
          <w:color w:val="auto"/>
        </w:rPr>
      </w:pPr>
      <w:r>
        <w:rPr>
          <w:rFonts w:ascii="Arial" w:cs="Arial" w:eastAsia="Arial" w:hAnsi="Arial"/>
          <w:sz w:val="18"/>
          <w:szCs w:val="18"/>
          <w:color w:val="auto"/>
        </w:rPr>
        <w:t>For the years ended December 31, 2001 and 2000, the Company recorded $1,583,000 and $2,443,000, respectively, of deferred stock-based compensation expense for the excess of the deemed fair market value over the exercise price at the date of grant related to stock options granted. The compensation expense is being recognized over the option-vesting period of four years.</w:t>
      </w:r>
    </w:p>
    <w:p>
      <w:pPr>
        <w:spacing w:after="0" w:line="127"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Option activity under the 1998 Incentive Stock Option Plan is as follows:</w:t>
      </w:r>
    </w:p>
    <w:p>
      <w:pPr>
        <w:spacing w:after="0" w:line="141"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3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9"/>
              </w:rPr>
              <w:t>Stock</w:t>
            </w:r>
          </w:p>
        </w:tc>
        <w:tc>
          <w:tcPr>
            <w:tcW w:w="10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6"/>
              </w:rPr>
              <w:t>Options</w:t>
            </w:r>
          </w:p>
        </w:tc>
        <w:tc>
          <w:tcPr>
            <w:tcW w:w="13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Outstanding</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3340" w:type="dxa"/>
            <w:vAlign w:val="bottom"/>
          </w:tcPr>
          <w:p>
            <w:pPr>
              <w:spacing w:after="0"/>
              <w:rPr>
                <w:sz w:val="12"/>
                <w:szCs w:val="12"/>
                <w:color w:val="auto"/>
              </w:rPr>
            </w:pPr>
          </w:p>
        </w:tc>
        <w:tc>
          <w:tcPr>
            <w:tcW w:w="1760" w:type="dxa"/>
            <w:vAlign w:val="bottom"/>
          </w:tcPr>
          <w:p>
            <w:pPr>
              <w:spacing w:after="0"/>
              <w:rPr>
                <w:sz w:val="12"/>
                <w:szCs w:val="12"/>
                <w:color w:val="auto"/>
              </w:rPr>
            </w:pPr>
          </w:p>
        </w:tc>
        <w:tc>
          <w:tcPr>
            <w:tcW w:w="134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87"/>
              </w:rPr>
              <w:t>Available</w:t>
            </w:r>
          </w:p>
        </w:tc>
        <w:tc>
          <w:tcPr>
            <w:tcW w:w="1360" w:type="dxa"/>
            <w:vAlign w:val="bottom"/>
            <w:gridSpan w:val="3"/>
          </w:tcPr>
          <w:p>
            <w:pPr>
              <w:jc w:val="center"/>
              <w:ind w:right="320"/>
              <w:spacing w:after="0" w:line="149" w:lineRule="exact"/>
              <w:rPr>
                <w:sz w:val="20"/>
                <w:szCs w:val="20"/>
                <w:color w:val="auto"/>
              </w:rPr>
            </w:pPr>
            <w:r>
              <w:rPr>
                <w:rFonts w:ascii="Arial" w:cs="Arial" w:eastAsia="Arial" w:hAnsi="Arial"/>
                <w:sz w:val="14"/>
                <w:szCs w:val="14"/>
                <w:b w:val="1"/>
                <w:bCs w:val="1"/>
                <w:color w:val="auto"/>
                <w:w w:val="83"/>
              </w:rPr>
              <w:t>Stock</w:t>
            </w:r>
          </w:p>
        </w:tc>
        <w:tc>
          <w:tcPr>
            <w:tcW w:w="80" w:type="dxa"/>
            <w:vAlign w:val="bottom"/>
          </w:tcPr>
          <w:p>
            <w:pPr>
              <w:spacing w:after="0"/>
              <w:rPr>
                <w:sz w:val="12"/>
                <w:szCs w:val="12"/>
                <w:color w:val="auto"/>
              </w:rPr>
            </w:pPr>
          </w:p>
        </w:tc>
        <w:tc>
          <w:tcPr>
            <w:tcW w:w="6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Exercise</w:t>
            </w:r>
          </w:p>
        </w:tc>
        <w:tc>
          <w:tcPr>
            <w:tcW w:w="0" w:type="dxa"/>
            <w:vAlign w:val="bottom"/>
          </w:tcPr>
          <w:p>
            <w:pPr>
              <w:spacing w:after="0"/>
              <w:rPr>
                <w:sz w:val="1"/>
                <w:szCs w:val="1"/>
                <w:color w:val="auto"/>
              </w:rPr>
            </w:pPr>
          </w:p>
        </w:tc>
      </w:tr>
      <w:tr>
        <w:trPr>
          <w:trHeight w:val="174"/>
        </w:trPr>
        <w:tc>
          <w:tcPr>
            <w:tcW w:w="33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for Grant</w:t>
            </w:r>
          </w:p>
        </w:tc>
        <w:tc>
          <w:tcPr>
            <w:tcW w:w="1360" w:type="dxa"/>
            <w:vAlign w:val="bottom"/>
            <w:gridSpan w:val="3"/>
          </w:tcPr>
          <w:p>
            <w:pPr>
              <w:jc w:val="center"/>
              <w:ind w:right="340"/>
              <w:spacing w:after="0"/>
              <w:rPr>
                <w:sz w:val="20"/>
                <w:szCs w:val="20"/>
                <w:color w:val="auto"/>
              </w:rPr>
            </w:pPr>
            <w:r>
              <w:rPr>
                <w:rFonts w:ascii="Arial" w:cs="Arial" w:eastAsia="Arial" w:hAnsi="Arial"/>
                <w:sz w:val="14"/>
                <w:szCs w:val="14"/>
                <w:b w:val="1"/>
                <w:bCs w:val="1"/>
                <w:color w:val="auto"/>
                <w:w w:val="86"/>
              </w:rPr>
              <w:t>Options</w:t>
            </w:r>
          </w:p>
        </w:tc>
        <w:tc>
          <w:tcPr>
            <w:tcW w:w="80" w:type="dxa"/>
            <w:vAlign w:val="bottom"/>
          </w:tcPr>
          <w:p>
            <w:pPr>
              <w:spacing w:after="0"/>
              <w:rPr>
                <w:sz w:val="15"/>
                <w:szCs w:val="15"/>
                <w:color w:val="auto"/>
              </w:rPr>
            </w:pPr>
          </w:p>
        </w:tc>
        <w:tc>
          <w:tcPr>
            <w:tcW w:w="660" w:type="dxa"/>
            <w:vAlign w:val="bottom"/>
          </w:tcPr>
          <w:p>
            <w:pPr>
              <w:jc w:val="center"/>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95"/>
        </w:trPr>
        <w:tc>
          <w:tcPr>
            <w:tcW w:w="33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33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02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20" w:type="dxa"/>
            <w:vAlign w:val="bottom"/>
          </w:tcPr>
          <w:p>
            <w:pPr>
              <w:spacing w:after="0"/>
              <w:rPr>
                <w:sz w:val="8"/>
                <w:szCs w:val="8"/>
                <w:color w:val="auto"/>
              </w:rPr>
            </w:pPr>
          </w:p>
        </w:tc>
        <w:tc>
          <w:tcPr>
            <w:tcW w:w="320" w:type="dxa"/>
            <w:vAlign w:val="bottom"/>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1999</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834,636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2,404,030</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0.35</w:t>
            </w:r>
          </w:p>
        </w:tc>
        <w:tc>
          <w:tcPr>
            <w:tcW w:w="0" w:type="dxa"/>
            <w:vAlign w:val="bottom"/>
          </w:tcPr>
          <w:p>
            <w:pPr>
              <w:spacing w:after="0"/>
              <w:rPr>
                <w:sz w:val="1"/>
                <w:szCs w:val="1"/>
                <w:color w:val="auto"/>
              </w:rPr>
            </w:pPr>
          </w:p>
        </w:tc>
      </w:tr>
      <w:tr>
        <w:trPr>
          <w:trHeight w:val="323"/>
        </w:trPr>
        <w:tc>
          <w:tcPr>
            <w:tcW w:w="3340" w:type="dxa"/>
            <w:vAlign w:val="bottom"/>
          </w:tcPr>
          <w:p>
            <w:pPr>
              <w:spacing w:after="0"/>
              <w:rPr>
                <w:sz w:val="20"/>
                <w:szCs w:val="20"/>
                <w:color w:val="auto"/>
              </w:rPr>
            </w:pPr>
            <w:r>
              <w:rPr>
                <w:rFonts w:ascii="Arial" w:cs="Arial" w:eastAsia="Arial" w:hAnsi="Arial"/>
                <w:sz w:val="18"/>
                <w:szCs w:val="18"/>
                <w:color w:val="auto"/>
              </w:rPr>
              <w:t>Authorized</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1,244,504</w:t>
            </w:r>
          </w:p>
        </w:tc>
        <w:tc>
          <w:tcPr>
            <w:tcW w:w="320" w:type="dxa"/>
            <w:vAlign w:val="bottom"/>
          </w:tcPr>
          <w:p>
            <w:pPr>
              <w:spacing w:after="0"/>
              <w:rPr>
                <w:sz w:val="24"/>
                <w:szCs w:val="24"/>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 at below fair value</w:t>
            </w:r>
          </w:p>
        </w:tc>
        <w:tc>
          <w:tcPr>
            <w:tcW w:w="3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(2,128,088)</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2,128,088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Options returned to plan</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600,907</w:t>
            </w:r>
          </w:p>
        </w:tc>
        <w:tc>
          <w:tcPr>
            <w:tcW w:w="32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(600,907)</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7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(1,714,073)</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0.78</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2000</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551,959</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2,217,138</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2.69</w:t>
            </w:r>
          </w:p>
        </w:tc>
        <w:tc>
          <w:tcPr>
            <w:tcW w:w="0" w:type="dxa"/>
            <w:vAlign w:val="bottom"/>
          </w:tcPr>
          <w:p>
            <w:pPr>
              <w:spacing w:after="0"/>
              <w:rPr>
                <w:sz w:val="1"/>
                <w:szCs w:val="1"/>
                <w:color w:val="auto"/>
              </w:rPr>
            </w:pPr>
          </w:p>
        </w:tc>
      </w:tr>
      <w:tr>
        <w:trPr>
          <w:trHeight w:val="323"/>
        </w:trPr>
        <w:tc>
          <w:tcPr>
            <w:tcW w:w="3340" w:type="dxa"/>
            <w:vAlign w:val="bottom"/>
          </w:tcPr>
          <w:p>
            <w:pPr>
              <w:spacing w:after="0"/>
              <w:rPr>
                <w:sz w:val="20"/>
                <w:szCs w:val="20"/>
                <w:color w:val="auto"/>
              </w:rPr>
            </w:pPr>
            <w:r>
              <w:rPr>
                <w:rFonts w:ascii="Arial" w:cs="Arial" w:eastAsia="Arial" w:hAnsi="Arial"/>
                <w:sz w:val="18"/>
                <w:szCs w:val="18"/>
                <w:color w:val="auto"/>
              </w:rPr>
              <w:t>Authorized</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1,224,829</w:t>
            </w:r>
          </w:p>
        </w:tc>
        <w:tc>
          <w:tcPr>
            <w:tcW w:w="320" w:type="dxa"/>
            <w:vAlign w:val="bottom"/>
          </w:tcPr>
          <w:p>
            <w:pPr>
              <w:spacing w:after="0"/>
              <w:rPr>
                <w:sz w:val="24"/>
                <w:szCs w:val="24"/>
                <w:color w:val="auto"/>
              </w:rPr>
            </w:pPr>
          </w:p>
        </w:tc>
        <w:tc>
          <w:tcPr>
            <w:tcW w:w="1360" w:type="dxa"/>
            <w:vAlign w:val="bottom"/>
            <w:gridSpan w:val="3"/>
          </w:tcPr>
          <w:p>
            <w:pPr>
              <w:jc w:val="right"/>
              <w:ind w:right="42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Options granted at below fair value</w:t>
            </w:r>
          </w:p>
        </w:tc>
        <w:tc>
          <w:tcPr>
            <w:tcW w:w="3100" w:type="dxa"/>
            <w:vAlign w:val="bottom"/>
            <w:gridSpan w:val="3"/>
            <w:shd w:val="clear" w:color="auto" w:fill="CCEEFF"/>
          </w:tcPr>
          <w:p>
            <w:pPr>
              <w:jc w:val="right"/>
              <w:ind w:right="260"/>
              <w:spacing w:after="0"/>
              <w:rPr>
                <w:sz w:val="20"/>
                <w:szCs w:val="20"/>
                <w:color w:val="auto"/>
              </w:rPr>
            </w:pPr>
            <w:r>
              <w:rPr>
                <w:rFonts w:ascii="Arial" w:cs="Arial" w:eastAsia="Arial" w:hAnsi="Arial"/>
                <w:sz w:val="18"/>
                <w:szCs w:val="18"/>
                <w:color w:val="auto"/>
              </w:rPr>
              <w:t>(1,900,643)</w:t>
            </w: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1,900,643</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16"/>
        </w:trPr>
        <w:tc>
          <w:tcPr>
            <w:tcW w:w="3340" w:type="dxa"/>
            <w:vAlign w:val="bottom"/>
          </w:tcPr>
          <w:p>
            <w:pPr>
              <w:spacing w:after="0"/>
              <w:rPr>
                <w:sz w:val="20"/>
                <w:szCs w:val="20"/>
                <w:color w:val="auto"/>
              </w:rPr>
            </w:pPr>
            <w:r>
              <w:rPr>
                <w:rFonts w:ascii="Arial" w:cs="Arial" w:eastAsia="Arial" w:hAnsi="Arial"/>
                <w:sz w:val="18"/>
                <w:szCs w:val="18"/>
                <w:color w:val="auto"/>
              </w:rPr>
              <w:t>Options returned to plan</w:t>
            </w:r>
          </w:p>
        </w:tc>
        <w:tc>
          <w:tcPr>
            <w:tcW w:w="2780" w:type="dxa"/>
            <w:vAlign w:val="bottom"/>
            <w:gridSpan w:val="2"/>
          </w:tcPr>
          <w:p>
            <w:pPr>
              <w:jc w:val="right"/>
              <w:spacing w:after="0"/>
              <w:rPr>
                <w:sz w:val="20"/>
                <w:szCs w:val="20"/>
                <w:color w:val="auto"/>
              </w:rPr>
            </w:pPr>
            <w:r>
              <w:rPr>
                <w:rFonts w:ascii="Arial" w:cs="Arial" w:eastAsia="Arial" w:hAnsi="Arial"/>
                <w:sz w:val="18"/>
                <w:szCs w:val="18"/>
                <w:color w:val="auto"/>
              </w:rPr>
              <w:t>463,111</w:t>
            </w:r>
          </w:p>
        </w:tc>
        <w:tc>
          <w:tcPr>
            <w:tcW w:w="320" w:type="dxa"/>
            <w:vAlign w:val="bottom"/>
          </w:tcPr>
          <w:p>
            <w:pPr>
              <w:spacing w:after="0"/>
              <w:rPr>
                <w:sz w:val="18"/>
                <w:szCs w:val="18"/>
                <w:color w:val="auto"/>
              </w:rPr>
            </w:pPr>
          </w:p>
        </w:tc>
        <w:tc>
          <w:tcPr>
            <w:tcW w:w="1360" w:type="dxa"/>
            <w:vAlign w:val="bottom"/>
            <w:gridSpan w:val="3"/>
          </w:tcPr>
          <w:p>
            <w:pPr>
              <w:jc w:val="right"/>
              <w:ind w:right="280"/>
              <w:spacing w:after="0"/>
              <w:rPr>
                <w:sz w:val="20"/>
                <w:szCs w:val="20"/>
                <w:color w:val="auto"/>
              </w:rPr>
            </w:pPr>
            <w:r>
              <w:rPr>
                <w:rFonts w:ascii="Arial" w:cs="Arial" w:eastAsia="Arial" w:hAnsi="Arial"/>
                <w:sz w:val="18"/>
                <w:szCs w:val="18"/>
                <w:color w:val="auto"/>
              </w:rPr>
              <w:t>(463,111)</w:t>
            </w:r>
          </w:p>
        </w:tc>
        <w:tc>
          <w:tcPr>
            <w:tcW w:w="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4.28</w:t>
            </w: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Options exercised</w:t>
            </w:r>
          </w:p>
        </w:tc>
        <w:tc>
          <w:tcPr>
            <w:tcW w:w="176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(42,818)</w:t>
            </w:r>
          </w:p>
        </w:tc>
        <w:tc>
          <w:tcPr>
            <w:tcW w:w="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w:t>
            </w:r>
          </w:p>
        </w:tc>
        <w:tc>
          <w:tcPr>
            <w:tcW w:w="0" w:type="dxa"/>
            <w:vAlign w:val="bottom"/>
          </w:tcPr>
          <w:p>
            <w:pPr>
              <w:spacing w:after="0"/>
              <w:rPr>
                <w:sz w:val="1"/>
                <w:szCs w:val="1"/>
                <w:color w:val="auto"/>
              </w:rPr>
            </w:pPr>
          </w:p>
        </w:tc>
      </w:tr>
      <w:tr>
        <w:trPr>
          <w:trHeight w:val="108"/>
        </w:trPr>
        <w:tc>
          <w:tcPr>
            <w:tcW w:w="33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2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0" w:type="dxa"/>
            <w:vAlign w:val="bottom"/>
          </w:tcPr>
          <w:p>
            <w:pPr>
              <w:spacing w:after="0"/>
              <w:rPr>
                <w:sz w:val="9"/>
                <w:szCs w:val="9"/>
                <w:color w:val="auto"/>
              </w:rPr>
            </w:pPr>
          </w:p>
        </w:tc>
        <w:tc>
          <w:tcPr>
            <w:tcW w:w="6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0"/>
        </w:trPr>
        <w:tc>
          <w:tcPr>
            <w:tcW w:w="33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340" w:type="dxa"/>
            <w:vAlign w:val="bottom"/>
            <w:shd w:val="clear" w:color="auto" w:fill="CCEEFF"/>
          </w:tcPr>
          <w:p>
            <w:pPr>
              <w:spacing w:after="0"/>
              <w:rPr>
                <w:sz w:val="20"/>
                <w:szCs w:val="20"/>
                <w:color w:val="auto"/>
              </w:rPr>
            </w:pPr>
            <w:r>
              <w:rPr>
                <w:rFonts w:ascii="Arial" w:cs="Arial" w:eastAsia="Arial" w:hAnsi="Arial"/>
                <w:sz w:val="18"/>
                <w:szCs w:val="18"/>
                <w:color w:val="auto"/>
              </w:rPr>
              <w:t>Balance at December 31, 2001</w:t>
            </w:r>
          </w:p>
        </w:tc>
        <w:tc>
          <w:tcPr>
            <w:tcW w:w="2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339,256</w:t>
            </w:r>
          </w:p>
        </w:tc>
        <w:tc>
          <w:tcPr>
            <w:tcW w:w="3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3,611,852</w:t>
            </w:r>
          </w:p>
        </w:tc>
        <w:tc>
          <w:tcPr>
            <w:tcW w:w="32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w:t>
            </w:r>
          </w:p>
        </w:tc>
        <w:tc>
          <w:tcPr>
            <w:tcW w:w="0" w:type="dxa"/>
            <w:vAlign w:val="bottom"/>
          </w:tcPr>
          <w:p>
            <w:pPr>
              <w:spacing w:after="0"/>
              <w:rPr>
                <w:sz w:val="1"/>
                <w:szCs w:val="1"/>
                <w:color w:val="auto"/>
              </w:rPr>
            </w:pPr>
          </w:p>
        </w:tc>
      </w:tr>
      <w:tr>
        <w:trPr>
          <w:trHeight w:val="132"/>
        </w:trPr>
        <w:tc>
          <w:tcPr>
            <w:tcW w:w="3340" w:type="dxa"/>
            <w:vAlign w:val="bottom"/>
          </w:tcPr>
          <w:p>
            <w:pPr>
              <w:spacing w:after="0"/>
              <w:rPr>
                <w:sz w:val="11"/>
                <w:szCs w:val="11"/>
                <w:color w:val="auto"/>
              </w:rPr>
            </w:pPr>
          </w:p>
        </w:tc>
        <w:tc>
          <w:tcPr>
            <w:tcW w:w="1760" w:type="dxa"/>
            <w:vAlign w:val="bottom"/>
            <w:vMerge w:val="restart"/>
          </w:tcPr>
          <w:p>
            <w:pPr>
              <w:jc w:val="right"/>
              <w:ind w:right="652"/>
              <w:spacing w:after="0"/>
              <w:rPr>
                <w:sz w:val="20"/>
                <w:szCs w:val="20"/>
                <w:color w:val="auto"/>
              </w:rPr>
            </w:pPr>
            <w:r>
              <w:rPr>
                <w:rFonts w:ascii="Arial" w:cs="Arial" w:eastAsia="Arial" w:hAnsi="Arial"/>
                <w:sz w:val="18"/>
                <w:szCs w:val="18"/>
                <w:color w:val="auto"/>
              </w:rPr>
              <w:t>26</w:t>
            </w:r>
          </w:p>
        </w:tc>
        <w:tc>
          <w:tcPr>
            <w:tcW w:w="10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3340" w:type="dxa"/>
            <w:vAlign w:val="bottom"/>
          </w:tcPr>
          <w:p>
            <w:pPr>
              <w:spacing w:after="0"/>
              <w:rPr>
                <w:sz w:val="24"/>
                <w:szCs w:val="24"/>
                <w:color w:val="auto"/>
              </w:rPr>
            </w:pPr>
          </w:p>
        </w:tc>
        <w:tc>
          <w:tcPr>
            <w:tcW w:w="1760" w:type="dxa"/>
            <w:vAlign w:val="bottom"/>
            <w:vMerge w:val="continue"/>
          </w:tcPr>
          <w:p>
            <w:pPr>
              <w:spacing w:after="0"/>
              <w:rPr>
                <w:sz w:val="24"/>
                <w:szCs w:val="24"/>
                <w:color w:val="auto"/>
              </w:rPr>
            </w:pPr>
          </w:p>
        </w:tc>
        <w:tc>
          <w:tcPr>
            <w:tcW w:w="10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4153535</wp:posOffset>
            </wp:positionH>
            <wp:positionV relativeFrom="paragraph">
              <wp:posOffset>-325755</wp:posOffset>
            </wp:positionV>
            <wp:extent cx="12700" cy="2984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4788535</wp:posOffset>
            </wp:positionH>
            <wp:positionV relativeFrom="paragraph">
              <wp:posOffset>-325755</wp:posOffset>
            </wp:positionV>
            <wp:extent cx="38735" cy="2984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-325755</wp:posOffset>
            </wp:positionV>
            <wp:extent cx="12700" cy="2984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5645785</wp:posOffset>
            </wp:positionH>
            <wp:positionV relativeFrom="paragraph">
              <wp:posOffset>-325755</wp:posOffset>
            </wp:positionV>
            <wp:extent cx="38735" cy="2984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40"/>
          </w:cols>
          <w:pgMar w:left="240" w:top="269" w:right="31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information concerning options outstanding and exercisable at December 31, 2001:</w:t>
      </w:r>
    </w:p>
    <w:p>
      <w:pPr>
        <w:spacing w:after="0" w:line="141" w:lineRule="exact"/>
        <w:rPr>
          <w:sz w:val="20"/>
          <w:szCs w:val="20"/>
          <w:color w:val="auto"/>
        </w:rPr>
      </w:pPr>
    </w:p>
    <w:tbl>
      <w:tblPr>
        <w:tblLayout w:type="fixed"/>
        <w:tblInd w:w="2300" w:type="dxa"/>
        <w:tblCellMar>
          <w:top w:w="0" w:type="dxa"/>
          <w:left w:w="0" w:type="dxa"/>
          <w:bottom w:w="0" w:type="dxa"/>
          <w:right w:w="0" w:type="dxa"/>
        </w:tblCellMar>
      </w:tblPr>
      <w:tr>
        <w:trPr>
          <w:trHeight w:val="161"/>
        </w:trPr>
        <w:tc>
          <w:tcPr>
            <w:tcW w:w="15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Options Outstanding</w:t>
            </w:r>
          </w:p>
        </w:tc>
      </w:tr>
      <w:tr>
        <w:trPr>
          <w:trHeight w:val="149"/>
        </w:trPr>
        <w:tc>
          <w:tcPr>
            <w:tcW w:w="1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6"/>
              </w:rPr>
              <w:t>and Exercisable</w:t>
            </w:r>
          </w:p>
        </w:tc>
      </w:tr>
      <w:tr>
        <w:trPr>
          <w:trHeight w:val="149"/>
        </w:trPr>
        <w:tc>
          <w:tcPr>
            <w:tcW w:w="1520" w:type="dxa"/>
            <w:vAlign w:val="bottom"/>
          </w:tcPr>
          <w:p>
            <w:pPr>
              <w:spacing w:after="0"/>
              <w:rPr>
                <w:sz w:val="12"/>
                <w:szCs w:val="12"/>
                <w:color w:val="auto"/>
              </w:rPr>
            </w:pPr>
          </w:p>
        </w:tc>
        <w:tc>
          <w:tcPr>
            <w:tcW w:w="1540" w:type="dxa"/>
            <w:vAlign w:val="bottom"/>
            <w:gridSpan w:val="3"/>
          </w:tcPr>
          <w:p>
            <w:pPr>
              <w:jc w:val="right"/>
              <w:ind w:right="92"/>
              <w:spacing w:after="0" w:line="149" w:lineRule="exact"/>
              <w:rPr>
                <w:sz w:val="20"/>
                <w:szCs w:val="20"/>
                <w:color w:val="auto"/>
              </w:rPr>
            </w:pPr>
            <w:r>
              <w:rPr>
                <w:rFonts w:ascii="Arial" w:cs="Arial" w:eastAsia="Arial" w:hAnsi="Arial"/>
                <w:sz w:val="14"/>
                <w:szCs w:val="14"/>
                <w:b w:val="1"/>
                <w:bCs w:val="1"/>
                <w:color w:val="auto"/>
                <w:w w:val="97"/>
              </w:rPr>
              <w:t>Options Outstanding</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40" w:type="dxa"/>
            <w:vAlign w:val="bottom"/>
            <w:gridSpan w:val="3"/>
          </w:tcPr>
          <w:p>
            <w:pPr>
              <w:jc w:val="center"/>
              <w:spacing w:after="0" w:line="149" w:lineRule="exact"/>
              <w:rPr>
                <w:sz w:val="20"/>
                <w:szCs w:val="20"/>
                <w:color w:val="auto"/>
              </w:rPr>
            </w:pPr>
            <w:r>
              <w:rPr>
                <w:rFonts w:ascii="Arial" w:cs="Arial" w:eastAsia="Arial" w:hAnsi="Arial"/>
                <w:sz w:val="14"/>
                <w:szCs w:val="14"/>
                <w:b w:val="1"/>
                <w:bCs w:val="1"/>
                <w:color w:val="auto"/>
                <w:w w:val="88"/>
              </w:rPr>
              <w:t>Without the</w:t>
            </w:r>
          </w:p>
        </w:tc>
      </w:tr>
      <w:tr>
        <w:trPr>
          <w:trHeight w:val="174"/>
        </w:trPr>
        <w:tc>
          <w:tcPr>
            <w:tcW w:w="1520" w:type="dxa"/>
            <w:vAlign w:val="bottom"/>
          </w:tcPr>
          <w:p>
            <w:pPr>
              <w:spacing w:after="0"/>
              <w:rPr>
                <w:sz w:val="15"/>
                <w:szCs w:val="15"/>
                <w:color w:val="auto"/>
              </w:rPr>
            </w:pPr>
          </w:p>
        </w:tc>
        <w:tc>
          <w:tcPr>
            <w:tcW w:w="1540" w:type="dxa"/>
            <w:vAlign w:val="bottom"/>
            <w:gridSpan w:val="3"/>
          </w:tcPr>
          <w:p>
            <w:pPr>
              <w:jc w:val="right"/>
              <w:ind w:right="252"/>
              <w:spacing w:after="0"/>
              <w:rPr>
                <w:sz w:val="20"/>
                <w:szCs w:val="20"/>
                <w:color w:val="auto"/>
              </w:rPr>
            </w:pPr>
            <w:r>
              <w:rPr>
                <w:rFonts w:ascii="Arial" w:cs="Arial" w:eastAsia="Arial" w:hAnsi="Arial"/>
                <w:sz w:val="14"/>
                <w:szCs w:val="14"/>
                <w:b w:val="1"/>
                <w:bCs w:val="1"/>
                <w:color w:val="auto"/>
              </w:rPr>
              <w:t>and Exercisable</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40" w:type="dxa"/>
            <w:vAlign w:val="bottom"/>
            <w:gridSpan w:val="3"/>
          </w:tcPr>
          <w:p>
            <w:pPr>
              <w:jc w:val="center"/>
              <w:spacing w:after="0"/>
              <w:rPr>
                <w:sz w:val="20"/>
                <w:szCs w:val="20"/>
                <w:color w:val="auto"/>
              </w:rPr>
            </w:pPr>
            <w:r>
              <w:rPr>
                <w:rFonts w:ascii="Arial" w:cs="Arial" w:eastAsia="Arial" w:hAnsi="Arial"/>
                <w:sz w:val="14"/>
                <w:szCs w:val="14"/>
                <w:b w:val="1"/>
                <w:bCs w:val="1"/>
                <w:color w:val="auto"/>
                <w:w w:val="86"/>
              </w:rPr>
              <w:t>Right of Repurchase</w:t>
            </w:r>
          </w:p>
        </w:tc>
      </w:tr>
      <w:tr>
        <w:trPr>
          <w:trHeight w:val="95"/>
        </w:trPr>
        <w:tc>
          <w:tcPr>
            <w:tcW w:w="15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237"/>
        </w:trPr>
        <w:tc>
          <w:tcPr>
            <w:tcW w:w="1520" w:type="dxa"/>
            <w:vAlign w:val="bottom"/>
          </w:tcPr>
          <w:p>
            <w:pPr>
              <w:jc w:val="center"/>
              <w:ind w:left="317"/>
              <w:spacing w:after="0"/>
              <w:rPr>
                <w:sz w:val="20"/>
                <w:szCs w:val="20"/>
                <w:color w:val="auto"/>
              </w:rPr>
            </w:pPr>
            <w:r>
              <w:rPr>
                <w:rFonts w:ascii="Arial" w:cs="Arial" w:eastAsia="Arial" w:hAnsi="Arial"/>
                <w:sz w:val="14"/>
                <w:szCs w:val="14"/>
                <w:b w:val="1"/>
                <w:bCs w:val="1"/>
                <w:color w:val="auto"/>
                <w:w w:val="88"/>
              </w:rPr>
              <w:t>Weighted</w:t>
            </w:r>
          </w:p>
        </w:tc>
        <w:tc>
          <w:tcPr>
            <w:tcW w:w="4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 Average</w:t>
            </w:r>
          </w:p>
        </w:tc>
        <w:tc>
          <w:tcPr>
            <w:tcW w:w="2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Weighted</w:t>
            </w:r>
          </w:p>
        </w:tc>
      </w:tr>
      <w:tr>
        <w:trPr>
          <w:trHeight w:val="149"/>
        </w:trPr>
        <w:tc>
          <w:tcPr>
            <w:tcW w:w="1520" w:type="dxa"/>
            <w:vAlign w:val="bottom"/>
          </w:tcPr>
          <w:p>
            <w:pPr>
              <w:jc w:val="center"/>
              <w:ind w:left="317"/>
              <w:spacing w:after="0" w:line="149" w:lineRule="exact"/>
              <w:rPr>
                <w:sz w:val="20"/>
                <w:szCs w:val="20"/>
                <w:color w:val="auto"/>
              </w:rPr>
            </w:pPr>
            <w:r>
              <w:rPr>
                <w:rFonts w:ascii="Arial" w:cs="Arial" w:eastAsia="Arial" w:hAnsi="Arial"/>
                <w:sz w:val="14"/>
                <w:szCs w:val="14"/>
                <w:b w:val="1"/>
                <w:bCs w:val="1"/>
                <w:color w:val="auto"/>
                <w:w w:val="86"/>
              </w:rPr>
              <w:t>Average</w:t>
            </w: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920" w:type="dxa"/>
            <w:vAlign w:val="bottom"/>
          </w:tcPr>
          <w:p>
            <w:pPr>
              <w:jc w:val="right"/>
              <w:ind w:right="72"/>
              <w:spacing w:after="0" w:line="149" w:lineRule="exact"/>
              <w:rPr>
                <w:sz w:val="20"/>
                <w:szCs w:val="20"/>
                <w:color w:val="auto"/>
              </w:rPr>
            </w:pPr>
            <w:r>
              <w:rPr>
                <w:rFonts w:ascii="Arial" w:cs="Arial" w:eastAsia="Arial" w:hAnsi="Arial"/>
                <w:sz w:val="14"/>
                <w:szCs w:val="14"/>
                <w:b w:val="1"/>
                <w:bCs w:val="1"/>
                <w:color w:val="auto"/>
              </w:rPr>
              <w:t>Number of</w:t>
            </w: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Remaining</w:t>
            </w:r>
          </w:p>
        </w:tc>
        <w:tc>
          <w:tcPr>
            <w:tcW w:w="220" w:type="dxa"/>
            <w:vAlign w:val="bottom"/>
          </w:tcPr>
          <w:p>
            <w:pPr>
              <w:spacing w:after="0"/>
              <w:rPr>
                <w:sz w:val="12"/>
                <w:szCs w:val="12"/>
                <w:color w:val="auto"/>
              </w:rPr>
            </w:pPr>
          </w:p>
        </w:tc>
        <w:tc>
          <w:tcPr>
            <w:tcW w:w="11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Number of</w:t>
            </w:r>
          </w:p>
        </w:tc>
        <w:tc>
          <w:tcPr>
            <w:tcW w:w="9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Average</w:t>
            </w:r>
          </w:p>
        </w:tc>
      </w:tr>
      <w:tr>
        <w:trPr>
          <w:trHeight w:val="174"/>
        </w:trPr>
        <w:tc>
          <w:tcPr>
            <w:tcW w:w="1520" w:type="dxa"/>
            <w:vAlign w:val="bottom"/>
          </w:tcPr>
          <w:p>
            <w:pPr>
              <w:jc w:val="center"/>
              <w:ind w:left="337"/>
              <w:spacing w:after="0"/>
              <w:rPr>
                <w:sz w:val="20"/>
                <w:szCs w:val="20"/>
                <w:color w:val="auto"/>
              </w:rPr>
            </w:pPr>
            <w:r>
              <w:rPr>
                <w:rFonts w:ascii="Arial" w:cs="Arial" w:eastAsia="Arial" w:hAnsi="Arial"/>
                <w:sz w:val="14"/>
                <w:szCs w:val="14"/>
                <w:b w:val="1"/>
                <w:bCs w:val="1"/>
                <w:color w:val="auto"/>
                <w:w w:val="85"/>
              </w:rPr>
              <w:t>Exercise Price</w:t>
            </w:r>
          </w:p>
        </w:tc>
        <w:tc>
          <w:tcPr>
            <w:tcW w:w="4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20" w:type="dxa"/>
            <w:vAlign w:val="bottom"/>
          </w:tcPr>
          <w:p>
            <w:pPr>
              <w:jc w:val="right"/>
              <w:ind w:right="192"/>
              <w:spacing w:after="0"/>
              <w:rPr>
                <w:sz w:val="20"/>
                <w:szCs w:val="20"/>
                <w:color w:val="auto"/>
              </w:rPr>
            </w:pPr>
            <w:r>
              <w:rPr>
                <w:rFonts w:ascii="Arial" w:cs="Arial" w:eastAsia="Arial" w:hAnsi="Arial"/>
                <w:sz w:val="14"/>
                <w:szCs w:val="14"/>
                <w:b w:val="1"/>
                <w:bCs w:val="1"/>
                <w:color w:val="auto"/>
              </w:rPr>
              <w:t>Shares</w:t>
            </w:r>
          </w:p>
        </w:tc>
        <w:tc>
          <w:tcPr>
            <w:tcW w:w="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jc w:val="center"/>
              <w:spacing w:after="0"/>
              <w:rPr>
                <w:sz w:val="20"/>
                <w:szCs w:val="20"/>
                <w:color w:val="auto"/>
              </w:rPr>
            </w:pPr>
            <w:r>
              <w:rPr>
                <w:rFonts w:ascii="Arial" w:cs="Arial" w:eastAsia="Arial" w:hAnsi="Arial"/>
                <w:sz w:val="14"/>
                <w:szCs w:val="14"/>
                <w:b w:val="1"/>
                <w:bCs w:val="1"/>
                <w:color w:val="auto"/>
                <w:w w:val="90"/>
              </w:rPr>
              <w:t>Contractual Life</w:t>
            </w:r>
          </w:p>
        </w:tc>
        <w:tc>
          <w:tcPr>
            <w:tcW w:w="220" w:type="dxa"/>
            <w:vAlign w:val="bottom"/>
          </w:tcPr>
          <w:p>
            <w:pPr>
              <w:spacing w:after="0"/>
              <w:rPr>
                <w:sz w:val="15"/>
                <w:szCs w:val="15"/>
                <w:color w:val="auto"/>
              </w:rPr>
            </w:pPr>
          </w:p>
        </w:tc>
        <w:tc>
          <w:tcPr>
            <w:tcW w:w="11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1"/>
              </w:rPr>
              <w:t>Shares</w:t>
            </w:r>
          </w:p>
        </w:tc>
        <w:tc>
          <w:tcPr>
            <w:tcW w:w="900" w:type="dxa"/>
            <w:vAlign w:val="bottom"/>
          </w:tcPr>
          <w:p>
            <w:pPr>
              <w:jc w:val="center"/>
              <w:spacing w:after="0"/>
              <w:rPr>
                <w:sz w:val="20"/>
                <w:szCs w:val="20"/>
                <w:color w:val="auto"/>
              </w:rPr>
            </w:pPr>
            <w:r>
              <w:rPr>
                <w:rFonts w:ascii="Arial" w:cs="Arial" w:eastAsia="Arial" w:hAnsi="Arial"/>
                <w:sz w:val="14"/>
                <w:szCs w:val="14"/>
                <w:b w:val="1"/>
                <w:bCs w:val="1"/>
                <w:color w:val="auto"/>
                <w:w w:val="85"/>
              </w:rPr>
              <w:t>Exercise Price</w:t>
            </w:r>
          </w:p>
        </w:tc>
      </w:tr>
      <w:tr>
        <w:trPr>
          <w:trHeight w:val="95"/>
        </w:trPr>
        <w:tc>
          <w:tcPr>
            <w:tcW w:w="1520" w:type="dxa"/>
            <w:vAlign w:val="bottom"/>
            <w:tcBorders>
              <w:bottom w:val="single" w:sz="8" w:color="auto"/>
            </w:tcBorders>
          </w:tcPr>
          <w:p>
            <w:pPr>
              <w:spacing w:after="0"/>
              <w:rPr>
                <w:sz w:val="8"/>
                <w:szCs w:val="8"/>
                <w:color w:val="auto"/>
              </w:rPr>
            </w:pPr>
          </w:p>
        </w:tc>
        <w:tc>
          <w:tcPr>
            <w:tcW w:w="42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Borders>
              <w:bottom w:val="single" w:sz="8" w:color="auto"/>
            </w:tcBorders>
          </w:tcPr>
          <w:p>
            <w:pPr>
              <w:spacing w:after="0"/>
              <w:rPr>
                <w:sz w:val="8"/>
                <w:szCs w:val="8"/>
                <w:color w:val="auto"/>
              </w:rPr>
            </w:pPr>
          </w:p>
        </w:tc>
      </w:tr>
      <w:tr>
        <w:trPr>
          <w:trHeight w:val="102"/>
        </w:trPr>
        <w:tc>
          <w:tcPr>
            <w:tcW w:w="1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16"/>
        </w:trPr>
        <w:tc>
          <w:tcPr>
            <w:tcW w:w="1520" w:type="dxa"/>
            <w:vAlign w:val="bottom"/>
            <w:shd w:val="clear" w:color="auto" w:fill="CCEEFF"/>
          </w:tcPr>
          <w:p>
            <w:pPr>
              <w:jc w:val="center"/>
              <w:ind w:left="317"/>
              <w:spacing w:after="0"/>
              <w:rPr>
                <w:sz w:val="20"/>
                <w:szCs w:val="20"/>
                <w:color w:val="auto"/>
              </w:rPr>
            </w:pPr>
            <w:r>
              <w:rPr>
                <w:rFonts w:ascii="Arial" w:cs="Arial" w:eastAsia="Arial" w:hAnsi="Arial"/>
                <w:sz w:val="18"/>
                <w:szCs w:val="18"/>
                <w:color w:val="auto"/>
                <w:w w:val="88"/>
              </w:rPr>
              <w:t>$0.42</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709,392</w:t>
            </w:r>
          </w:p>
        </w:tc>
        <w:tc>
          <w:tcPr>
            <w:tcW w:w="152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87"/>
              </w:rPr>
              <w:t>7.1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400,767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$0.39</w:t>
            </w:r>
          </w:p>
        </w:tc>
      </w:tr>
      <w:tr>
        <w:trPr>
          <w:trHeight w:val="216"/>
        </w:trPr>
        <w:tc>
          <w:tcPr>
            <w:tcW w:w="1520" w:type="dxa"/>
            <w:vAlign w:val="bottom"/>
          </w:tcPr>
          <w:p>
            <w:pPr>
              <w:jc w:val="center"/>
              <w:ind w:left="317"/>
              <w:spacing w:after="0"/>
              <w:rPr>
                <w:sz w:val="20"/>
                <w:szCs w:val="20"/>
                <w:color w:val="auto"/>
              </w:rPr>
            </w:pPr>
            <w:r>
              <w:rPr>
                <w:rFonts w:ascii="Arial" w:cs="Arial" w:eastAsia="Arial" w:hAnsi="Arial"/>
                <w:sz w:val="18"/>
                <w:szCs w:val="18"/>
                <w:color w:val="auto"/>
                <w:w w:val="91"/>
              </w:rPr>
              <w:t>1.15</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310,717</w:t>
            </w:r>
          </w:p>
        </w:tc>
        <w:tc>
          <w:tcPr>
            <w:tcW w:w="1520" w:type="dxa"/>
            <w:vAlign w:val="bottom"/>
            <w:gridSpan w:val="3"/>
          </w:tcPr>
          <w:p>
            <w:pPr>
              <w:jc w:val="center"/>
              <w:ind w:left="132"/>
              <w:spacing w:after="0"/>
              <w:rPr>
                <w:sz w:val="20"/>
                <w:szCs w:val="20"/>
                <w:color w:val="auto"/>
              </w:rPr>
            </w:pPr>
            <w:r>
              <w:rPr>
                <w:rFonts w:ascii="Arial" w:cs="Arial" w:eastAsia="Arial" w:hAnsi="Arial"/>
                <w:sz w:val="18"/>
                <w:szCs w:val="18"/>
                <w:color w:val="auto"/>
                <w:w w:val="87"/>
              </w:rPr>
              <w:t>6.8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169,391</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1.13</w:t>
            </w:r>
          </w:p>
        </w:tc>
      </w:tr>
      <w:tr>
        <w:trPr>
          <w:trHeight w:val="216"/>
        </w:trPr>
        <w:tc>
          <w:tcPr>
            <w:tcW w:w="1520" w:type="dxa"/>
            <w:vAlign w:val="bottom"/>
            <w:shd w:val="clear" w:color="auto" w:fill="CCEEFF"/>
          </w:tcPr>
          <w:p>
            <w:pPr>
              <w:jc w:val="center"/>
              <w:ind w:left="317"/>
              <w:spacing w:after="0"/>
              <w:rPr>
                <w:sz w:val="20"/>
                <w:szCs w:val="20"/>
                <w:color w:val="auto"/>
              </w:rPr>
            </w:pPr>
            <w:r>
              <w:rPr>
                <w:rFonts w:ascii="Arial" w:cs="Arial" w:eastAsia="Arial" w:hAnsi="Arial"/>
                <w:sz w:val="18"/>
                <w:szCs w:val="18"/>
                <w:color w:val="auto"/>
                <w:w w:val="91"/>
              </w:rPr>
              <w:t>2.00</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269,624</w:t>
            </w:r>
          </w:p>
        </w:tc>
        <w:tc>
          <w:tcPr>
            <w:tcW w:w="152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87"/>
              </w:rPr>
              <w:t>7.9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110,140</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2.00</w:t>
            </w:r>
          </w:p>
        </w:tc>
      </w:tr>
      <w:tr>
        <w:trPr>
          <w:trHeight w:val="216"/>
        </w:trPr>
        <w:tc>
          <w:tcPr>
            <w:tcW w:w="1520" w:type="dxa"/>
            <w:vAlign w:val="bottom"/>
          </w:tcPr>
          <w:p>
            <w:pPr>
              <w:jc w:val="center"/>
              <w:ind w:left="317"/>
              <w:spacing w:after="0"/>
              <w:rPr>
                <w:sz w:val="20"/>
                <w:szCs w:val="20"/>
                <w:color w:val="auto"/>
              </w:rPr>
            </w:pPr>
            <w:r>
              <w:rPr>
                <w:rFonts w:ascii="Arial" w:cs="Arial" w:eastAsia="Arial" w:hAnsi="Arial"/>
                <w:sz w:val="18"/>
                <w:szCs w:val="18"/>
                <w:color w:val="auto"/>
                <w:w w:val="91"/>
              </w:rPr>
              <w:t>4.00</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832,720</w:t>
            </w:r>
          </w:p>
        </w:tc>
        <w:tc>
          <w:tcPr>
            <w:tcW w:w="1520" w:type="dxa"/>
            <w:vAlign w:val="bottom"/>
            <w:gridSpan w:val="3"/>
          </w:tcPr>
          <w:p>
            <w:pPr>
              <w:jc w:val="center"/>
              <w:ind w:left="132"/>
              <w:spacing w:after="0"/>
              <w:rPr>
                <w:sz w:val="20"/>
                <w:szCs w:val="20"/>
                <w:color w:val="auto"/>
              </w:rPr>
            </w:pPr>
            <w:r>
              <w:rPr>
                <w:rFonts w:ascii="Arial" w:cs="Arial" w:eastAsia="Arial" w:hAnsi="Arial"/>
                <w:sz w:val="18"/>
                <w:szCs w:val="18"/>
                <w:color w:val="auto"/>
                <w:w w:val="87"/>
              </w:rPr>
              <w:t>9.9</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1,360</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4.00</w:t>
            </w:r>
          </w:p>
        </w:tc>
      </w:tr>
      <w:tr>
        <w:trPr>
          <w:trHeight w:val="216"/>
        </w:trPr>
        <w:tc>
          <w:tcPr>
            <w:tcW w:w="1520" w:type="dxa"/>
            <w:vAlign w:val="bottom"/>
            <w:shd w:val="clear" w:color="auto" w:fill="CCEEFF"/>
          </w:tcPr>
          <w:p>
            <w:pPr>
              <w:jc w:val="center"/>
              <w:ind w:left="317"/>
              <w:spacing w:after="0"/>
              <w:rPr>
                <w:sz w:val="20"/>
                <w:szCs w:val="20"/>
                <w:color w:val="auto"/>
              </w:rPr>
            </w:pPr>
            <w:r>
              <w:rPr>
                <w:rFonts w:ascii="Arial" w:cs="Arial" w:eastAsia="Arial" w:hAnsi="Arial"/>
                <w:sz w:val="18"/>
                <w:szCs w:val="18"/>
                <w:color w:val="auto"/>
                <w:w w:val="91"/>
              </w:rPr>
              <w:t>4.25</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226,798</w:t>
            </w:r>
          </w:p>
        </w:tc>
        <w:tc>
          <w:tcPr>
            <w:tcW w:w="152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87"/>
              </w:rPr>
              <w:t>7.7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93,241</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4.25</w:t>
            </w:r>
          </w:p>
        </w:tc>
      </w:tr>
      <w:tr>
        <w:trPr>
          <w:trHeight w:val="216"/>
        </w:trPr>
        <w:tc>
          <w:tcPr>
            <w:tcW w:w="1520" w:type="dxa"/>
            <w:vAlign w:val="bottom"/>
          </w:tcPr>
          <w:p>
            <w:pPr>
              <w:jc w:val="center"/>
              <w:ind w:left="317"/>
              <w:spacing w:after="0"/>
              <w:rPr>
                <w:sz w:val="20"/>
                <w:szCs w:val="20"/>
                <w:color w:val="auto"/>
              </w:rPr>
            </w:pPr>
            <w:r>
              <w:rPr>
                <w:rFonts w:ascii="Arial" w:cs="Arial" w:eastAsia="Arial" w:hAnsi="Arial"/>
                <w:sz w:val="18"/>
                <w:szCs w:val="18"/>
                <w:color w:val="auto"/>
                <w:w w:val="91"/>
              </w:rPr>
              <w:t>5.00</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158,000</w:t>
            </w:r>
          </w:p>
        </w:tc>
        <w:tc>
          <w:tcPr>
            <w:tcW w:w="1520" w:type="dxa"/>
            <w:vAlign w:val="bottom"/>
            <w:gridSpan w:val="3"/>
          </w:tcPr>
          <w:p>
            <w:pPr>
              <w:jc w:val="center"/>
              <w:ind w:left="132"/>
              <w:spacing w:after="0"/>
              <w:rPr>
                <w:sz w:val="20"/>
                <w:szCs w:val="20"/>
                <w:color w:val="auto"/>
              </w:rPr>
            </w:pPr>
            <w:r>
              <w:rPr>
                <w:rFonts w:ascii="Arial" w:cs="Arial" w:eastAsia="Arial" w:hAnsi="Arial"/>
                <w:sz w:val="18"/>
                <w:szCs w:val="18"/>
                <w:color w:val="auto"/>
                <w:w w:val="87"/>
              </w:rPr>
              <w:t>9.0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158,000</w:t>
            </w:r>
          </w:p>
        </w:tc>
        <w:tc>
          <w:tcPr>
            <w:tcW w:w="200" w:type="dxa"/>
            <w:vAlign w:val="bottom"/>
          </w:tcPr>
          <w:p>
            <w:pPr>
              <w:spacing w:after="0"/>
              <w:rPr>
                <w:sz w:val="18"/>
                <w:szCs w:val="18"/>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5.00</w:t>
            </w:r>
          </w:p>
        </w:tc>
      </w:tr>
      <w:tr>
        <w:trPr>
          <w:trHeight w:val="216"/>
        </w:trPr>
        <w:tc>
          <w:tcPr>
            <w:tcW w:w="1520" w:type="dxa"/>
            <w:vAlign w:val="bottom"/>
            <w:shd w:val="clear" w:color="auto" w:fill="CCEEFF"/>
          </w:tcPr>
          <w:p>
            <w:pPr>
              <w:jc w:val="center"/>
              <w:ind w:left="317"/>
              <w:spacing w:after="0"/>
              <w:rPr>
                <w:sz w:val="20"/>
                <w:szCs w:val="20"/>
                <w:color w:val="auto"/>
              </w:rPr>
            </w:pPr>
            <w:r>
              <w:rPr>
                <w:rFonts w:ascii="Arial" w:cs="Arial" w:eastAsia="Arial" w:hAnsi="Arial"/>
                <w:sz w:val="18"/>
                <w:szCs w:val="18"/>
                <w:color w:val="auto"/>
                <w:w w:val="91"/>
              </w:rPr>
              <w:t>6.00</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794,417</w:t>
            </w:r>
          </w:p>
        </w:tc>
        <w:tc>
          <w:tcPr>
            <w:tcW w:w="152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87"/>
              </w:rPr>
              <w:t>8.8</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14,034</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6.00</w:t>
            </w:r>
          </w:p>
        </w:tc>
      </w:tr>
      <w:tr>
        <w:trPr>
          <w:trHeight w:val="222"/>
        </w:trPr>
        <w:tc>
          <w:tcPr>
            <w:tcW w:w="1520" w:type="dxa"/>
            <w:vAlign w:val="bottom"/>
          </w:tcPr>
          <w:p>
            <w:pPr>
              <w:jc w:val="center"/>
              <w:ind w:left="317"/>
              <w:spacing w:after="0"/>
              <w:rPr>
                <w:sz w:val="20"/>
                <w:szCs w:val="20"/>
                <w:color w:val="auto"/>
              </w:rPr>
            </w:pPr>
            <w:r>
              <w:rPr>
                <w:rFonts w:ascii="Arial" w:cs="Arial" w:eastAsia="Arial" w:hAnsi="Arial"/>
                <w:sz w:val="18"/>
                <w:szCs w:val="18"/>
                <w:color w:val="auto"/>
                <w:w w:val="91"/>
              </w:rPr>
              <w:t>7.88</w:t>
            </w:r>
          </w:p>
        </w:tc>
        <w:tc>
          <w:tcPr>
            <w:tcW w:w="1540" w:type="dxa"/>
            <w:vAlign w:val="bottom"/>
            <w:gridSpan w:val="3"/>
          </w:tcPr>
          <w:p>
            <w:pPr>
              <w:jc w:val="right"/>
              <w:spacing w:after="0"/>
              <w:rPr>
                <w:sz w:val="20"/>
                <w:szCs w:val="20"/>
                <w:color w:val="auto"/>
              </w:rPr>
            </w:pPr>
            <w:r>
              <w:rPr>
                <w:rFonts w:ascii="Arial" w:cs="Arial" w:eastAsia="Arial" w:hAnsi="Arial"/>
                <w:sz w:val="18"/>
                <w:szCs w:val="18"/>
                <w:color w:val="auto"/>
              </w:rPr>
              <w:t>310,184</w:t>
            </w:r>
          </w:p>
        </w:tc>
        <w:tc>
          <w:tcPr>
            <w:tcW w:w="1520" w:type="dxa"/>
            <w:vAlign w:val="bottom"/>
            <w:gridSpan w:val="3"/>
          </w:tcPr>
          <w:p>
            <w:pPr>
              <w:jc w:val="center"/>
              <w:ind w:left="132"/>
              <w:spacing w:after="0"/>
              <w:rPr>
                <w:sz w:val="20"/>
                <w:szCs w:val="20"/>
                <w:color w:val="auto"/>
              </w:rPr>
            </w:pPr>
            <w:r>
              <w:rPr>
                <w:rFonts w:ascii="Arial" w:cs="Arial" w:eastAsia="Arial" w:hAnsi="Arial"/>
                <w:sz w:val="18"/>
                <w:szCs w:val="18"/>
                <w:color w:val="auto"/>
                <w:w w:val="87"/>
              </w:rPr>
              <w:t>8.6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98,604</w:t>
            </w:r>
          </w:p>
        </w:tc>
        <w:tc>
          <w:tcPr>
            <w:tcW w:w="200" w:type="dxa"/>
            <w:vAlign w:val="bottom"/>
          </w:tcPr>
          <w:p>
            <w:pPr>
              <w:spacing w:after="0"/>
              <w:rPr>
                <w:sz w:val="19"/>
                <w:szCs w:val="19"/>
                <w:color w:val="auto"/>
              </w:rPr>
            </w:pPr>
          </w:p>
        </w:tc>
        <w:tc>
          <w:tcPr>
            <w:tcW w:w="900" w:type="dxa"/>
            <w:vAlign w:val="bottom"/>
          </w:tcPr>
          <w:p>
            <w:pPr>
              <w:jc w:val="center"/>
              <w:spacing w:after="0"/>
              <w:rPr>
                <w:sz w:val="20"/>
                <w:szCs w:val="20"/>
                <w:color w:val="auto"/>
              </w:rPr>
            </w:pPr>
            <w:r>
              <w:rPr>
                <w:rFonts w:ascii="Arial" w:cs="Arial" w:eastAsia="Arial" w:hAnsi="Arial"/>
                <w:sz w:val="18"/>
                <w:szCs w:val="18"/>
                <w:color w:val="auto"/>
                <w:w w:val="85"/>
              </w:rPr>
              <w:t>7.88</w:t>
            </w:r>
          </w:p>
        </w:tc>
      </w:tr>
      <w:tr>
        <w:trPr>
          <w:trHeight w:val="102"/>
        </w:trPr>
        <w:tc>
          <w:tcPr>
            <w:tcW w:w="1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102"/>
        </w:trPr>
        <w:tc>
          <w:tcPr>
            <w:tcW w:w="15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00" w:type="dxa"/>
            <w:vAlign w:val="bottom"/>
          </w:tcPr>
          <w:p>
            <w:pPr>
              <w:spacing w:after="0"/>
              <w:rPr>
                <w:sz w:val="8"/>
                <w:szCs w:val="8"/>
                <w:color w:val="auto"/>
              </w:rPr>
            </w:pPr>
          </w:p>
        </w:tc>
        <w:tc>
          <w:tcPr>
            <w:tcW w:w="9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0" w:type="dxa"/>
            <w:vAlign w:val="bottom"/>
          </w:tcPr>
          <w:p>
            <w:pPr>
              <w:spacing w:after="0"/>
              <w:rPr>
                <w:sz w:val="8"/>
                <w:szCs w:val="8"/>
                <w:color w:val="auto"/>
              </w:rPr>
            </w:pPr>
          </w:p>
        </w:tc>
        <w:tc>
          <w:tcPr>
            <w:tcW w:w="130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0" w:type="dxa"/>
            <w:vAlign w:val="bottom"/>
          </w:tcPr>
          <w:p>
            <w:pPr>
              <w:spacing w:after="0"/>
              <w:rPr>
                <w:sz w:val="8"/>
                <w:szCs w:val="8"/>
                <w:color w:val="auto"/>
              </w:rPr>
            </w:pPr>
          </w:p>
        </w:tc>
        <w:tc>
          <w:tcPr>
            <w:tcW w:w="900" w:type="dxa"/>
            <w:vAlign w:val="bottom"/>
          </w:tcPr>
          <w:p>
            <w:pPr>
              <w:spacing w:after="0"/>
              <w:rPr>
                <w:sz w:val="8"/>
                <w:szCs w:val="8"/>
                <w:color w:val="auto"/>
              </w:rPr>
            </w:pPr>
          </w:p>
        </w:tc>
      </w:tr>
      <w:tr>
        <w:trPr>
          <w:trHeight w:val="216"/>
        </w:trPr>
        <w:tc>
          <w:tcPr>
            <w:tcW w:w="1520" w:type="dxa"/>
            <w:vAlign w:val="bottom"/>
            <w:shd w:val="clear" w:color="auto" w:fill="CCEEFF"/>
          </w:tcPr>
          <w:p>
            <w:pPr>
              <w:jc w:val="center"/>
              <w:ind w:left="317"/>
              <w:spacing w:after="0"/>
              <w:rPr>
                <w:sz w:val="20"/>
                <w:szCs w:val="20"/>
                <w:color w:val="auto"/>
              </w:rPr>
            </w:pPr>
            <w:r>
              <w:rPr>
                <w:rFonts w:ascii="Arial" w:cs="Arial" w:eastAsia="Arial" w:hAnsi="Arial"/>
                <w:sz w:val="18"/>
                <w:szCs w:val="18"/>
                <w:color w:val="auto"/>
                <w:w w:val="88"/>
              </w:rPr>
              <w:t>$3.73</w:t>
            </w:r>
          </w:p>
        </w:tc>
        <w:tc>
          <w:tcPr>
            <w:tcW w:w="15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3,611,852</w:t>
            </w:r>
          </w:p>
        </w:tc>
        <w:tc>
          <w:tcPr>
            <w:tcW w:w="1520" w:type="dxa"/>
            <w:vAlign w:val="bottom"/>
            <w:gridSpan w:val="3"/>
            <w:shd w:val="clear" w:color="auto" w:fill="CCEEFF"/>
          </w:tcPr>
          <w:p>
            <w:pPr>
              <w:jc w:val="center"/>
              <w:ind w:left="132"/>
              <w:spacing w:after="0"/>
              <w:rPr>
                <w:sz w:val="20"/>
                <w:szCs w:val="20"/>
                <w:color w:val="auto"/>
              </w:rPr>
            </w:pPr>
            <w:r>
              <w:rPr>
                <w:rFonts w:ascii="Arial" w:cs="Arial" w:eastAsia="Arial" w:hAnsi="Arial"/>
                <w:sz w:val="18"/>
                <w:szCs w:val="18"/>
                <w:color w:val="auto"/>
                <w:w w:val="85"/>
              </w:rPr>
              <w:t>8.40</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1,045,537</w:t>
            </w:r>
          </w:p>
        </w:tc>
        <w:tc>
          <w:tcPr>
            <w:tcW w:w="200" w:type="dxa"/>
            <w:vAlign w:val="bottom"/>
            <w:shd w:val="clear" w:color="auto" w:fill="CCEEFF"/>
          </w:tcPr>
          <w:p>
            <w:pPr>
              <w:spacing w:after="0"/>
              <w:rPr>
                <w:sz w:val="18"/>
                <w:szCs w:val="18"/>
                <w:color w:val="auto"/>
              </w:rPr>
            </w:pPr>
          </w:p>
        </w:tc>
        <w:tc>
          <w:tcPr>
            <w:tcW w:w="9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4"/>
              </w:rPr>
              <w:t>$2.53</w:t>
            </w:r>
          </w:p>
        </w:tc>
      </w:tr>
      <w:tr>
        <w:trPr>
          <w:trHeight w:val="132"/>
        </w:trPr>
        <w:tc>
          <w:tcPr>
            <w:tcW w:w="15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92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c>
          <w:tcPr>
            <w:tcW w:w="9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3399155</wp:posOffset>
            </wp:positionH>
            <wp:positionV relativeFrom="paragraph">
              <wp:posOffset>-29210</wp:posOffset>
            </wp:positionV>
            <wp:extent cx="12700" cy="2984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2816225</wp:posOffset>
            </wp:positionH>
            <wp:positionV relativeFrom="paragraph">
              <wp:posOffset>-29210</wp:posOffset>
            </wp:positionV>
            <wp:extent cx="12700" cy="2984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5088255</wp:posOffset>
            </wp:positionH>
            <wp:positionV relativeFrom="paragraph">
              <wp:posOffset>-29210</wp:posOffset>
            </wp:positionV>
            <wp:extent cx="12700" cy="2984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4505325</wp:posOffset>
            </wp:positionH>
            <wp:positionV relativeFrom="paragraph">
              <wp:posOffset>-29210</wp:posOffset>
            </wp:positionV>
            <wp:extent cx="12700" cy="298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225" w:lineRule="exact"/>
        <w:rPr>
          <w:sz w:val="20"/>
          <w:szCs w:val="20"/>
          <w:color w:val="auto"/>
        </w:rPr>
      </w:pPr>
    </w:p>
    <w:p>
      <w:pPr>
        <w:ind w:left="240" w:right="120"/>
        <w:spacing w:after="0" w:line="268" w:lineRule="auto"/>
        <w:rPr>
          <w:sz w:val="20"/>
          <w:szCs w:val="20"/>
          <w:color w:val="auto"/>
        </w:rPr>
      </w:pPr>
      <w:r>
        <w:rPr>
          <w:rFonts w:ascii="Arial" w:cs="Arial" w:eastAsia="Arial" w:hAnsi="Arial"/>
          <w:sz w:val="18"/>
          <w:szCs w:val="18"/>
          <w:color w:val="auto"/>
        </w:rPr>
        <w:t>At December 31, 2001 and 2000, approximately 1,045,537 and 270,991 stock options were exercisable without the right of repurchase at a weighted average exercise per share of $2.53 and $0.69, respectively.</w:t>
      </w:r>
    </w:p>
    <w:p>
      <w:pPr>
        <w:spacing w:after="0" w:line="11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Fair value disclosures</w:t>
      </w:r>
    </w:p>
    <w:p>
      <w:pPr>
        <w:spacing w:after="0" w:line="164" w:lineRule="exact"/>
        <w:rPr>
          <w:sz w:val="20"/>
          <w:szCs w:val="20"/>
          <w:color w:val="auto"/>
        </w:rPr>
      </w:pPr>
    </w:p>
    <w:p>
      <w:pPr>
        <w:jc w:val="both"/>
        <w:ind w:left="240" w:firstLine="223"/>
        <w:spacing w:after="0" w:line="259" w:lineRule="auto"/>
        <w:rPr>
          <w:sz w:val="20"/>
          <w:szCs w:val="20"/>
          <w:color w:val="auto"/>
        </w:rPr>
      </w:pPr>
      <w:r>
        <w:rPr>
          <w:rFonts w:ascii="Arial" w:cs="Arial" w:eastAsia="Arial" w:hAnsi="Arial"/>
          <w:sz w:val="18"/>
          <w:szCs w:val="18"/>
          <w:color w:val="auto"/>
        </w:rPr>
        <w:t>Had compensation cost for the Company’s stock-based compensation plan been determined based on the fair value at the grant dates for the awards under a method prescribed by SFAS No. 123, the Company’s net loss would have been increased to the pro forma amounts indicated below (in thousands, excerpt per share data):</w:t>
      </w:r>
    </w:p>
    <w:p>
      <w:pPr>
        <w:spacing w:after="0" w:line="122" w:lineRule="exact"/>
        <w:rPr>
          <w:sz w:val="20"/>
          <w:szCs w:val="20"/>
          <w:color w:val="auto"/>
        </w:rPr>
      </w:pPr>
    </w:p>
    <w:p>
      <w:pPr>
        <w:ind w:left="7720"/>
        <w:spacing w:after="0"/>
        <w:rPr>
          <w:sz w:val="20"/>
          <w:szCs w:val="20"/>
          <w:color w:val="auto"/>
        </w:rPr>
      </w:pPr>
      <w:r>
        <w:rPr>
          <w:rFonts w:ascii="Arial" w:cs="Arial" w:eastAsia="Arial" w:hAnsi="Arial"/>
          <w:sz w:val="14"/>
          <w:szCs w:val="14"/>
          <w:b w:val="1"/>
          <w:bCs w:val="1"/>
          <w:color w:val="auto"/>
        </w:rPr>
        <w:t>Years Ended</w:t>
      </w:r>
    </w:p>
    <w:p>
      <w:pPr>
        <w:spacing w:after="0" w:line="1" w:lineRule="exact"/>
        <w:rPr>
          <w:sz w:val="20"/>
          <w:szCs w:val="20"/>
          <w:color w:val="auto"/>
        </w:rPr>
      </w:pPr>
    </w:p>
    <w:p>
      <w:pPr>
        <w:ind w:left="770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4533265</wp:posOffset>
            </wp:positionH>
            <wp:positionV relativeFrom="paragraph">
              <wp:posOffset>60325</wp:posOffset>
            </wp:positionV>
            <wp:extent cx="120904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209040" cy="8890"/>
                    </a:xfrm>
                    <a:prstGeom prst="rect">
                      <a:avLst/>
                    </a:prstGeom>
                    <a:noFill/>
                  </pic:spPr>
                </pic:pic>
              </a:graphicData>
            </a:graphic>
          </wp:anchor>
        </w:drawing>
      </w:r>
    </w:p>
    <w:p>
      <w:pPr>
        <w:spacing w:after="0" w:line="184" w:lineRule="exact"/>
        <w:rPr>
          <w:sz w:val="20"/>
          <w:szCs w:val="20"/>
          <w:color w:val="auto"/>
        </w:rPr>
      </w:pPr>
    </w:p>
    <w:tbl>
      <w:tblPr>
        <w:tblLayout w:type="fixed"/>
        <w:tblInd w:w="2300" w:type="dxa"/>
        <w:tblCellMar>
          <w:top w:w="0" w:type="dxa"/>
          <w:left w:w="0" w:type="dxa"/>
          <w:bottom w:w="0" w:type="dxa"/>
          <w:right w:w="0" w:type="dxa"/>
        </w:tblCellMar>
      </w:tblPr>
      <w:tr>
        <w:trPr>
          <w:trHeight w:val="174"/>
        </w:trPr>
        <w:tc>
          <w:tcPr>
            <w:tcW w:w="40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ind w:left="80"/>
              <w:spacing w:after="0"/>
              <w:rPr>
                <w:sz w:val="20"/>
                <w:szCs w:val="20"/>
                <w:color w:val="auto"/>
              </w:rPr>
            </w:pPr>
            <w:r>
              <w:rPr>
                <w:rFonts w:ascii="Arial" w:cs="Arial" w:eastAsia="Arial" w:hAnsi="Arial"/>
                <w:sz w:val="14"/>
                <w:szCs w:val="14"/>
                <w:b w:val="1"/>
                <w:bCs w:val="1"/>
                <w:color w:val="auto"/>
              </w:rPr>
              <w:t>2001</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ind w:left="100"/>
              <w:spacing w:after="0"/>
              <w:rPr>
                <w:sz w:val="20"/>
                <w:szCs w:val="20"/>
                <w:color w:val="auto"/>
              </w:rPr>
            </w:pPr>
            <w:r>
              <w:rPr>
                <w:rFonts w:ascii="Arial" w:cs="Arial" w:eastAsia="Arial" w:hAnsi="Arial"/>
                <w:sz w:val="14"/>
                <w:szCs w:val="14"/>
                <w:b w:val="1"/>
                <w:bCs w:val="1"/>
                <w:color w:val="auto"/>
              </w:rPr>
              <w:t>2000</w:t>
            </w:r>
          </w:p>
        </w:tc>
        <w:tc>
          <w:tcPr>
            <w:tcW w:w="100" w:type="dxa"/>
            <w:vAlign w:val="bottom"/>
          </w:tcPr>
          <w:p>
            <w:pPr>
              <w:spacing w:after="0"/>
              <w:rPr>
                <w:sz w:val="15"/>
                <w:szCs w:val="15"/>
                <w:color w:val="auto"/>
              </w:rPr>
            </w:pPr>
          </w:p>
        </w:tc>
      </w:tr>
      <w:tr>
        <w:trPr>
          <w:trHeight w:val="95"/>
        </w:trPr>
        <w:tc>
          <w:tcPr>
            <w:tcW w:w="4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100" w:type="dxa"/>
            <w:vAlign w:val="bottom"/>
          </w:tcPr>
          <w:p>
            <w:pPr>
              <w:spacing w:after="0"/>
              <w:rPr>
                <w:sz w:val="8"/>
                <w:szCs w:val="8"/>
                <w:color w:val="auto"/>
              </w:rPr>
            </w:pPr>
          </w:p>
        </w:tc>
      </w:tr>
      <w:tr>
        <w:trPr>
          <w:trHeight w:val="102"/>
        </w:trPr>
        <w:tc>
          <w:tcPr>
            <w:tcW w:w="4000" w:type="dxa"/>
            <w:vAlign w:val="bottom"/>
          </w:tcPr>
          <w:p>
            <w:pPr>
              <w:spacing w:after="0"/>
              <w:rPr>
                <w:sz w:val="8"/>
                <w:szCs w:val="8"/>
                <w:color w:val="auto"/>
              </w:rPr>
            </w:pPr>
          </w:p>
        </w:tc>
        <w:tc>
          <w:tcPr>
            <w:tcW w:w="840" w:type="dxa"/>
            <w:vAlign w:val="bottom"/>
          </w:tcPr>
          <w:p>
            <w:pPr>
              <w:spacing w:after="0"/>
              <w:rPr>
                <w:sz w:val="8"/>
                <w:szCs w:val="8"/>
                <w:color w:val="auto"/>
              </w:rPr>
            </w:pPr>
          </w:p>
        </w:tc>
        <w:tc>
          <w:tcPr>
            <w:tcW w:w="18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1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00" w:type="dxa"/>
            <w:vAlign w:val="bottom"/>
          </w:tcPr>
          <w:p>
            <w:pPr>
              <w:spacing w:after="0"/>
              <w:rPr>
                <w:sz w:val="8"/>
                <w:szCs w:val="8"/>
                <w:color w:val="auto"/>
              </w:rPr>
            </w:pPr>
          </w:p>
        </w:tc>
      </w:tr>
      <w:tr>
        <w:trPr>
          <w:trHeight w:val="216"/>
        </w:trPr>
        <w:tc>
          <w:tcPr>
            <w:tcW w:w="4000" w:type="dxa"/>
            <w:vAlign w:val="bottom"/>
            <w:shd w:val="clear" w:color="auto" w:fill="CCEEFF"/>
          </w:tcPr>
          <w:p>
            <w:pPr>
              <w:spacing w:after="0"/>
              <w:rPr>
                <w:sz w:val="20"/>
                <w:szCs w:val="20"/>
                <w:color w:val="auto"/>
              </w:rPr>
            </w:pPr>
            <w:r>
              <w:rPr>
                <w:rFonts w:ascii="Arial" w:cs="Arial" w:eastAsia="Arial" w:hAnsi="Arial"/>
                <w:sz w:val="18"/>
                <w:szCs w:val="18"/>
                <w:color w:val="auto"/>
              </w:rPr>
              <w:t>Net loss—available to common stockholders</w:t>
            </w:r>
          </w:p>
        </w:tc>
        <w:tc>
          <w:tcPr>
            <w:tcW w:w="8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4000" w:type="dxa"/>
            <w:vAlign w:val="bottom"/>
          </w:tcPr>
          <w:p>
            <w:pPr>
              <w:ind w:left="180"/>
              <w:spacing w:after="0"/>
              <w:rPr>
                <w:sz w:val="20"/>
                <w:szCs w:val="20"/>
                <w:color w:val="auto"/>
              </w:rPr>
            </w:pPr>
            <w:r>
              <w:rPr>
                <w:rFonts w:ascii="Arial" w:cs="Arial" w:eastAsia="Arial" w:hAnsi="Arial"/>
                <w:sz w:val="18"/>
                <w:szCs w:val="18"/>
                <w:color w:val="auto"/>
              </w:rPr>
              <w:t>As reported</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tcPr>
          <w:p>
            <w:pPr>
              <w:ind w:left="80"/>
              <w:spacing w:after="0"/>
              <w:rPr>
                <w:sz w:val="20"/>
                <w:szCs w:val="20"/>
                <w:color w:val="auto"/>
              </w:rPr>
            </w:pPr>
            <w:r>
              <w:rPr>
                <w:rFonts w:ascii="Arial" w:cs="Arial" w:eastAsia="Arial" w:hAnsi="Arial"/>
                <w:sz w:val="18"/>
                <w:szCs w:val="18"/>
                <w:color w:val="auto"/>
              </w:rPr>
              <w:t>(21,578)</w:t>
            </w:r>
          </w:p>
        </w:tc>
        <w:tc>
          <w:tcPr>
            <w:tcW w:w="3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tcPr>
          <w:p>
            <w:pPr>
              <w:ind w:left="100"/>
              <w:spacing w:after="0"/>
              <w:rPr>
                <w:sz w:val="20"/>
                <w:szCs w:val="20"/>
                <w:color w:val="auto"/>
              </w:rPr>
            </w:pPr>
            <w:r>
              <w:rPr>
                <w:rFonts w:ascii="Arial" w:cs="Arial" w:eastAsia="Arial" w:hAnsi="Arial"/>
                <w:sz w:val="18"/>
                <w:szCs w:val="18"/>
                <w:color w:val="auto"/>
                <w:w w:val="92"/>
              </w:rPr>
              <w:t>(30,148)</w:t>
            </w:r>
          </w:p>
        </w:tc>
      </w:tr>
      <w:tr>
        <w:trPr>
          <w:trHeight w:val="216"/>
        </w:trPr>
        <w:tc>
          <w:tcPr>
            <w:tcW w:w="40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Pro forma</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(22,742)</w:t>
            </w:r>
          </w:p>
        </w:tc>
        <w:tc>
          <w:tcPr>
            <w:tcW w:w="3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w w:val="92"/>
              </w:rPr>
              <w:t>(30,896)</w:t>
            </w:r>
          </w:p>
        </w:tc>
      </w:tr>
    </w:tbl>
    <w:p>
      <w:pPr>
        <w:spacing w:after="0" w:line="140" w:lineRule="exact"/>
        <w:rPr>
          <w:sz w:val="20"/>
          <w:szCs w:val="20"/>
          <w:color w:val="auto"/>
        </w:rPr>
      </w:pPr>
    </w:p>
    <w:p>
      <w:pPr>
        <w:ind w:left="240" w:right="40" w:firstLine="223"/>
        <w:spacing w:after="0" w:line="298" w:lineRule="auto"/>
        <w:rPr>
          <w:sz w:val="20"/>
          <w:szCs w:val="20"/>
          <w:color w:val="auto"/>
        </w:rPr>
      </w:pPr>
      <w:r>
        <w:rPr>
          <w:rFonts w:ascii="Arial" w:cs="Arial" w:eastAsia="Arial" w:hAnsi="Arial"/>
          <w:sz w:val="16"/>
          <w:szCs w:val="16"/>
          <w:color w:val="auto"/>
        </w:rPr>
        <w:t>The Company calculated the fair value of each option grant on the date of grant using the Minimum Value pricing method with the following assumptions: dividend yield at zero percent; weighted average expected option term of four years and a risk free interest rate of 3.77% to 6.77% for the years ended December 31, 2001 and 2000, respectively. The exercise prices of all options granted are lower than the deemed fair market value at the time of grant. The weighted average fair value of options granted during the years ended December 31, 2001 and 2000 was $1.30 and $2.81, respectively.</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269" w:right="279" w:bottom="1440" w:gutter="0" w:footer="0" w:header="0"/>
        </w:sectPr>
      </w:pPr>
    </w:p>
    <w:bookmarkStart w:id="32" w:name="page33"/>
    <w:bookmarkEnd w:id="3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63500</wp:posOffset>
            </wp:positionV>
            <wp:extent cx="724662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2" w:lineRule="exact"/>
        <w:rPr>
          <w:sz w:val="20"/>
          <w:szCs w:val="20"/>
          <w:color w:val="auto"/>
        </w:rPr>
      </w:pPr>
    </w:p>
    <w:p>
      <w:pPr>
        <w:jc w:val="both"/>
        <w:ind w:left="240" w:right="300"/>
        <w:spacing w:after="0" w:line="306" w:lineRule="auto"/>
        <w:rPr>
          <w:sz w:val="20"/>
          <w:szCs w:val="20"/>
          <w:color w:val="auto"/>
        </w:rPr>
      </w:pPr>
      <w:r>
        <w:rPr>
          <w:rFonts w:ascii="Arial" w:cs="Arial" w:eastAsia="Arial" w:hAnsi="Arial"/>
          <w:sz w:val="16"/>
          <w:szCs w:val="16"/>
          <w:color w:val="auto"/>
        </w:rPr>
        <w:t>In October 2000, the Company entered into separate change of control severance agreements with four officers. Under these agreements, upon a change of control, the greater of a specified number of previously granted stock options or 25% of their unvested shares will immediately vest. If they are terminated without cause or constructively terminated within 12 months following a change of control, their options will vest immediately.</w:t>
      </w:r>
    </w:p>
    <w:p>
      <w:pPr>
        <w:spacing w:after="0" w:line="93" w:lineRule="exact"/>
        <w:rPr>
          <w:sz w:val="20"/>
          <w:szCs w:val="20"/>
          <w:color w:val="auto"/>
        </w:rPr>
      </w:pPr>
    </w:p>
    <w:p>
      <w:pPr>
        <w:ind w:left="240" w:right="220"/>
        <w:spacing w:after="0" w:line="294" w:lineRule="auto"/>
        <w:rPr>
          <w:sz w:val="20"/>
          <w:szCs w:val="20"/>
          <w:color w:val="auto"/>
        </w:rPr>
      </w:pPr>
      <w:r>
        <w:rPr>
          <w:rFonts w:ascii="Arial" w:cs="Arial" w:eastAsia="Arial" w:hAnsi="Arial"/>
          <w:sz w:val="16"/>
          <w:szCs w:val="16"/>
          <w:color w:val="auto"/>
        </w:rPr>
        <w:t>These agreements were modifications to the terms of the original grants so they create a new measurement date for the shares effected. Any additional compensation charge will be taken when and if the officers achieve a benefit from the change (i.e. if a change in control or termination occurs). Under these change in control agreements, 441,674 shares remaining at December 31, 2001 were modified resulting in a contingent additional maximum compensation charge of $1.6 million at December 31,2001. The recognition of the compensation charge, if any, depends on whether the employee ultimately retains an option award that would have been otherwise forfeited under the option or award’s original vesting terms.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Employee Benefit Plans</w:t>
      </w:r>
    </w:p>
    <w:p>
      <w:pPr>
        <w:spacing w:after="0" w:line="164" w:lineRule="exact"/>
        <w:rPr>
          <w:sz w:val="20"/>
          <w:szCs w:val="20"/>
          <w:color w:val="auto"/>
        </w:rPr>
      </w:pPr>
    </w:p>
    <w:p>
      <w:pPr>
        <w:ind w:left="240" w:right="400" w:firstLine="223"/>
        <w:spacing w:after="0" w:line="332" w:lineRule="auto"/>
        <w:rPr>
          <w:sz w:val="20"/>
          <w:szCs w:val="20"/>
          <w:color w:val="auto"/>
        </w:rPr>
      </w:pPr>
      <w:r>
        <w:rPr>
          <w:rFonts w:ascii="Arial" w:cs="Arial" w:eastAsia="Arial" w:hAnsi="Arial"/>
          <w:sz w:val="16"/>
          <w:szCs w:val="16"/>
          <w:color w:val="auto"/>
        </w:rPr>
        <w:t>The Company sponsors a 401(k) defined contribution plan covering all employees. Contributions made by the Company are determined annually on a discretionary basis by the Board of Directors. There have been no Company contributions as of December 31, 2001 and 2000.</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Subsequent Events</w:t>
      </w:r>
    </w:p>
    <w:p>
      <w:pPr>
        <w:spacing w:after="0" w:line="164" w:lineRule="exact"/>
        <w:rPr>
          <w:sz w:val="20"/>
          <w:szCs w:val="20"/>
          <w:color w:val="auto"/>
        </w:rPr>
      </w:pPr>
    </w:p>
    <w:p>
      <w:pPr>
        <w:ind w:left="240" w:firstLine="223"/>
        <w:spacing w:after="0" w:line="294" w:lineRule="auto"/>
        <w:rPr>
          <w:sz w:val="20"/>
          <w:szCs w:val="20"/>
          <w:color w:val="auto"/>
        </w:rPr>
      </w:pPr>
      <w:r>
        <w:rPr>
          <w:rFonts w:ascii="Arial" w:cs="Arial" w:eastAsia="Arial" w:hAnsi="Arial"/>
          <w:sz w:val="16"/>
          <w:szCs w:val="16"/>
          <w:color w:val="auto"/>
        </w:rPr>
        <w:t>On May 29, 2002, the Company entered into a one year $3,500,000 revolving line of credit agreement and a $1,500,000 equipment line of credit agreement with a financial institution. Borrowings against the revolving line of credit bear interest at an annual rate equal to the prime rate and are payable monthly, if insufficient borrowing base is available. Borrowings against the equipment line of credit bear interest at a rate of 0.25% per annum in excess of the prime rate and are payable monthly. As of May 31, 2002, the outstanding balance under the equipment line of credit totaled $737,000. The proceeds from the equipment line were used to pay-off the outstanding balance of the Company’s equipment line of credit with another financial institution (see Note 6).</w:t>
      </w:r>
    </w:p>
    <w:p>
      <w:pPr>
        <w:spacing w:after="0" w:line="102" w:lineRule="exact"/>
        <w:rPr>
          <w:sz w:val="20"/>
          <w:szCs w:val="20"/>
          <w:color w:val="auto"/>
        </w:rPr>
      </w:pPr>
    </w:p>
    <w:p>
      <w:pPr>
        <w:ind w:left="240" w:right="560" w:firstLine="223"/>
        <w:spacing w:after="0" w:line="332" w:lineRule="auto"/>
        <w:rPr>
          <w:sz w:val="20"/>
          <w:szCs w:val="20"/>
          <w:color w:val="auto"/>
        </w:rPr>
      </w:pPr>
      <w:r>
        <w:rPr>
          <w:rFonts w:ascii="Arial" w:cs="Arial" w:eastAsia="Arial" w:hAnsi="Arial"/>
          <w:sz w:val="16"/>
          <w:szCs w:val="16"/>
          <w:color w:val="auto"/>
        </w:rPr>
        <w:t>The amounts outstanding under the new revolving and equipment lines of credit are collateralized by certain assets of the Company. In addition, the Company is required to maintain certain financial covenants including minimum modified quick ratio and minimum net income.</w:t>
      </w:r>
    </w:p>
    <w:p>
      <w:pPr>
        <w:spacing w:after="0" w:line="72" w:lineRule="exact"/>
        <w:rPr>
          <w:sz w:val="20"/>
          <w:szCs w:val="20"/>
          <w:color w:val="auto"/>
        </w:rPr>
      </w:pPr>
    </w:p>
    <w:p>
      <w:pPr>
        <w:ind w:left="240" w:right="140" w:firstLine="223"/>
        <w:spacing w:after="0" w:line="259" w:lineRule="auto"/>
        <w:rPr>
          <w:sz w:val="20"/>
          <w:szCs w:val="20"/>
          <w:color w:val="auto"/>
        </w:rPr>
      </w:pPr>
      <w:r>
        <w:rPr>
          <w:rFonts w:ascii="Arial" w:cs="Arial" w:eastAsia="Arial" w:hAnsi="Arial"/>
          <w:sz w:val="18"/>
          <w:szCs w:val="18"/>
          <w:color w:val="auto"/>
        </w:rPr>
        <w:t>In connection with the revolving and equipment line of credit agreements, the Company issued to the financial institution, warrants to purchase 15,000 shares of the Company’s common stock or preferred stock, if preferred stock is issued within one year from the date of issuance. The warrants expire in May 2009.</w:t>
      </w:r>
    </w:p>
    <w:p>
      <w:pPr>
        <w:spacing w:after="0" w:line="127" w:lineRule="exact"/>
        <w:rPr>
          <w:sz w:val="20"/>
          <w:szCs w:val="20"/>
          <w:color w:val="auto"/>
        </w:rPr>
      </w:pPr>
    </w:p>
    <w:p>
      <w:pPr>
        <w:ind w:left="240" w:right="200" w:firstLine="223"/>
        <w:spacing w:after="0" w:line="268" w:lineRule="auto"/>
        <w:rPr>
          <w:sz w:val="20"/>
          <w:szCs w:val="20"/>
          <w:color w:val="auto"/>
        </w:rPr>
      </w:pPr>
      <w:r>
        <w:rPr>
          <w:rFonts w:ascii="Arial" w:cs="Arial" w:eastAsia="Arial" w:hAnsi="Arial"/>
          <w:sz w:val="18"/>
          <w:szCs w:val="18"/>
          <w:color w:val="auto"/>
        </w:rPr>
        <w:t>Subsequent to December 31, 2001, the Company’s Board of Directors approved an increase in the number of shares of common stock for issuance under the Company’s 1998 Incentive Stock Option Plan to 6,536,000.</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400"/>
          </w:cols>
          <w:pgMar w:left="240" w:top="269" w:right="25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99.3</w:t>
      </w:r>
    </w:p>
    <w:p>
      <w:pPr>
        <w:spacing w:after="0" w:line="158" w:lineRule="exact"/>
        <w:rPr>
          <w:sz w:val="20"/>
          <w:szCs w:val="20"/>
          <w:color w:val="auto"/>
        </w:rPr>
      </w:pPr>
    </w:p>
    <w:p>
      <w:pPr>
        <w:ind w:left="3720"/>
        <w:spacing w:after="0"/>
        <w:rPr>
          <w:sz w:val="20"/>
          <w:szCs w:val="20"/>
          <w:color w:val="auto"/>
        </w:rPr>
      </w:pPr>
      <w:r>
        <w:rPr>
          <w:rFonts w:ascii="Arial" w:cs="Arial" w:eastAsia="Arial" w:hAnsi="Arial"/>
          <w:sz w:val="18"/>
          <w:szCs w:val="18"/>
          <w:b w:val="1"/>
          <w:bCs w:val="1"/>
          <w:color w:val="auto"/>
        </w:rPr>
        <w:t>Silicon Energy Corp.</w:t>
      </w:r>
    </w:p>
    <w:p>
      <w:pPr>
        <w:spacing w:after="0" w:line="77"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Condensed Consolidated Financial Statements</w:t>
      </w:r>
    </w:p>
    <w:p>
      <w:pPr>
        <w:spacing w:after="0" w:line="21" w:lineRule="exact"/>
        <w:rPr>
          <w:sz w:val="20"/>
          <w:szCs w:val="20"/>
          <w:color w:val="auto"/>
        </w:rPr>
      </w:pPr>
    </w:p>
    <w:p>
      <w:pPr>
        <w:jc w:val="center"/>
        <w:ind w:right="1200"/>
        <w:spacing w:after="0"/>
        <w:rPr>
          <w:sz w:val="20"/>
          <w:szCs w:val="20"/>
          <w:color w:val="auto"/>
        </w:rPr>
      </w:pPr>
      <w:r>
        <w:rPr>
          <w:rFonts w:ascii="Arial" w:cs="Arial" w:eastAsia="Arial" w:hAnsi="Arial"/>
          <w:sz w:val="15"/>
          <w:szCs w:val="15"/>
          <w:b w:val="1"/>
          <w:bCs w:val="1"/>
          <w:color w:val="auto"/>
        </w:rPr>
        <w:t>For the Nine Months Ended September 30, 2002 and 2001</w:t>
      </w:r>
    </w:p>
    <w:p>
      <w:pPr>
        <w:spacing w:after="0" w:line="44" w:lineRule="exact"/>
        <w:rPr>
          <w:sz w:val="20"/>
          <w:szCs w:val="20"/>
          <w:color w:val="auto"/>
        </w:rPr>
      </w:pPr>
    </w:p>
    <w:p>
      <w:pPr>
        <w:jc w:val="center"/>
        <w:ind w:right="1200"/>
        <w:spacing w:after="0"/>
        <w:rPr>
          <w:sz w:val="20"/>
          <w:szCs w:val="20"/>
          <w:color w:val="auto"/>
        </w:rPr>
      </w:pPr>
      <w:r>
        <w:rPr>
          <w:rFonts w:ascii="Arial" w:cs="Arial" w:eastAsia="Arial" w:hAnsi="Arial"/>
          <w:sz w:val="18"/>
          <w:szCs w:val="18"/>
          <w:b w:val="1"/>
          <w:bCs w:val="1"/>
          <w:color w:val="auto"/>
        </w:rPr>
        <w:t>(Unaudited)</w:t>
      </w:r>
    </w:p>
    <w:p>
      <w:pPr>
        <w:sectPr>
          <w:pgSz w:w="11900" w:h="16838" w:orient="portrait"/>
          <w:cols w:equalWidth="0" w:num="1">
            <w:col w:w="10220"/>
          </w:cols>
          <w:pgMar w:left="1440" w:top="274" w:right="239" w:bottom="1440" w:gutter="0" w:footer="0" w:header="0"/>
        </w:sectPr>
      </w:pPr>
    </w:p>
    <w:bookmarkStart w:id="34" w:name="page35"/>
    <w:bookmarkEnd w:id="34"/>
    <w:p>
      <w:pPr>
        <w:ind w:left="490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77"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Index to Condensed Consolidated Financial Statements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476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280" w:type="dxa"/>
            <w:vAlign w:val="bottom"/>
          </w:tcPr>
          <w:p>
            <w:pPr>
              <w:jc w:val="right"/>
              <w:spacing w:after="0"/>
              <w:rPr>
                <w:sz w:val="20"/>
                <w:szCs w:val="20"/>
                <w:color w:val="auto"/>
              </w:rPr>
            </w:pPr>
            <w:r>
              <w:rPr>
                <w:rFonts w:ascii="Arial" w:cs="Arial" w:eastAsia="Arial" w:hAnsi="Arial"/>
                <w:sz w:val="14"/>
                <w:szCs w:val="14"/>
                <w:b w:val="1"/>
                <w:bCs w:val="1"/>
                <w:color w:val="auto"/>
                <w:w w:val="77"/>
              </w:rPr>
              <w:t>Page</w:t>
            </w:r>
          </w:p>
        </w:tc>
      </w:tr>
      <w:tr>
        <w:trPr>
          <w:trHeight w:val="95"/>
        </w:trPr>
        <w:tc>
          <w:tcPr>
            <w:tcW w:w="4760" w:type="dxa"/>
            <w:vAlign w:val="bottom"/>
          </w:tcPr>
          <w:p>
            <w:pPr>
              <w:spacing w:after="0"/>
              <w:rPr>
                <w:sz w:val="8"/>
                <w:szCs w:val="8"/>
                <w:color w:val="auto"/>
              </w:rPr>
            </w:pPr>
          </w:p>
        </w:tc>
        <w:tc>
          <w:tcPr>
            <w:tcW w:w="636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r>
      <w:tr>
        <w:trPr>
          <w:trHeight w:val="309"/>
        </w:trPr>
        <w:tc>
          <w:tcPr>
            <w:tcW w:w="4760" w:type="dxa"/>
            <w:vAlign w:val="bottom"/>
          </w:tcPr>
          <w:p>
            <w:pPr>
              <w:spacing w:after="0"/>
              <w:rPr>
                <w:sz w:val="20"/>
                <w:szCs w:val="20"/>
                <w:color w:val="auto"/>
              </w:rPr>
            </w:pPr>
            <w:r>
              <w:rPr>
                <w:rFonts w:ascii="Arial" w:cs="Arial" w:eastAsia="Arial" w:hAnsi="Arial"/>
                <w:sz w:val="18"/>
                <w:szCs w:val="18"/>
                <w:color w:val="auto"/>
              </w:rPr>
              <w:t>Condensed Consolidated Balance Sheets</w:t>
            </w: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Condensed Consolidated Statements of Operations</w:t>
            </w: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16"/>
        </w:trPr>
        <w:tc>
          <w:tcPr>
            <w:tcW w:w="4760" w:type="dxa"/>
            <w:vAlign w:val="bottom"/>
          </w:tcPr>
          <w:p>
            <w:pPr>
              <w:spacing w:after="0"/>
              <w:rPr>
                <w:sz w:val="20"/>
                <w:szCs w:val="20"/>
                <w:color w:val="auto"/>
              </w:rPr>
            </w:pPr>
            <w:r>
              <w:rPr>
                <w:rFonts w:ascii="Arial" w:cs="Arial" w:eastAsia="Arial" w:hAnsi="Arial"/>
                <w:sz w:val="18"/>
                <w:szCs w:val="18"/>
                <w:color w:val="auto"/>
              </w:rPr>
              <w:t>Condensed Consolidated Statements of Cash Flows</w:t>
            </w: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22"/>
        </w:trPr>
        <w:tc>
          <w:tcPr>
            <w:tcW w:w="4760" w:type="dxa"/>
            <w:vAlign w:val="bottom"/>
          </w:tcPr>
          <w:p>
            <w:pPr>
              <w:spacing w:after="0"/>
              <w:rPr>
                <w:sz w:val="20"/>
                <w:szCs w:val="20"/>
                <w:color w:val="auto"/>
              </w:rPr>
            </w:pPr>
            <w:r>
              <w:rPr>
                <w:rFonts w:ascii="Arial" w:cs="Arial" w:eastAsia="Arial" w:hAnsi="Arial"/>
                <w:sz w:val="18"/>
                <w:szCs w:val="18"/>
                <w:color w:val="auto"/>
              </w:rPr>
              <w:t>Notes to Condensed Consolidated Financial Statements</w:t>
            </w:r>
          </w:p>
        </w:tc>
        <w:tc>
          <w:tcPr>
            <w:tcW w:w="6640" w:type="dxa"/>
            <w:vAlign w:val="bottom"/>
            <w:gridSpan w:val="2"/>
          </w:tcPr>
          <w:p>
            <w:pPr>
              <w:jc w:val="right"/>
              <w:spacing w:after="0"/>
              <w:rPr>
                <w:sz w:val="20"/>
                <w:szCs w:val="20"/>
                <w:color w:val="auto"/>
              </w:rPr>
            </w:pPr>
            <w:r>
              <w:rPr>
                <w:rFonts w:ascii="Arial" w:cs="Arial" w:eastAsia="Arial" w:hAnsi="Arial"/>
                <w:sz w:val="18"/>
                <w:szCs w:val="18"/>
                <w:color w:val="auto"/>
              </w:rPr>
              <w:t>5</w:t>
            </w:r>
          </w:p>
        </w:tc>
      </w:tr>
      <w:tr>
        <w:trPr>
          <w:trHeight w:val="365"/>
        </w:trPr>
        <w:tc>
          <w:tcPr>
            <w:tcW w:w="4760" w:type="dxa"/>
            <w:vAlign w:val="bottom"/>
          </w:tcPr>
          <w:p>
            <w:pPr>
              <w:spacing w:after="0"/>
              <w:rPr>
                <w:sz w:val="24"/>
                <w:szCs w:val="24"/>
                <w:color w:val="auto"/>
              </w:rPr>
            </w:pPr>
          </w:p>
        </w:tc>
        <w:tc>
          <w:tcPr>
            <w:tcW w:w="6360" w:type="dxa"/>
            <w:vAlign w:val="bottom"/>
          </w:tcPr>
          <w:p>
            <w:pPr>
              <w:jc w:val="right"/>
              <w:ind w:right="5292"/>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24"/>
                <w:szCs w:val="24"/>
                <w:color w:val="auto"/>
              </w:rPr>
            </w:pPr>
          </w:p>
        </w:tc>
      </w:tr>
    </w:tbl>
    <w:p>
      <w:pPr>
        <w:sectPr>
          <w:pgSz w:w="11900" w:h="16838" w:orient="portrait"/>
          <w:cols w:equalWidth="0" w:num="1">
            <w:col w:w="11400"/>
          </w:cols>
          <w:pgMar w:left="260" w:top="422" w:right="239" w:bottom="1440" w:gutter="0" w:footer="0" w:header="0"/>
        </w:sectPr>
      </w:pPr>
    </w:p>
    <w:bookmarkStart w:id="35" w:name="page36"/>
    <w:bookmarkEnd w:id="3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 except share amounts)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gridSpan w:val="3"/>
          </w:tcPr>
          <w:p>
            <w:pPr>
              <w:jc w:val="right"/>
              <w:ind w:right="100"/>
              <w:spacing w:after="0"/>
              <w:rPr>
                <w:sz w:val="20"/>
                <w:szCs w:val="20"/>
                <w:color w:val="auto"/>
              </w:rPr>
            </w:pPr>
            <w:r>
              <w:rPr>
                <w:rFonts w:ascii="Arial" w:cs="Arial" w:eastAsia="Arial" w:hAnsi="Arial"/>
                <w:sz w:val="14"/>
                <w:szCs w:val="14"/>
                <w:b w:val="1"/>
                <w:bCs w:val="1"/>
                <w:color w:val="auto"/>
                <w:w w:val="87"/>
              </w:rPr>
              <w:t>December 31,</w:t>
            </w:r>
          </w:p>
        </w:tc>
      </w:tr>
      <w:tr>
        <w:trPr>
          <w:trHeight w:val="174"/>
        </w:trPr>
        <w:tc>
          <w:tcPr>
            <w:tcW w:w="924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50" w:type="dxa"/>
            <w:vAlign w:val="bottom"/>
          </w:tcPr>
          <w:p>
            <w:pPr>
              <w:jc w:val="right"/>
              <w:ind w:right="213"/>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Pr>
          <w:p>
            <w:pPr>
              <w:jc w:val="right"/>
              <w:ind w:right="193"/>
              <w:spacing w:after="0"/>
              <w:rPr>
                <w:sz w:val="20"/>
                <w:szCs w:val="20"/>
                <w:color w:val="auto"/>
              </w:rPr>
            </w:pPr>
            <w:r>
              <w:rPr>
                <w:rFonts w:ascii="Arial" w:cs="Arial" w:eastAsia="Arial" w:hAnsi="Arial"/>
                <w:sz w:val="14"/>
                <w:szCs w:val="14"/>
                <w:b w:val="1"/>
                <w:bCs w:val="1"/>
                <w:color w:val="auto"/>
              </w:rPr>
              <w:t>2001</w:t>
            </w:r>
          </w:p>
        </w:tc>
        <w:tc>
          <w:tcPr>
            <w:tcW w:w="80" w:type="dxa"/>
            <w:vAlign w:val="bottom"/>
          </w:tcPr>
          <w:p>
            <w:pPr>
              <w:spacing w:after="0"/>
              <w:rPr>
                <w:sz w:val="15"/>
                <w:szCs w:val="15"/>
                <w:color w:val="auto"/>
              </w:rPr>
            </w:pPr>
          </w:p>
        </w:tc>
      </w:tr>
      <w:tr>
        <w:trPr>
          <w:trHeight w:val="95"/>
        </w:trPr>
        <w:tc>
          <w:tcPr>
            <w:tcW w:w="92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5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9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1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80" w:type="dxa"/>
            <w:vAlign w:val="bottom"/>
            <w:shd w:val="clear" w:color="auto" w:fill="CCEEFF"/>
          </w:tcPr>
          <w:p>
            <w:pPr>
              <w:spacing w:after="0"/>
              <w:rPr>
                <w:sz w:val="18"/>
                <w:szCs w:val="18"/>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Restricted cash equivalents</w:t>
            </w:r>
          </w:p>
        </w:tc>
        <w:tc>
          <w:tcPr>
            <w:tcW w:w="110" w:type="dxa"/>
            <w:vAlign w:val="bottom"/>
          </w:tcPr>
          <w:p>
            <w:pPr>
              <w:spacing w:after="0"/>
              <w:rPr>
                <w:sz w:val="18"/>
                <w:szCs w:val="18"/>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104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104</w:t>
            </w:r>
          </w:p>
        </w:tc>
        <w:tc>
          <w:tcPr>
            <w:tcW w:w="80" w:type="dxa"/>
            <w:vAlign w:val="bottom"/>
          </w:tcPr>
          <w:p>
            <w:pPr>
              <w:spacing w:after="0"/>
              <w:rPr>
                <w:sz w:val="18"/>
                <w:szCs w:val="18"/>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receivable, net of allowance of $215 and $340 for 2002 and 2001, respectively</w:t>
            </w: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6,634</w:t>
            </w:r>
          </w:p>
        </w:tc>
        <w:tc>
          <w:tcPr>
            <w:tcW w:w="80" w:type="dxa"/>
            <w:vAlign w:val="bottom"/>
            <w:shd w:val="clear" w:color="auto" w:fill="CCEEFF"/>
          </w:tcPr>
          <w:p>
            <w:pPr>
              <w:spacing w:after="0"/>
              <w:rPr>
                <w:sz w:val="18"/>
                <w:szCs w:val="18"/>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Costs in excess of billings</w:t>
            </w:r>
          </w:p>
        </w:tc>
        <w:tc>
          <w:tcPr>
            <w:tcW w:w="110" w:type="dxa"/>
            <w:vAlign w:val="bottom"/>
          </w:tcPr>
          <w:p>
            <w:pPr>
              <w:spacing w:after="0"/>
              <w:rPr>
                <w:sz w:val="18"/>
                <w:szCs w:val="18"/>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673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261</w:t>
            </w:r>
          </w:p>
        </w:tc>
        <w:tc>
          <w:tcPr>
            <w:tcW w:w="80" w:type="dxa"/>
            <w:vAlign w:val="bottom"/>
          </w:tcPr>
          <w:p>
            <w:pPr>
              <w:spacing w:after="0"/>
              <w:rPr>
                <w:sz w:val="18"/>
                <w:szCs w:val="18"/>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1,953</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80" w:type="dxa"/>
            <w:vAlign w:val="bottom"/>
            <w:shd w:val="clear" w:color="auto" w:fill="CCEEFF"/>
          </w:tcPr>
          <w:p>
            <w:pPr>
              <w:spacing w:after="0"/>
              <w:rPr>
                <w:sz w:val="18"/>
                <w:szCs w:val="18"/>
                <w:color w:val="auto"/>
              </w:rPr>
            </w:pPr>
          </w:p>
        </w:tc>
      </w:tr>
      <w:tr>
        <w:trPr>
          <w:trHeight w:val="108"/>
        </w:trPr>
        <w:tc>
          <w:tcPr>
            <w:tcW w:w="92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9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current assets</w:t>
            </w: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15,193</w:t>
            </w:r>
          </w:p>
        </w:tc>
        <w:tc>
          <w:tcPr>
            <w:tcW w:w="80" w:type="dxa"/>
            <w:vAlign w:val="bottom"/>
            <w:shd w:val="clear" w:color="auto" w:fill="CCEEFF"/>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Property and equipment, net</w:t>
            </w:r>
          </w:p>
        </w:tc>
        <w:tc>
          <w:tcPr>
            <w:tcW w:w="110" w:type="dxa"/>
            <w:vAlign w:val="bottom"/>
          </w:tcPr>
          <w:p>
            <w:pPr>
              <w:spacing w:after="0"/>
              <w:rPr>
                <w:sz w:val="18"/>
                <w:szCs w:val="18"/>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1,738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2,961</w:t>
            </w:r>
          </w:p>
        </w:tc>
        <w:tc>
          <w:tcPr>
            <w:tcW w:w="80" w:type="dxa"/>
            <w:vAlign w:val="bottom"/>
          </w:tcPr>
          <w:p>
            <w:pPr>
              <w:spacing w:after="0"/>
              <w:rPr>
                <w:sz w:val="18"/>
                <w:szCs w:val="1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80" w:type="dxa"/>
            <w:vAlign w:val="bottom"/>
            <w:shd w:val="clear" w:color="auto" w:fill="CCEEFF"/>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Other identifiable intangibles, net</w:t>
            </w:r>
          </w:p>
        </w:tc>
        <w:tc>
          <w:tcPr>
            <w:tcW w:w="110" w:type="dxa"/>
            <w:vAlign w:val="bottom"/>
          </w:tcPr>
          <w:p>
            <w:pPr>
              <w:spacing w:after="0"/>
              <w:rPr>
                <w:sz w:val="18"/>
                <w:szCs w:val="18"/>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1,356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1,860</w:t>
            </w:r>
          </w:p>
        </w:tc>
        <w:tc>
          <w:tcPr>
            <w:tcW w:w="80" w:type="dxa"/>
            <w:vAlign w:val="bottom"/>
          </w:tcPr>
          <w:p>
            <w:pPr>
              <w:spacing w:after="0"/>
              <w:rPr>
                <w:sz w:val="18"/>
                <w:szCs w:val="1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80" w:type="dxa"/>
            <w:vAlign w:val="bottom"/>
            <w:shd w:val="clear" w:color="auto" w:fill="CCEEFF"/>
          </w:tcPr>
          <w:p>
            <w:pPr>
              <w:spacing w:after="0"/>
              <w:rPr>
                <w:sz w:val="18"/>
                <w:szCs w:val="18"/>
                <w:color w:val="auto"/>
              </w:rPr>
            </w:pPr>
          </w:p>
        </w:tc>
      </w:tr>
      <w:tr>
        <w:trPr>
          <w:trHeight w:val="108"/>
        </w:trPr>
        <w:tc>
          <w:tcPr>
            <w:tcW w:w="92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9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assets</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w:t>
            </w:r>
          </w:p>
        </w:tc>
        <w:tc>
          <w:tcPr>
            <w:tcW w:w="80" w:type="dxa"/>
            <w:vAlign w:val="bottom"/>
            <w:shd w:val="clear" w:color="auto" w:fill="CCEEFF"/>
          </w:tcPr>
          <w:p>
            <w:pPr>
              <w:spacing w:after="0"/>
              <w:rPr>
                <w:sz w:val="18"/>
                <w:szCs w:val="18"/>
                <w:color w:val="auto"/>
              </w:rPr>
            </w:pPr>
          </w:p>
        </w:tc>
      </w:tr>
      <w:tr>
        <w:trPr>
          <w:trHeight w:val="132"/>
        </w:trPr>
        <w:tc>
          <w:tcPr>
            <w:tcW w:w="92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5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r>
        <w:trPr>
          <w:trHeight w:val="105"/>
        </w:trPr>
        <w:tc>
          <w:tcPr>
            <w:tcW w:w="9240" w:type="dxa"/>
            <w:vAlign w:val="bottom"/>
          </w:tcPr>
          <w:p>
            <w:pPr>
              <w:spacing w:after="0"/>
              <w:rPr>
                <w:sz w:val="9"/>
                <w:szCs w:val="9"/>
                <w:color w:val="auto"/>
              </w:rPr>
            </w:pPr>
          </w:p>
        </w:tc>
        <w:tc>
          <w:tcPr>
            <w:tcW w:w="110" w:type="dxa"/>
            <w:vAlign w:val="bottom"/>
          </w:tcPr>
          <w:p>
            <w:pPr>
              <w:spacing w:after="0"/>
              <w:rPr>
                <w:sz w:val="9"/>
                <w:szCs w:val="9"/>
                <w:color w:val="auto"/>
              </w:rPr>
            </w:pPr>
          </w:p>
        </w:tc>
        <w:tc>
          <w:tcPr>
            <w:tcW w:w="750" w:type="dxa"/>
            <w:vAlign w:val="bottom"/>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Pr>
          <w:p>
            <w:pPr>
              <w:spacing w:after="0"/>
              <w:rPr>
                <w:sz w:val="9"/>
                <w:szCs w:val="9"/>
                <w:color w:val="auto"/>
              </w:rPr>
            </w:pPr>
          </w:p>
        </w:tc>
        <w:tc>
          <w:tcPr>
            <w:tcW w:w="740" w:type="dxa"/>
            <w:vAlign w:val="bottom"/>
          </w:tcPr>
          <w:p>
            <w:pPr>
              <w:spacing w:after="0"/>
              <w:rPr>
                <w:sz w:val="9"/>
                <w:szCs w:val="9"/>
                <w:color w:val="auto"/>
              </w:rPr>
            </w:pPr>
          </w:p>
        </w:tc>
        <w:tc>
          <w:tcPr>
            <w:tcW w:w="80" w:type="dxa"/>
            <w:vAlign w:val="bottom"/>
          </w:tcPr>
          <w:p>
            <w:pPr>
              <w:spacing w:after="0"/>
              <w:rPr>
                <w:sz w:val="9"/>
                <w:szCs w:val="9"/>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redeemable convertible preferred stock and stockholders’ deficit</w:t>
            </w: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1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Accounts payable</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644</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635</w:t>
            </w:r>
          </w:p>
        </w:tc>
        <w:tc>
          <w:tcPr>
            <w:tcW w:w="80" w:type="dxa"/>
            <w:vAlign w:val="bottom"/>
            <w:shd w:val="clear" w:color="auto" w:fill="CCEEFF"/>
          </w:tcPr>
          <w:p>
            <w:pPr>
              <w:spacing w:after="0"/>
              <w:rPr>
                <w:sz w:val="18"/>
                <w:szCs w:val="18"/>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Accrued and other current liabilities</w:t>
            </w:r>
          </w:p>
        </w:tc>
        <w:tc>
          <w:tcPr>
            <w:tcW w:w="110" w:type="dxa"/>
            <w:vAlign w:val="bottom"/>
          </w:tcPr>
          <w:p>
            <w:pPr>
              <w:spacing w:after="0"/>
              <w:rPr>
                <w:sz w:val="18"/>
                <w:szCs w:val="18"/>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2,891</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4,234</w:t>
            </w:r>
          </w:p>
        </w:tc>
        <w:tc>
          <w:tcPr>
            <w:tcW w:w="80" w:type="dxa"/>
            <w:vAlign w:val="bottom"/>
          </w:tcPr>
          <w:p>
            <w:pPr>
              <w:spacing w:after="0"/>
              <w:rPr>
                <w:sz w:val="18"/>
                <w:szCs w:val="18"/>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revenue</w:t>
            </w: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5,006</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7,429</w:t>
            </w:r>
          </w:p>
        </w:tc>
        <w:tc>
          <w:tcPr>
            <w:tcW w:w="80" w:type="dxa"/>
            <w:vAlign w:val="bottom"/>
            <w:shd w:val="clear" w:color="auto" w:fill="CCEEFF"/>
          </w:tcPr>
          <w:p>
            <w:pPr>
              <w:spacing w:after="0"/>
              <w:rPr>
                <w:sz w:val="18"/>
                <w:szCs w:val="18"/>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Bank borrowings</w:t>
            </w:r>
          </w:p>
        </w:tc>
        <w:tc>
          <w:tcPr>
            <w:tcW w:w="110" w:type="dxa"/>
            <w:vAlign w:val="bottom"/>
          </w:tcPr>
          <w:p>
            <w:pPr>
              <w:spacing w:after="0"/>
              <w:rPr>
                <w:sz w:val="18"/>
                <w:szCs w:val="18"/>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606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871</w:t>
            </w:r>
          </w:p>
        </w:tc>
        <w:tc>
          <w:tcPr>
            <w:tcW w:w="80" w:type="dxa"/>
            <w:vAlign w:val="bottom"/>
          </w:tcPr>
          <w:p>
            <w:pPr>
              <w:spacing w:after="0"/>
              <w:rPr>
                <w:sz w:val="18"/>
                <w:szCs w:val="18"/>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Convertible notes</w:t>
            </w: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3,768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9240" w:type="dxa"/>
            <w:vAlign w:val="bottom"/>
          </w:tcPr>
          <w:p>
            <w:pPr>
              <w:ind w:left="380"/>
              <w:spacing w:after="0"/>
              <w:rPr>
                <w:sz w:val="20"/>
                <w:szCs w:val="20"/>
                <w:color w:val="auto"/>
              </w:rPr>
            </w:pPr>
            <w:r>
              <w:rPr>
                <w:rFonts w:ascii="Arial" w:cs="Arial" w:eastAsia="Arial" w:hAnsi="Arial"/>
                <w:sz w:val="18"/>
                <w:szCs w:val="18"/>
                <w:color w:val="auto"/>
              </w:rPr>
              <w:t>Capital leases obligations</w:t>
            </w:r>
          </w:p>
        </w:tc>
        <w:tc>
          <w:tcPr>
            <w:tcW w:w="110" w:type="dxa"/>
            <w:vAlign w:val="bottom"/>
          </w:tcPr>
          <w:p>
            <w:pPr>
              <w:spacing w:after="0"/>
              <w:rPr>
                <w:sz w:val="19"/>
                <w:szCs w:val="19"/>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15</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54</w:t>
            </w:r>
          </w:p>
        </w:tc>
        <w:tc>
          <w:tcPr>
            <w:tcW w:w="80" w:type="dxa"/>
            <w:vAlign w:val="bottom"/>
          </w:tcPr>
          <w:p>
            <w:pPr>
              <w:spacing w:after="0"/>
              <w:rPr>
                <w:sz w:val="19"/>
                <w:szCs w:val="19"/>
                <w:color w:val="auto"/>
              </w:rPr>
            </w:pPr>
          </w:p>
        </w:tc>
      </w:tr>
      <w:tr>
        <w:trPr>
          <w:trHeight w:val="102"/>
        </w:trPr>
        <w:tc>
          <w:tcPr>
            <w:tcW w:w="92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5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9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current liabilities</w:t>
            </w: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12,930</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13,223</w:t>
            </w:r>
          </w:p>
        </w:tc>
        <w:tc>
          <w:tcPr>
            <w:tcW w:w="80" w:type="dxa"/>
            <w:vAlign w:val="bottom"/>
            <w:shd w:val="clear" w:color="auto" w:fill="CCEEFF"/>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Bank borrowings</w:t>
            </w:r>
          </w:p>
        </w:tc>
        <w:tc>
          <w:tcPr>
            <w:tcW w:w="110" w:type="dxa"/>
            <w:vAlign w:val="bottom"/>
          </w:tcPr>
          <w:p>
            <w:pPr>
              <w:spacing w:after="0"/>
              <w:rPr>
                <w:sz w:val="18"/>
                <w:szCs w:val="18"/>
                <w:color w:val="auto"/>
              </w:rPr>
            </w:pPr>
          </w:p>
        </w:tc>
        <w:tc>
          <w:tcPr>
            <w:tcW w:w="115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191</w:t>
            </w:r>
          </w:p>
        </w:tc>
        <w:tc>
          <w:tcPr>
            <w:tcW w:w="80" w:type="dxa"/>
            <w:vAlign w:val="bottom"/>
          </w:tcPr>
          <w:p>
            <w:pPr>
              <w:spacing w:after="0"/>
              <w:rPr>
                <w:sz w:val="18"/>
                <w:szCs w:val="1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Capital lease obligations</w:t>
            </w: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80" w:type="dxa"/>
            <w:vAlign w:val="bottom"/>
            <w:shd w:val="clear" w:color="auto" w:fill="CCEEFF"/>
          </w:tcPr>
          <w:p>
            <w:pPr>
              <w:spacing w:after="0"/>
              <w:rPr>
                <w:sz w:val="18"/>
                <w:szCs w:val="18"/>
                <w:color w:val="auto"/>
              </w:rPr>
            </w:pPr>
          </w:p>
        </w:tc>
      </w:tr>
      <w:tr>
        <w:trPr>
          <w:trHeight w:val="222"/>
        </w:trPr>
        <w:tc>
          <w:tcPr>
            <w:tcW w:w="9240" w:type="dxa"/>
            <w:vAlign w:val="bottom"/>
          </w:tcPr>
          <w:p>
            <w:pPr>
              <w:ind w:left="20"/>
              <w:spacing w:after="0"/>
              <w:rPr>
                <w:sz w:val="20"/>
                <w:szCs w:val="20"/>
                <w:color w:val="auto"/>
              </w:rPr>
            </w:pPr>
            <w:r>
              <w:rPr>
                <w:rFonts w:ascii="Arial" w:cs="Arial" w:eastAsia="Arial" w:hAnsi="Arial"/>
                <w:sz w:val="18"/>
                <w:szCs w:val="18"/>
                <w:color w:val="auto"/>
              </w:rPr>
              <w:t>Other liabilities</w:t>
            </w:r>
          </w:p>
        </w:tc>
        <w:tc>
          <w:tcPr>
            <w:tcW w:w="110" w:type="dxa"/>
            <w:vAlign w:val="bottom"/>
          </w:tcPr>
          <w:p>
            <w:pPr>
              <w:spacing w:after="0"/>
              <w:rPr>
                <w:sz w:val="19"/>
                <w:szCs w:val="19"/>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550</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19"/>
                <w:szCs w:val="19"/>
                <w:color w:val="auto"/>
              </w:rPr>
            </w:pPr>
          </w:p>
        </w:tc>
      </w:tr>
      <w:tr>
        <w:trPr>
          <w:trHeight w:val="102"/>
        </w:trPr>
        <w:tc>
          <w:tcPr>
            <w:tcW w:w="92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5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9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liabilities</w:t>
            </w: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13,489</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14,062</w:t>
            </w:r>
          </w:p>
        </w:tc>
        <w:tc>
          <w:tcPr>
            <w:tcW w:w="80" w:type="dxa"/>
            <w:vAlign w:val="bottom"/>
            <w:shd w:val="clear" w:color="auto" w:fill="CCEEFF"/>
          </w:tcPr>
          <w:p>
            <w:pPr>
              <w:spacing w:after="0"/>
              <w:rPr>
                <w:sz w:val="18"/>
                <w:szCs w:val="18"/>
                <w:color w:val="auto"/>
              </w:rPr>
            </w:pPr>
          </w:p>
        </w:tc>
      </w:tr>
      <w:tr>
        <w:trPr>
          <w:trHeight w:val="108"/>
        </w:trPr>
        <w:tc>
          <w:tcPr>
            <w:tcW w:w="92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9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Redeemable convertible preferred stock:</w:t>
            </w: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08"/>
        </w:trPr>
        <w:tc>
          <w:tcPr>
            <w:tcW w:w="9240" w:type="dxa"/>
            <w:vAlign w:val="bottom"/>
          </w:tcPr>
          <w:p>
            <w:pPr>
              <w:ind w:left="380"/>
              <w:spacing w:after="0"/>
              <w:rPr>
                <w:sz w:val="20"/>
                <w:szCs w:val="20"/>
                <w:color w:val="auto"/>
              </w:rPr>
            </w:pPr>
            <w:r>
              <w:rPr>
                <w:rFonts w:ascii="Arial" w:cs="Arial" w:eastAsia="Arial" w:hAnsi="Arial"/>
                <w:sz w:val="18"/>
                <w:szCs w:val="18"/>
                <w:color w:val="auto"/>
                <w:w w:val="93"/>
              </w:rPr>
              <w:t>Redeemable convertible preferred stock, $0.001 par value per share, 21,531,828 and 16,394,328 shares authorized at</w:t>
            </w:r>
          </w:p>
        </w:tc>
        <w:tc>
          <w:tcPr>
            <w:tcW w:w="11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9240" w:type="dxa"/>
            <w:vAlign w:val="bottom"/>
          </w:tcPr>
          <w:p>
            <w:pPr>
              <w:ind w:left="540"/>
              <w:spacing w:after="0"/>
              <w:rPr>
                <w:sz w:val="20"/>
                <w:szCs w:val="20"/>
                <w:color w:val="auto"/>
              </w:rPr>
            </w:pPr>
            <w:r>
              <w:rPr>
                <w:rFonts w:ascii="Arial" w:cs="Arial" w:eastAsia="Arial" w:hAnsi="Arial"/>
                <w:sz w:val="18"/>
                <w:szCs w:val="18"/>
                <w:color w:val="auto"/>
                <w:w w:val="90"/>
              </w:rPr>
              <w:t>September 30, 2002 and December 31, 2001, respectively; 16,394,315 shares issued and outstanding at September 30,</w:t>
            </w:r>
          </w:p>
        </w:tc>
        <w:tc>
          <w:tcPr>
            <w:tcW w:w="11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23"/>
        </w:trPr>
        <w:tc>
          <w:tcPr>
            <w:tcW w:w="9240" w:type="dxa"/>
            <w:vAlign w:val="bottom"/>
          </w:tcPr>
          <w:p>
            <w:pPr>
              <w:ind w:left="540"/>
              <w:spacing w:after="0"/>
              <w:rPr>
                <w:sz w:val="20"/>
                <w:szCs w:val="20"/>
                <w:color w:val="auto"/>
              </w:rPr>
            </w:pPr>
            <w:r>
              <w:rPr>
                <w:rFonts w:ascii="Arial" w:cs="Arial" w:eastAsia="Arial" w:hAnsi="Arial"/>
                <w:sz w:val="18"/>
                <w:szCs w:val="18"/>
                <w:color w:val="auto"/>
              </w:rPr>
              <w:t>2002 and December 31, 2001 (aggregate liquidation preference of $52,644 at September 30, 2002)</w:t>
            </w:r>
          </w:p>
        </w:tc>
        <w:tc>
          <w:tcPr>
            <w:tcW w:w="110" w:type="dxa"/>
            <w:vAlign w:val="bottom"/>
          </w:tcPr>
          <w:p>
            <w:pPr>
              <w:spacing w:after="0"/>
              <w:rPr>
                <w:sz w:val="19"/>
                <w:szCs w:val="19"/>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52,482</w:t>
            </w:r>
          </w:p>
        </w:tc>
        <w:tc>
          <w:tcPr>
            <w:tcW w:w="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50,047</w:t>
            </w:r>
          </w:p>
        </w:tc>
        <w:tc>
          <w:tcPr>
            <w:tcW w:w="80" w:type="dxa"/>
            <w:vAlign w:val="bottom"/>
          </w:tcPr>
          <w:p>
            <w:pPr>
              <w:spacing w:after="0"/>
              <w:rPr>
                <w:sz w:val="19"/>
                <w:szCs w:val="19"/>
                <w:color w:val="auto"/>
              </w:rPr>
            </w:pPr>
          </w:p>
        </w:tc>
      </w:tr>
      <w:tr>
        <w:trPr>
          <w:trHeight w:val="217"/>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Commitments and contingencies (Note 7)</w:t>
            </w: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Stockholders’ deficit:</w:t>
            </w:r>
          </w:p>
        </w:tc>
        <w:tc>
          <w:tcPr>
            <w:tcW w:w="11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8"/>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w w:val="94"/>
              </w:rPr>
              <w:t>Common Stock, $0.001 par value per share, 45,137,500 and 40,000,000 shares authorized; 8,629,214 and 8,704,018</w:t>
            </w: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9240" w:type="dxa"/>
            <w:vAlign w:val="bottom"/>
            <w:shd w:val="clear" w:color="auto" w:fill="CCEEFF"/>
          </w:tcPr>
          <w:p>
            <w:pPr>
              <w:ind w:left="540"/>
              <w:spacing w:after="0"/>
              <w:rPr>
                <w:sz w:val="20"/>
                <w:szCs w:val="20"/>
                <w:color w:val="auto"/>
              </w:rPr>
            </w:pPr>
            <w:r>
              <w:rPr>
                <w:rFonts w:ascii="Arial" w:cs="Arial" w:eastAsia="Arial" w:hAnsi="Arial"/>
                <w:sz w:val="18"/>
                <w:szCs w:val="18"/>
                <w:color w:val="auto"/>
                <w:w w:val="92"/>
              </w:rPr>
              <w:t>shares issued; and 7,862,547 and 7,937,351 issued and outstanding at September 30, 2002 and December 31, 2001,</w:t>
            </w: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24"/>
        </w:trPr>
        <w:tc>
          <w:tcPr>
            <w:tcW w:w="9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respectively</w:t>
            </w:r>
          </w:p>
        </w:tc>
        <w:tc>
          <w:tcPr>
            <w:tcW w:w="110" w:type="dxa"/>
            <w:vAlign w:val="bottom"/>
            <w:shd w:val="clear" w:color="auto" w:fill="CCEEFF"/>
          </w:tcPr>
          <w:p>
            <w:pPr>
              <w:spacing w:after="0"/>
              <w:rPr>
                <w:sz w:val="19"/>
                <w:szCs w:val="19"/>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4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80" w:type="dxa"/>
            <w:vAlign w:val="bottom"/>
            <w:shd w:val="clear" w:color="auto" w:fill="CCEEFF"/>
          </w:tcPr>
          <w:p>
            <w:pPr>
              <w:spacing w:after="0"/>
              <w:rPr>
                <w:sz w:val="19"/>
                <w:szCs w:val="19"/>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110" w:type="dxa"/>
            <w:vAlign w:val="bottom"/>
          </w:tcPr>
          <w:p>
            <w:pPr>
              <w:spacing w:after="0"/>
              <w:rPr>
                <w:sz w:val="18"/>
                <w:szCs w:val="18"/>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13,196</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14,946</w:t>
            </w:r>
          </w:p>
        </w:tc>
        <w:tc>
          <w:tcPr>
            <w:tcW w:w="80" w:type="dxa"/>
            <w:vAlign w:val="bottom"/>
          </w:tcPr>
          <w:p>
            <w:pPr>
              <w:spacing w:after="0"/>
              <w:rPr>
                <w:sz w:val="18"/>
                <w:szCs w:val="18"/>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Deferred stock-based compensation</w:t>
            </w:r>
          </w:p>
        </w:tc>
        <w:tc>
          <w:tcPr>
            <w:tcW w:w="11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(322)</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(1,162)</w:t>
            </w: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Accumulated deficit</w:t>
            </w:r>
          </w:p>
        </w:tc>
        <w:tc>
          <w:tcPr>
            <w:tcW w:w="110" w:type="dxa"/>
            <w:vAlign w:val="bottom"/>
          </w:tcPr>
          <w:p>
            <w:pPr>
              <w:spacing w:after="0"/>
              <w:rPr>
                <w:sz w:val="18"/>
                <w:szCs w:val="18"/>
                <w:color w:val="auto"/>
              </w:rPr>
            </w:pPr>
          </w:p>
        </w:tc>
        <w:tc>
          <w:tcPr>
            <w:tcW w:w="1150" w:type="dxa"/>
            <w:vAlign w:val="bottom"/>
            <w:gridSpan w:val="2"/>
          </w:tcPr>
          <w:p>
            <w:pPr>
              <w:jc w:val="right"/>
              <w:ind w:right="340"/>
              <w:spacing w:after="0"/>
              <w:rPr>
                <w:sz w:val="20"/>
                <w:szCs w:val="20"/>
                <w:color w:val="auto"/>
              </w:rPr>
            </w:pPr>
            <w:r>
              <w:rPr>
                <w:rFonts w:ascii="Arial" w:cs="Arial" w:eastAsia="Arial" w:hAnsi="Arial"/>
                <w:sz w:val="18"/>
                <w:szCs w:val="18"/>
                <w:color w:val="auto"/>
              </w:rPr>
              <w:t>(63,535)</w:t>
            </w:r>
          </w:p>
        </w:tc>
        <w:tc>
          <w:tcPr>
            <w:tcW w:w="100" w:type="dxa"/>
            <w:vAlign w:val="bottom"/>
          </w:tcPr>
          <w:p>
            <w:pPr>
              <w:spacing w:after="0"/>
              <w:rPr>
                <w:sz w:val="18"/>
                <w:szCs w:val="18"/>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(54,600)</w:t>
            </w: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Notes receivable from officers</w:t>
            </w:r>
          </w:p>
        </w:tc>
        <w:tc>
          <w:tcPr>
            <w:tcW w:w="11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(959)</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(1,053)</w:t>
            </w:r>
          </w:p>
        </w:tc>
      </w:tr>
      <w:tr>
        <w:trPr>
          <w:trHeight w:val="222"/>
        </w:trPr>
        <w:tc>
          <w:tcPr>
            <w:tcW w:w="9240" w:type="dxa"/>
            <w:vAlign w:val="bottom"/>
          </w:tcPr>
          <w:p>
            <w:pPr>
              <w:ind w:left="380"/>
              <w:spacing w:after="0"/>
              <w:rPr>
                <w:sz w:val="20"/>
                <w:szCs w:val="20"/>
                <w:color w:val="auto"/>
              </w:rPr>
            </w:pPr>
            <w:r>
              <w:rPr>
                <w:rFonts w:ascii="Arial" w:cs="Arial" w:eastAsia="Arial" w:hAnsi="Arial"/>
                <w:sz w:val="18"/>
                <w:szCs w:val="18"/>
                <w:color w:val="auto"/>
              </w:rPr>
              <w:t>Treasury stock, at cost, 766,667 shares at September 30, 2002 and December 31, 2001</w:t>
            </w:r>
          </w:p>
        </w:tc>
        <w:tc>
          <w:tcPr>
            <w:tcW w:w="110" w:type="dxa"/>
            <w:vAlign w:val="bottom"/>
          </w:tcPr>
          <w:p>
            <w:pPr>
              <w:spacing w:after="0"/>
              <w:rPr>
                <w:sz w:val="19"/>
                <w:szCs w:val="19"/>
                <w:color w:val="auto"/>
              </w:rPr>
            </w:pPr>
          </w:p>
        </w:tc>
        <w:tc>
          <w:tcPr>
            <w:tcW w:w="1150" w:type="dxa"/>
            <w:vAlign w:val="bottom"/>
            <w:gridSpan w:val="2"/>
          </w:tcPr>
          <w:p>
            <w:pPr>
              <w:jc w:val="right"/>
              <w:ind w:right="340"/>
              <w:spacing w:after="0"/>
              <w:rPr>
                <w:sz w:val="20"/>
                <w:szCs w:val="20"/>
                <w:color w:val="auto"/>
              </w:rPr>
            </w:pPr>
            <w:r>
              <w:rPr>
                <w:rFonts w:ascii="Arial" w:cs="Arial" w:eastAsia="Arial" w:hAnsi="Arial"/>
                <w:sz w:val="18"/>
                <w:szCs w:val="18"/>
                <w:color w:val="auto"/>
              </w:rPr>
              <w:t>(1,201)</w:t>
            </w:r>
          </w:p>
        </w:tc>
        <w:tc>
          <w:tcPr>
            <w:tcW w:w="100" w:type="dxa"/>
            <w:vAlign w:val="bottom"/>
          </w:tcPr>
          <w:p>
            <w:pPr>
              <w:spacing w:after="0"/>
              <w:rPr>
                <w:sz w:val="19"/>
                <w:szCs w:val="19"/>
                <w:color w:val="auto"/>
              </w:rPr>
            </w:pPr>
          </w:p>
        </w:tc>
        <w:tc>
          <w:tcPr>
            <w:tcW w:w="820" w:type="dxa"/>
            <w:vAlign w:val="bottom"/>
            <w:gridSpan w:val="2"/>
          </w:tcPr>
          <w:p>
            <w:pPr>
              <w:jc w:val="right"/>
              <w:ind w:right="20"/>
              <w:spacing w:after="0"/>
              <w:rPr>
                <w:sz w:val="20"/>
                <w:szCs w:val="20"/>
                <w:color w:val="auto"/>
              </w:rPr>
            </w:pPr>
            <w:r>
              <w:rPr>
                <w:rFonts w:ascii="Arial" w:cs="Arial" w:eastAsia="Arial" w:hAnsi="Arial"/>
                <w:sz w:val="18"/>
                <w:szCs w:val="18"/>
                <w:color w:val="auto"/>
              </w:rPr>
              <w:t>(1,201)</w:t>
            </w:r>
          </w:p>
        </w:tc>
      </w:tr>
      <w:tr>
        <w:trPr>
          <w:trHeight w:val="102"/>
        </w:trPr>
        <w:tc>
          <w:tcPr>
            <w:tcW w:w="924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5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80" w:type="dxa"/>
            <w:vAlign w:val="bottom"/>
          </w:tcPr>
          <w:p>
            <w:pPr>
              <w:spacing w:after="0"/>
              <w:rPr>
                <w:sz w:val="8"/>
                <w:szCs w:val="8"/>
                <w:color w:val="auto"/>
              </w:rPr>
            </w:pPr>
          </w:p>
        </w:tc>
      </w:tr>
      <w:tr>
        <w:trPr>
          <w:trHeight w:val="102"/>
        </w:trPr>
        <w:tc>
          <w:tcPr>
            <w:tcW w:w="9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stockholders’ deficit</w:t>
            </w:r>
          </w:p>
        </w:tc>
        <w:tc>
          <w:tcPr>
            <w:tcW w:w="110" w:type="dxa"/>
            <w:vAlign w:val="bottom"/>
            <w:shd w:val="clear" w:color="auto" w:fill="CCEEFF"/>
          </w:tcPr>
          <w:p>
            <w:pPr>
              <w:spacing w:after="0"/>
              <w:rPr>
                <w:sz w:val="18"/>
                <w:szCs w:val="18"/>
                <w:color w:val="auto"/>
              </w:rPr>
            </w:pPr>
          </w:p>
        </w:tc>
        <w:tc>
          <w:tcPr>
            <w:tcW w:w="115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(52,813)</w:t>
            </w:r>
          </w:p>
        </w:tc>
        <w:tc>
          <w:tcPr>
            <w:tcW w:w="10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(43,062)</w:t>
            </w:r>
          </w:p>
        </w:tc>
      </w:tr>
      <w:tr>
        <w:trPr>
          <w:trHeight w:val="108"/>
        </w:trPr>
        <w:tc>
          <w:tcPr>
            <w:tcW w:w="924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80" w:type="dxa"/>
            <w:vAlign w:val="bottom"/>
          </w:tcPr>
          <w:p>
            <w:pPr>
              <w:spacing w:after="0"/>
              <w:rPr>
                <w:sz w:val="9"/>
                <w:szCs w:val="9"/>
                <w:color w:val="auto"/>
              </w:rPr>
            </w:pPr>
          </w:p>
        </w:tc>
      </w:tr>
      <w:tr>
        <w:trPr>
          <w:trHeight w:val="102"/>
        </w:trPr>
        <w:tc>
          <w:tcPr>
            <w:tcW w:w="924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tcPr>
          <w:p>
            <w:pPr>
              <w:spacing w:after="0"/>
              <w:rPr>
                <w:sz w:val="8"/>
                <w:szCs w:val="8"/>
                <w:color w:val="auto"/>
              </w:rPr>
            </w:pPr>
          </w:p>
        </w:tc>
        <w:tc>
          <w:tcPr>
            <w:tcW w:w="80" w:type="dxa"/>
            <w:vAlign w:val="bottom"/>
          </w:tcPr>
          <w:p>
            <w:pPr>
              <w:spacing w:after="0"/>
              <w:rPr>
                <w:sz w:val="8"/>
                <w:szCs w:val="8"/>
                <w:color w:val="auto"/>
              </w:rPr>
            </w:pP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liabilities, redeemable convertible preferred stock and stockholders’ deficit</w:t>
            </w:r>
          </w:p>
        </w:tc>
        <w:tc>
          <w:tcPr>
            <w:tcW w:w="11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13,158</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21,047</w:t>
            </w:r>
          </w:p>
        </w:tc>
        <w:tc>
          <w:tcPr>
            <w:tcW w:w="80" w:type="dxa"/>
            <w:vAlign w:val="bottom"/>
            <w:shd w:val="clear" w:color="auto" w:fill="CCEEFF"/>
          </w:tcPr>
          <w:p>
            <w:pPr>
              <w:spacing w:after="0"/>
              <w:rPr>
                <w:sz w:val="18"/>
                <w:szCs w:val="18"/>
                <w:color w:val="auto"/>
              </w:rPr>
            </w:pPr>
          </w:p>
        </w:tc>
      </w:tr>
      <w:tr>
        <w:trPr>
          <w:trHeight w:val="132"/>
        </w:trPr>
        <w:tc>
          <w:tcPr>
            <w:tcW w:w="924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5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8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-4900295</wp:posOffset>
            </wp:positionV>
            <wp:extent cx="12700" cy="298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-4900295</wp:posOffset>
            </wp:positionV>
            <wp:extent cx="21590" cy="298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-4900295</wp:posOffset>
            </wp:positionV>
            <wp:extent cx="38735" cy="298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-4900295</wp:posOffset>
            </wp:positionV>
            <wp:extent cx="12700" cy="298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-4900295</wp:posOffset>
            </wp:positionV>
            <wp:extent cx="21590" cy="298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-4900295</wp:posOffset>
            </wp:positionV>
            <wp:extent cx="38735" cy="298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5928995</wp:posOffset>
            </wp:positionH>
            <wp:positionV relativeFrom="paragraph">
              <wp:posOffset>-29210</wp:posOffset>
            </wp:positionV>
            <wp:extent cx="21590" cy="298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6726555</wp:posOffset>
            </wp:positionH>
            <wp:positionV relativeFrom="paragraph">
              <wp:posOffset>-29210</wp:posOffset>
            </wp:positionV>
            <wp:extent cx="21590" cy="298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7189470</wp:posOffset>
            </wp:positionH>
            <wp:positionV relativeFrom="paragraph">
              <wp:posOffset>-29210</wp:posOffset>
            </wp:positionV>
            <wp:extent cx="38735" cy="298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422"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Nine Months</w:t>
            </w: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9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8"/>
              </w:rPr>
              <w:t>Ended</w:t>
            </w:r>
          </w:p>
        </w:tc>
        <w:tc>
          <w:tcPr>
            <w:tcW w:w="110" w:type="dxa"/>
            <w:vAlign w:val="bottom"/>
          </w:tcPr>
          <w:p>
            <w:pPr>
              <w:spacing w:after="0"/>
              <w:rPr>
                <w:sz w:val="12"/>
                <w:szCs w:val="12"/>
                <w:color w:val="auto"/>
              </w:rPr>
            </w:pPr>
          </w:p>
        </w:tc>
        <w:tc>
          <w:tcPr>
            <w:tcW w:w="810" w:type="dxa"/>
            <w:vAlign w:val="bottom"/>
            <w:gridSpan w:val="2"/>
          </w:tcPr>
          <w:p>
            <w:pPr>
              <w:jc w:val="center"/>
              <w:ind w:right="17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9240" w:type="dxa"/>
            <w:vAlign w:val="bottom"/>
          </w:tcPr>
          <w:p>
            <w:pPr>
              <w:spacing w:after="0"/>
              <w:rPr>
                <w:sz w:val="12"/>
                <w:szCs w:val="12"/>
                <w:color w:val="auto"/>
              </w:rPr>
            </w:pPr>
          </w:p>
        </w:tc>
        <w:tc>
          <w:tcPr>
            <w:tcW w:w="1260" w:type="dxa"/>
            <w:vAlign w:val="bottom"/>
            <w:gridSpan w:val="3"/>
          </w:tcPr>
          <w:p>
            <w:pPr>
              <w:jc w:val="center"/>
              <w:ind w:right="400"/>
              <w:spacing w:after="0" w:line="149" w:lineRule="exact"/>
              <w:rPr>
                <w:sz w:val="20"/>
                <w:szCs w:val="20"/>
                <w:color w:val="auto"/>
              </w:rPr>
            </w:pPr>
            <w:r>
              <w:rPr>
                <w:rFonts w:ascii="Arial" w:cs="Arial" w:eastAsia="Arial" w:hAnsi="Arial"/>
                <w:sz w:val="14"/>
                <w:szCs w:val="14"/>
                <w:b w:val="1"/>
                <w:bCs w:val="1"/>
                <w:color w:val="auto"/>
                <w:w w:val="85"/>
              </w:rPr>
              <w:t>September 30,</w:t>
            </w:r>
          </w:p>
        </w:tc>
        <w:tc>
          <w:tcPr>
            <w:tcW w:w="920" w:type="dxa"/>
            <w:vAlign w:val="bottom"/>
            <w:gridSpan w:val="3"/>
          </w:tcPr>
          <w:p>
            <w:pPr>
              <w:jc w:val="center"/>
              <w:ind w:right="60"/>
              <w:spacing w:after="0" w:line="149" w:lineRule="exact"/>
              <w:rPr>
                <w:sz w:val="20"/>
                <w:szCs w:val="20"/>
                <w:color w:val="auto"/>
              </w:rPr>
            </w:pPr>
            <w:r>
              <w:rPr>
                <w:rFonts w:ascii="Arial" w:cs="Arial" w:eastAsia="Arial" w:hAnsi="Arial"/>
                <w:sz w:val="14"/>
                <w:szCs w:val="14"/>
                <w:b w:val="1"/>
                <w:bCs w:val="1"/>
                <w:color w:val="auto"/>
                <w:w w:val="85"/>
              </w:rPr>
              <w:t>September 30,</w:t>
            </w:r>
          </w:p>
        </w:tc>
      </w:tr>
      <w:tr>
        <w:trPr>
          <w:trHeight w:val="174"/>
        </w:trPr>
        <w:tc>
          <w:tcPr>
            <w:tcW w:w="9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tcPr>
          <w:p>
            <w:pPr>
              <w:jc w:val="center"/>
              <w:ind w:right="34"/>
              <w:spacing w:after="0"/>
              <w:rPr>
                <w:sz w:val="20"/>
                <w:szCs w:val="20"/>
                <w:color w:val="auto"/>
              </w:rPr>
            </w:pPr>
            <w:r>
              <w:rPr>
                <w:rFonts w:ascii="Arial" w:cs="Arial" w:eastAsia="Arial" w:hAnsi="Arial"/>
                <w:sz w:val="14"/>
                <w:szCs w:val="14"/>
                <w:b w:val="1"/>
                <w:bCs w:val="1"/>
                <w:color w:val="auto"/>
                <w:w w:val="83"/>
              </w:rPr>
              <w:t>2002</w:t>
            </w:r>
          </w:p>
        </w:tc>
        <w:tc>
          <w:tcPr>
            <w:tcW w:w="400" w:type="dxa"/>
            <w:vAlign w:val="bottom"/>
          </w:tcPr>
          <w:p>
            <w:pPr>
              <w:spacing w:after="0"/>
              <w:rPr>
                <w:sz w:val="15"/>
                <w:szCs w:val="15"/>
                <w:color w:val="auto"/>
              </w:rPr>
            </w:pPr>
          </w:p>
        </w:tc>
        <w:tc>
          <w:tcPr>
            <w:tcW w:w="110" w:type="dxa"/>
            <w:vAlign w:val="bottom"/>
          </w:tcPr>
          <w:p>
            <w:pPr>
              <w:spacing w:after="0"/>
              <w:rPr>
                <w:sz w:val="15"/>
                <w:szCs w:val="15"/>
                <w:color w:val="auto"/>
              </w:rPr>
            </w:pPr>
          </w:p>
        </w:tc>
        <w:tc>
          <w:tcPr>
            <w:tcW w:w="750" w:type="dxa"/>
            <w:vAlign w:val="bottom"/>
          </w:tcPr>
          <w:p>
            <w:pPr>
              <w:jc w:val="center"/>
              <w:ind w:right="24"/>
              <w:spacing w:after="0"/>
              <w:rPr>
                <w:sz w:val="20"/>
                <w:szCs w:val="20"/>
                <w:color w:val="auto"/>
              </w:rPr>
            </w:pPr>
            <w:r>
              <w:rPr>
                <w:rFonts w:ascii="Arial" w:cs="Arial" w:eastAsia="Arial" w:hAnsi="Arial"/>
                <w:sz w:val="14"/>
                <w:szCs w:val="14"/>
                <w:b w:val="1"/>
                <w:bCs w:val="1"/>
                <w:color w:val="auto"/>
                <w:w w:val="83"/>
              </w:rPr>
              <w:t>2001</w:t>
            </w:r>
          </w:p>
        </w:tc>
        <w:tc>
          <w:tcPr>
            <w:tcW w:w="60" w:type="dxa"/>
            <w:vAlign w:val="bottom"/>
          </w:tcPr>
          <w:p>
            <w:pPr>
              <w:spacing w:after="0"/>
              <w:rPr>
                <w:sz w:val="15"/>
                <w:szCs w:val="15"/>
                <w:color w:val="auto"/>
              </w:rPr>
            </w:pPr>
          </w:p>
        </w:tc>
      </w:tr>
      <w:tr>
        <w:trPr>
          <w:trHeight w:val="95"/>
        </w:trPr>
        <w:tc>
          <w:tcPr>
            <w:tcW w:w="9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5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License</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4,935</w:t>
            </w:r>
          </w:p>
        </w:tc>
        <w:tc>
          <w:tcPr>
            <w:tcW w:w="400" w:type="dxa"/>
            <w:vAlign w:val="bottom"/>
          </w:tcPr>
          <w:p>
            <w:pPr>
              <w:spacing w:after="0"/>
              <w:rPr>
                <w:sz w:val="18"/>
                <w:szCs w:val="18"/>
                <w:color w:val="auto"/>
              </w:rPr>
            </w:pPr>
          </w:p>
        </w:tc>
        <w:tc>
          <w:tcPr>
            <w:tcW w:w="11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750" w:type="dxa"/>
            <w:vAlign w:val="bottom"/>
          </w:tcPr>
          <w:p>
            <w:pPr>
              <w:jc w:val="right"/>
              <w:spacing w:after="0"/>
              <w:rPr>
                <w:sz w:val="20"/>
                <w:szCs w:val="20"/>
                <w:color w:val="auto"/>
              </w:rPr>
            </w:pPr>
            <w:r>
              <w:rPr>
                <w:rFonts w:ascii="Arial" w:cs="Arial" w:eastAsia="Arial" w:hAnsi="Arial"/>
                <w:sz w:val="18"/>
                <w:szCs w:val="18"/>
                <w:color w:val="auto"/>
              </w:rPr>
              <w:t>9,718</w:t>
            </w:r>
          </w:p>
        </w:tc>
        <w:tc>
          <w:tcPr>
            <w:tcW w:w="60" w:type="dxa"/>
            <w:vAlign w:val="bottom"/>
          </w:tcPr>
          <w:p>
            <w:pPr>
              <w:spacing w:after="0"/>
              <w:rPr>
                <w:sz w:val="18"/>
                <w:szCs w:val="18"/>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Services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7,260</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5,457</w:t>
            </w:r>
          </w:p>
        </w:tc>
        <w:tc>
          <w:tcPr>
            <w:tcW w:w="60" w:type="dxa"/>
            <w:vAlign w:val="bottom"/>
            <w:shd w:val="clear" w:color="auto" w:fill="CCEEFF"/>
          </w:tcPr>
          <w:p>
            <w:pPr>
              <w:spacing w:after="0"/>
              <w:rPr>
                <w:sz w:val="18"/>
                <w:szCs w:val="18"/>
                <w:color w:val="auto"/>
              </w:rPr>
            </w:pPr>
          </w:p>
        </w:tc>
      </w:tr>
      <w:tr>
        <w:trPr>
          <w:trHeight w:val="108"/>
        </w:trPr>
        <w:tc>
          <w:tcPr>
            <w:tcW w:w="9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revenue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12,195</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15,175</w:t>
            </w:r>
          </w:p>
        </w:tc>
        <w:tc>
          <w:tcPr>
            <w:tcW w:w="60" w:type="dxa"/>
            <w:vAlign w:val="bottom"/>
            <w:shd w:val="clear" w:color="auto" w:fill="CCEEFF"/>
          </w:tcPr>
          <w:p>
            <w:pPr>
              <w:spacing w:after="0"/>
              <w:rPr>
                <w:sz w:val="18"/>
                <w:szCs w:val="18"/>
                <w:color w:val="auto"/>
              </w:rPr>
            </w:pPr>
          </w:p>
        </w:tc>
      </w:tr>
      <w:tr>
        <w:trPr>
          <w:trHeight w:val="108"/>
        </w:trPr>
        <w:tc>
          <w:tcPr>
            <w:tcW w:w="9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revenue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License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10</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Services (inclusive of non-cash stock-based compensation of $90 and $86 in 2002 and 2001)</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5,873</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5,283</w:t>
            </w:r>
          </w:p>
        </w:tc>
        <w:tc>
          <w:tcPr>
            <w:tcW w:w="60" w:type="dxa"/>
            <w:vAlign w:val="bottom"/>
            <w:shd w:val="clear" w:color="auto" w:fill="CCEEFF"/>
          </w:tcPr>
          <w:p>
            <w:pPr>
              <w:spacing w:after="0"/>
              <w:rPr>
                <w:sz w:val="18"/>
                <w:szCs w:val="18"/>
                <w:color w:val="auto"/>
              </w:rPr>
            </w:pPr>
          </w:p>
        </w:tc>
      </w:tr>
      <w:tr>
        <w:trPr>
          <w:trHeight w:val="108"/>
        </w:trPr>
        <w:tc>
          <w:tcPr>
            <w:tcW w:w="9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cost of revenue</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5,883</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5,337</w:t>
            </w:r>
          </w:p>
        </w:tc>
        <w:tc>
          <w:tcPr>
            <w:tcW w:w="60" w:type="dxa"/>
            <w:vAlign w:val="bottom"/>
            <w:shd w:val="clear" w:color="auto" w:fill="CCEEFF"/>
          </w:tcPr>
          <w:p>
            <w:pPr>
              <w:spacing w:after="0"/>
              <w:rPr>
                <w:sz w:val="18"/>
                <w:szCs w:val="18"/>
                <w:color w:val="auto"/>
              </w:rPr>
            </w:pPr>
          </w:p>
        </w:tc>
      </w:tr>
      <w:tr>
        <w:trPr>
          <w:trHeight w:val="108"/>
        </w:trPr>
        <w:tc>
          <w:tcPr>
            <w:tcW w:w="9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profit</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9,838</w:t>
            </w:r>
          </w:p>
        </w:tc>
        <w:tc>
          <w:tcPr>
            <w:tcW w:w="60" w:type="dxa"/>
            <w:vAlign w:val="bottom"/>
            <w:shd w:val="clear" w:color="auto" w:fill="CCEEFF"/>
          </w:tcPr>
          <w:p>
            <w:pPr>
              <w:spacing w:after="0"/>
              <w:rPr>
                <w:sz w:val="18"/>
                <w:szCs w:val="18"/>
                <w:color w:val="auto"/>
              </w:rPr>
            </w:pPr>
          </w:p>
        </w:tc>
      </w:tr>
      <w:tr>
        <w:trPr>
          <w:trHeight w:val="108"/>
        </w:trPr>
        <w:tc>
          <w:tcPr>
            <w:tcW w:w="9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Operating expenses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08"/>
        </w:trPr>
        <w:tc>
          <w:tcPr>
            <w:tcW w:w="9240" w:type="dxa"/>
            <w:vAlign w:val="bottom"/>
          </w:tcPr>
          <w:p>
            <w:pPr>
              <w:ind w:left="380"/>
              <w:spacing w:after="0"/>
              <w:rPr>
                <w:sz w:val="20"/>
                <w:szCs w:val="20"/>
                <w:color w:val="auto"/>
              </w:rPr>
            </w:pPr>
            <w:r>
              <w:rPr>
                <w:rFonts w:ascii="Arial" w:cs="Arial" w:eastAsia="Arial" w:hAnsi="Arial"/>
                <w:sz w:val="18"/>
                <w:szCs w:val="18"/>
                <w:color w:val="auto"/>
              </w:rPr>
              <w:t>Sales and marketing (inclusive of non-cash</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9240" w:type="dxa"/>
            <w:vAlign w:val="bottom"/>
          </w:tcPr>
          <w:p>
            <w:pPr>
              <w:ind w:left="540"/>
              <w:spacing w:after="0"/>
              <w:rPr>
                <w:sz w:val="20"/>
                <w:szCs w:val="20"/>
                <w:color w:val="auto"/>
              </w:rPr>
            </w:pPr>
            <w:r>
              <w:rPr>
                <w:rFonts w:ascii="Arial" w:cs="Arial" w:eastAsia="Arial" w:hAnsi="Arial"/>
                <w:sz w:val="18"/>
                <w:szCs w:val="18"/>
                <w:color w:val="auto"/>
              </w:rPr>
              <w:t>stock-based compensation of $107 and $452 in 2002 and 2001)</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7,846</w:t>
            </w: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12,625</w:t>
            </w:r>
          </w:p>
        </w:tc>
        <w:tc>
          <w:tcPr>
            <w:tcW w:w="60" w:type="dxa"/>
            <w:vAlign w:val="bottom"/>
          </w:tcPr>
          <w:p>
            <w:pPr>
              <w:spacing w:after="0"/>
              <w:rPr>
                <w:sz w:val="19"/>
                <w:szCs w:val="19"/>
                <w:color w:val="auto"/>
              </w:rPr>
            </w:pPr>
          </w:p>
        </w:tc>
      </w:tr>
      <w:tr>
        <w:trPr>
          <w:trHeight w:val="209"/>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Research and development (inclusive of non-cash</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24"/>
        </w:trPr>
        <w:tc>
          <w:tcPr>
            <w:tcW w:w="92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stock-based compensation of $208 and $455 in 2002 and 2001)</w:t>
            </w: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4,113</w:t>
            </w:r>
          </w:p>
        </w:tc>
        <w:tc>
          <w:tcPr>
            <w:tcW w:w="400" w:type="dxa"/>
            <w:vAlign w:val="bottom"/>
            <w:shd w:val="clear" w:color="auto" w:fill="CCEEFF"/>
          </w:tcPr>
          <w:p>
            <w:pPr>
              <w:spacing w:after="0"/>
              <w:rPr>
                <w:sz w:val="19"/>
                <w:szCs w:val="19"/>
                <w:color w:val="auto"/>
              </w:rPr>
            </w:pPr>
          </w:p>
        </w:tc>
        <w:tc>
          <w:tcPr>
            <w:tcW w:w="110" w:type="dxa"/>
            <w:vAlign w:val="bottom"/>
            <w:shd w:val="clear" w:color="auto" w:fill="CCEEFF"/>
          </w:tcPr>
          <w:p>
            <w:pPr>
              <w:spacing w:after="0"/>
              <w:rPr>
                <w:sz w:val="19"/>
                <w:szCs w:val="19"/>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7,873</w:t>
            </w:r>
          </w:p>
        </w:tc>
        <w:tc>
          <w:tcPr>
            <w:tcW w:w="60" w:type="dxa"/>
            <w:vAlign w:val="bottom"/>
            <w:shd w:val="clear" w:color="auto" w:fill="CCEEFF"/>
          </w:tcPr>
          <w:p>
            <w:pPr>
              <w:spacing w:after="0"/>
              <w:rPr>
                <w:sz w:val="19"/>
                <w:szCs w:val="19"/>
                <w:color w:val="auto"/>
              </w:rPr>
            </w:pPr>
          </w:p>
        </w:tc>
      </w:tr>
      <w:tr>
        <w:trPr>
          <w:trHeight w:val="208"/>
        </w:trPr>
        <w:tc>
          <w:tcPr>
            <w:tcW w:w="9240" w:type="dxa"/>
            <w:vAlign w:val="bottom"/>
          </w:tcPr>
          <w:p>
            <w:pPr>
              <w:ind w:left="380"/>
              <w:spacing w:after="0"/>
              <w:rPr>
                <w:sz w:val="20"/>
                <w:szCs w:val="20"/>
                <w:color w:val="auto"/>
              </w:rPr>
            </w:pPr>
            <w:r>
              <w:rPr>
                <w:rFonts w:ascii="Arial" w:cs="Arial" w:eastAsia="Arial" w:hAnsi="Arial"/>
                <w:sz w:val="18"/>
                <w:szCs w:val="18"/>
                <w:color w:val="auto"/>
              </w:rPr>
              <w:t>General and administrative (inclusive of non-cash</w:t>
            </w:r>
          </w:p>
        </w:tc>
        <w:tc>
          <w:tcPr>
            <w:tcW w:w="1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5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23"/>
        </w:trPr>
        <w:tc>
          <w:tcPr>
            <w:tcW w:w="9240" w:type="dxa"/>
            <w:vAlign w:val="bottom"/>
          </w:tcPr>
          <w:p>
            <w:pPr>
              <w:ind w:left="540"/>
              <w:spacing w:after="0"/>
              <w:rPr>
                <w:sz w:val="20"/>
                <w:szCs w:val="20"/>
                <w:color w:val="auto"/>
              </w:rPr>
            </w:pPr>
            <w:r>
              <w:rPr>
                <w:rFonts w:ascii="Arial" w:cs="Arial" w:eastAsia="Arial" w:hAnsi="Arial"/>
                <w:sz w:val="18"/>
                <w:szCs w:val="18"/>
                <w:color w:val="auto"/>
              </w:rPr>
              <w:t>stock-based compensation of $136 and $271 in 2002 and 2001)</w:t>
            </w:r>
          </w:p>
        </w:tc>
        <w:tc>
          <w:tcPr>
            <w:tcW w:w="1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2,607</w:t>
            </w:r>
          </w:p>
        </w:tc>
        <w:tc>
          <w:tcPr>
            <w:tcW w:w="400" w:type="dxa"/>
            <w:vAlign w:val="bottom"/>
          </w:tcPr>
          <w:p>
            <w:pPr>
              <w:spacing w:after="0"/>
              <w:rPr>
                <w:sz w:val="19"/>
                <w:szCs w:val="19"/>
                <w:color w:val="auto"/>
              </w:rPr>
            </w:pPr>
          </w:p>
        </w:tc>
        <w:tc>
          <w:tcPr>
            <w:tcW w:w="110" w:type="dxa"/>
            <w:vAlign w:val="bottom"/>
          </w:tcPr>
          <w:p>
            <w:pPr>
              <w:spacing w:after="0"/>
              <w:rPr>
                <w:sz w:val="19"/>
                <w:szCs w:val="19"/>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3,541</w:t>
            </w:r>
          </w:p>
        </w:tc>
        <w:tc>
          <w:tcPr>
            <w:tcW w:w="60" w:type="dxa"/>
            <w:vAlign w:val="bottom"/>
          </w:tcPr>
          <w:p>
            <w:pPr>
              <w:spacing w:after="0"/>
              <w:rPr>
                <w:sz w:val="19"/>
                <w:szCs w:val="19"/>
                <w:color w:val="auto"/>
              </w:rPr>
            </w:pPr>
          </w:p>
        </w:tc>
      </w:tr>
      <w:tr>
        <w:trPr>
          <w:trHeight w:val="217"/>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other identifiable intangibles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60" w:type="dxa"/>
            <w:vAlign w:val="bottom"/>
            <w:shd w:val="clear" w:color="auto" w:fill="CCEEFF"/>
          </w:tcPr>
          <w:p>
            <w:pPr>
              <w:spacing w:after="0"/>
              <w:rPr>
                <w:sz w:val="18"/>
                <w:szCs w:val="18"/>
                <w:color w:val="auto"/>
              </w:rPr>
            </w:pPr>
          </w:p>
        </w:tc>
      </w:tr>
      <w:tr>
        <w:trPr>
          <w:trHeight w:val="108"/>
        </w:trPr>
        <w:tc>
          <w:tcPr>
            <w:tcW w:w="9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Total operating expenses</w:t>
            </w: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14,948</w:t>
            </w:r>
          </w:p>
        </w:tc>
        <w:tc>
          <w:tcPr>
            <w:tcW w:w="400" w:type="dxa"/>
            <w:vAlign w:val="bottom"/>
            <w:shd w:val="clear" w:color="auto" w:fill="CCEEFF"/>
          </w:tcPr>
          <w:p>
            <w:pPr>
              <w:spacing w:after="0"/>
              <w:rPr>
                <w:sz w:val="18"/>
                <w:szCs w:val="18"/>
                <w:color w:val="auto"/>
              </w:rPr>
            </w:pPr>
          </w:p>
        </w:tc>
        <w:tc>
          <w:tcPr>
            <w:tcW w:w="110" w:type="dxa"/>
            <w:vAlign w:val="bottom"/>
            <w:shd w:val="clear" w:color="auto" w:fill="CCEEFF"/>
          </w:tcPr>
          <w:p>
            <w:pPr>
              <w:spacing w:after="0"/>
              <w:rPr>
                <w:sz w:val="18"/>
                <w:szCs w:val="18"/>
                <w:color w:val="auto"/>
              </w:rPr>
            </w:pPr>
          </w:p>
        </w:tc>
        <w:tc>
          <w:tcPr>
            <w:tcW w:w="75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24,620</w:t>
            </w:r>
          </w:p>
        </w:tc>
        <w:tc>
          <w:tcPr>
            <w:tcW w:w="60" w:type="dxa"/>
            <w:vAlign w:val="bottom"/>
            <w:shd w:val="clear" w:color="auto" w:fill="CCEEFF"/>
          </w:tcPr>
          <w:p>
            <w:pPr>
              <w:spacing w:after="0"/>
              <w:rPr>
                <w:sz w:val="18"/>
                <w:szCs w:val="18"/>
                <w:color w:val="auto"/>
              </w:rPr>
            </w:pPr>
          </w:p>
        </w:tc>
      </w:tr>
      <w:tr>
        <w:trPr>
          <w:trHeight w:val="108"/>
        </w:trPr>
        <w:tc>
          <w:tcPr>
            <w:tcW w:w="92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10" w:type="dxa"/>
            <w:vAlign w:val="bottom"/>
            <w:tcBorders>
              <w:bottom w:val="single" w:sz="8" w:color="auto"/>
            </w:tcBorders>
          </w:tcPr>
          <w:p>
            <w:pPr>
              <w:spacing w:after="0"/>
              <w:rPr>
                <w:sz w:val="9"/>
                <w:szCs w:val="9"/>
                <w:color w:val="auto"/>
              </w:rPr>
            </w:pPr>
          </w:p>
        </w:tc>
        <w:tc>
          <w:tcPr>
            <w:tcW w:w="75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(8,636)</w:t>
            </w:r>
          </w:p>
        </w:tc>
        <w:tc>
          <w:tcPr>
            <w:tcW w:w="11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(14,782)</w:t>
            </w:r>
          </w:p>
        </w:tc>
      </w:tr>
      <w:tr>
        <w:trPr>
          <w:trHeight w:val="216"/>
        </w:trPr>
        <w:tc>
          <w:tcPr>
            <w:tcW w:w="9240" w:type="dxa"/>
            <w:vAlign w:val="bottom"/>
          </w:tcPr>
          <w:p>
            <w:pPr>
              <w:ind w:left="2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93</w:t>
            </w:r>
          </w:p>
        </w:tc>
        <w:tc>
          <w:tcPr>
            <w:tcW w:w="400" w:type="dxa"/>
            <w:vAlign w:val="bottom"/>
          </w:tcPr>
          <w:p>
            <w:pPr>
              <w:spacing w:after="0"/>
              <w:rPr>
                <w:sz w:val="18"/>
                <w:szCs w:val="18"/>
                <w:color w:val="auto"/>
              </w:rPr>
            </w:pPr>
          </w:p>
        </w:tc>
        <w:tc>
          <w:tcPr>
            <w:tcW w:w="110" w:type="dxa"/>
            <w:vAlign w:val="bottom"/>
          </w:tcPr>
          <w:p>
            <w:pPr>
              <w:spacing w:after="0"/>
              <w:rPr>
                <w:sz w:val="18"/>
                <w:szCs w:val="18"/>
                <w:color w:val="auto"/>
              </w:rPr>
            </w:pPr>
          </w:p>
        </w:tc>
        <w:tc>
          <w:tcPr>
            <w:tcW w:w="750" w:type="dxa"/>
            <w:vAlign w:val="bottom"/>
          </w:tcPr>
          <w:p>
            <w:pPr>
              <w:jc w:val="right"/>
              <w:spacing w:after="0"/>
              <w:rPr>
                <w:sz w:val="20"/>
                <w:szCs w:val="20"/>
                <w:color w:val="auto"/>
              </w:rPr>
            </w:pPr>
            <w:r>
              <w:rPr>
                <w:rFonts w:ascii="Arial" w:cs="Arial" w:eastAsia="Arial" w:hAnsi="Arial"/>
                <w:sz w:val="18"/>
                <w:szCs w:val="18"/>
                <w:color w:val="auto"/>
              </w:rPr>
              <w:t>652</w:t>
            </w:r>
          </w:p>
        </w:tc>
        <w:tc>
          <w:tcPr>
            <w:tcW w:w="60" w:type="dxa"/>
            <w:vAlign w:val="bottom"/>
          </w:tcPr>
          <w:p>
            <w:pPr>
              <w:spacing w:after="0"/>
              <w:rPr>
                <w:sz w:val="18"/>
                <w:szCs w:val="1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(373)</w:t>
            </w:r>
          </w:p>
        </w:tc>
        <w:tc>
          <w:tcPr>
            <w:tcW w:w="11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(79)</w:t>
            </w:r>
          </w:p>
        </w:tc>
      </w:tr>
      <w:tr>
        <w:trPr>
          <w:trHeight w:val="222"/>
        </w:trPr>
        <w:tc>
          <w:tcPr>
            <w:tcW w:w="924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1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(19)</w:t>
            </w:r>
          </w:p>
        </w:tc>
        <w:tc>
          <w:tcPr>
            <w:tcW w:w="110" w:type="dxa"/>
            <w:vAlign w:val="bottom"/>
          </w:tcPr>
          <w:p>
            <w:pPr>
              <w:spacing w:after="0"/>
              <w:rPr>
                <w:sz w:val="19"/>
                <w:szCs w:val="19"/>
                <w:color w:val="auto"/>
              </w:rPr>
            </w:pPr>
          </w:p>
        </w:tc>
        <w:tc>
          <w:tcPr>
            <w:tcW w:w="81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102"/>
        </w:trPr>
        <w:tc>
          <w:tcPr>
            <w:tcW w:w="9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5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w:t>
            </w:r>
          </w:p>
        </w:tc>
        <w:tc>
          <w:tcPr>
            <w:tcW w:w="1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(8,935)</w:t>
            </w:r>
          </w:p>
        </w:tc>
        <w:tc>
          <w:tcPr>
            <w:tcW w:w="110" w:type="dxa"/>
            <w:vAlign w:val="bottom"/>
            <w:shd w:val="clear" w:color="auto" w:fill="CCEEFF"/>
          </w:tcPr>
          <w:p>
            <w:pPr>
              <w:spacing w:after="0"/>
              <w:rPr>
                <w:sz w:val="18"/>
                <w:szCs w:val="18"/>
                <w:color w:val="auto"/>
              </w:rPr>
            </w:pPr>
          </w:p>
        </w:tc>
        <w:tc>
          <w:tcPr>
            <w:tcW w:w="8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(14,218)</w:t>
            </w:r>
          </w:p>
        </w:tc>
      </w:tr>
      <w:tr>
        <w:trPr>
          <w:trHeight w:val="222"/>
        </w:trPr>
        <w:tc>
          <w:tcPr>
            <w:tcW w:w="9240" w:type="dxa"/>
            <w:vAlign w:val="bottom"/>
          </w:tcPr>
          <w:p>
            <w:pPr>
              <w:ind w:left="20"/>
              <w:spacing w:after="0"/>
              <w:rPr>
                <w:sz w:val="20"/>
                <w:szCs w:val="20"/>
                <w:color w:val="auto"/>
              </w:rPr>
            </w:pPr>
            <w:r>
              <w:rPr>
                <w:rFonts w:ascii="Arial" w:cs="Arial" w:eastAsia="Arial" w:hAnsi="Arial"/>
                <w:sz w:val="18"/>
                <w:szCs w:val="18"/>
                <w:color w:val="auto"/>
              </w:rPr>
              <w:t>Redeemable convertible preferred stock accruing dividends</w:t>
            </w:r>
          </w:p>
        </w:tc>
        <w:tc>
          <w:tcPr>
            <w:tcW w:w="120" w:type="dxa"/>
            <w:vAlign w:val="bottom"/>
          </w:tcPr>
          <w:p>
            <w:pPr>
              <w:spacing w:after="0"/>
              <w:rPr>
                <w:sz w:val="19"/>
                <w:szCs w:val="19"/>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(2,435)</w:t>
            </w:r>
          </w:p>
        </w:tc>
        <w:tc>
          <w:tcPr>
            <w:tcW w:w="110" w:type="dxa"/>
            <w:vAlign w:val="bottom"/>
          </w:tcPr>
          <w:p>
            <w:pPr>
              <w:spacing w:after="0"/>
              <w:rPr>
                <w:sz w:val="19"/>
                <w:szCs w:val="19"/>
                <w:color w:val="auto"/>
              </w:rPr>
            </w:pPr>
          </w:p>
        </w:tc>
        <w:tc>
          <w:tcPr>
            <w:tcW w:w="810" w:type="dxa"/>
            <w:vAlign w:val="bottom"/>
            <w:gridSpan w:val="2"/>
          </w:tcPr>
          <w:p>
            <w:pPr>
              <w:jc w:val="right"/>
              <w:spacing w:after="0"/>
              <w:rPr>
                <w:sz w:val="20"/>
                <w:szCs w:val="20"/>
                <w:color w:val="auto"/>
              </w:rPr>
            </w:pPr>
            <w:r>
              <w:rPr>
                <w:rFonts w:ascii="Arial" w:cs="Arial" w:eastAsia="Arial" w:hAnsi="Arial"/>
                <w:sz w:val="18"/>
                <w:szCs w:val="18"/>
                <w:color w:val="auto"/>
              </w:rPr>
              <w:t>(2,435)</w:t>
            </w:r>
          </w:p>
        </w:tc>
      </w:tr>
      <w:tr>
        <w:trPr>
          <w:trHeight w:val="102"/>
        </w:trPr>
        <w:tc>
          <w:tcPr>
            <w:tcW w:w="92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7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Borders>
              <w:bottom w:val="single" w:sz="8" w:color="auto"/>
            </w:tcBorders>
          </w:tcPr>
          <w:p>
            <w:pPr>
              <w:spacing w:after="0"/>
              <w:rPr>
                <w:sz w:val="8"/>
                <w:szCs w:val="8"/>
                <w:color w:val="auto"/>
              </w:rPr>
            </w:pPr>
          </w:p>
        </w:tc>
        <w:tc>
          <w:tcPr>
            <w:tcW w:w="75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2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10" w:type="dxa"/>
            <w:vAlign w:val="bottom"/>
          </w:tcPr>
          <w:p>
            <w:pPr>
              <w:spacing w:after="0"/>
              <w:rPr>
                <w:sz w:val="8"/>
                <w:szCs w:val="8"/>
                <w:color w:val="auto"/>
              </w:rPr>
            </w:pPr>
          </w:p>
        </w:tc>
        <w:tc>
          <w:tcPr>
            <w:tcW w:w="75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loss attributable to common stockholders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(11,370)</w:t>
            </w:r>
          </w:p>
        </w:tc>
        <w:tc>
          <w:tcPr>
            <w:tcW w:w="11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1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(16,653)</w:t>
            </w:r>
          </w:p>
        </w:tc>
      </w:tr>
      <w:tr>
        <w:trPr>
          <w:trHeight w:val="132"/>
        </w:trPr>
        <w:tc>
          <w:tcPr>
            <w:tcW w:w="924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10" w:type="dxa"/>
            <w:vAlign w:val="bottom"/>
            <w:tcBorders>
              <w:bottom w:val="single" w:sz="8" w:color="auto"/>
            </w:tcBorders>
          </w:tcPr>
          <w:p>
            <w:pPr>
              <w:spacing w:after="0"/>
              <w:rPr>
                <w:sz w:val="11"/>
                <w:szCs w:val="11"/>
                <w:color w:val="auto"/>
              </w:rPr>
            </w:pPr>
          </w:p>
        </w:tc>
        <w:tc>
          <w:tcPr>
            <w:tcW w:w="75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-29210</wp:posOffset>
            </wp:positionV>
            <wp:extent cx="12700" cy="298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5937250</wp:posOffset>
            </wp:positionH>
            <wp:positionV relativeFrom="paragraph">
              <wp:posOffset>-29210</wp:posOffset>
            </wp:positionV>
            <wp:extent cx="21590" cy="298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-29210</wp:posOffset>
            </wp:positionV>
            <wp:extent cx="38735" cy="298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-29210</wp:posOffset>
            </wp:positionV>
            <wp:extent cx="12700" cy="298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-29210</wp:posOffset>
            </wp:positionV>
            <wp:extent cx="21590" cy="298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-29210</wp:posOffset>
            </wp:positionV>
            <wp:extent cx="38735" cy="298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422" w:right="23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126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8"/>
              </w:rPr>
              <w:t>Nine Months</w:t>
            </w:r>
          </w:p>
        </w:tc>
        <w:tc>
          <w:tcPr>
            <w:tcW w:w="920" w:type="dxa"/>
            <w:vAlign w:val="bottom"/>
            <w:gridSpan w:val="3"/>
          </w:tcPr>
          <w:p>
            <w:pPr>
              <w:jc w:val="center"/>
              <w:ind w:right="60"/>
              <w:spacing w:after="0"/>
              <w:rPr>
                <w:sz w:val="20"/>
                <w:szCs w:val="20"/>
                <w:color w:val="auto"/>
              </w:rPr>
            </w:pPr>
            <w:r>
              <w:rPr>
                <w:rFonts w:ascii="Arial" w:cs="Arial" w:eastAsia="Arial" w:hAnsi="Arial"/>
                <w:sz w:val="14"/>
                <w:szCs w:val="14"/>
                <w:b w:val="1"/>
                <w:bCs w:val="1"/>
                <w:color w:val="auto"/>
                <w:w w:val="88"/>
              </w:rPr>
              <w:t>Nine Months</w:t>
            </w:r>
          </w:p>
        </w:tc>
      </w:tr>
      <w:tr>
        <w:trPr>
          <w:trHeight w:val="149"/>
        </w:trPr>
        <w:tc>
          <w:tcPr>
            <w:tcW w:w="9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560"/>
              <w:spacing w:after="0" w:line="149" w:lineRule="exact"/>
              <w:rPr>
                <w:sz w:val="20"/>
                <w:szCs w:val="20"/>
                <w:color w:val="auto"/>
              </w:rPr>
            </w:pPr>
            <w:r>
              <w:rPr>
                <w:rFonts w:ascii="Arial" w:cs="Arial" w:eastAsia="Arial" w:hAnsi="Arial"/>
                <w:sz w:val="14"/>
                <w:szCs w:val="14"/>
                <w:b w:val="1"/>
                <w:bCs w:val="1"/>
                <w:color w:val="auto"/>
                <w:w w:val="88"/>
              </w:rPr>
              <w:t>Ended</w:t>
            </w:r>
          </w:p>
        </w:tc>
        <w:tc>
          <w:tcPr>
            <w:tcW w:w="160" w:type="dxa"/>
            <w:vAlign w:val="bottom"/>
          </w:tcPr>
          <w:p>
            <w:pPr>
              <w:spacing w:after="0"/>
              <w:rPr>
                <w:sz w:val="12"/>
                <w:szCs w:val="12"/>
                <w:color w:val="auto"/>
              </w:rPr>
            </w:pPr>
          </w:p>
        </w:tc>
        <w:tc>
          <w:tcPr>
            <w:tcW w:w="76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Ended</w:t>
            </w:r>
          </w:p>
        </w:tc>
      </w:tr>
      <w:tr>
        <w:trPr>
          <w:trHeight w:val="149"/>
        </w:trPr>
        <w:tc>
          <w:tcPr>
            <w:tcW w:w="9240" w:type="dxa"/>
            <w:vAlign w:val="bottom"/>
          </w:tcPr>
          <w:p>
            <w:pPr>
              <w:spacing w:after="0"/>
              <w:rPr>
                <w:sz w:val="12"/>
                <w:szCs w:val="12"/>
                <w:color w:val="auto"/>
              </w:rPr>
            </w:pPr>
          </w:p>
        </w:tc>
        <w:tc>
          <w:tcPr>
            <w:tcW w:w="126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September 30,</w:t>
            </w:r>
          </w:p>
        </w:tc>
        <w:tc>
          <w:tcPr>
            <w:tcW w:w="92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w w:val="91"/>
              </w:rPr>
              <w:t>September 30,</w:t>
            </w:r>
          </w:p>
        </w:tc>
      </w:tr>
      <w:tr>
        <w:trPr>
          <w:trHeight w:val="174"/>
        </w:trPr>
        <w:tc>
          <w:tcPr>
            <w:tcW w:w="9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ind w:right="73"/>
              <w:spacing w:after="0"/>
              <w:rPr>
                <w:sz w:val="20"/>
                <w:szCs w:val="20"/>
                <w:color w:val="auto"/>
              </w:rPr>
            </w:pPr>
            <w:r>
              <w:rPr>
                <w:rFonts w:ascii="Arial" w:cs="Arial" w:eastAsia="Arial" w:hAnsi="Arial"/>
                <w:sz w:val="14"/>
                <w:szCs w:val="14"/>
                <w:b w:val="1"/>
                <w:bCs w:val="1"/>
                <w:color w:val="auto"/>
                <w:w w:val="83"/>
              </w:rPr>
              <w:t>2002</w:t>
            </w:r>
          </w:p>
        </w:tc>
        <w:tc>
          <w:tcPr>
            <w:tcW w:w="4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jc w:val="center"/>
              <w:ind w:right="73"/>
              <w:spacing w:after="0"/>
              <w:rPr>
                <w:sz w:val="20"/>
                <w:szCs w:val="20"/>
                <w:color w:val="auto"/>
              </w:rPr>
            </w:pPr>
            <w:r>
              <w:rPr>
                <w:rFonts w:ascii="Arial" w:cs="Arial" w:eastAsia="Arial" w:hAnsi="Arial"/>
                <w:sz w:val="14"/>
                <w:szCs w:val="14"/>
                <w:b w:val="1"/>
                <w:bCs w:val="1"/>
                <w:color w:val="auto"/>
                <w:w w:val="83"/>
              </w:rPr>
              <w:t>2001</w:t>
            </w:r>
          </w:p>
        </w:tc>
        <w:tc>
          <w:tcPr>
            <w:tcW w:w="60" w:type="dxa"/>
            <w:vAlign w:val="bottom"/>
          </w:tcPr>
          <w:p>
            <w:pPr>
              <w:spacing w:after="0"/>
              <w:rPr>
                <w:sz w:val="15"/>
                <w:szCs w:val="15"/>
                <w:color w:val="auto"/>
              </w:rPr>
            </w:pPr>
          </w:p>
        </w:tc>
      </w:tr>
      <w:tr>
        <w:trPr>
          <w:trHeight w:val="95"/>
        </w:trPr>
        <w:tc>
          <w:tcPr>
            <w:tcW w:w="9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operating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40" w:type="dxa"/>
            <w:vAlign w:val="bottom"/>
          </w:tcPr>
          <w:p>
            <w:pPr>
              <w:ind w:left="200"/>
              <w:spacing w:after="0"/>
              <w:rPr>
                <w:sz w:val="20"/>
                <w:szCs w:val="20"/>
                <w:color w:val="auto"/>
              </w:rPr>
            </w:pPr>
            <w:r>
              <w:rPr>
                <w:rFonts w:ascii="Arial" w:cs="Arial" w:eastAsia="Arial" w:hAnsi="Arial"/>
                <w:sz w:val="18"/>
                <w:szCs w:val="18"/>
                <w:color w:val="auto"/>
              </w:rPr>
              <w:t>Net loss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(8,935)</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(14,218)</w:t>
            </w:r>
          </w:p>
        </w:tc>
      </w:tr>
      <w:tr>
        <w:trPr>
          <w:trHeight w:val="216"/>
        </w:trPr>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w w:val="97"/>
              </w:rPr>
              <w:t>Non-cash discount on common stock and warrants issued below deemed fair value offset against related revenue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976</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394</w:t>
            </w:r>
          </w:p>
        </w:tc>
        <w:tc>
          <w:tcPr>
            <w:tcW w:w="60" w:type="dxa"/>
            <w:vAlign w:val="bottom"/>
          </w:tcPr>
          <w:p>
            <w:pPr>
              <w:spacing w:after="0"/>
              <w:rPr>
                <w:sz w:val="18"/>
                <w:szCs w:val="18"/>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Depreciation and amortization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1,332</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1,221</w:t>
            </w:r>
          </w:p>
        </w:tc>
        <w:tc>
          <w:tcPr>
            <w:tcW w:w="60" w:type="dxa"/>
            <w:vAlign w:val="bottom"/>
            <w:shd w:val="clear" w:color="auto" w:fill="CCEEFF"/>
          </w:tcPr>
          <w:p>
            <w:pPr>
              <w:spacing w:after="0"/>
              <w:rPr>
                <w:sz w:val="18"/>
                <w:szCs w:val="18"/>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Stock-based compensation</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541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1,264</w:t>
            </w:r>
          </w:p>
        </w:tc>
        <w:tc>
          <w:tcPr>
            <w:tcW w:w="60" w:type="dxa"/>
            <w:vAlign w:val="bottom"/>
          </w:tcPr>
          <w:p>
            <w:pPr>
              <w:spacing w:after="0"/>
              <w:rPr>
                <w:sz w:val="18"/>
                <w:szCs w:val="18"/>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Amortization of financing costs/debt discount</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Amortization of other identifiable intangibles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382</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581</w:t>
            </w:r>
          </w:p>
        </w:tc>
        <w:tc>
          <w:tcPr>
            <w:tcW w:w="60" w:type="dxa"/>
            <w:vAlign w:val="bottom"/>
          </w:tcPr>
          <w:p>
            <w:pPr>
              <w:spacing w:after="0"/>
              <w:rPr>
                <w:sz w:val="18"/>
                <w:szCs w:val="18"/>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Gain on sale of short term investment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w:t>
            </w: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Loss on assignment of contracts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60</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40" w:type="dxa"/>
            <w:vAlign w:val="bottom"/>
          </w:tcPr>
          <w:p>
            <w:pPr>
              <w:ind w:left="740"/>
              <w:spacing w:after="0"/>
              <w:rPr>
                <w:sz w:val="20"/>
                <w:szCs w:val="20"/>
                <w:color w:val="auto"/>
              </w:rPr>
            </w:pPr>
            <w:r>
              <w:rPr>
                <w:rFonts w:ascii="Arial" w:cs="Arial" w:eastAsia="Arial" w:hAnsi="Arial"/>
                <w:sz w:val="18"/>
                <w:szCs w:val="18"/>
                <w:color w:val="auto"/>
              </w:rPr>
              <w:t>Accounts receivable, net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4,601</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(512)</w:t>
            </w: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Costs in excess of billings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(412)</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r>
      <w:tr>
        <w:trPr>
          <w:trHeight w:val="216"/>
        </w:trPr>
        <w:tc>
          <w:tcPr>
            <w:tcW w:w="9240" w:type="dxa"/>
            <w:vAlign w:val="bottom"/>
          </w:tcPr>
          <w:p>
            <w:pPr>
              <w:ind w:left="740"/>
              <w:spacing w:after="0"/>
              <w:rPr>
                <w:sz w:val="20"/>
                <w:szCs w:val="20"/>
                <w:color w:val="auto"/>
              </w:rPr>
            </w:pPr>
            <w:r>
              <w:rPr>
                <w:rFonts w:ascii="Arial" w:cs="Arial" w:eastAsia="Arial" w:hAnsi="Arial"/>
                <w:sz w:val="18"/>
                <w:szCs w:val="18"/>
                <w:color w:val="auto"/>
              </w:rPr>
              <w:t>Prepaid expenses and other current assets</w:t>
            </w: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(259)</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(723)</w:t>
            </w: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60" w:type="dxa"/>
            <w:vAlign w:val="bottom"/>
            <w:shd w:val="clear" w:color="auto" w:fill="CCEEFF"/>
          </w:tcPr>
          <w:p>
            <w:pPr>
              <w:spacing w:after="0"/>
              <w:rPr>
                <w:sz w:val="18"/>
                <w:szCs w:val="18"/>
                <w:color w:val="auto"/>
              </w:rPr>
            </w:pPr>
          </w:p>
        </w:tc>
      </w:tr>
      <w:tr>
        <w:trPr>
          <w:trHeight w:val="216"/>
        </w:trPr>
        <w:tc>
          <w:tcPr>
            <w:tcW w:w="9240" w:type="dxa"/>
            <w:vAlign w:val="bottom"/>
          </w:tcPr>
          <w:p>
            <w:pPr>
              <w:ind w:left="740"/>
              <w:spacing w:after="0"/>
              <w:rPr>
                <w:sz w:val="20"/>
                <w:szCs w:val="20"/>
                <w:color w:val="auto"/>
              </w:rPr>
            </w:pPr>
            <w:r>
              <w:rPr>
                <w:rFonts w:ascii="Arial" w:cs="Arial" w:eastAsia="Arial" w:hAnsi="Arial"/>
                <w:sz w:val="18"/>
                <w:szCs w:val="18"/>
                <w:color w:val="auto"/>
              </w:rPr>
              <w:t>Accounts payable</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9</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(904)</w:t>
            </w: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Accrued and other current liabilities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(1,343)</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(449)</w:t>
            </w:r>
          </w:p>
        </w:tc>
      </w:tr>
      <w:tr>
        <w:trPr>
          <w:trHeight w:val="216"/>
        </w:trPr>
        <w:tc>
          <w:tcPr>
            <w:tcW w:w="9240" w:type="dxa"/>
            <w:vAlign w:val="bottom"/>
          </w:tcPr>
          <w:p>
            <w:pPr>
              <w:ind w:left="740"/>
              <w:spacing w:after="0"/>
              <w:rPr>
                <w:sz w:val="20"/>
                <w:szCs w:val="20"/>
                <w:color w:val="auto"/>
              </w:rPr>
            </w:pPr>
            <w:r>
              <w:rPr>
                <w:rFonts w:ascii="Arial" w:cs="Arial" w:eastAsia="Arial" w:hAnsi="Arial"/>
                <w:sz w:val="18"/>
                <w:szCs w:val="18"/>
                <w:color w:val="auto"/>
              </w:rPr>
              <w:t>Deferred revenue</w:t>
            </w: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(3,241)</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824</w:t>
            </w:r>
          </w:p>
        </w:tc>
        <w:tc>
          <w:tcPr>
            <w:tcW w:w="60" w:type="dxa"/>
            <w:vAlign w:val="bottom"/>
          </w:tcPr>
          <w:p>
            <w:pPr>
              <w:spacing w:after="0"/>
              <w:rPr>
                <w:sz w:val="18"/>
                <w:szCs w:val="18"/>
                <w:color w:val="auto"/>
              </w:rPr>
            </w:pPr>
          </w:p>
        </w:tc>
      </w:tr>
      <w:tr>
        <w:trPr>
          <w:trHeight w:val="216"/>
        </w:trPr>
        <w:tc>
          <w:tcPr>
            <w:tcW w:w="9240" w:type="dxa"/>
            <w:vAlign w:val="bottom"/>
            <w:shd w:val="clear" w:color="auto" w:fill="CCEEFF"/>
          </w:tcPr>
          <w:p>
            <w:pPr>
              <w:ind w:left="740"/>
              <w:spacing w:after="0"/>
              <w:rPr>
                <w:sz w:val="20"/>
                <w:szCs w:val="20"/>
                <w:color w:val="auto"/>
              </w:rPr>
            </w:pPr>
            <w:r>
              <w:rPr>
                <w:rFonts w:ascii="Arial" w:cs="Arial" w:eastAsia="Arial" w:hAnsi="Arial"/>
                <w:sz w:val="18"/>
                <w:szCs w:val="18"/>
                <w:color w:val="auto"/>
              </w:rPr>
              <w:t>Other liabilities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108"/>
        </w:trPr>
        <w:tc>
          <w:tcPr>
            <w:tcW w:w="9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Net cash used in operating activities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(5,808)</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(12,499)</w:t>
            </w:r>
          </w:p>
        </w:tc>
      </w:tr>
      <w:tr>
        <w:trPr>
          <w:trHeight w:val="108"/>
        </w:trPr>
        <w:tc>
          <w:tcPr>
            <w:tcW w:w="9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investing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Proceeds from sales of short term investments</w:t>
            </w: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15,398</w:t>
            </w:r>
          </w:p>
        </w:tc>
        <w:tc>
          <w:tcPr>
            <w:tcW w:w="60" w:type="dxa"/>
            <w:vAlign w:val="bottom"/>
          </w:tcPr>
          <w:p>
            <w:pPr>
              <w:spacing w:after="0"/>
              <w:rPr>
                <w:sz w:val="18"/>
                <w:szCs w:val="18"/>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Purchases of short term investments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(2,064)</w:t>
            </w: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Increase in restricted cash equivalents</w:t>
            </w: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(104)</w:t>
            </w: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Purchases of property and equipment</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(109)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(1,277)</w:t>
            </w:r>
          </w:p>
        </w:tc>
      </w:tr>
      <w:tr>
        <w:trPr>
          <w:trHeight w:val="108"/>
        </w:trPr>
        <w:tc>
          <w:tcPr>
            <w:tcW w:w="9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Net cash provided by (used in) investing activities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b w:val="1"/>
                <w:bCs w:val="1"/>
                <w:color w:val="auto"/>
              </w:rPr>
              <w:t>(109)</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11,953</w:t>
            </w:r>
          </w:p>
        </w:tc>
        <w:tc>
          <w:tcPr>
            <w:tcW w:w="60" w:type="dxa"/>
            <w:vAlign w:val="bottom"/>
            <w:shd w:val="clear" w:color="auto" w:fill="CCEEFF"/>
          </w:tcPr>
          <w:p>
            <w:pPr>
              <w:spacing w:after="0"/>
              <w:rPr>
                <w:sz w:val="18"/>
                <w:szCs w:val="18"/>
                <w:color w:val="auto"/>
              </w:rPr>
            </w:pPr>
          </w:p>
        </w:tc>
      </w:tr>
      <w:tr>
        <w:trPr>
          <w:trHeight w:val="108"/>
        </w:trPr>
        <w:tc>
          <w:tcPr>
            <w:tcW w:w="9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Cash flows from financing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Proceeds from bank borrowings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Proceeds from convertible notes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60" w:type="dxa"/>
            <w:vAlign w:val="bottom"/>
            <w:shd w:val="clear" w:color="auto" w:fill="CCEEFF"/>
          </w:tcPr>
          <w:p>
            <w:pPr>
              <w:spacing w:after="0"/>
              <w:rPr>
                <w:sz w:val="18"/>
                <w:szCs w:val="18"/>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Repayment of bank borrowings</w:t>
            </w:r>
          </w:p>
        </w:tc>
        <w:tc>
          <w:tcPr>
            <w:tcW w:w="160" w:type="dxa"/>
            <w:vAlign w:val="bottom"/>
          </w:tcPr>
          <w:p>
            <w:pPr>
              <w:spacing w:after="0"/>
              <w:rPr>
                <w:sz w:val="18"/>
                <w:szCs w:val="18"/>
                <w:color w:val="auto"/>
              </w:rPr>
            </w:pPr>
          </w:p>
        </w:tc>
        <w:tc>
          <w:tcPr>
            <w:tcW w:w="1100" w:type="dxa"/>
            <w:vAlign w:val="bottom"/>
            <w:gridSpan w:val="2"/>
          </w:tcPr>
          <w:p>
            <w:pPr>
              <w:jc w:val="right"/>
              <w:ind w:right="340"/>
              <w:spacing w:after="0"/>
              <w:rPr>
                <w:sz w:val="20"/>
                <w:szCs w:val="20"/>
                <w:color w:val="auto"/>
              </w:rPr>
            </w:pPr>
            <w:r>
              <w:rPr>
                <w:rFonts w:ascii="Arial" w:cs="Arial" w:eastAsia="Arial" w:hAnsi="Arial"/>
                <w:sz w:val="18"/>
                <w:szCs w:val="18"/>
                <w:color w:val="auto"/>
              </w:rPr>
              <w:t>(1,351)</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(389)</w:t>
            </w: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Repayment of capital lease obligations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(49)</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w:t>
            </w: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Issuance of note receivable to officer</w:t>
            </w:r>
          </w:p>
        </w:tc>
        <w:tc>
          <w:tcPr>
            <w:tcW w:w="160" w:type="dxa"/>
            <w:vAlign w:val="bottom"/>
          </w:tcPr>
          <w:p>
            <w:pPr>
              <w:spacing w:after="0"/>
              <w:rPr>
                <w:sz w:val="18"/>
                <w:szCs w:val="18"/>
                <w:color w:val="auto"/>
              </w:rPr>
            </w:pPr>
          </w:p>
        </w:tc>
        <w:tc>
          <w:tcPr>
            <w:tcW w:w="1100" w:type="dxa"/>
            <w:vAlign w:val="bottom"/>
            <w:gridSpan w:val="2"/>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760" w:type="dxa"/>
            <w:vAlign w:val="bottom"/>
            <w:gridSpan w:val="2"/>
          </w:tcPr>
          <w:p>
            <w:pPr>
              <w:jc w:val="right"/>
              <w:spacing w:after="0"/>
              <w:rPr>
                <w:sz w:val="20"/>
                <w:szCs w:val="20"/>
                <w:color w:val="auto"/>
              </w:rPr>
            </w:pPr>
            <w:r>
              <w:rPr>
                <w:rFonts w:ascii="Arial" w:cs="Arial" w:eastAsia="Arial" w:hAnsi="Arial"/>
                <w:sz w:val="18"/>
                <w:szCs w:val="18"/>
                <w:color w:val="auto"/>
              </w:rPr>
              <w:t>(73)</w:t>
            </w: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Repurchase of common stock from officer</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22"/>
        </w:trPr>
        <w:tc>
          <w:tcPr>
            <w:tcW w:w="9240" w:type="dxa"/>
            <w:vAlign w:val="bottom"/>
          </w:tcPr>
          <w:p>
            <w:pPr>
              <w:ind w:left="380"/>
              <w:spacing w:after="0"/>
              <w:rPr>
                <w:sz w:val="20"/>
                <w:szCs w:val="20"/>
                <w:color w:val="auto"/>
              </w:rPr>
            </w:pPr>
            <w:r>
              <w:rPr>
                <w:rFonts w:ascii="Arial" w:cs="Arial" w:eastAsia="Arial" w:hAnsi="Arial"/>
                <w:sz w:val="18"/>
                <w:szCs w:val="18"/>
                <w:color w:val="auto"/>
              </w:rPr>
              <w:t>Proceeds from exercised stock options, net of repurchased unvested common stock upon termination</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37</w:t>
            </w:r>
          </w:p>
        </w:tc>
        <w:tc>
          <w:tcPr>
            <w:tcW w:w="60" w:type="dxa"/>
            <w:vAlign w:val="bottom"/>
          </w:tcPr>
          <w:p>
            <w:pPr>
              <w:spacing w:after="0"/>
              <w:rPr>
                <w:sz w:val="19"/>
                <w:szCs w:val="19"/>
                <w:color w:val="auto"/>
              </w:rPr>
            </w:pPr>
          </w:p>
        </w:tc>
      </w:tr>
      <w:tr>
        <w:trPr>
          <w:trHeight w:val="102"/>
        </w:trPr>
        <w:tc>
          <w:tcPr>
            <w:tcW w:w="9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Net cash provided by financing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3,534</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3,031</w:t>
            </w:r>
          </w:p>
        </w:tc>
        <w:tc>
          <w:tcPr>
            <w:tcW w:w="60" w:type="dxa"/>
            <w:vAlign w:val="bottom"/>
            <w:shd w:val="clear" w:color="auto" w:fill="CCEEFF"/>
          </w:tcPr>
          <w:p>
            <w:pPr>
              <w:spacing w:after="0"/>
              <w:rPr>
                <w:sz w:val="18"/>
                <w:szCs w:val="18"/>
                <w:color w:val="auto"/>
              </w:rPr>
            </w:pPr>
          </w:p>
        </w:tc>
      </w:tr>
      <w:tr>
        <w:trPr>
          <w:trHeight w:val="108"/>
        </w:trPr>
        <w:tc>
          <w:tcPr>
            <w:tcW w:w="924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70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9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1200"/>
              <w:spacing w:after="0"/>
              <w:rPr>
                <w:sz w:val="20"/>
                <w:szCs w:val="20"/>
                <w:color w:val="auto"/>
              </w:rPr>
            </w:pPr>
            <w:r>
              <w:rPr>
                <w:rFonts w:ascii="Arial" w:cs="Arial" w:eastAsia="Arial" w:hAnsi="Arial"/>
                <w:sz w:val="18"/>
                <w:szCs w:val="18"/>
                <w:color w:val="auto"/>
              </w:rPr>
              <w:t>Net increase (decrease) in cash and cash equivalents</w:t>
            </w:r>
          </w:p>
        </w:tc>
        <w:tc>
          <w:tcPr>
            <w:tcW w:w="1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(2,383)</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w:t>
            </w:r>
          </w:p>
        </w:tc>
        <w:tc>
          <w:tcPr>
            <w:tcW w:w="60" w:type="dxa"/>
            <w:vAlign w:val="bottom"/>
            <w:shd w:val="clear" w:color="auto" w:fill="CCEEFF"/>
          </w:tcPr>
          <w:p>
            <w:pPr>
              <w:spacing w:after="0"/>
              <w:rPr>
                <w:sz w:val="18"/>
                <w:szCs w:val="18"/>
                <w:color w:val="auto"/>
              </w:rPr>
            </w:pPr>
          </w:p>
        </w:tc>
      </w:tr>
      <w:tr>
        <w:trPr>
          <w:trHeight w:val="222"/>
        </w:trPr>
        <w:tc>
          <w:tcPr>
            <w:tcW w:w="9240" w:type="dxa"/>
            <w:vAlign w:val="bottom"/>
          </w:tcPr>
          <w:p>
            <w:pPr>
              <w:ind w:left="20"/>
              <w:spacing w:after="0"/>
              <w:rPr>
                <w:sz w:val="20"/>
                <w:szCs w:val="20"/>
                <w:color w:val="auto"/>
              </w:rPr>
            </w:pPr>
            <w:r>
              <w:rPr>
                <w:rFonts w:ascii="Arial" w:cs="Arial" w:eastAsia="Arial" w:hAnsi="Arial"/>
                <w:sz w:val="18"/>
                <w:szCs w:val="18"/>
                <w:color w:val="auto"/>
              </w:rPr>
              <w:t>Cash and cash equivalents at beginning of year</w:t>
            </w: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6,849</w:t>
            </w:r>
          </w:p>
        </w:tc>
        <w:tc>
          <w:tcPr>
            <w:tcW w:w="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5,181</w:t>
            </w:r>
          </w:p>
        </w:tc>
        <w:tc>
          <w:tcPr>
            <w:tcW w:w="60" w:type="dxa"/>
            <w:vAlign w:val="bottom"/>
          </w:tcPr>
          <w:p>
            <w:pPr>
              <w:spacing w:after="0"/>
              <w:rPr>
                <w:sz w:val="19"/>
                <w:szCs w:val="19"/>
                <w:color w:val="auto"/>
              </w:rPr>
            </w:pPr>
          </w:p>
        </w:tc>
      </w:tr>
      <w:tr>
        <w:trPr>
          <w:trHeight w:val="102"/>
        </w:trPr>
        <w:tc>
          <w:tcPr>
            <w:tcW w:w="924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70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924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0" w:type="dxa"/>
            <w:vAlign w:val="bottom"/>
          </w:tcPr>
          <w:p>
            <w:pPr>
              <w:spacing w:after="0"/>
              <w:rPr>
                <w:sz w:val="8"/>
                <w:szCs w:val="8"/>
                <w:color w:val="auto"/>
              </w:rPr>
            </w:pPr>
          </w:p>
        </w:tc>
        <w:tc>
          <w:tcPr>
            <w:tcW w:w="160" w:type="dxa"/>
            <w:vAlign w:val="bottom"/>
          </w:tcPr>
          <w:p>
            <w:pPr>
              <w:spacing w:after="0"/>
              <w:rPr>
                <w:sz w:val="8"/>
                <w:szCs w:val="8"/>
                <w:color w:val="auto"/>
              </w:rPr>
            </w:pPr>
          </w:p>
        </w:tc>
        <w:tc>
          <w:tcPr>
            <w:tcW w:w="70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at end of year</w:t>
            </w: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4,466</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7,666</w:t>
            </w:r>
          </w:p>
        </w:tc>
        <w:tc>
          <w:tcPr>
            <w:tcW w:w="60" w:type="dxa"/>
            <w:vAlign w:val="bottom"/>
            <w:shd w:val="clear" w:color="auto" w:fill="CCEEFF"/>
          </w:tcPr>
          <w:p>
            <w:pPr>
              <w:spacing w:after="0"/>
              <w:rPr>
                <w:sz w:val="18"/>
                <w:szCs w:val="18"/>
                <w:color w:val="auto"/>
              </w:rPr>
            </w:pPr>
          </w:p>
        </w:tc>
      </w:tr>
      <w:tr>
        <w:trPr>
          <w:trHeight w:val="132"/>
        </w:trPr>
        <w:tc>
          <w:tcPr>
            <w:tcW w:w="924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0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924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400" w:type="dxa"/>
            <w:vAlign w:val="bottom"/>
          </w:tcPr>
          <w:p>
            <w:pPr>
              <w:spacing w:after="0"/>
              <w:rPr>
                <w:sz w:val="9"/>
                <w:szCs w:val="9"/>
                <w:color w:val="auto"/>
              </w:rPr>
            </w:pPr>
          </w:p>
        </w:tc>
        <w:tc>
          <w:tcPr>
            <w:tcW w:w="160" w:type="dxa"/>
            <w:vAlign w:val="bottom"/>
          </w:tcPr>
          <w:p>
            <w:pPr>
              <w:spacing w:after="0"/>
              <w:rPr>
                <w:sz w:val="9"/>
                <w:szCs w:val="9"/>
                <w:color w:val="auto"/>
              </w:rPr>
            </w:pPr>
          </w:p>
        </w:tc>
        <w:tc>
          <w:tcPr>
            <w:tcW w:w="70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disclosures of non-cash investing and financing activities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40" w:type="dxa"/>
            <w:vAlign w:val="bottom"/>
          </w:tcPr>
          <w:p>
            <w:pPr>
              <w:ind w:left="200"/>
              <w:spacing w:after="0"/>
              <w:rPr>
                <w:sz w:val="20"/>
                <w:szCs w:val="20"/>
                <w:color w:val="auto"/>
              </w:rPr>
            </w:pPr>
            <w:r>
              <w:rPr>
                <w:rFonts w:ascii="Arial" w:cs="Arial" w:eastAsia="Arial" w:hAnsi="Arial"/>
                <w:sz w:val="18"/>
                <w:szCs w:val="18"/>
                <w:color w:val="auto"/>
              </w:rPr>
              <w:t>Repurchase of common stock in exchange for notes receivable from officer</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94</w:t>
            </w:r>
          </w:p>
        </w:tc>
        <w:tc>
          <w:tcPr>
            <w:tcW w:w="4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Issuance of warrants in connection with bank borrowings and convertible notes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881</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9240" w:type="dxa"/>
            <w:vAlign w:val="bottom"/>
          </w:tcPr>
          <w:p>
            <w:pPr>
              <w:ind w:left="200"/>
              <w:spacing w:after="0"/>
              <w:rPr>
                <w:sz w:val="20"/>
                <w:szCs w:val="20"/>
                <w:color w:val="auto"/>
              </w:rPr>
            </w:pPr>
            <w:r>
              <w:rPr>
                <w:rFonts w:ascii="Arial" w:cs="Arial" w:eastAsia="Arial" w:hAnsi="Arial"/>
                <w:sz w:val="18"/>
                <w:szCs w:val="18"/>
                <w:color w:val="auto"/>
              </w:rPr>
              <w:t>Redeemable convertible preferred stock accruing dividends</w:t>
            </w: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2,435</w:t>
            </w:r>
          </w:p>
        </w:tc>
        <w:tc>
          <w:tcPr>
            <w:tcW w:w="4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2,435</w:t>
            </w:r>
          </w:p>
        </w:tc>
        <w:tc>
          <w:tcPr>
            <w:tcW w:w="60" w:type="dxa"/>
            <w:vAlign w:val="bottom"/>
          </w:tcPr>
          <w:p>
            <w:pPr>
              <w:spacing w:after="0"/>
              <w:rPr>
                <w:sz w:val="18"/>
                <w:szCs w:val="18"/>
                <w:color w:val="auto"/>
              </w:rPr>
            </w:pPr>
          </w:p>
        </w:tc>
      </w:tr>
      <w:tr>
        <w:trPr>
          <w:trHeight w:val="216"/>
        </w:trPr>
        <w:tc>
          <w:tcPr>
            <w:tcW w:w="9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9240" w:type="dxa"/>
            <w:vAlign w:val="bottom"/>
          </w:tcPr>
          <w:p>
            <w:pPr>
              <w:ind w:left="380"/>
              <w:spacing w:after="0"/>
              <w:rPr>
                <w:sz w:val="20"/>
                <w:szCs w:val="20"/>
                <w:color w:val="auto"/>
              </w:rPr>
            </w:pPr>
            <w:r>
              <w:rPr>
                <w:rFonts w:ascii="Arial" w:cs="Arial" w:eastAsia="Arial" w:hAnsi="Arial"/>
                <w:sz w:val="18"/>
                <w:szCs w:val="18"/>
                <w:color w:val="auto"/>
              </w:rPr>
              <w:t>Cash paid for interest</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85</w:t>
            </w:r>
          </w:p>
        </w:tc>
        <w:tc>
          <w:tcPr>
            <w:tcW w:w="400" w:type="dxa"/>
            <w:vAlign w:val="bottom"/>
          </w:tcPr>
          <w:p>
            <w:pPr>
              <w:spacing w:after="0"/>
              <w:rPr>
                <w:sz w:val="18"/>
                <w:szCs w:val="18"/>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65</w:t>
            </w:r>
          </w:p>
        </w:tc>
        <w:tc>
          <w:tcPr>
            <w:tcW w:w="60" w:type="dxa"/>
            <w:vAlign w:val="bottom"/>
          </w:tcPr>
          <w:p>
            <w:pPr>
              <w:spacing w:after="0"/>
              <w:rPr>
                <w:sz w:val="18"/>
                <w:szCs w:val="18"/>
                <w:color w:val="auto"/>
              </w:rPr>
            </w:pPr>
          </w:p>
        </w:tc>
      </w:tr>
      <w:tr>
        <w:trPr>
          <w:trHeight w:val="216"/>
        </w:trPr>
        <w:tc>
          <w:tcPr>
            <w:tcW w:w="92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Cash paid for taxes</w:t>
            </w: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5868670</wp:posOffset>
            </wp:positionH>
            <wp:positionV relativeFrom="paragraph">
              <wp:posOffset>-1056005</wp:posOffset>
            </wp:positionV>
            <wp:extent cx="12700" cy="298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5946140</wp:posOffset>
            </wp:positionH>
            <wp:positionV relativeFrom="paragraph">
              <wp:posOffset>-1056005</wp:posOffset>
            </wp:positionV>
            <wp:extent cx="21590" cy="298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6400800</wp:posOffset>
            </wp:positionH>
            <wp:positionV relativeFrom="paragraph">
              <wp:posOffset>-1056005</wp:posOffset>
            </wp:positionV>
            <wp:extent cx="38735" cy="298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6666230</wp:posOffset>
            </wp:positionH>
            <wp:positionV relativeFrom="paragraph">
              <wp:posOffset>-1056005</wp:posOffset>
            </wp:positionV>
            <wp:extent cx="12700" cy="298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6734810</wp:posOffset>
            </wp:positionH>
            <wp:positionV relativeFrom="paragraph">
              <wp:posOffset>-1056005</wp:posOffset>
            </wp:positionV>
            <wp:extent cx="21590" cy="298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-1056005</wp:posOffset>
            </wp:positionV>
            <wp:extent cx="38735" cy="298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422"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83" w:lineRule="exact"/>
        <w:rPr>
          <w:sz w:val="20"/>
          <w:szCs w:val="20"/>
          <w:color w:val="auto"/>
        </w:rPr>
      </w:pPr>
    </w:p>
    <w:p>
      <w:pPr>
        <w:ind w:right="120"/>
        <w:spacing w:after="0" w:line="289" w:lineRule="auto"/>
        <w:rPr>
          <w:sz w:val="20"/>
          <w:szCs w:val="20"/>
          <w:color w:val="auto"/>
        </w:rPr>
      </w:pPr>
      <w:r>
        <w:rPr>
          <w:rFonts w:ascii="Arial" w:cs="Arial" w:eastAsia="Arial" w:hAnsi="Arial"/>
          <w:sz w:val="16"/>
          <w:szCs w:val="16"/>
          <w:color w:val="auto"/>
        </w:rPr>
        <w:t>The accompanying condensed consolidated financial statements of Silicon Energy Corp. (the “Company”) include the accounts of the Company and its wholly owned subsidiaries. All significant intercompany transactions and balances have been eliminated in consolidation. In the opinion of management, the condensed consolidated financial statements reflect all normal and recurring adjustments which are necessary for a fair presentation of the Company’s financial position at September 30, 2002 and December 31, 2001 and results of operations and cash flows for the nine months ended September 30, 2002 and 2001. The condensed consolidated financial statements have been prepared in accordance with generally accepted accounting principles for interim financial information. Consequently, these statements do not include all the disclosures normally required by generally accepted accounting principles for annual financial statements, nor those normally made in the Company’s financial statements. Accordingly, reference should be made to the Company’s audited financial statements included in this Form 8-K for additional disclosures, including a summary of the Company’s accounting policies.</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83" w:lineRule="exact"/>
        <w:rPr>
          <w:sz w:val="20"/>
          <w:szCs w:val="20"/>
          <w:color w:val="auto"/>
        </w:rPr>
      </w:pPr>
    </w:p>
    <w:p>
      <w:pPr>
        <w:ind w:right="140"/>
        <w:spacing w:after="0" w:line="335" w:lineRule="auto"/>
        <w:rPr>
          <w:sz w:val="20"/>
          <w:szCs w:val="20"/>
          <w:color w:val="auto"/>
        </w:rPr>
      </w:pPr>
      <w:r>
        <w:rPr>
          <w:rFonts w:ascii="Arial" w:cs="Arial" w:eastAsia="Arial" w:hAnsi="Arial"/>
          <w:sz w:val="15"/>
          <w:szCs w:val="15"/>
          <w:color w:val="auto"/>
        </w:rPr>
        <w:t>The preparation of condensed consolidated financial statements in conformity with generally accepted accounting principles requires management to make estimates and assumptions that affect the reported amounts of assets and liabilities and disclosure of contingent assets and liabilities at the date of the condensed consolidated financial statements and reported amounts of revenues and expenses during the reporting period. Actual results could differ from those estimates.</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83" w:lineRule="exact"/>
        <w:rPr>
          <w:sz w:val="20"/>
          <w:szCs w:val="20"/>
          <w:color w:val="auto"/>
        </w:rPr>
      </w:pPr>
    </w:p>
    <w:p>
      <w:pPr>
        <w:ind w:right="500"/>
        <w:spacing w:after="0" w:line="332" w:lineRule="auto"/>
        <w:rPr>
          <w:sz w:val="20"/>
          <w:szCs w:val="20"/>
          <w:color w:val="auto"/>
        </w:rPr>
      </w:pPr>
      <w:r>
        <w:rPr>
          <w:rFonts w:ascii="Arial" w:cs="Arial" w:eastAsia="Arial" w:hAnsi="Arial"/>
          <w:sz w:val="16"/>
          <w:szCs w:val="16"/>
          <w:color w:val="auto"/>
        </w:rPr>
        <w:t>The Company considers all highly liquid investments purchased with an original or remaining maturity at the date of purchase of 90 days or less to be cash equivalents. Restricted cash equivalents represent commercial deposits which are required as collateral for one of the Company’s operating leases.</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recognition</w:t>
      </w:r>
    </w:p>
    <w:p>
      <w:pPr>
        <w:spacing w:after="0" w:line="83"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Company derives revenue from fees for software licenses and services. Services revenue is derived from professional services, maintenance, hosting, Internet and integrated bill analysis services.</w:t>
      </w:r>
    </w:p>
    <w:p>
      <w:pPr>
        <w:spacing w:after="0" w:line="118" w:lineRule="exact"/>
        <w:rPr>
          <w:sz w:val="20"/>
          <w:szCs w:val="20"/>
          <w:color w:val="auto"/>
        </w:rPr>
      </w:pPr>
    </w:p>
    <w:p>
      <w:pPr>
        <w:spacing w:after="0"/>
        <w:rPr>
          <w:sz w:val="20"/>
          <w:szCs w:val="20"/>
          <w:color w:val="auto"/>
        </w:rPr>
      </w:pPr>
      <w:r>
        <w:rPr>
          <w:rFonts w:ascii="Arial" w:cs="Arial" w:eastAsia="Arial" w:hAnsi="Arial"/>
          <w:sz w:val="18"/>
          <w:szCs w:val="18"/>
          <w:color w:val="auto"/>
        </w:rPr>
        <w:t>The Company recognizes revenue when all of the following conditions are met:</w:t>
      </w:r>
    </w:p>
    <w:p>
      <w:pPr>
        <w:spacing w:after="0" w:line="158" w:lineRule="exact"/>
        <w:rPr>
          <w:sz w:val="20"/>
          <w:szCs w:val="20"/>
          <w:color w:val="auto"/>
        </w:rPr>
      </w:pPr>
    </w:p>
    <w:p>
      <w:pPr>
        <w:ind w:left="760" w:hanging="30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There is persuasive evidence of an arrangement;</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has delivered the software product and services essential to its functionality to the customer;</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Company believes that collection of these fees is reasonably assured;</w:t>
      </w:r>
    </w:p>
    <w:p>
      <w:pPr>
        <w:spacing w:after="0" w:line="103" w:lineRule="exact"/>
        <w:rPr>
          <w:rFonts w:ascii="Arial" w:cs="Arial" w:eastAsia="Arial" w:hAnsi="Arial"/>
          <w:sz w:val="18"/>
          <w:szCs w:val="18"/>
          <w:color w:val="auto"/>
        </w:rPr>
      </w:pPr>
    </w:p>
    <w:p>
      <w:pPr>
        <w:ind w:left="760" w:hanging="306"/>
        <w:spacing w:after="0"/>
        <w:tabs>
          <w:tab w:leader="none" w:pos="7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amount of fees to be paid by the customer is fixed or determinable.</w:t>
      </w:r>
    </w:p>
    <w:p>
      <w:pPr>
        <w:spacing w:after="0" w:line="18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274" w:right="259" w:bottom="1440" w:gutter="0" w:footer="0" w:header="0"/>
        </w:sectPr>
      </w:pPr>
    </w:p>
    <w:bookmarkStart w:id="39" w:name="page40"/>
    <w:bookmarkEnd w:id="3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Generally, the Company has vendor specific objective evidence of fair value for the maintenance and hosting element of software arrangements based on renewal rates for maintenance and hosting in future years as specified in the contracts. In such cases, the Company defers the maintenance and hosting revenue at the outset of the arrangement and recognizes it ratably over the period during which the maintenance and hosting is to be provided, which normally commences on the date the software is delivered and fully installed. In cases where there is no vendor specific objective evidence of fair value for maintenance and hosting services, license fees and services are recognized concurrently and ratably over the term of the agreement.</w:t>
      </w:r>
    </w:p>
    <w:p>
      <w:pPr>
        <w:spacing w:after="0" w:line="102" w:lineRule="exact"/>
        <w:rPr>
          <w:sz w:val="20"/>
          <w:szCs w:val="20"/>
          <w:color w:val="auto"/>
        </w:rPr>
      </w:pPr>
    </w:p>
    <w:p>
      <w:pPr>
        <w:ind w:right="220"/>
        <w:spacing w:after="0" w:line="298" w:lineRule="auto"/>
        <w:rPr>
          <w:sz w:val="20"/>
          <w:szCs w:val="20"/>
          <w:color w:val="auto"/>
        </w:rPr>
      </w:pPr>
      <w:r>
        <w:rPr>
          <w:rFonts w:ascii="Arial" w:cs="Arial" w:eastAsia="Arial" w:hAnsi="Arial"/>
          <w:sz w:val="16"/>
          <w:szCs w:val="16"/>
          <w:color w:val="auto"/>
        </w:rPr>
        <w:t xml:space="preserve">As the Company’s license contracts involve significant implementation essential to the functionality of the Company’s software product, license and services revenue, excluding the maintenance and hosting elements described above, is recognized using contract accounting in accordance with the provisions of Statement of Position (SOP) 81-1, </w:t>
      </w:r>
      <w:r>
        <w:rPr>
          <w:rFonts w:ascii="Arial" w:cs="Arial" w:eastAsia="Arial" w:hAnsi="Arial"/>
          <w:sz w:val="16"/>
          <w:szCs w:val="16"/>
          <w:i w:val="1"/>
          <w:iCs w:val="1"/>
          <w:color w:val="auto"/>
        </w:rPr>
        <w:t>Accounting for Performance of Construction Type and Certain Production Type Contract</w:t>
      </w:r>
      <w:r>
        <w:rPr>
          <w:rFonts w:ascii="Arial" w:cs="Arial" w:eastAsia="Arial" w:hAnsi="Arial"/>
          <w:sz w:val="16"/>
          <w:szCs w:val="16"/>
          <w:color w:val="auto"/>
        </w:rPr>
        <w:t>s. The Company classifies revenue from these arrangements as product and services revenue, respectively, based upon the estimated fair value of each element.</w:t>
      </w:r>
    </w:p>
    <w:p>
      <w:pPr>
        <w:spacing w:after="0" w:line="9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On contracts for which reliable estimates can not be made by management with respect to the extent of implementation services required for full functionality, the license and services revenue, excluding the maintenance element, is recognized on a completed contract method. The Company had no revenue derived from the completed contract method for the nine months ended September 30, 2002.</w:t>
      </w:r>
    </w:p>
    <w:p>
      <w:pPr>
        <w:spacing w:after="0" w:line="127"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contracts for which reliable estimates can be made by management with respect to the extent of implementation services required for full functionality, the license and services revenue, excluding the maintenance element, is recognized on a percentage-of-completion method. Management estimates the percentage of completion for contracts based on the labor hours incurred compared to total estimated hours as well as contract milestones completed. For the nine months ended September 30, 2002, 100% of the Company’s revenue was derived from contracts accounted for under the percentage-of-completion method.</w:t>
      </w:r>
    </w:p>
    <w:p>
      <w:pPr>
        <w:spacing w:after="0" w:line="99" w:lineRule="exact"/>
        <w:rPr>
          <w:sz w:val="20"/>
          <w:szCs w:val="20"/>
          <w:color w:val="auto"/>
        </w:rPr>
      </w:pPr>
    </w:p>
    <w:p>
      <w:pPr>
        <w:ind w:right="660"/>
        <w:spacing w:after="0" w:line="268" w:lineRule="auto"/>
        <w:rPr>
          <w:sz w:val="20"/>
          <w:szCs w:val="20"/>
          <w:color w:val="auto"/>
        </w:rPr>
      </w:pPr>
      <w:r>
        <w:rPr>
          <w:rFonts w:ascii="Arial" w:cs="Arial" w:eastAsia="Arial" w:hAnsi="Arial"/>
          <w:sz w:val="18"/>
          <w:szCs w:val="18"/>
          <w:color w:val="auto"/>
        </w:rPr>
        <w:t>Provisions for estimated contract losses are recognized in the period in which the loss becomes probable and can be reasonably estimated. Provisions for estimated contract losses were $50,000 for the nine months ended September 30, 2002.</w:t>
      </w:r>
    </w:p>
    <w:p>
      <w:pPr>
        <w:spacing w:after="0" w:line="118"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Fees for maintenance, hosting, content services, integrated bill analysis services and other consulting services are recognized as the services are provided or ratably over the term of the agreement. In cases where these services are provided with software licenses and there is vendor specific objective evidence of these services generally established through renewal rates for these services in future years as specified in the contracts or from parties which the services have been sold separately, license fees are recognized separately from these services and the services are recognized as they are provided or ratably over the term of the service agreement.</w:t>
      </w:r>
    </w:p>
    <w:p>
      <w:pPr>
        <w:spacing w:after="0" w:line="129" w:lineRule="exact"/>
        <w:rPr>
          <w:sz w:val="20"/>
          <w:szCs w:val="20"/>
          <w:color w:val="auto"/>
        </w:rPr>
      </w:pPr>
    </w:p>
    <w:p>
      <w:pPr>
        <w:ind w:right="460"/>
        <w:spacing w:after="0" w:line="370" w:lineRule="auto"/>
        <w:rPr>
          <w:sz w:val="20"/>
          <w:szCs w:val="20"/>
          <w:color w:val="auto"/>
        </w:rPr>
      </w:pPr>
      <w:r>
        <w:rPr>
          <w:rFonts w:ascii="Arial" w:cs="Arial" w:eastAsia="Arial" w:hAnsi="Arial"/>
          <w:sz w:val="15"/>
          <w:szCs w:val="15"/>
          <w:color w:val="auto"/>
        </w:rPr>
        <w:t>Earned but unbilled project revenues are classified under current assets as costs in excess of billings. Deferred revenue includes billings in excess of project revenue earned, amounts payable on behalf of and billed to customers, cash received and other amounts billed in advance for services to be performed.</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00"/>
          </w:cols>
          <w:pgMar w:left="240" w:top="274" w:right="259" w:bottom="1440" w:gutter="0" w:footer="0" w:header="0"/>
        </w:sectPr>
      </w:pPr>
    </w:p>
    <w:bookmarkStart w:id="40" w:name="page41"/>
    <w:bookmarkEnd w:id="40"/>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Stock-based compensation</w:t>
      </w:r>
    </w:p>
    <w:p>
      <w:pPr>
        <w:spacing w:after="0" w:line="83" w:lineRule="exact"/>
        <w:rPr>
          <w:sz w:val="20"/>
          <w:szCs w:val="20"/>
          <w:color w:val="auto"/>
        </w:rPr>
      </w:pPr>
    </w:p>
    <w:p>
      <w:pPr>
        <w:ind w:right="20"/>
        <w:spacing w:after="0" w:line="290" w:lineRule="auto"/>
        <w:rPr>
          <w:sz w:val="20"/>
          <w:szCs w:val="20"/>
          <w:color w:val="auto"/>
        </w:rPr>
      </w:pPr>
      <w:r>
        <w:rPr>
          <w:rFonts w:ascii="Arial" w:cs="Arial" w:eastAsia="Arial" w:hAnsi="Arial"/>
          <w:sz w:val="16"/>
          <w:szCs w:val="16"/>
          <w:color w:val="auto"/>
        </w:rPr>
        <w:t>The Company uses the intrinsic value method to record stock-based compensation for employees provided the stock option terms meet the requirements for fixed accounting. The intrinsic value method requires that deferred stock compensation is recorded for the difference between the exercise price and fair value of the underlying common stock on the grant date of the stock option. Stock-based compensation to non-employees is based on the fair value of the stock option estimated using the Black-Scholes model on the date of grant and re-measured until vested. Compensation expense resulting from employee and non-employee stock options is amortized to expense using the accelerated Financial Accounting Standards Board (FASB) Interpretation No. 28 (FIN No. 28) method. The Company has granted warrants to purchase its common stock to non-employees and certain companies for services or software. Stock-based compensation is estimated using the Black-Scholes model on the date of grant if vested and if not vested, re-measured until vested.</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Comprehensive loss</w:t>
      </w:r>
    </w:p>
    <w:p>
      <w:pPr>
        <w:spacing w:after="0" w:line="83" w:lineRule="exact"/>
        <w:rPr>
          <w:sz w:val="20"/>
          <w:szCs w:val="20"/>
          <w:color w:val="auto"/>
        </w:rPr>
      </w:pPr>
    </w:p>
    <w:p>
      <w:pPr>
        <w:jc w:val="both"/>
        <w:ind w:right="180"/>
        <w:spacing w:after="0" w:line="306" w:lineRule="auto"/>
        <w:rPr>
          <w:sz w:val="20"/>
          <w:szCs w:val="20"/>
          <w:color w:val="auto"/>
        </w:rPr>
      </w:pPr>
      <w:r>
        <w:rPr>
          <w:rFonts w:ascii="Arial" w:cs="Arial" w:eastAsia="Arial" w:hAnsi="Arial"/>
          <w:sz w:val="16"/>
          <w:szCs w:val="16"/>
          <w:color w:val="auto"/>
        </w:rPr>
        <w:t xml:space="preserve">Statement of Financial Accounting Standard (SFAS) No. 130, </w:t>
      </w:r>
      <w:r>
        <w:rPr>
          <w:rFonts w:ascii="Arial" w:cs="Arial" w:eastAsia="Arial" w:hAnsi="Arial"/>
          <w:sz w:val="16"/>
          <w:szCs w:val="16"/>
          <w:i w:val="1"/>
          <w:iCs w:val="1"/>
          <w:color w:val="auto"/>
        </w:rPr>
        <w:t>Reporting Comprehensive Income,</w:t>
      </w:r>
      <w:r>
        <w:rPr>
          <w:rFonts w:ascii="Arial" w:cs="Arial" w:eastAsia="Arial" w:hAnsi="Arial"/>
          <w:sz w:val="16"/>
          <w:szCs w:val="16"/>
          <w:color w:val="auto"/>
        </w:rPr>
        <w:t xml:space="preserve"> requires an enterprise to report by major components and as a single total, the change in its net assets during the period from non-stockholder sources. The Company’s total comprehensive loss approximates net loss for the nine months ended September 30, 2002 and 2001 as unrealized investment gains or losses in the periods were insignificant.</w:t>
      </w:r>
    </w:p>
    <w:p>
      <w:pPr>
        <w:spacing w:after="0" w:line="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Reclassifications</w:t>
      </w:r>
    </w:p>
    <w:p>
      <w:pPr>
        <w:spacing w:after="0" w:line="83" w:lineRule="exact"/>
        <w:rPr>
          <w:sz w:val="20"/>
          <w:szCs w:val="20"/>
          <w:color w:val="auto"/>
        </w:rPr>
      </w:pPr>
    </w:p>
    <w:p>
      <w:pPr>
        <w:spacing w:after="0"/>
        <w:rPr>
          <w:sz w:val="20"/>
          <w:szCs w:val="20"/>
          <w:color w:val="auto"/>
        </w:rPr>
      </w:pPr>
      <w:r>
        <w:rPr>
          <w:rFonts w:ascii="Arial" w:cs="Arial" w:eastAsia="Arial" w:hAnsi="Arial"/>
          <w:sz w:val="16"/>
          <w:szCs w:val="16"/>
          <w:color w:val="auto"/>
        </w:rPr>
        <w:t>Certain reclassifications have been made to the comparative condensed consolidated financial statements to conform to the current period presentation.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83"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 xml:space="preserve">In July 2002, the FASB issued SFAS No.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xml:space="preserve">, which addresses the measurement, timing of recognition and reporting of costs associated with exit or disposal activities and restructuring activities. SFAS No. 146 requires that a liability for costs associated with exit or restructuring activities be recognized only when the liability is incurred as opposed to at the time that a company formally approves and commits to an exit plan as set forth in Emerging Issues Task Force (EITF) Issue No. 94-3, </w:t>
      </w:r>
      <w:r>
        <w:rPr>
          <w:rFonts w:ascii="Arial" w:cs="Arial" w:eastAsia="Arial" w:hAnsi="Arial"/>
          <w:sz w:val="16"/>
          <w:szCs w:val="16"/>
          <w:i w:val="1"/>
          <w:iCs w:val="1"/>
          <w:color w:val="auto"/>
        </w:rPr>
        <w:t>Liability Recognition for Certain Employee Termination Benefits and Other Costs</w:t>
      </w:r>
      <w:r>
        <w:rPr>
          <w:rFonts w:ascii="Arial" w:cs="Arial" w:eastAsia="Arial" w:hAnsi="Arial"/>
          <w:sz w:val="16"/>
          <w:szCs w:val="16"/>
          <w:color w:val="auto"/>
        </w:rPr>
        <w:t xml:space="preserve"> </w:t>
      </w:r>
      <w:r>
        <w:rPr>
          <w:rFonts w:ascii="Arial" w:cs="Arial" w:eastAsia="Arial" w:hAnsi="Arial"/>
          <w:sz w:val="16"/>
          <w:szCs w:val="16"/>
          <w:i w:val="1"/>
          <w:iCs w:val="1"/>
          <w:color w:val="auto"/>
        </w:rPr>
        <w:t>to Exit an Activity</w:t>
      </w:r>
      <w:r>
        <w:rPr>
          <w:rFonts w:ascii="Arial" w:cs="Arial" w:eastAsia="Arial" w:hAnsi="Arial"/>
          <w:sz w:val="16"/>
          <w:szCs w:val="16"/>
          <w:color w:val="auto"/>
        </w:rPr>
        <w:t>. SFAS No. 146 is effective for exit or disposal activities that are initiated after December 31, 2002. The Company does not expect the adoption</w:t>
      </w:r>
      <w:r>
        <w:rPr>
          <w:rFonts w:ascii="Arial" w:cs="Arial" w:eastAsia="Arial" w:hAnsi="Arial"/>
          <w:sz w:val="16"/>
          <w:szCs w:val="16"/>
          <w:i w:val="1"/>
          <w:iCs w:val="1"/>
          <w:color w:val="auto"/>
        </w:rPr>
        <w:t xml:space="preserve"> </w:t>
      </w:r>
      <w:r>
        <w:rPr>
          <w:rFonts w:ascii="Arial" w:cs="Arial" w:eastAsia="Arial" w:hAnsi="Arial"/>
          <w:sz w:val="16"/>
          <w:szCs w:val="16"/>
          <w:color w:val="auto"/>
        </w:rPr>
        <w:t>to have an impact on the condensed consolidated financial statements.</w:t>
      </w:r>
    </w:p>
    <w:p>
      <w:pPr>
        <w:spacing w:after="0" w:line="107"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 xml:space="preserve">In November 2002, the FASB issued FIN No. 45, </w:t>
      </w:r>
      <w:r>
        <w:rPr>
          <w:rFonts w:ascii="Arial" w:cs="Arial" w:eastAsia="Arial" w:hAnsi="Arial"/>
          <w:sz w:val="16"/>
          <w:szCs w:val="16"/>
          <w:i w:val="1"/>
          <w:iCs w:val="1"/>
          <w:color w:val="auto"/>
        </w:rPr>
        <w:t>Guarantor’s Accounting and Disclosure Requirements for Guarantees, Including Indirect Guarantees of</w:t>
      </w:r>
      <w:r>
        <w:rPr>
          <w:rFonts w:ascii="Arial" w:cs="Arial" w:eastAsia="Arial" w:hAnsi="Arial"/>
          <w:sz w:val="16"/>
          <w:szCs w:val="16"/>
          <w:color w:val="auto"/>
        </w:rPr>
        <w:t xml:space="preserve"> </w:t>
      </w:r>
      <w:r>
        <w:rPr>
          <w:rFonts w:ascii="Arial" w:cs="Arial" w:eastAsia="Arial" w:hAnsi="Arial"/>
          <w:sz w:val="16"/>
          <w:szCs w:val="16"/>
          <w:i w:val="1"/>
          <w:iCs w:val="1"/>
          <w:color w:val="auto"/>
        </w:rPr>
        <w:t>Indebtedness of Others</w:t>
      </w:r>
      <w:r>
        <w:rPr>
          <w:rFonts w:ascii="Arial" w:cs="Arial" w:eastAsia="Arial" w:hAnsi="Arial"/>
          <w:sz w:val="16"/>
          <w:szCs w:val="16"/>
          <w:color w:val="auto"/>
        </w:rPr>
        <w:t>. FIN No. 45 requires that a liability be recorded in the guarantor’s balance sheet upon issuance of a guarantee or indemnification. In</w:t>
      </w:r>
      <w:r>
        <w:rPr>
          <w:rFonts w:ascii="Arial" w:cs="Arial" w:eastAsia="Arial" w:hAnsi="Arial"/>
          <w:sz w:val="16"/>
          <w:szCs w:val="16"/>
          <w:i w:val="1"/>
          <w:iCs w:val="1"/>
          <w:color w:val="auto"/>
        </w:rPr>
        <w:t xml:space="preserve"> </w:t>
      </w:r>
      <w:r>
        <w:rPr>
          <w:rFonts w:ascii="Arial" w:cs="Arial" w:eastAsia="Arial" w:hAnsi="Arial"/>
          <w:sz w:val="16"/>
          <w:szCs w:val="16"/>
          <w:color w:val="auto"/>
        </w:rPr>
        <w:t>addition, FIN No. 45 requires disclosures about the guarantees or indemnification that an entity has issued, including a reconciliation of changes in the entity’s product warranty liabilities. The initial recognition and initial measurement provisions of FIN No. 45 are applicable on a prospective basis to guarantees issued or modified after December 31, 2002. The disclosure requirements of FIN No. 45 are effective for financial statements of interim or annual periods ending after December 15, 2002. The Company has not yet determined the maximum potential future exposure resulting from these guarantees and indemnifications.</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80"/>
          </w:cols>
          <w:pgMar w:left="240" w:top="274" w:right="27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 xml:space="preserve">In November 2002, the EITF reached a consensus on Issue No. 00-21, </w:t>
      </w:r>
      <w:r>
        <w:rPr>
          <w:rFonts w:ascii="Arial" w:cs="Arial" w:eastAsia="Arial" w:hAnsi="Arial"/>
          <w:sz w:val="18"/>
          <w:szCs w:val="18"/>
          <w:i w:val="1"/>
          <w:iCs w:val="1"/>
          <w:color w:val="auto"/>
        </w:rPr>
        <w:t>Revenue Arrangements with Multiple Deliverables</w:t>
      </w:r>
      <w:r>
        <w:rPr>
          <w:rFonts w:ascii="Arial" w:cs="Arial" w:eastAsia="Arial" w:hAnsi="Arial"/>
          <w:sz w:val="18"/>
          <w:szCs w:val="18"/>
          <w:color w:val="auto"/>
        </w:rPr>
        <w:t>. This issue addresses how revenue arrangements with multiple deliverables should be divided into separate units of accounting and how the arrangement consideration should be allocated to the identified separate accounting units. EITF No. 00-21 is effective for fiscal periods beginning after June 15, 2003. The Company has not yet determined the impact of adopting EITF No. 00-21 on its condensed consolidated financial statements.</w:t>
      </w:r>
    </w:p>
    <w:p>
      <w:pPr>
        <w:spacing w:after="0" w:line="130" w:lineRule="exact"/>
        <w:rPr>
          <w:sz w:val="20"/>
          <w:szCs w:val="20"/>
          <w:color w:val="auto"/>
        </w:rPr>
      </w:pPr>
    </w:p>
    <w:p>
      <w:pPr>
        <w:ind w:right="180"/>
        <w:spacing w:after="0" w:line="294" w:lineRule="auto"/>
        <w:rPr>
          <w:sz w:val="20"/>
          <w:szCs w:val="20"/>
          <w:color w:val="auto"/>
        </w:rPr>
      </w:pPr>
      <w:r>
        <w:rPr>
          <w:rFonts w:ascii="Arial" w:cs="Arial" w:eastAsia="Arial" w:hAnsi="Arial"/>
          <w:sz w:val="16"/>
          <w:szCs w:val="16"/>
          <w:color w:val="auto"/>
        </w:rPr>
        <w:t xml:space="preserve">In December 2002, the FASB issued SFAS No. 148, </w:t>
      </w:r>
      <w:r>
        <w:rPr>
          <w:rFonts w:ascii="Arial" w:cs="Arial" w:eastAsia="Arial" w:hAnsi="Arial"/>
          <w:sz w:val="16"/>
          <w:szCs w:val="16"/>
          <w:i w:val="1"/>
          <w:iCs w:val="1"/>
          <w:color w:val="auto"/>
        </w:rPr>
        <w:t>Accounting for Stock-Based Compensation Costs-Transition and Disclosure</w:t>
      </w:r>
      <w:r>
        <w:rPr>
          <w:rFonts w:ascii="Arial" w:cs="Arial" w:eastAsia="Arial" w:hAnsi="Arial"/>
          <w:sz w:val="16"/>
          <w:szCs w:val="16"/>
          <w:color w:val="auto"/>
        </w:rPr>
        <w:t xml:space="preserve">. SFAS No. 148 amends SFAS No. 123, </w:t>
      </w:r>
      <w:r>
        <w:rPr>
          <w:rFonts w:ascii="Arial" w:cs="Arial" w:eastAsia="Arial" w:hAnsi="Arial"/>
          <w:sz w:val="16"/>
          <w:szCs w:val="16"/>
          <w:i w:val="1"/>
          <w:iCs w:val="1"/>
          <w:color w:val="auto"/>
        </w:rPr>
        <w:t>Accounting for Stock-Based Compensation</w:t>
      </w:r>
      <w:r>
        <w:rPr>
          <w:rFonts w:ascii="Arial" w:cs="Arial" w:eastAsia="Arial" w:hAnsi="Arial"/>
          <w:sz w:val="16"/>
          <w:szCs w:val="16"/>
          <w:color w:val="auto"/>
        </w:rPr>
        <w:t xml:space="preserve">, and provides alternative methods of transition for an entity that voluntarily changes to the fair value based method of accounting for stock-based compensation. It also requires additional disclosures about the effects on reported net income of an entity’s accounting policy with respect to stock-based employee compensation. The Company accounts for stock-based compensation in accordance with APB Opinion No. 25, </w:t>
      </w:r>
      <w:r>
        <w:rPr>
          <w:rFonts w:ascii="Arial" w:cs="Arial" w:eastAsia="Arial" w:hAnsi="Arial"/>
          <w:sz w:val="16"/>
          <w:szCs w:val="16"/>
          <w:i w:val="1"/>
          <w:iCs w:val="1"/>
          <w:color w:val="auto"/>
        </w:rPr>
        <w:t xml:space="preserve">Accounting for Stock Issued to Employees </w:t>
      </w:r>
      <w:r>
        <w:rPr>
          <w:rFonts w:ascii="Arial" w:cs="Arial" w:eastAsia="Arial" w:hAnsi="Arial"/>
          <w:sz w:val="16"/>
          <w:szCs w:val="16"/>
          <w:color w:val="auto"/>
        </w:rPr>
        <w:t>and have adopted the disclosure-only alternative of SFAS No. 123.</w:t>
      </w:r>
    </w:p>
    <w:p>
      <w:pPr>
        <w:spacing w:after="0" w:line="102"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In January 2003, the FASB issued FIN No. 46, </w:t>
      </w:r>
      <w:r>
        <w:rPr>
          <w:rFonts w:ascii="Arial" w:cs="Arial" w:eastAsia="Arial" w:hAnsi="Arial"/>
          <w:sz w:val="16"/>
          <w:szCs w:val="16"/>
          <w:i w:val="1"/>
          <w:iCs w:val="1"/>
          <w:color w:val="auto"/>
        </w:rPr>
        <w:t>Consolidation of Variable Interest Entities</w:t>
      </w:r>
      <w:r>
        <w:rPr>
          <w:rFonts w:ascii="Arial" w:cs="Arial" w:eastAsia="Arial" w:hAnsi="Arial"/>
          <w:sz w:val="16"/>
          <w:szCs w:val="16"/>
          <w:color w:val="auto"/>
        </w:rPr>
        <w:t xml:space="preserve">. This interpretation of Accounting Research Bulletin No. 51, </w:t>
      </w:r>
      <w:r>
        <w:rPr>
          <w:rFonts w:ascii="Arial" w:cs="Arial" w:eastAsia="Arial" w:hAnsi="Arial"/>
          <w:sz w:val="16"/>
          <w:szCs w:val="16"/>
          <w:i w:val="1"/>
          <w:iCs w:val="1"/>
          <w:color w:val="auto"/>
        </w:rPr>
        <w:t>Consolidated Financial Statements</w:t>
      </w:r>
      <w:r>
        <w:rPr>
          <w:rFonts w:ascii="Arial" w:cs="Arial" w:eastAsia="Arial" w:hAnsi="Arial"/>
          <w:sz w:val="16"/>
          <w:szCs w:val="16"/>
          <w:color w:val="auto"/>
        </w:rPr>
        <w:t>, addresses consolidation by business enterprises of variable interest entities that possess certain characteristics. FIN No. 46</w:t>
      </w:r>
      <w:r>
        <w:rPr>
          <w:rFonts w:ascii="Arial" w:cs="Arial" w:eastAsia="Arial" w:hAnsi="Arial"/>
          <w:sz w:val="16"/>
          <w:szCs w:val="16"/>
          <w:i w:val="1"/>
          <w:iCs w:val="1"/>
          <w:color w:val="auto"/>
        </w:rPr>
        <w:t xml:space="preserve"> </w:t>
      </w:r>
      <w:r>
        <w:rPr>
          <w:rFonts w:ascii="Arial" w:cs="Arial" w:eastAsia="Arial" w:hAnsi="Arial"/>
          <w:sz w:val="16"/>
          <w:szCs w:val="16"/>
          <w:color w:val="auto"/>
        </w:rPr>
        <w:t>requires that if a business enterprise has a controlling financial interest in a variable interest entity, the assets, liabilities, and results of the activities of the variable interest entity must be included in the consolidated financial statements with those of the business enterprise. FIN No. 46 applies immediately to variable interest entities created after January 31, 2003 and to variable interest entities in which an enterprise obtains an interest after that date. The Company does not have any controlling financial interest in any variable interest entities as of September 30, 2002. The Company will apply the consolidation requirement of FIN No. 46 in future periods if we should own any interest in any variable interest entity.</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Goodwill and Other Identifiable Intangibles</w:t>
      </w:r>
    </w:p>
    <w:p>
      <w:pPr>
        <w:spacing w:after="0" w:line="83"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 xml:space="preserve">In July 2001, the FASB issued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and SFAS No. 142, </w:t>
      </w:r>
      <w:r>
        <w:rPr>
          <w:rFonts w:ascii="Arial" w:cs="Arial" w:eastAsia="Arial" w:hAnsi="Arial"/>
          <w:sz w:val="16"/>
          <w:szCs w:val="16"/>
          <w:i w:val="1"/>
          <w:iCs w:val="1"/>
          <w:color w:val="auto"/>
        </w:rPr>
        <w:t>Goodwill and Other Intangible Asset</w:t>
      </w:r>
      <w:r>
        <w:rPr>
          <w:rFonts w:ascii="Arial" w:cs="Arial" w:eastAsia="Arial" w:hAnsi="Arial"/>
          <w:sz w:val="16"/>
          <w:szCs w:val="16"/>
          <w:color w:val="auto"/>
        </w:rPr>
        <w:t>s. SFAS No. 141 revises accounting treatment for business combinations requiring the use of purchase accounting and prohibiting the use of pooling-of-interests method for all business combinations initiated after June 30, 2001 and broadens the criteria for recording intangible assets separate from goodwill for all business combinations completed after June 30, 2001. SFAS No. 142 revises the accounting for goodwill and other intangible assets by not allowing amortization of goodwill and establishing accounting for impairment of goodwill and other intangible assets. SFAS No. 142 became effective for fiscal years beginning after December 15, 2001. The adoption of SFAS No. 142 resulted in the reclassification of certain other identifiable intangible assets, primarily in place workforce, of $465,000 at January 1, 2002 to goodwill and cessation of amortization of goodwill and reclassified assets as of January 1, 2002.</w:t>
      </w:r>
    </w:p>
    <w:p>
      <w:pPr>
        <w:spacing w:after="0" w:line="10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The Company completed the initial impairment tests in accordance with SFAS No. 142 in 2002. Results of the initial impairment tests did not indicate any impairment loss based on the enterprise’s estimated fair value including estimated prices for similar assets and liabilities. Impairment tests involve the use of estimates related to the fair market values of the business operations with which goodwill is associated. Losses, if any, resulting from the annual impairment tests will be reflected in operating income in the Company’s statement of operations.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274" w:right="259" w:bottom="1440" w:gutter="0" w:footer="0" w:header="0"/>
        </w:sectPr>
      </w:pPr>
    </w:p>
    <w:bookmarkStart w:id="42" w:name="page43"/>
    <w:bookmarkEnd w:id="42"/>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color w:val="auto"/>
        </w:rPr>
        <w:t>Goodwill and other identifiable intangibles consists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81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80" w:type="dxa"/>
            <w:vAlign w:val="bottom"/>
            <w:gridSpan w:val="4"/>
          </w:tcPr>
          <w:p>
            <w:pPr>
              <w:ind w:left="420"/>
              <w:spacing w:after="0"/>
              <w:rPr>
                <w:sz w:val="20"/>
                <w:szCs w:val="20"/>
                <w:color w:val="auto"/>
              </w:rPr>
            </w:pPr>
            <w:r>
              <w:rPr>
                <w:rFonts w:ascii="Arial" w:cs="Arial" w:eastAsia="Arial" w:hAnsi="Arial"/>
                <w:sz w:val="14"/>
                <w:szCs w:val="14"/>
                <w:b w:val="1"/>
                <w:bCs w:val="1"/>
                <w:color w:val="auto"/>
                <w:w w:val="87"/>
              </w:rPr>
              <w:t>(in thousands)</w:t>
            </w: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160" w:type="dxa"/>
            <w:vAlign w:val="bottom"/>
          </w:tcPr>
          <w:p>
            <w:pPr>
              <w:spacing w:after="0"/>
              <w:rPr>
                <w:sz w:val="8"/>
                <w:szCs w:val="8"/>
                <w:color w:val="auto"/>
              </w:rPr>
            </w:pPr>
          </w:p>
        </w:tc>
        <w:tc>
          <w:tcPr>
            <w:tcW w:w="7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4"/>
              </w:rPr>
              <w:t>Useful</w:t>
            </w: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89"/>
        </w:trPr>
        <w:tc>
          <w:tcPr>
            <w:tcW w:w="81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400" w:type="dxa"/>
            <w:vAlign w:val="bottom"/>
          </w:tcPr>
          <w:p>
            <w:pPr>
              <w:spacing w:after="0"/>
              <w:rPr>
                <w:sz w:val="7"/>
                <w:szCs w:val="7"/>
                <w:color w:val="auto"/>
              </w:rPr>
            </w:pPr>
          </w:p>
        </w:tc>
        <w:tc>
          <w:tcPr>
            <w:tcW w:w="1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2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49"/>
        </w:trPr>
        <w:tc>
          <w:tcPr>
            <w:tcW w:w="8160" w:type="dxa"/>
            <w:vAlign w:val="bottom"/>
          </w:tcPr>
          <w:p>
            <w:pPr>
              <w:spacing w:after="0"/>
              <w:rPr>
                <w:sz w:val="12"/>
                <w:szCs w:val="12"/>
                <w:color w:val="auto"/>
              </w:rPr>
            </w:pPr>
          </w:p>
        </w:tc>
        <w:tc>
          <w:tcPr>
            <w:tcW w:w="7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6"/>
              </w:rPr>
              <w:t>Life</w:t>
            </w:r>
          </w:p>
        </w:tc>
        <w:tc>
          <w:tcPr>
            <w:tcW w:w="40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September 30,</w:t>
            </w:r>
          </w:p>
        </w:tc>
        <w:tc>
          <w:tcPr>
            <w:tcW w:w="180" w:type="dxa"/>
            <w:vAlign w:val="bottom"/>
          </w:tcPr>
          <w:p>
            <w:pPr>
              <w:spacing w:after="0"/>
              <w:rPr>
                <w:sz w:val="12"/>
                <w:szCs w:val="12"/>
                <w:color w:val="auto"/>
              </w:rPr>
            </w:pPr>
          </w:p>
        </w:tc>
        <w:tc>
          <w:tcPr>
            <w:tcW w:w="86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8160" w:type="dxa"/>
            <w:vAlign w:val="bottom"/>
          </w:tcPr>
          <w:p>
            <w:pPr>
              <w:spacing w:after="0"/>
              <w:rPr>
                <w:sz w:val="15"/>
                <w:szCs w:val="15"/>
                <w:color w:val="auto"/>
              </w:rPr>
            </w:pPr>
          </w:p>
        </w:tc>
        <w:tc>
          <w:tcPr>
            <w:tcW w:w="760" w:type="dxa"/>
            <w:vAlign w:val="bottom"/>
          </w:tcPr>
          <w:p>
            <w:pPr>
              <w:jc w:val="center"/>
              <w:spacing w:after="0"/>
              <w:rPr>
                <w:sz w:val="20"/>
                <w:szCs w:val="20"/>
                <w:color w:val="auto"/>
              </w:rPr>
            </w:pPr>
            <w:r>
              <w:rPr>
                <w:rFonts w:ascii="Arial" w:cs="Arial" w:eastAsia="Arial" w:hAnsi="Arial"/>
                <w:sz w:val="14"/>
                <w:szCs w:val="14"/>
                <w:b w:val="1"/>
                <w:bCs w:val="1"/>
                <w:color w:val="auto"/>
                <w:w w:val="87"/>
              </w:rPr>
              <w:t>(in Years)</w:t>
            </w:r>
          </w:p>
        </w:tc>
        <w:tc>
          <w:tcPr>
            <w:tcW w:w="4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60" w:type="dxa"/>
            <w:vAlign w:val="bottom"/>
          </w:tcPr>
          <w:p>
            <w:pPr>
              <w:jc w:val="right"/>
              <w:ind w:right="197"/>
              <w:spacing w:after="0"/>
              <w:rPr>
                <w:sz w:val="20"/>
                <w:szCs w:val="20"/>
                <w:color w:val="auto"/>
              </w:rPr>
            </w:pPr>
            <w:r>
              <w:rPr>
                <w:rFonts w:ascii="Arial" w:cs="Arial" w:eastAsia="Arial" w:hAnsi="Arial"/>
                <w:sz w:val="14"/>
                <w:szCs w:val="14"/>
                <w:b w:val="1"/>
                <w:bCs w:val="1"/>
                <w:color w:val="auto"/>
              </w:rPr>
              <w:t>2002</w:t>
            </w: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jc w:val="right"/>
              <w:ind w:right="195"/>
              <w:spacing w:after="0"/>
              <w:rPr>
                <w:sz w:val="20"/>
                <w:szCs w:val="20"/>
                <w:color w:val="auto"/>
              </w:rPr>
            </w:pPr>
            <w:r>
              <w:rPr>
                <w:rFonts w:ascii="Arial" w:cs="Arial" w:eastAsia="Arial" w:hAnsi="Arial"/>
                <w:sz w:val="14"/>
                <w:szCs w:val="14"/>
                <w:b w:val="1"/>
                <w:bCs w:val="1"/>
                <w:color w:val="auto"/>
                <w:w w:val="89"/>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8160" w:type="dxa"/>
            <w:vAlign w:val="bottom"/>
          </w:tcPr>
          <w:p>
            <w:pPr>
              <w:spacing w:after="0"/>
              <w:rPr>
                <w:sz w:val="8"/>
                <w:szCs w:val="8"/>
                <w:color w:val="auto"/>
              </w:rPr>
            </w:pPr>
          </w:p>
        </w:tc>
        <w:tc>
          <w:tcPr>
            <w:tcW w:w="7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Customer base</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5</w:t>
            </w: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tcPr>
          <w:p>
            <w:pPr>
              <w:ind w:left="20"/>
              <w:spacing w:after="0"/>
              <w:rPr>
                <w:sz w:val="20"/>
                <w:szCs w:val="20"/>
                <w:color w:val="auto"/>
              </w:rPr>
            </w:pPr>
            <w:r>
              <w:rPr>
                <w:rFonts w:ascii="Arial" w:cs="Arial" w:eastAsia="Arial" w:hAnsi="Arial"/>
                <w:sz w:val="18"/>
                <w:szCs w:val="18"/>
                <w:color w:val="auto"/>
              </w:rPr>
              <w:t>Existing products and technology</w:t>
            </w:r>
          </w:p>
        </w:tc>
        <w:tc>
          <w:tcPr>
            <w:tcW w:w="760" w:type="dxa"/>
            <w:vAlign w:val="bottom"/>
          </w:tcPr>
          <w:p>
            <w:pPr>
              <w:jc w:val="center"/>
              <w:spacing w:after="0"/>
              <w:rPr>
                <w:sz w:val="20"/>
                <w:szCs w:val="20"/>
                <w:color w:val="auto"/>
              </w:rPr>
            </w:pPr>
            <w:r>
              <w:rPr>
                <w:rFonts w:ascii="Arial" w:cs="Arial" w:eastAsia="Arial" w:hAnsi="Arial"/>
                <w:sz w:val="18"/>
                <w:szCs w:val="18"/>
                <w:color w:val="auto"/>
                <w:w w:val="79"/>
              </w:rPr>
              <w:t>5</w:t>
            </w: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1,381</w:t>
            </w: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1,381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Non-compete agreements</w:t>
            </w:r>
          </w:p>
        </w:tc>
        <w:tc>
          <w:tcPr>
            <w:tcW w:w="7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79"/>
              </w:rPr>
              <w:t>3</w:t>
            </w: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other identifiable intangibles</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2,390</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8160" w:type="dxa"/>
            <w:vAlign w:val="bottom"/>
          </w:tcPr>
          <w:p>
            <w:pPr>
              <w:ind w:left="20"/>
              <w:spacing w:after="0"/>
              <w:rPr>
                <w:sz w:val="20"/>
                <w:szCs w:val="20"/>
                <w:color w:val="auto"/>
              </w:rPr>
            </w:pPr>
            <w:r>
              <w:rPr>
                <w:rFonts w:ascii="Arial" w:cs="Arial" w:eastAsia="Arial" w:hAnsi="Arial"/>
                <w:sz w:val="18"/>
                <w:szCs w:val="18"/>
                <w:color w:val="auto"/>
              </w:rPr>
              <w:t>Less: Accumulated amortization</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gridSpan w:val="2"/>
          </w:tcPr>
          <w:p>
            <w:pPr>
              <w:jc w:val="right"/>
              <w:ind w:right="180"/>
              <w:spacing w:after="0"/>
              <w:rPr>
                <w:sz w:val="20"/>
                <w:szCs w:val="20"/>
                <w:color w:val="auto"/>
              </w:rPr>
            </w:pPr>
            <w:r>
              <w:rPr>
                <w:rFonts w:ascii="Arial" w:cs="Arial" w:eastAsia="Arial" w:hAnsi="Arial"/>
                <w:sz w:val="18"/>
                <w:szCs w:val="18"/>
                <w:color w:val="auto"/>
              </w:rPr>
              <w:t>(1,034)</w:t>
            </w: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102"/>
        </w:trPr>
        <w:tc>
          <w:tcPr>
            <w:tcW w:w="8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8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8160" w:type="dxa"/>
            <w:vAlign w:val="bottom"/>
          </w:tcPr>
          <w:p>
            <w:pPr>
              <w:spacing w:after="0"/>
              <w:rPr>
                <w:sz w:val="8"/>
                <w:szCs w:val="8"/>
                <w:color w:val="auto"/>
              </w:rPr>
            </w:pPr>
          </w:p>
        </w:tc>
        <w:tc>
          <w:tcPr>
            <w:tcW w:w="760" w:type="dxa"/>
            <w:vAlign w:val="bottom"/>
          </w:tcPr>
          <w:p>
            <w:pPr>
              <w:spacing w:after="0"/>
              <w:rPr>
                <w:sz w:val="8"/>
                <w:szCs w:val="8"/>
                <w:color w:val="auto"/>
              </w:rPr>
            </w:pPr>
          </w:p>
        </w:tc>
        <w:tc>
          <w:tcPr>
            <w:tcW w:w="400" w:type="dxa"/>
            <w:vAlign w:val="bottom"/>
          </w:tcPr>
          <w:p>
            <w:pPr>
              <w:spacing w:after="0"/>
              <w:rPr>
                <w:sz w:val="8"/>
                <w:szCs w:val="8"/>
                <w:color w:val="auto"/>
              </w:rPr>
            </w:pPr>
          </w:p>
        </w:tc>
        <w:tc>
          <w:tcPr>
            <w:tcW w:w="1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80" w:type="dxa"/>
            <w:vAlign w:val="bottom"/>
          </w:tcPr>
          <w:p>
            <w:pPr>
              <w:spacing w:after="0"/>
              <w:rPr>
                <w:sz w:val="8"/>
                <w:szCs w:val="8"/>
                <w:color w:val="auto"/>
              </w:rPr>
            </w:pPr>
          </w:p>
        </w:tc>
        <w:tc>
          <w:tcPr>
            <w:tcW w:w="2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8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w:t>
            </w:r>
          </w:p>
        </w:tc>
        <w:tc>
          <w:tcPr>
            <w:tcW w:w="760" w:type="dxa"/>
            <w:vAlign w:val="bottom"/>
            <w:shd w:val="clear" w:color="auto" w:fill="CCEEFF"/>
          </w:tcPr>
          <w:p>
            <w:pPr>
              <w:spacing w:after="0"/>
              <w:rPr>
                <w:sz w:val="18"/>
                <w:szCs w:val="18"/>
                <w:color w:val="auto"/>
              </w:rPr>
            </w:pPr>
          </w:p>
        </w:tc>
        <w:tc>
          <w:tcPr>
            <w:tcW w:w="5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220" w:type="dxa"/>
            <w:vAlign w:val="bottom"/>
            <w:shd w:val="clear" w:color="auto" w:fill="CCEEFF"/>
          </w:tcPr>
          <w:p>
            <w:pPr>
              <w:spacing w:after="0"/>
              <w:rPr>
                <w:sz w:val="18"/>
                <w:szCs w:val="18"/>
                <w:color w:val="auto"/>
              </w:rPr>
            </w:pPr>
          </w:p>
        </w:tc>
        <w:tc>
          <w:tcPr>
            <w:tcW w:w="4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8160" w:type="dxa"/>
            <w:vAlign w:val="bottom"/>
          </w:tcPr>
          <w:p>
            <w:pPr>
              <w:spacing w:after="0"/>
              <w:rPr>
                <w:sz w:val="9"/>
                <w:szCs w:val="9"/>
                <w:color w:val="auto"/>
              </w:rPr>
            </w:pPr>
          </w:p>
        </w:tc>
        <w:tc>
          <w:tcPr>
            <w:tcW w:w="760" w:type="dxa"/>
            <w:vAlign w:val="bottom"/>
          </w:tcPr>
          <w:p>
            <w:pPr>
              <w:spacing w:after="0"/>
              <w:rPr>
                <w:sz w:val="9"/>
                <w:szCs w:val="9"/>
                <w:color w:val="auto"/>
              </w:rPr>
            </w:pPr>
          </w:p>
        </w:tc>
        <w:tc>
          <w:tcPr>
            <w:tcW w:w="4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spacing w:after="0"/>
        <w:rPr>
          <w:sz w:val="20"/>
          <w:szCs w:val="20"/>
          <w:color w:val="auto"/>
        </w:rPr>
      </w:pPr>
      <w:r>
        <w:rPr>
          <w:rFonts w:ascii="Arial" w:cs="Arial" w:eastAsia="Arial" w:hAnsi="Arial"/>
          <w:sz w:val="15"/>
          <w:szCs w:val="15"/>
          <w:color w:val="auto"/>
        </w:rPr>
        <w:t>Amortization expense related to other identifiable intangibles was $382,000 and $581,000 for the nine months ended September 30, 2002 and 2001, respectively.</w:t>
      </w:r>
    </w:p>
    <w:p>
      <w:pPr>
        <w:spacing w:after="0" w:line="192" w:lineRule="exact"/>
        <w:rPr>
          <w:sz w:val="20"/>
          <w:szCs w:val="20"/>
          <w:color w:val="auto"/>
        </w:rPr>
      </w:pPr>
    </w:p>
    <w:p>
      <w:pPr>
        <w:ind w:right="200"/>
        <w:spacing w:after="0" w:line="268" w:lineRule="auto"/>
        <w:rPr>
          <w:sz w:val="20"/>
          <w:szCs w:val="20"/>
          <w:color w:val="auto"/>
        </w:rPr>
      </w:pPr>
      <w:r>
        <w:rPr>
          <w:rFonts w:ascii="Arial" w:cs="Arial" w:eastAsia="Arial" w:hAnsi="Arial"/>
          <w:sz w:val="18"/>
          <w:szCs w:val="18"/>
          <w:color w:val="auto"/>
        </w:rPr>
        <w:t>During the nine months ended September 30, 2002, goodwill decreased $198,000 as goodwill associated with the ECI acquisition was written off in connection with the assignment of ECI contracts.</w:t>
      </w:r>
    </w:p>
    <w:p>
      <w:pPr>
        <w:spacing w:after="0" w:line="118"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Had the Company been accounting for its goodwill under SFAS No. 142 for the nine months ended September 30, 2002 and 2001, the Company’s net loss would have been as follows:</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4920" w:type="dxa"/>
            <w:vAlign w:val="bottom"/>
          </w:tcPr>
          <w:p>
            <w:pPr>
              <w:spacing w:after="0"/>
              <w:rPr>
                <w:sz w:val="14"/>
                <w:szCs w:val="14"/>
                <w:color w:val="auto"/>
              </w:rPr>
            </w:pPr>
          </w:p>
        </w:tc>
        <w:tc>
          <w:tcPr>
            <w:tcW w:w="16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4"/>
              </w:rPr>
              <w:t>(in thousands)</w:t>
            </w:r>
          </w:p>
        </w:tc>
        <w:tc>
          <w:tcPr>
            <w:tcW w:w="0" w:type="dxa"/>
            <w:vAlign w:val="bottom"/>
          </w:tcPr>
          <w:p>
            <w:pPr>
              <w:spacing w:after="0"/>
              <w:rPr>
                <w:sz w:val="1"/>
                <w:szCs w:val="1"/>
                <w:color w:val="auto"/>
              </w:rPr>
            </w:pPr>
          </w:p>
        </w:tc>
      </w:tr>
      <w:tr>
        <w:trPr>
          <w:trHeight w:val="149"/>
        </w:trPr>
        <w:tc>
          <w:tcPr>
            <w:tcW w:w="4820" w:type="dxa"/>
            <w:vAlign w:val="bottom"/>
          </w:tcPr>
          <w:p>
            <w:pPr>
              <w:spacing w:after="0"/>
              <w:rPr>
                <w:sz w:val="12"/>
                <w:szCs w:val="12"/>
                <w:color w:val="auto"/>
              </w:rPr>
            </w:pPr>
          </w:p>
        </w:tc>
        <w:tc>
          <w:tcPr>
            <w:tcW w:w="4920" w:type="dxa"/>
            <w:vAlign w:val="bottom"/>
          </w:tcPr>
          <w:p>
            <w:pPr>
              <w:spacing w:after="0"/>
              <w:rPr>
                <w:sz w:val="12"/>
                <w:szCs w:val="12"/>
                <w:color w:val="auto"/>
              </w:rPr>
            </w:pPr>
          </w:p>
        </w:tc>
        <w:tc>
          <w:tcPr>
            <w:tcW w:w="1680" w:type="dxa"/>
            <w:vAlign w:val="bottom"/>
            <w:gridSpan w:val="4"/>
          </w:tcPr>
          <w:p>
            <w:pPr>
              <w:jc w:val="center"/>
              <w:ind w:right="60"/>
              <w:spacing w:after="0" w:line="149" w:lineRule="exact"/>
              <w:rPr>
                <w:sz w:val="20"/>
                <w:szCs w:val="20"/>
                <w:color w:val="auto"/>
              </w:rPr>
            </w:pPr>
            <w:r>
              <w:rPr>
                <w:rFonts w:ascii="Arial" w:cs="Arial" w:eastAsia="Arial" w:hAnsi="Arial"/>
                <w:sz w:val="14"/>
                <w:szCs w:val="14"/>
                <w:b w:val="1"/>
                <w:bCs w:val="1"/>
                <w:color w:val="auto"/>
                <w:w w:val="87"/>
              </w:rPr>
              <w:t>Nine Months Ended</w:t>
            </w:r>
          </w:p>
        </w:tc>
        <w:tc>
          <w:tcPr>
            <w:tcW w:w="0" w:type="dxa"/>
            <w:vAlign w:val="bottom"/>
          </w:tcPr>
          <w:p>
            <w:pPr>
              <w:spacing w:after="0"/>
              <w:rPr>
                <w:sz w:val="1"/>
                <w:szCs w:val="1"/>
                <w:color w:val="auto"/>
              </w:rPr>
            </w:pPr>
          </w:p>
        </w:tc>
      </w:tr>
      <w:tr>
        <w:trPr>
          <w:trHeight w:val="174"/>
        </w:trPr>
        <w:tc>
          <w:tcPr>
            <w:tcW w:w="4820" w:type="dxa"/>
            <w:vAlign w:val="bottom"/>
          </w:tcPr>
          <w:p>
            <w:pPr>
              <w:spacing w:after="0"/>
              <w:rPr>
                <w:sz w:val="15"/>
                <w:szCs w:val="15"/>
                <w:color w:val="auto"/>
              </w:rPr>
            </w:pPr>
          </w:p>
        </w:tc>
        <w:tc>
          <w:tcPr>
            <w:tcW w:w="4920" w:type="dxa"/>
            <w:vAlign w:val="bottom"/>
          </w:tcPr>
          <w:p>
            <w:pPr>
              <w:spacing w:after="0"/>
              <w:rPr>
                <w:sz w:val="15"/>
                <w:szCs w:val="15"/>
                <w:color w:val="auto"/>
              </w:rPr>
            </w:pPr>
          </w:p>
        </w:tc>
        <w:tc>
          <w:tcPr>
            <w:tcW w:w="16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w w:val="85"/>
              </w:rPr>
              <w:t>September 30,</w:t>
            </w:r>
          </w:p>
        </w:tc>
        <w:tc>
          <w:tcPr>
            <w:tcW w:w="0" w:type="dxa"/>
            <w:vAlign w:val="bottom"/>
          </w:tcPr>
          <w:p>
            <w:pPr>
              <w:spacing w:after="0"/>
              <w:rPr>
                <w:sz w:val="1"/>
                <w:szCs w:val="1"/>
                <w:color w:val="auto"/>
              </w:rPr>
            </w:pPr>
          </w:p>
        </w:tc>
      </w:tr>
      <w:tr>
        <w:trPr>
          <w:trHeight w:val="95"/>
        </w:trPr>
        <w:tc>
          <w:tcPr>
            <w:tcW w:w="48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Borders>
              <w:bottom w:val="single" w:sz="8" w:color="auto"/>
            </w:tcBorders>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63"/>
        </w:trPr>
        <w:tc>
          <w:tcPr>
            <w:tcW w:w="4820" w:type="dxa"/>
            <w:vAlign w:val="bottom"/>
          </w:tcPr>
          <w:p>
            <w:pPr>
              <w:spacing w:after="0"/>
              <w:rPr>
                <w:sz w:val="22"/>
                <w:szCs w:val="22"/>
                <w:color w:val="auto"/>
              </w:rPr>
            </w:pPr>
          </w:p>
        </w:tc>
        <w:tc>
          <w:tcPr>
            <w:tcW w:w="5480" w:type="dxa"/>
            <w:vAlign w:val="bottom"/>
            <w:gridSpan w:val="2"/>
          </w:tcPr>
          <w:p>
            <w:pPr>
              <w:jc w:val="right"/>
              <w:ind w:right="67"/>
              <w:spacing w:after="0"/>
              <w:rPr>
                <w:sz w:val="20"/>
                <w:szCs w:val="20"/>
                <w:color w:val="auto"/>
              </w:rPr>
            </w:pPr>
            <w:r>
              <w:rPr>
                <w:rFonts w:ascii="Arial" w:cs="Arial" w:eastAsia="Arial" w:hAnsi="Arial"/>
                <w:sz w:val="14"/>
                <w:szCs w:val="14"/>
                <w:b w:val="1"/>
                <w:bCs w:val="1"/>
                <w:color w:val="auto"/>
              </w:rPr>
              <w:t>2002</w:t>
            </w:r>
          </w:p>
        </w:tc>
        <w:tc>
          <w:tcPr>
            <w:tcW w:w="400" w:type="dxa"/>
            <w:vAlign w:val="bottom"/>
          </w:tcPr>
          <w:p>
            <w:pPr>
              <w:spacing w:after="0"/>
              <w:rPr>
                <w:sz w:val="22"/>
                <w:szCs w:val="22"/>
                <w:color w:val="auto"/>
              </w:rPr>
            </w:pPr>
          </w:p>
        </w:tc>
        <w:tc>
          <w:tcPr>
            <w:tcW w:w="660" w:type="dxa"/>
            <w:vAlign w:val="bottom"/>
          </w:tcPr>
          <w:p>
            <w:pPr>
              <w:jc w:val="right"/>
              <w:ind w:right="117"/>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5"/>
        </w:trPr>
        <w:tc>
          <w:tcPr>
            <w:tcW w:w="48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48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Reported net loss</w:t>
            </w:r>
          </w:p>
        </w:tc>
        <w:tc>
          <w:tcPr>
            <w:tcW w:w="5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$(8,935)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(14,218)</w:t>
            </w:r>
          </w:p>
        </w:tc>
        <w:tc>
          <w:tcPr>
            <w:tcW w:w="0" w:type="dxa"/>
            <w:vAlign w:val="bottom"/>
          </w:tcPr>
          <w:p>
            <w:pPr>
              <w:spacing w:after="0"/>
              <w:rPr>
                <w:sz w:val="1"/>
                <w:szCs w:val="1"/>
                <w:color w:val="auto"/>
              </w:rPr>
            </w:pPr>
          </w:p>
        </w:tc>
      </w:tr>
      <w:tr>
        <w:trPr>
          <w:trHeight w:val="216"/>
        </w:trPr>
        <w:tc>
          <w:tcPr>
            <w:tcW w:w="4820" w:type="dxa"/>
            <w:vAlign w:val="bottom"/>
          </w:tcPr>
          <w:p>
            <w:pPr>
              <w:ind w:left="20"/>
              <w:spacing w:after="0"/>
              <w:rPr>
                <w:sz w:val="20"/>
                <w:szCs w:val="20"/>
                <w:color w:val="auto"/>
              </w:rPr>
            </w:pPr>
            <w:r>
              <w:rPr>
                <w:rFonts w:ascii="Arial" w:cs="Arial" w:eastAsia="Arial" w:hAnsi="Arial"/>
                <w:sz w:val="18"/>
                <w:szCs w:val="18"/>
                <w:color w:val="auto"/>
              </w:rPr>
              <w:t>Add back:</w:t>
            </w:r>
          </w:p>
        </w:tc>
        <w:tc>
          <w:tcPr>
            <w:tcW w:w="49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Goodwill and reclassified assets amortization, net of tax</w:t>
            </w:r>
          </w:p>
        </w:tc>
        <w:tc>
          <w:tcPr>
            <w:tcW w:w="49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4920" w:type="dxa"/>
            <w:vAlign w:val="bottom"/>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4820" w:type="dxa"/>
            <w:vAlign w:val="bottom"/>
          </w:tcPr>
          <w:p>
            <w:pPr>
              <w:spacing w:after="0"/>
              <w:rPr>
                <w:sz w:val="8"/>
                <w:szCs w:val="8"/>
                <w:color w:val="auto"/>
              </w:rPr>
            </w:pPr>
          </w:p>
        </w:tc>
        <w:tc>
          <w:tcPr>
            <w:tcW w:w="4920" w:type="dxa"/>
            <w:vAlign w:val="bottom"/>
          </w:tcPr>
          <w:p>
            <w:pPr>
              <w:spacing w:after="0"/>
              <w:rPr>
                <w:sz w:val="8"/>
                <w:szCs w:val="8"/>
                <w:color w:val="auto"/>
              </w:rPr>
            </w:pPr>
          </w:p>
        </w:tc>
        <w:tc>
          <w:tcPr>
            <w:tcW w:w="560" w:type="dxa"/>
            <w:vAlign w:val="bottom"/>
          </w:tcPr>
          <w:p>
            <w:pPr>
              <w:spacing w:after="0"/>
              <w:rPr>
                <w:sz w:val="8"/>
                <w:szCs w:val="8"/>
                <w:color w:val="auto"/>
              </w:rPr>
            </w:pPr>
          </w:p>
        </w:tc>
        <w:tc>
          <w:tcPr>
            <w:tcW w:w="4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Adjusted net loss</w:t>
            </w:r>
          </w:p>
        </w:tc>
        <w:tc>
          <w:tcPr>
            <w:tcW w:w="588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$(8,935)</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5"/>
              </w:rPr>
              <w:t>$ (14,031)</w:t>
            </w:r>
          </w:p>
        </w:tc>
        <w:tc>
          <w:tcPr>
            <w:tcW w:w="0" w:type="dxa"/>
            <w:vAlign w:val="bottom"/>
          </w:tcPr>
          <w:p>
            <w:pPr>
              <w:spacing w:after="0"/>
              <w:rPr>
                <w:sz w:val="1"/>
                <w:szCs w:val="1"/>
                <w:color w:val="auto"/>
              </w:rPr>
            </w:pPr>
          </w:p>
        </w:tc>
      </w:tr>
      <w:tr>
        <w:trPr>
          <w:trHeight w:val="108"/>
        </w:trPr>
        <w:tc>
          <w:tcPr>
            <w:tcW w:w="4820" w:type="dxa"/>
            <w:vAlign w:val="bottom"/>
          </w:tcPr>
          <w:p>
            <w:pPr>
              <w:spacing w:after="0"/>
              <w:rPr>
                <w:sz w:val="9"/>
                <w:szCs w:val="9"/>
                <w:color w:val="auto"/>
              </w:rPr>
            </w:pPr>
          </w:p>
        </w:tc>
        <w:tc>
          <w:tcPr>
            <w:tcW w:w="4920" w:type="dxa"/>
            <w:vAlign w:val="bottom"/>
            <w:vMerge w:val="restart"/>
          </w:tcPr>
          <w:p>
            <w:pPr>
              <w:jc w:val="right"/>
              <w:ind w:right="3897"/>
              <w:spacing w:after="0"/>
              <w:rPr>
                <w:sz w:val="20"/>
                <w:szCs w:val="20"/>
                <w:color w:val="auto"/>
              </w:rPr>
            </w:pPr>
            <w:r>
              <w:rPr>
                <w:rFonts w:ascii="Arial" w:cs="Arial" w:eastAsia="Arial" w:hAnsi="Arial"/>
                <w:sz w:val="18"/>
                <w:szCs w:val="18"/>
                <w:color w:val="auto"/>
              </w:rPr>
              <w:t>9</w:t>
            </w:r>
          </w:p>
        </w:tc>
        <w:tc>
          <w:tcPr>
            <w:tcW w:w="56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4820" w:type="dxa"/>
            <w:vAlign w:val="bottom"/>
          </w:tcPr>
          <w:p>
            <w:pPr>
              <w:spacing w:after="0"/>
              <w:rPr>
                <w:sz w:val="24"/>
                <w:szCs w:val="24"/>
                <w:color w:val="auto"/>
              </w:rPr>
            </w:pPr>
          </w:p>
        </w:tc>
        <w:tc>
          <w:tcPr>
            <w:tcW w:w="492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274"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Arial" w:cs="Arial" w:eastAsia="Arial" w:hAnsi="Arial"/>
          <w:sz w:val="16"/>
          <w:szCs w:val="16"/>
          <w:color w:val="auto"/>
        </w:rPr>
        <w:t>The estimated future amortization expense of other identifiable intangible assets as of September 30, 2002, is as follows (in thousands):</w:t>
      </w:r>
    </w:p>
    <w:p>
      <w:pPr>
        <w:spacing w:after="0" w:line="176"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60325</wp:posOffset>
            </wp:positionV>
            <wp:extent cx="660400"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60400" cy="8890"/>
                    </a:xfrm>
                    <a:prstGeom prst="rect">
                      <a:avLst/>
                    </a:prstGeom>
                    <a:noFill/>
                  </pic:spPr>
                </pic:pic>
              </a:graphicData>
            </a:graphic>
          </wp:anchor>
        </w:drawing>
      </w:r>
    </w:p>
    <w:p>
      <w:pPr>
        <w:spacing w:after="0" w:line="19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2002</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2003</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2004</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2005</w:t>
            </w: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280</w:t>
            </w: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108"/>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3. Balance Sheet Accounts</w:t>
            </w:r>
          </w:p>
        </w:tc>
        <w:tc>
          <w:tcPr>
            <w:tcW w:w="19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516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60" w:type="dxa"/>
            <w:vAlign w:val="bottom"/>
            <w:gridSpan w:val="2"/>
          </w:tcPr>
          <w:p>
            <w:pPr>
              <w:spacing w:after="0"/>
              <w:rPr>
                <w:sz w:val="20"/>
                <w:szCs w:val="20"/>
                <w:color w:val="auto"/>
              </w:rPr>
            </w:pPr>
            <w:r>
              <w:rPr>
                <w:rFonts w:ascii="Arial" w:cs="Arial" w:eastAsia="Arial" w:hAnsi="Arial"/>
                <w:sz w:val="18"/>
                <w:szCs w:val="18"/>
                <w:b w:val="1"/>
                <w:bCs w:val="1"/>
                <w:color w:val="auto"/>
              </w:rPr>
              <w:t>Cash and cash equivalents</w:t>
            </w: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60" w:type="dxa"/>
            <w:vAlign w:val="bottom"/>
            <w:gridSpan w:val="2"/>
          </w:tcPr>
          <w:p>
            <w:pPr>
              <w:spacing w:after="0"/>
              <w:rPr>
                <w:sz w:val="20"/>
                <w:szCs w:val="20"/>
                <w:color w:val="auto"/>
              </w:rPr>
            </w:pPr>
            <w:r>
              <w:rPr>
                <w:rFonts w:ascii="Arial" w:cs="Arial" w:eastAsia="Arial" w:hAnsi="Arial"/>
                <w:sz w:val="18"/>
                <w:szCs w:val="18"/>
                <w:color w:val="auto"/>
              </w:rPr>
              <w:t>Cash and cash equivalents consist of the following:</w:t>
            </w: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4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center"/>
              <w:ind w:right="177"/>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177"/>
              <w:spacing w:after="0"/>
              <w:rPr>
                <w:sz w:val="20"/>
                <w:szCs w:val="20"/>
                <w:color w:val="auto"/>
              </w:rPr>
            </w:pPr>
            <w:r>
              <w:rPr>
                <w:rFonts w:ascii="Arial" w:cs="Arial" w:eastAsia="Arial" w:hAnsi="Arial"/>
                <w:sz w:val="14"/>
                <w:szCs w:val="14"/>
                <w:b w:val="1"/>
                <w:bCs w:val="1"/>
                <w:color w:val="auto"/>
                <w:w w:val="83"/>
              </w:rPr>
              <w:t>2001</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296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Money market funds</w:t>
            </w:r>
          </w:p>
        </w:tc>
        <w:tc>
          <w:tcPr>
            <w:tcW w:w="1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4,170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6,815</w:t>
            </w: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180" w:type="dxa"/>
            <w:vAlign w:val="bottom"/>
            <w:tcBorders>
              <w:bottom w:val="single" w:sz="8" w:color="auto"/>
            </w:tcBorders>
            <w:gridSpan w:val="2"/>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 w:type="dxa"/>
            <w:vAlign w:val="bottom"/>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4,466</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6,849</w:t>
            </w:r>
          </w:p>
        </w:tc>
        <w:tc>
          <w:tcPr>
            <w:tcW w:w="0" w:type="dxa"/>
            <w:vAlign w:val="bottom"/>
          </w:tcPr>
          <w:p>
            <w:pPr>
              <w:spacing w:after="0"/>
              <w:rPr>
                <w:sz w:val="1"/>
                <w:szCs w:val="1"/>
                <w:color w:val="auto"/>
              </w:rPr>
            </w:pPr>
          </w:p>
        </w:tc>
      </w:tr>
      <w:tr>
        <w:trPr>
          <w:trHeight w:val="108"/>
        </w:trPr>
        <w:tc>
          <w:tcPr>
            <w:tcW w:w="51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Prepaid expenses and other current assets</w:t>
            </w:r>
          </w:p>
        </w:tc>
        <w:tc>
          <w:tcPr>
            <w:tcW w:w="190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5160" w:type="dxa"/>
            <w:vAlign w:val="bottom"/>
            <w:gridSpan w:val="2"/>
            <w:vMerge w:val="continue"/>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160" w:type="dxa"/>
            <w:vAlign w:val="bottom"/>
            <w:gridSpan w:val="2"/>
          </w:tcPr>
          <w:p>
            <w:pPr>
              <w:spacing w:after="0"/>
              <w:rPr>
                <w:sz w:val="20"/>
                <w:szCs w:val="20"/>
                <w:color w:val="auto"/>
              </w:rPr>
            </w:pPr>
            <w:r>
              <w:rPr>
                <w:rFonts w:ascii="Arial" w:cs="Arial" w:eastAsia="Arial" w:hAnsi="Arial"/>
                <w:sz w:val="18"/>
                <w:szCs w:val="18"/>
                <w:color w:val="auto"/>
                <w:w w:val="96"/>
              </w:rPr>
              <w:t>Prepaid expenses and other current assets consist of the following:</w:t>
            </w: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2"/>
        </w:trPr>
        <w:tc>
          <w:tcPr>
            <w:tcW w:w="14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700" w:type="dxa"/>
            <w:vAlign w:val="bottom"/>
            <w:gridSpan w:val="5"/>
          </w:tcPr>
          <w:p>
            <w:pPr>
              <w:jc w:val="right"/>
              <w:spacing w:after="0"/>
              <w:rPr>
                <w:sz w:val="20"/>
                <w:szCs w:val="20"/>
                <w:color w:val="auto"/>
              </w:rPr>
            </w:pPr>
            <w:r>
              <w:rPr>
                <w:rFonts w:ascii="Arial" w:cs="Arial" w:eastAsia="Arial" w:hAnsi="Arial"/>
                <w:sz w:val="14"/>
                <w:szCs w:val="14"/>
                <w:b w:val="1"/>
                <w:bCs w:val="1"/>
                <w:color w:val="auto"/>
              </w:rPr>
              <w:t>(in thousands)</w:t>
            </w: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1300" w:type="dxa"/>
            <w:vAlign w:val="bottom"/>
            <w:tcBorders>
              <w:bottom w:val="single" w:sz="8" w:color="auto"/>
            </w:tcBorders>
            <w:gridSpan w:val="3"/>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3720" w:type="dxa"/>
            <w:vAlign w:val="bottom"/>
          </w:tcPr>
          <w:p>
            <w:pPr>
              <w:spacing w:after="0"/>
              <w:rPr>
                <w:sz w:val="20"/>
                <w:szCs w:val="20"/>
                <w:color w:val="auto"/>
              </w:rPr>
            </w:pPr>
          </w:p>
        </w:tc>
        <w:tc>
          <w:tcPr>
            <w:tcW w:w="19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4"/>
                <w:szCs w:val="14"/>
                <w:b w:val="1"/>
                <w:bCs w:val="1"/>
                <w:color w:val="auto"/>
                <w:w w:val="87"/>
              </w:rPr>
              <w:t>September 30,</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jc w:val="center"/>
              <w:ind w:right="177"/>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3720" w:type="dxa"/>
            <w:vAlign w:val="bottom"/>
          </w:tcPr>
          <w:p>
            <w:pPr>
              <w:spacing w:after="0"/>
              <w:rPr>
                <w:sz w:val="15"/>
                <w:szCs w:val="15"/>
                <w:color w:val="auto"/>
              </w:rPr>
            </w:pPr>
          </w:p>
        </w:tc>
        <w:tc>
          <w:tcPr>
            <w:tcW w:w="19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tcPr>
          <w:p>
            <w:pPr>
              <w:jc w:val="center"/>
              <w:ind w:right="20"/>
              <w:spacing w:after="0"/>
              <w:rPr>
                <w:sz w:val="20"/>
                <w:szCs w:val="20"/>
                <w:color w:val="auto"/>
              </w:rPr>
            </w:pPr>
            <w:r>
              <w:rPr>
                <w:rFonts w:ascii="Arial" w:cs="Arial" w:eastAsia="Arial" w:hAnsi="Arial"/>
                <w:sz w:val="14"/>
                <w:szCs w:val="14"/>
                <w:b w:val="1"/>
                <w:bCs w:val="1"/>
                <w:color w:val="auto"/>
                <w:w w:val="89"/>
              </w:rPr>
              <w:t>2002</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jc w:val="center"/>
              <w:ind w:right="177"/>
              <w:spacing w:after="0"/>
              <w:rPr>
                <w:sz w:val="20"/>
                <w:szCs w:val="20"/>
                <w:color w:val="auto"/>
              </w:rPr>
            </w:pPr>
            <w:r>
              <w:rPr>
                <w:rFonts w:ascii="Arial" w:cs="Arial" w:eastAsia="Arial" w:hAnsi="Arial"/>
                <w:sz w:val="14"/>
                <w:szCs w:val="14"/>
                <w:b w:val="1"/>
                <w:bCs w:val="1"/>
                <w:color w:val="auto"/>
                <w:w w:val="83"/>
              </w:rPr>
              <w:t>2001</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2080" w:type="dxa"/>
            <w:vAlign w:val="bottom"/>
            <w:gridSpan w:val="2"/>
          </w:tcPr>
          <w:p>
            <w:pPr>
              <w:spacing w:after="0"/>
              <w:rPr>
                <w:sz w:val="8"/>
                <w:szCs w:val="8"/>
                <w:color w:val="auto"/>
              </w:rPr>
            </w:pPr>
          </w:p>
        </w:tc>
        <w:tc>
          <w:tcPr>
            <w:tcW w:w="1300" w:type="dxa"/>
            <w:vAlign w:val="bottom"/>
            <w:gridSpan w:val="3"/>
          </w:tcPr>
          <w:p>
            <w:pPr>
              <w:spacing w:after="0"/>
              <w:rPr>
                <w:sz w:val="8"/>
                <w:szCs w:val="8"/>
                <w:color w:val="auto"/>
              </w:rPr>
            </w:pPr>
          </w:p>
        </w:tc>
        <w:tc>
          <w:tcPr>
            <w:tcW w:w="400" w:type="dxa"/>
            <w:vAlign w:val="bottom"/>
            <w:gridSpan w:val="2"/>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Prepaid commissions</w:t>
            </w: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475</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757</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tcPr>
          <w:p>
            <w:pPr>
              <w:spacing w:after="0"/>
              <w:rPr>
                <w:sz w:val="20"/>
                <w:szCs w:val="20"/>
                <w:color w:val="auto"/>
              </w:rPr>
            </w:pPr>
            <w:r>
              <w:rPr>
                <w:rFonts w:ascii="Arial" w:cs="Arial" w:eastAsia="Arial" w:hAnsi="Arial"/>
                <w:sz w:val="18"/>
                <w:szCs w:val="18"/>
                <w:color w:val="auto"/>
              </w:rPr>
              <w:t>Financing costs, net</w:t>
            </w:r>
          </w:p>
        </w:tc>
        <w:tc>
          <w:tcPr>
            <w:tcW w:w="19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00" w:type="dxa"/>
            <w:vAlign w:val="bottom"/>
            <w:gridSpan w:val="3"/>
          </w:tcPr>
          <w:p>
            <w:pPr>
              <w:jc w:val="right"/>
              <w:ind w:right="120"/>
              <w:spacing w:after="0"/>
              <w:rPr>
                <w:sz w:val="20"/>
                <w:szCs w:val="20"/>
                <w:color w:val="auto"/>
              </w:rPr>
            </w:pPr>
            <w:r>
              <w:rPr>
                <w:rFonts w:ascii="Arial" w:cs="Arial" w:eastAsia="Arial" w:hAnsi="Arial"/>
                <w:sz w:val="18"/>
                <w:szCs w:val="18"/>
                <w:color w:val="auto"/>
              </w:rPr>
              <w:t>591</w:t>
            </w:r>
          </w:p>
        </w:tc>
        <w:tc>
          <w:tcPr>
            <w:tcW w:w="1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19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887</w:t>
            </w:r>
          </w:p>
        </w:tc>
        <w:tc>
          <w:tcPr>
            <w:tcW w:w="1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3720" w:type="dxa"/>
            <w:vAlign w:val="bottom"/>
          </w:tcPr>
          <w:p>
            <w:pPr>
              <w:spacing w:after="0"/>
              <w:rPr>
                <w:sz w:val="9"/>
                <w:szCs w:val="9"/>
                <w:color w:val="auto"/>
              </w:rPr>
            </w:pPr>
          </w:p>
        </w:tc>
        <w:tc>
          <w:tcPr>
            <w:tcW w:w="2080" w:type="dxa"/>
            <w:vAlign w:val="bottom"/>
            <w:gridSpan w:val="2"/>
          </w:tcPr>
          <w:p>
            <w:pPr>
              <w:spacing w:after="0"/>
              <w:rPr>
                <w:sz w:val="9"/>
                <w:szCs w:val="9"/>
                <w:color w:val="auto"/>
              </w:rPr>
            </w:pPr>
          </w:p>
        </w:tc>
        <w:tc>
          <w:tcPr>
            <w:tcW w:w="1300" w:type="dxa"/>
            <w:vAlign w:val="bottom"/>
            <w:gridSpan w:val="3"/>
          </w:tcPr>
          <w:p>
            <w:pPr>
              <w:spacing w:after="0"/>
              <w:rPr>
                <w:sz w:val="9"/>
                <w:szCs w:val="9"/>
                <w:color w:val="auto"/>
              </w:rPr>
            </w:pPr>
          </w:p>
        </w:tc>
        <w:tc>
          <w:tcPr>
            <w:tcW w:w="400" w:type="dxa"/>
            <w:vAlign w:val="bottom"/>
            <w:gridSpan w:val="2"/>
          </w:tcPr>
          <w:p>
            <w:pPr>
              <w:spacing w:after="0"/>
              <w:rPr>
                <w:sz w:val="9"/>
                <w:szCs w:val="9"/>
                <w:color w:val="auto"/>
              </w:rPr>
            </w:pPr>
          </w:p>
        </w:tc>
        <w:tc>
          <w:tcPr>
            <w:tcW w:w="10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3720" w:type="dxa"/>
            <w:vAlign w:val="bottom"/>
          </w:tcPr>
          <w:p>
            <w:pPr>
              <w:spacing w:after="0"/>
              <w:rPr>
                <w:sz w:val="8"/>
                <w:szCs w:val="8"/>
                <w:color w:val="auto"/>
              </w:rPr>
            </w:pPr>
          </w:p>
        </w:tc>
        <w:tc>
          <w:tcPr>
            <w:tcW w:w="190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1100" w:type="dxa"/>
            <w:vAlign w:val="bottom"/>
            <w:tcBorders>
              <w:top w:val="single" w:sz="8" w:color="auto"/>
            </w:tcBorders>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120" w:type="dxa"/>
            <w:vAlign w:val="bottom"/>
          </w:tcPr>
          <w:p>
            <w:pPr>
              <w:spacing w:after="0"/>
              <w:rPr>
                <w:sz w:val="8"/>
                <w:szCs w:val="8"/>
                <w:color w:val="auto"/>
              </w:rPr>
            </w:pPr>
          </w:p>
        </w:tc>
        <w:tc>
          <w:tcPr>
            <w:tcW w:w="280" w:type="dxa"/>
            <w:vAlign w:val="bottom"/>
            <w:tcBorders>
              <w:top w:val="single" w:sz="8" w:color="auto"/>
            </w:tcBorders>
          </w:tcPr>
          <w:p>
            <w:pPr>
              <w:spacing w:after="0"/>
              <w:rPr>
                <w:sz w:val="8"/>
                <w:szCs w:val="8"/>
                <w:color w:val="auto"/>
              </w:rPr>
            </w:pPr>
          </w:p>
        </w:tc>
        <w:tc>
          <w:tcPr>
            <w:tcW w:w="104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20" w:type="dxa"/>
            <w:vAlign w:val="bottom"/>
            <w:shd w:val="clear" w:color="auto" w:fill="CCEEFF"/>
          </w:tcPr>
          <w:p>
            <w:pPr>
              <w:spacing w:after="0"/>
              <w:rPr>
                <w:sz w:val="18"/>
                <w:szCs w:val="18"/>
                <w:color w:val="auto"/>
              </w:rPr>
            </w:pPr>
          </w:p>
        </w:tc>
        <w:tc>
          <w:tcPr>
            <w:tcW w:w="2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30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1,953</w:t>
            </w:r>
          </w:p>
        </w:tc>
        <w:tc>
          <w:tcPr>
            <w:tcW w:w="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w:t>
            </w: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3720" w:type="dxa"/>
            <w:vAlign w:val="bottom"/>
          </w:tcPr>
          <w:p>
            <w:pPr>
              <w:spacing w:after="0"/>
              <w:rPr>
                <w:sz w:val="9"/>
                <w:szCs w:val="9"/>
                <w:color w:val="auto"/>
              </w:rPr>
            </w:pPr>
          </w:p>
        </w:tc>
        <w:tc>
          <w:tcPr>
            <w:tcW w:w="1900" w:type="dxa"/>
            <w:vAlign w:val="bottom"/>
            <w:vMerge w:val="restart"/>
          </w:tcPr>
          <w:p>
            <w:pPr>
              <w:jc w:val="right"/>
              <w:ind w:right="1172"/>
              <w:spacing w:after="0"/>
              <w:rPr>
                <w:sz w:val="20"/>
                <w:szCs w:val="20"/>
                <w:color w:val="auto"/>
              </w:rPr>
            </w:pPr>
            <w:r>
              <w:rPr>
                <w:rFonts w:ascii="Arial" w:cs="Arial" w:eastAsia="Arial" w:hAnsi="Arial"/>
                <w:sz w:val="18"/>
                <w:szCs w:val="18"/>
                <w:color w:val="auto"/>
              </w:rPr>
              <w:t>10</w:t>
            </w:r>
          </w:p>
        </w:tc>
        <w:tc>
          <w:tcPr>
            <w:tcW w:w="180" w:type="dxa"/>
            <w:vAlign w:val="bottom"/>
            <w:tcBorders>
              <w:bottom w:val="single" w:sz="8" w:color="auto"/>
            </w:tcBorders>
          </w:tcPr>
          <w:p>
            <w:pPr>
              <w:spacing w:after="0"/>
              <w:rPr>
                <w:sz w:val="9"/>
                <w:szCs w:val="9"/>
                <w:color w:val="auto"/>
              </w:rPr>
            </w:pPr>
          </w:p>
        </w:tc>
        <w:tc>
          <w:tcPr>
            <w:tcW w:w="1100" w:type="dxa"/>
            <w:vAlign w:val="bottom"/>
            <w:tcBorders>
              <w:bottom w:val="single" w:sz="8" w:color="auto"/>
            </w:tcBorders>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20" w:type="dxa"/>
            <w:vAlign w:val="bottom"/>
          </w:tcPr>
          <w:p>
            <w:pPr>
              <w:spacing w:after="0"/>
              <w:rPr>
                <w:sz w:val="9"/>
                <w:szCs w:val="9"/>
                <w:color w:val="auto"/>
              </w:rPr>
            </w:pPr>
          </w:p>
        </w:tc>
        <w:tc>
          <w:tcPr>
            <w:tcW w:w="280" w:type="dxa"/>
            <w:vAlign w:val="bottom"/>
            <w:tcBorders>
              <w:bottom w:val="single" w:sz="8" w:color="auto"/>
            </w:tcBorders>
          </w:tcPr>
          <w:p>
            <w:pPr>
              <w:spacing w:after="0"/>
              <w:rPr>
                <w:sz w:val="9"/>
                <w:szCs w:val="9"/>
                <w:color w:val="auto"/>
              </w:rPr>
            </w:pPr>
          </w:p>
        </w:tc>
        <w:tc>
          <w:tcPr>
            <w:tcW w:w="104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64"/>
        </w:trPr>
        <w:tc>
          <w:tcPr>
            <w:tcW w:w="1440" w:type="dxa"/>
            <w:vAlign w:val="bottom"/>
          </w:tcPr>
          <w:p>
            <w:pPr>
              <w:spacing w:after="0"/>
              <w:rPr>
                <w:sz w:val="24"/>
                <w:szCs w:val="24"/>
                <w:color w:val="auto"/>
              </w:rPr>
            </w:pPr>
          </w:p>
        </w:tc>
        <w:tc>
          <w:tcPr>
            <w:tcW w:w="3720" w:type="dxa"/>
            <w:vAlign w:val="bottom"/>
          </w:tcPr>
          <w:p>
            <w:pPr>
              <w:spacing w:after="0"/>
              <w:rPr>
                <w:sz w:val="24"/>
                <w:szCs w:val="24"/>
                <w:color w:val="auto"/>
              </w:rPr>
            </w:pPr>
          </w:p>
        </w:tc>
        <w:tc>
          <w:tcPr>
            <w:tcW w:w="190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0219"/>
          </w:cols>
          <w:pgMar w:left="240" w:top="274" w:right="1440" w:bottom="1440" w:gutter="0" w:footer="0" w:header="0"/>
        </w:sectPr>
      </w:pPr>
    </w:p>
    <w:bookmarkStart w:id="44" w:name="page45"/>
    <w:bookmarkEnd w:id="4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Property and equipment, net</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w:t>
      </w:r>
    </w:p>
    <w:p>
      <w:pPr>
        <w:spacing w:after="0" w:line="153" w:lineRule="exact"/>
        <w:rPr>
          <w:sz w:val="20"/>
          <w:szCs w:val="20"/>
          <w:color w:val="auto"/>
        </w:rPr>
      </w:pPr>
    </w:p>
    <w:tbl>
      <w:tblPr>
        <w:tblLayout w:type="fixed"/>
        <w:tblInd w:w="860" w:type="dxa"/>
        <w:tblCellMar>
          <w:top w:w="0" w:type="dxa"/>
          <w:left w:w="0" w:type="dxa"/>
          <w:bottom w:w="0" w:type="dxa"/>
          <w:right w:w="0" w:type="dxa"/>
        </w:tblCellMar>
      </w:tblP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440" w:type="dxa"/>
            <w:vAlign w:val="bottom"/>
            <w:gridSpan w:val="6"/>
          </w:tcPr>
          <w:p>
            <w:pPr>
              <w:jc w:val="right"/>
              <w:ind w:right="900"/>
              <w:spacing w:after="0"/>
              <w:rPr>
                <w:sz w:val="20"/>
                <w:szCs w:val="20"/>
                <w:color w:val="auto"/>
              </w:rPr>
            </w:pPr>
            <w:r>
              <w:rPr>
                <w:rFonts w:ascii="Arial" w:cs="Arial" w:eastAsia="Arial" w:hAnsi="Arial"/>
                <w:sz w:val="14"/>
                <w:szCs w:val="14"/>
                <w:b w:val="1"/>
                <w:bCs w:val="1"/>
                <w:color w:val="auto"/>
              </w:rPr>
              <w:t>(in thousands)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Borders>
              <w:bottom w:val="single" w:sz="8" w:color="auto"/>
            </w:tcBorders>
          </w:tcPr>
          <w:p>
            <w:pPr>
              <w:spacing w:after="0"/>
              <w:rPr>
                <w:sz w:val="8"/>
                <w:szCs w:val="8"/>
                <w:color w:val="auto"/>
              </w:rPr>
            </w:pPr>
          </w:p>
        </w:tc>
        <w:tc>
          <w:tcPr>
            <w:tcW w:w="140" w:type="dxa"/>
            <w:vAlign w:val="bottom"/>
            <w:tcBorders>
              <w:bottom w:val="single" w:sz="8" w:color="auto"/>
            </w:tcBorders>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5"/>
              </w:rPr>
              <w:t>September 30,</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5"/>
              </w:rPr>
              <w:t>December 31,</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54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980" w:type="dxa"/>
            <w:vAlign w:val="bottom"/>
          </w:tcPr>
          <w:p>
            <w:pPr>
              <w:jc w:val="right"/>
              <w:ind w:right="319"/>
              <w:spacing w:after="0"/>
              <w:rPr>
                <w:sz w:val="20"/>
                <w:szCs w:val="20"/>
                <w:color w:val="auto"/>
              </w:rPr>
            </w:pPr>
            <w:r>
              <w:rPr>
                <w:rFonts w:ascii="Arial" w:cs="Arial" w:eastAsia="Arial" w:hAnsi="Arial"/>
                <w:sz w:val="14"/>
                <w:szCs w:val="14"/>
                <w:b w:val="1"/>
                <w:bCs w:val="1"/>
                <w:color w:val="auto"/>
              </w:rPr>
              <w:t>2002</w:t>
            </w:r>
          </w:p>
        </w:tc>
        <w:tc>
          <w:tcPr>
            <w:tcW w:w="2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jc w:val="right"/>
              <w:ind w:right="317"/>
              <w:spacing w:after="0"/>
              <w:rPr>
                <w:sz w:val="20"/>
                <w:szCs w:val="20"/>
                <w:color w:val="auto"/>
              </w:rPr>
            </w:pPr>
            <w:r>
              <w:rPr>
                <w:rFonts w:ascii="Arial" w:cs="Arial" w:eastAsia="Arial" w:hAnsi="Arial"/>
                <w:sz w:val="14"/>
                <w:szCs w:val="14"/>
                <w:b w:val="1"/>
                <w:bCs w:val="1"/>
                <w:color w:val="auto"/>
              </w:rPr>
              <w:t>2001</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54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Computer equipment and software</w:t>
            </w: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4,185</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4,085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tcPr>
          <w:p>
            <w:pPr>
              <w:spacing w:after="0"/>
              <w:rPr>
                <w:sz w:val="20"/>
                <w:szCs w:val="20"/>
                <w:color w:val="auto"/>
              </w:rPr>
            </w:pPr>
            <w:r>
              <w:rPr>
                <w:rFonts w:ascii="Arial" w:cs="Arial" w:eastAsia="Arial" w:hAnsi="Arial"/>
                <w:sz w:val="18"/>
                <w:szCs w:val="18"/>
                <w:color w:val="auto"/>
              </w:rPr>
              <w:t>Furniture, fixtures and office equipment</w:t>
            </w:r>
          </w:p>
        </w:tc>
        <w:tc>
          <w:tcPr>
            <w:tcW w:w="17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1,437</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1,430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20"/>
                <w:szCs w:val="20"/>
                <w:color w:val="auto"/>
              </w:rPr>
            </w:pPr>
            <w:r>
              <w:rPr>
                <w:rFonts w:ascii="Arial" w:cs="Arial" w:eastAsia="Arial" w:hAnsi="Arial"/>
                <w:sz w:val="18"/>
                <w:szCs w:val="18"/>
                <w:color w:val="auto"/>
              </w:rPr>
              <w:t>Leasehold improvements</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property and equipment</w:t>
            </w:r>
          </w:p>
        </w:tc>
        <w:tc>
          <w:tcPr>
            <w:tcW w:w="17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5,820</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460" w:type="dxa"/>
            <w:vAlign w:val="bottom"/>
          </w:tcPr>
          <w:p>
            <w:pPr>
              <w:ind w:left="260"/>
              <w:spacing w:after="0"/>
              <w:rPr>
                <w:sz w:val="20"/>
                <w:szCs w:val="20"/>
                <w:color w:val="auto"/>
              </w:rPr>
            </w:pPr>
            <w:r>
              <w:rPr>
                <w:rFonts w:ascii="Arial" w:cs="Arial" w:eastAsia="Arial" w:hAnsi="Arial"/>
                <w:sz w:val="18"/>
                <w:szCs w:val="18"/>
                <w:color w:val="auto"/>
              </w:rPr>
              <w:t>Less: Accumulated depreciation and amortization</w:t>
            </w:r>
          </w:p>
        </w:tc>
        <w:tc>
          <w:tcPr>
            <w:tcW w:w="17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(4,082)</w:t>
            </w: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(2,752)</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98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94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5460" w:type="dxa"/>
            <w:vAlign w:val="bottom"/>
          </w:tcPr>
          <w:p>
            <w:pPr>
              <w:spacing w:after="0"/>
              <w:rPr>
                <w:sz w:val="8"/>
                <w:szCs w:val="8"/>
                <w:color w:val="auto"/>
              </w:rPr>
            </w:pPr>
          </w:p>
        </w:tc>
        <w:tc>
          <w:tcPr>
            <w:tcW w:w="1700" w:type="dxa"/>
            <w:vAlign w:val="bottom"/>
          </w:tcPr>
          <w:p>
            <w:pPr>
              <w:spacing w:after="0"/>
              <w:rPr>
                <w:sz w:val="8"/>
                <w:szCs w:val="8"/>
                <w:color w:val="auto"/>
              </w:rPr>
            </w:pPr>
          </w:p>
        </w:tc>
        <w:tc>
          <w:tcPr>
            <w:tcW w:w="80" w:type="dxa"/>
            <w:vAlign w:val="bottom"/>
          </w:tcPr>
          <w:p>
            <w:pPr>
              <w:spacing w:after="0"/>
              <w:rPr>
                <w:sz w:val="8"/>
                <w:szCs w:val="8"/>
                <w:color w:val="auto"/>
              </w:rPr>
            </w:pPr>
          </w:p>
        </w:tc>
        <w:tc>
          <w:tcPr>
            <w:tcW w:w="9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 w:type="dxa"/>
            <w:vAlign w:val="bottom"/>
          </w:tcPr>
          <w:p>
            <w:pPr>
              <w:spacing w:after="0"/>
              <w:rPr>
                <w:sz w:val="8"/>
                <w:szCs w:val="8"/>
                <w:color w:val="auto"/>
              </w:rPr>
            </w:pPr>
          </w:p>
        </w:tc>
        <w:tc>
          <w:tcPr>
            <w:tcW w:w="94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6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1,738</w:t>
            </w:r>
          </w:p>
        </w:tc>
        <w:tc>
          <w:tcPr>
            <w:tcW w:w="2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2,961</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5460" w:type="dxa"/>
            <w:vAlign w:val="bottom"/>
          </w:tcPr>
          <w:p>
            <w:pPr>
              <w:spacing w:after="0"/>
              <w:rPr>
                <w:sz w:val="9"/>
                <w:szCs w:val="9"/>
                <w:color w:val="auto"/>
              </w:rPr>
            </w:pPr>
          </w:p>
        </w:tc>
        <w:tc>
          <w:tcPr>
            <w:tcW w:w="170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980" w:type="dxa"/>
            <w:vAlign w:val="bottom"/>
            <w:tcBorders>
              <w:bottom w:val="single" w:sz="8" w:color="auto"/>
            </w:tcBorders>
          </w:tcPr>
          <w:p>
            <w:pPr>
              <w:spacing w:after="0"/>
              <w:rPr>
                <w:sz w:val="9"/>
                <w:szCs w:val="9"/>
                <w:color w:val="auto"/>
              </w:rPr>
            </w:pPr>
          </w:p>
        </w:tc>
        <w:tc>
          <w:tcPr>
            <w:tcW w:w="2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94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340"/>
        <w:spacing w:after="0" w:line="256" w:lineRule="auto"/>
        <w:rPr>
          <w:sz w:val="20"/>
          <w:szCs w:val="20"/>
          <w:color w:val="auto"/>
        </w:rPr>
      </w:pPr>
      <w:r>
        <w:rPr>
          <w:rFonts w:ascii="Arial" w:cs="Arial" w:eastAsia="Arial" w:hAnsi="Arial"/>
          <w:sz w:val="18"/>
          <w:szCs w:val="18"/>
          <w:color w:val="auto"/>
        </w:rPr>
        <w:t>At September 30, 2002 and December 31, 2001, property and equipment includes $431,000 of computer and office equipment acquired under capital leases. Accumulated amortization of assets under capital leases totaled $415,000 and $346,000 at September 30, 2002 and December 31, 2001, respectively. Depreciation and amortization expense related to property and equipment was $1,332,000 and $1,221,000 for the nine months ended September 30, 2002 and 2001, respectively.</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Accrued and other current liabilities</w:t>
      </w:r>
    </w:p>
    <w:p>
      <w:pPr>
        <w:spacing w:after="0" w:line="83" w:lineRule="exact"/>
        <w:rPr>
          <w:sz w:val="20"/>
          <w:szCs w:val="20"/>
          <w:color w:val="auto"/>
        </w:rPr>
      </w:pPr>
    </w:p>
    <w:p>
      <w:pPr>
        <w:spacing w:after="0"/>
        <w:rPr>
          <w:sz w:val="20"/>
          <w:szCs w:val="20"/>
          <w:color w:val="auto"/>
        </w:rPr>
      </w:pPr>
      <w:r>
        <w:rPr>
          <w:rFonts w:ascii="Arial" w:cs="Arial" w:eastAsia="Arial" w:hAnsi="Arial"/>
          <w:sz w:val="18"/>
          <w:szCs w:val="18"/>
          <w:color w:val="auto"/>
        </w:rPr>
        <w:t>Accrued and other current liabilities consists of the following:</w:t>
      </w:r>
    </w:p>
    <w:p>
      <w:pPr>
        <w:spacing w:after="0" w:line="153"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56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rPr>
              <w:t>(in thousands)</w:t>
            </w: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940" w:type="dxa"/>
            <w:vAlign w:val="bottom"/>
            <w:tcBorders>
              <w:bottom w:val="single" w:sz="8" w:color="auto"/>
            </w:tcBorders>
            <w:gridSpan w:val="2"/>
          </w:tcPr>
          <w:p>
            <w:pPr>
              <w:spacing w:after="0"/>
              <w:rPr>
                <w:sz w:val="8"/>
                <w:szCs w:val="8"/>
                <w:color w:val="auto"/>
              </w:rPr>
            </w:pPr>
          </w:p>
        </w:tc>
        <w:tc>
          <w:tcPr>
            <w:tcW w:w="340" w:type="dxa"/>
            <w:vAlign w:val="bottom"/>
            <w:tcBorders>
              <w:bottom w:val="single" w:sz="8" w:color="auto"/>
            </w:tcBorders>
          </w:tcPr>
          <w:p>
            <w:pPr>
              <w:spacing w:after="0"/>
              <w:rPr>
                <w:sz w:val="8"/>
                <w:szCs w:val="8"/>
                <w:color w:val="auto"/>
              </w:rPr>
            </w:pPr>
          </w:p>
        </w:tc>
        <w:tc>
          <w:tcPr>
            <w:tcW w:w="900" w:type="dxa"/>
            <w:vAlign w:val="bottom"/>
            <w:tcBorders>
              <w:bottom w:val="single" w:sz="8" w:color="auto"/>
            </w:tcBorders>
            <w:gridSpan w:val="2"/>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37"/>
        </w:trPr>
        <w:tc>
          <w:tcPr>
            <w:tcW w:w="560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94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September 30,</w:t>
            </w:r>
          </w:p>
        </w:tc>
        <w:tc>
          <w:tcPr>
            <w:tcW w:w="340" w:type="dxa"/>
            <w:vAlign w:val="bottom"/>
          </w:tcPr>
          <w:p>
            <w:pPr>
              <w:spacing w:after="0"/>
              <w:rPr>
                <w:sz w:val="20"/>
                <w:szCs w:val="20"/>
                <w:color w:val="auto"/>
              </w:rPr>
            </w:pPr>
          </w:p>
        </w:tc>
        <w:tc>
          <w:tcPr>
            <w:tcW w:w="920" w:type="dxa"/>
            <w:vAlign w:val="bottom"/>
            <w:gridSpan w:val="3"/>
          </w:tcPr>
          <w:p>
            <w:pPr>
              <w:ind w:left="60"/>
              <w:spacing w:after="0"/>
              <w:rPr>
                <w:sz w:val="20"/>
                <w:szCs w:val="20"/>
                <w:color w:val="auto"/>
              </w:rPr>
            </w:pPr>
            <w:r>
              <w:rPr>
                <w:rFonts w:ascii="Arial" w:cs="Arial" w:eastAsia="Arial" w:hAnsi="Arial"/>
                <w:sz w:val="14"/>
                <w:szCs w:val="14"/>
                <w:b w:val="1"/>
                <w:bCs w:val="1"/>
                <w:color w:val="auto"/>
                <w:w w:val="92"/>
              </w:rPr>
              <w:t>December 31,</w:t>
            </w:r>
          </w:p>
        </w:tc>
        <w:tc>
          <w:tcPr>
            <w:tcW w:w="0" w:type="dxa"/>
            <w:vAlign w:val="bottom"/>
          </w:tcPr>
          <w:p>
            <w:pPr>
              <w:spacing w:after="0"/>
              <w:rPr>
                <w:sz w:val="1"/>
                <w:szCs w:val="1"/>
                <w:color w:val="auto"/>
              </w:rPr>
            </w:pPr>
          </w:p>
        </w:tc>
      </w:tr>
      <w:tr>
        <w:trPr>
          <w:trHeight w:val="174"/>
        </w:trPr>
        <w:tc>
          <w:tcPr>
            <w:tcW w:w="560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20" w:type="dxa"/>
            <w:vAlign w:val="bottom"/>
          </w:tcPr>
          <w:p>
            <w:pPr>
              <w:jc w:val="right"/>
              <w:ind w:right="257"/>
              <w:spacing w:after="0"/>
              <w:rPr>
                <w:sz w:val="20"/>
                <w:szCs w:val="20"/>
                <w:color w:val="auto"/>
              </w:rPr>
            </w:pPr>
            <w:r>
              <w:rPr>
                <w:rFonts w:ascii="Arial" w:cs="Arial" w:eastAsia="Arial" w:hAnsi="Arial"/>
                <w:sz w:val="14"/>
                <w:szCs w:val="14"/>
                <w:b w:val="1"/>
                <w:bCs w:val="1"/>
                <w:color w:val="auto"/>
              </w:rPr>
              <w:t>2002</w:t>
            </w:r>
          </w:p>
        </w:tc>
        <w:tc>
          <w:tcPr>
            <w:tcW w:w="3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tcPr>
          <w:p>
            <w:pPr>
              <w:jc w:val="right"/>
              <w:ind w:right="235"/>
              <w:spacing w:after="0"/>
              <w:rPr>
                <w:sz w:val="20"/>
                <w:szCs w:val="20"/>
                <w:color w:val="auto"/>
              </w:rPr>
            </w:pPr>
            <w:r>
              <w:rPr>
                <w:rFonts w:ascii="Arial" w:cs="Arial" w:eastAsia="Arial" w:hAnsi="Arial"/>
                <w:sz w:val="14"/>
                <w:szCs w:val="14"/>
                <w:b w:val="1"/>
                <w:bCs w:val="1"/>
                <w:color w:val="auto"/>
                <w:w w:val="96"/>
              </w:rPr>
              <w:t>2001</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56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0" w:type="dxa"/>
            <w:vAlign w:val="bottom"/>
            <w:tcBorders>
              <w:bottom w:val="single" w:sz="8" w:color="auto"/>
            </w:tcBorders>
          </w:tcPr>
          <w:p>
            <w:pPr>
              <w:spacing w:after="0"/>
              <w:rPr>
                <w:sz w:val="8"/>
                <w:szCs w:val="8"/>
                <w:color w:val="auto"/>
              </w:rPr>
            </w:pPr>
          </w:p>
        </w:tc>
        <w:tc>
          <w:tcPr>
            <w:tcW w:w="720" w:type="dxa"/>
            <w:vAlign w:val="bottom"/>
            <w:tcBorders>
              <w:bottom w:val="single" w:sz="8" w:color="auto"/>
            </w:tcBorders>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Borders>
              <w:bottom w:val="single" w:sz="8" w:color="auto"/>
            </w:tcBorders>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56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sales commissions</w:t>
            </w:r>
          </w:p>
        </w:tc>
        <w:tc>
          <w:tcPr>
            <w:tcW w:w="38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384</w:t>
            </w:r>
          </w:p>
        </w:tc>
        <w:tc>
          <w:tcPr>
            <w:tcW w:w="6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919</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Accrued bonus</w:t>
            </w: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234</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391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Accrued vacation</w:t>
            </w:r>
          </w:p>
        </w:tc>
        <w:tc>
          <w:tcPr>
            <w:tcW w:w="3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tcPr>
          <w:p>
            <w:pPr>
              <w:ind w:left="20"/>
              <w:spacing w:after="0"/>
              <w:rPr>
                <w:sz w:val="20"/>
                <w:szCs w:val="20"/>
                <w:color w:val="auto"/>
              </w:rPr>
            </w:pPr>
            <w:r>
              <w:rPr>
                <w:rFonts w:ascii="Arial" w:cs="Arial" w:eastAsia="Arial" w:hAnsi="Arial"/>
                <w:sz w:val="18"/>
                <w:szCs w:val="18"/>
                <w:color w:val="auto"/>
              </w:rPr>
              <w:t>Accrued sales tax</w:t>
            </w:r>
          </w:p>
        </w:tc>
        <w:tc>
          <w:tcPr>
            <w:tcW w:w="36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588</w:t>
            </w:r>
          </w:p>
        </w:tc>
        <w:tc>
          <w:tcPr>
            <w:tcW w:w="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574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36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1,207</w:t>
            </w:r>
          </w:p>
        </w:tc>
        <w:tc>
          <w:tcPr>
            <w:tcW w:w="34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1,609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5600" w:type="dxa"/>
            <w:vAlign w:val="bottom"/>
          </w:tcPr>
          <w:p>
            <w:pPr>
              <w:spacing w:after="0"/>
              <w:rPr>
                <w:sz w:val="8"/>
                <w:szCs w:val="8"/>
                <w:color w:val="auto"/>
              </w:rPr>
            </w:pPr>
          </w:p>
        </w:tc>
        <w:tc>
          <w:tcPr>
            <w:tcW w:w="3640" w:type="dxa"/>
            <w:vAlign w:val="bottom"/>
          </w:tcPr>
          <w:p>
            <w:pPr>
              <w:spacing w:after="0"/>
              <w:rPr>
                <w:sz w:val="8"/>
                <w:szCs w:val="8"/>
                <w:color w:val="auto"/>
              </w:rPr>
            </w:pPr>
          </w:p>
        </w:tc>
        <w:tc>
          <w:tcPr>
            <w:tcW w:w="22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26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600" w:type="dxa"/>
            <w:vAlign w:val="bottom"/>
            <w:shd w:val="clear" w:color="auto" w:fill="CCEEFF"/>
          </w:tcPr>
          <w:p>
            <w:pPr>
              <w:spacing w:after="0"/>
              <w:rPr>
                <w:sz w:val="18"/>
                <w:szCs w:val="18"/>
                <w:color w:val="auto"/>
              </w:rPr>
            </w:pPr>
          </w:p>
        </w:tc>
        <w:tc>
          <w:tcPr>
            <w:tcW w:w="38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2,891</w:t>
            </w:r>
          </w:p>
        </w:tc>
        <w:tc>
          <w:tcPr>
            <w:tcW w:w="600" w:type="dxa"/>
            <w:vAlign w:val="bottom"/>
            <w:gridSpan w:val="2"/>
            <w:shd w:val="clear" w:color="auto" w:fill="CCEEFF"/>
          </w:tcPr>
          <w:p>
            <w:pPr>
              <w:jc w:val="right"/>
              <w:ind w:right="112"/>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4,234</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5600" w:type="dxa"/>
            <w:vAlign w:val="bottom"/>
          </w:tcPr>
          <w:p>
            <w:pPr>
              <w:spacing w:after="0"/>
              <w:rPr>
                <w:sz w:val="9"/>
                <w:szCs w:val="9"/>
                <w:color w:val="auto"/>
              </w:rPr>
            </w:pPr>
          </w:p>
        </w:tc>
        <w:tc>
          <w:tcPr>
            <w:tcW w:w="3640" w:type="dxa"/>
            <w:vAlign w:val="bottom"/>
          </w:tcPr>
          <w:p>
            <w:pPr>
              <w:spacing w:after="0"/>
              <w:rPr>
                <w:sz w:val="9"/>
                <w:szCs w:val="9"/>
                <w:color w:val="auto"/>
              </w:rPr>
            </w:pPr>
          </w:p>
        </w:tc>
        <w:tc>
          <w:tcPr>
            <w:tcW w:w="220" w:type="dxa"/>
            <w:vAlign w:val="bottom"/>
            <w:tcBorders>
              <w:bottom w:val="single" w:sz="8" w:color="auto"/>
            </w:tcBorders>
          </w:tcPr>
          <w:p>
            <w:pPr>
              <w:spacing w:after="0"/>
              <w:rPr>
                <w:sz w:val="9"/>
                <w:szCs w:val="9"/>
                <w:color w:val="auto"/>
              </w:rPr>
            </w:pPr>
          </w:p>
        </w:tc>
        <w:tc>
          <w:tcPr>
            <w:tcW w:w="720" w:type="dxa"/>
            <w:vAlign w:val="bottom"/>
            <w:tcBorders>
              <w:bottom w:val="single" w:sz="8" w:color="auto"/>
            </w:tcBorders>
          </w:tcPr>
          <w:p>
            <w:pPr>
              <w:spacing w:after="0"/>
              <w:rPr>
                <w:sz w:val="9"/>
                <w:szCs w:val="9"/>
                <w:color w:val="auto"/>
              </w:rPr>
            </w:pPr>
          </w:p>
        </w:tc>
        <w:tc>
          <w:tcPr>
            <w:tcW w:w="340" w:type="dxa"/>
            <w:vAlign w:val="bottom"/>
          </w:tcPr>
          <w:p>
            <w:pPr>
              <w:spacing w:after="0"/>
              <w:rPr>
                <w:sz w:val="9"/>
                <w:szCs w:val="9"/>
                <w:color w:val="auto"/>
              </w:rPr>
            </w:pPr>
          </w:p>
        </w:tc>
        <w:tc>
          <w:tcPr>
            <w:tcW w:w="260" w:type="dxa"/>
            <w:vAlign w:val="bottom"/>
            <w:tcBorders>
              <w:bottom w:val="single" w:sz="8" w:color="auto"/>
            </w:tcBorders>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Assignment of Certain Customer Contracts</w:t>
      </w:r>
    </w:p>
    <w:p>
      <w:pPr>
        <w:spacing w:after="0" w:line="83" w:lineRule="exact"/>
        <w:rPr>
          <w:sz w:val="20"/>
          <w:szCs w:val="20"/>
          <w:color w:val="auto"/>
        </w:rPr>
      </w:pPr>
    </w:p>
    <w:p>
      <w:pPr>
        <w:ind w:right="20"/>
        <w:spacing w:after="0" w:line="306" w:lineRule="auto"/>
        <w:rPr>
          <w:sz w:val="20"/>
          <w:szCs w:val="20"/>
          <w:color w:val="auto"/>
        </w:rPr>
      </w:pPr>
      <w:r>
        <w:rPr>
          <w:rFonts w:ascii="Arial" w:cs="Arial" w:eastAsia="Arial" w:hAnsi="Arial"/>
          <w:sz w:val="16"/>
          <w:szCs w:val="16"/>
          <w:color w:val="auto"/>
        </w:rPr>
        <w:t>On June 30, 2002, the Company entered into an operations transfer agreement with a third party whereby, the Company assigns, transfers, conveys and delivers to the third party all of the Company’s rights, title and interest in certain customer contracts associated with the Company’s bill management operations (acquired through Energy Concepts, Inc. (ECI) acquisition in May 2000). In consideration for the assignment of certain customer contracts to the third party, the</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274" w:right="239" w:bottom="1440" w:gutter="0" w:footer="0" w:header="0"/>
        </w:sectPr>
      </w:pPr>
    </w:p>
    <w:bookmarkStart w:id="45" w:name="page46"/>
    <w:bookmarkEnd w:id="4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right="260"/>
        <w:spacing w:after="0" w:line="268" w:lineRule="auto"/>
        <w:rPr>
          <w:sz w:val="20"/>
          <w:szCs w:val="20"/>
          <w:color w:val="auto"/>
        </w:rPr>
      </w:pPr>
      <w:r>
        <w:rPr>
          <w:rFonts w:ascii="Arial" w:cs="Arial" w:eastAsia="Arial" w:hAnsi="Arial"/>
          <w:sz w:val="18"/>
          <w:szCs w:val="18"/>
          <w:color w:val="auto"/>
        </w:rPr>
        <w:t>third party shall pay the Company up to $20,000 per month for 24 months. The Company valued the stream of payments at $442,000 after consideration of the discounted net present value. The amount has been recorded as an asset.</w:t>
      </w:r>
    </w:p>
    <w:p>
      <w:pPr>
        <w:spacing w:after="0" w:line="118"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In connection with the operations transfer agreement, the Company entered into an agreement with a former employee to pay the employee up to $5,000 per month for 24 months. The amount has been recorded as a liability.</w:t>
      </w:r>
    </w:p>
    <w:p>
      <w:pPr>
        <w:spacing w:after="0" w:line="118"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 connection with the operations transfer agreement, the Company recorded no revenue and recorded a loss of $60,000 within general and administrative expense on the assignment of certain customer contracts.</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Bank Borrowings</w:t>
      </w:r>
    </w:p>
    <w:p>
      <w:pPr>
        <w:spacing w:after="0" w:line="83"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On May 29, 2002, the Company entered into a one year $3,500,000 revolving line of credit agreement and a $1,500,000 equipment line of credit agreement with a financial institution. Borrowings against the revolving line of credit bear interest at an annual rate equal to the prime rate and are payable monthly based on the collateral borrowing base which consists of the outstanding accounts receivable balance. Borrowings against the equipment line of credit bear interest at a rate of 0.25% per annum in excess of the prime rate and are payable in 12 equal monthly installments. As of September 30, 2002, the balance outstanding under the equipment line of credit totaled is $606,000. The proceeds from the equipment line of credit were used to pay-off the outstanding balance of the Company’s equipment line of credit with another financial institution.</w:t>
      </w:r>
    </w:p>
    <w:p>
      <w:pPr>
        <w:spacing w:after="0" w:line="107" w:lineRule="exact"/>
        <w:rPr>
          <w:sz w:val="20"/>
          <w:szCs w:val="20"/>
          <w:color w:val="auto"/>
        </w:rPr>
      </w:pPr>
    </w:p>
    <w:p>
      <w:pPr>
        <w:jc w:val="both"/>
        <w:ind w:right="140"/>
        <w:spacing w:after="0" w:line="268" w:lineRule="auto"/>
        <w:rPr>
          <w:sz w:val="20"/>
          <w:szCs w:val="20"/>
          <w:color w:val="auto"/>
        </w:rPr>
      </w:pPr>
      <w:r>
        <w:rPr>
          <w:rFonts w:ascii="Arial" w:cs="Arial" w:eastAsia="Arial" w:hAnsi="Arial"/>
          <w:sz w:val="18"/>
          <w:szCs w:val="18"/>
          <w:color w:val="auto"/>
        </w:rPr>
        <w:t>The amounts outstanding under the new revolving and equipment lines of credit are collateralized by certain assets of the Company. In addition, the Company is required to maintain certain financial covenants including minimum modified quick ratio and minimum net income.</w:t>
      </w:r>
    </w:p>
    <w:p>
      <w:pPr>
        <w:spacing w:after="0" w:line="118"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In connection with the revolving and equipment line of credit agreements, the Company issued to the financial institution, warrants to purchase 15,000 shares of the Company’s common stock at an exercise price of $2.25 or preferred stock if preferred stock is issued by the Company within a one year period from the date of issuance. The warrants expire in May 2009.</w:t>
      </w:r>
    </w:p>
    <w:p>
      <w:pPr>
        <w:spacing w:after="0" w:line="127" w:lineRule="exact"/>
        <w:rPr>
          <w:sz w:val="20"/>
          <w:szCs w:val="20"/>
          <w:color w:val="auto"/>
        </w:rPr>
      </w:pPr>
    </w:p>
    <w:p>
      <w:pPr>
        <w:ind w:right="180"/>
        <w:spacing w:after="0" w:line="332" w:lineRule="auto"/>
        <w:rPr>
          <w:sz w:val="20"/>
          <w:szCs w:val="20"/>
          <w:color w:val="auto"/>
        </w:rPr>
      </w:pPr>
      <w:r>
        <w:rPr>
          <w:rFonts w:ascii="Arial" w:cs="Arial" w:eastAsia="Arial" w:hAnsi="Arial"/>
          <w:sz w:val="16"/>
          <w:szCs w:val="16"/>
          <w:color w:val="auto"/>
        </w:rPr>
        <w:t>The warrant’s fair value is estimated to be $28,000 using the following Black-Scholes assumptions: volatility of 100%, risk free interest of 4.41%, expected fair value of $2.25 and expected life of 7 years. The amount was recorded as financing costs within prepaid expenses and other current assets.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principal payments on the outstanding bank borrowings, as of September 30, 2002, is as follows (in thousands):</w:t>
      </w:r>
    </w:p>
    <w:p>
      <w:pPr>
        <w:spacing w:after="0" w:line="153"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Year Ended</w:t>
      </w:r>
    </w:p>
    <w:p>
      <w:pPr>
        <w:spacing w:after="0" w:line="1" w:lineRule="exact"/>
        <w:rPr>
          <w:sz w:val="20"/>
          <w:szCs w:val="20"/>
          <w:color w:val="auto"/>
        </w:rPr>
      </w:pPr>
    </w:p>
    <w:p>
      <w:pPr>
        <w:ind w:left="144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60325</wp:posOffset>
            </wp:positionV>
            <wp:extent cx="685800" cy="88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685800" cy="8890"/>
                    </a:xfrm>
                    <a:prstGeom prst="rect">
                      <a:avLst/>
                    </a:prstGeom>
                    <a:noFill/>
                  </pic:spPr>
                </pic:pic>
              </a:graphicData>
            </a:graphic>
          </wp:anchor>
        </w:drawing>
      </w:r>
    </w:p>
    <w:p>
      <w:pPr>
        <w:spacing w:after="0" w:line="188" w:lineRule="exact"/>
        <w:rPr>
          <w:sz w:val="20"/>
          <w:szCs w:val="20"/>
          <w:color w:val="auto"/>
        </w:rPr>
      </w:pPr>
    </w:p>
    <w:p>
      <w:pPr>
        <w:ind w:left="1440"/>
        <w:spacing w:after="0"/>
        <w:tabs>
          <w:tab w:leader="none" w:pos="9560" w:val="left"/>
        </w:tabs>
        <w:rPr>
          <w:sz w:val="20"/>
          <w:szCs w:val="20"/>
          <w:color w:val="auto"/>
        </w:rPr>
      </w:pPr>
      <w:r>
        <w:rPr>
          <w:rFonts w:ascii="Arial" w:cs="Arial" w:eastAsia="Arial" w:hAnsi="Arial"/>
          <w:sz w:val="18"/>
          <w:szCs w:val="18"/>
          <w:color w:val="auto"/>
        </w:rPr>
        <w:t>2003</w:t>
      </w:r>
      <w:r>
        <w:rPr>
          <w:sz w:val="20"/>
          <w:szCs w:val="20"/>
          <w:color w:val="auto"/>
        </w:rPr>
        <w:tab/>
      </w:r>
      <w:r>
        <w:rPr>
          <w:rFonts w:ascii="Arial" w:cs="Arial" w:eastAsia="Arial" w:hAnsi="Arial"/>
          <w:sz w:val="18"/>
          <w:szCs w:val="18"/>
          <w:color w:val="auto"/>
        </w:rPr>
        <w:t>$606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-125730</wp:posOffset>
            </wp:positionV>
            <wp:extent cx="5428615" cy="13716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5428615" cy="137160"/>
                    </a:xfrm>
                    <a:prstGeom prst="rect">
                      <a:avLst/>
                    </a:prstGeom>
                    <a:noFill/>
                  </pic:spPr>
                </pic:pic>
              </a:graphicData>
            </a:graphic>
          </wp:anchor>
        </w:drawing>
        <w:drawing>
          <wp:anchor simplePos="0" relativeHeight="251657728" behindDoc="1" locked="0" layoutInCell="0" allowOverlap="1">
            <wp:simplePos x="0" y="0"/>
            <wp:positionH relativeFrom="column">
              <wp:posOffset>6085205</wp:posOffset>
            </wp:positionH>
            <wp:positionV relativeFrom="paragraph">
              <wp:posOffset>80010</wp:posOffset>
            </wp:positionV>
            <wp:extent cx="257175" cy="88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pacing w:after="0" w:line="3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274" w:right="239" w:bottom="1440" w:gutter="0" w:footer="0" w:header="0"/>
        </w:sectPr>
      </w:pPr>
    </w:p>
    <w:bookmarkStart w:id="46" w:name="page47"/>
    <w:bookmarkEnd w:id="4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Convertible Notes</w:t>
      </w:r>
    </w:p>
    <w:p>
      <w:pPr>
        <w:spacing w:after="0" w:line="83" w:lineRule="exact"/>
        <w:rPr>
          <w:sz w:val="20"/>
          <w:szCs w:val="20"/>
          <w:color w:val="auto"/>
        </w:rPr>
      </w:pPr>
    </w:p>
    <w:p>
      <w:pPr>
        <w:spacing w:after="0" w:line="288" w:lineRule="auto"/>
        <w:rPr>
          <w:sz w:val="20"/>
          <w:szCs w:val="20"/>
          <w:color w:val="auto"/>
        </w:rPr>
      </w:pPr>
      <w:r>
        <w:rPr>
          <w:rFonts w:ascii="Arial" w:cs="Arial" w:eastAsia="Arial" w:hAnsi="Arial"/>
          <w:sz w:val="16"/>
          <w:szCs w:val="16"/>
          <w:color w:val="auto"/>
        </w:rPr>
        <w:t>On July 12, 2002, the Company entered into a secured convertible note and warrant purchase agreement with existing preferred stockholders. The Company authorized the issuance of secured convertible promissory notes not to exceed $7,500,000. The promissory notes are convertible into conversion stock upon certain terms and conditions. The promissory notes bear an interest rate of 8% per annum with a maturity date of the earlier of (i) consummation of a qualified financing, (ii) consummation of an acquisition of the Company or (iii) one year from the issuance date of the promissory notes. The Company issued $2,000,000 of secured promissory notes in July 2002 and $2,000,000 in September 2002. As of September 30, 2002, the Company has issued $4,000,000 of secured convertible promissory notes. In connection with the secured convertible note and warrant purchase agreement, the Company issued 600,000 warrants to purchase conversion stock with an expected exercise price of $1.25. The warrant’s fair value is estimated to be $571,000 using the following Black-Scholes assumptions: volatility of 100%, risk free interest of 3.82%, expected fair value of $1.25 and expected life of 5 years. The amount was recorded as financing costs within prepaid expenses and other current assets.</w:t>
      </w:r>
    </w:p>
    <w:p>
      <w:pPr>
        <w:spacing w:after="0" w:line="106"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In connection with the issuance of the secured convertible promissory notes of $2,000,000 in July 2002, the Company issued 160,000 warrants to purchase conversion stock with an expected exercise price of $1.25. The warrant’s fair value is estimated to be $152,000 using the following Black-Scholes assumptions: volatility of 100%, risk free interest of 3.71%, expected fair value of $1.25 and expected life of 5 years. The proceeds have been allocated to both the convertible notes and the warrants based upon the relative fair values at the date of issuance. This resulted in a debt discount of $141,000 and recording of the warrants in additional paid-in capital.</w:t>
      </w:r>
    </w:p>
    <w:p>
      <w:pPr>
        <w:spacing w:after="0" w:line="1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In connection with the issuance of the secured convertible promissory notes of $2,000,000 in September 2002, the Company issued 160,000 warrants to purchase conversion stock with an expected exercise price of $1.25. The warrant’s fair value is estimated to be $151,000 using the following Black-Scholes assumptions: volatility of 100%, risk free interest of 3.00%, expected fair value of $1.25 and expected life of 5 years. The proceeds have been allocated to both the convertible notes and the warrants based upon the relative fair values at the date of issuance. This resulted in additional debt discount of $141,000 and recording of the warrants in additional paid-in capital.</w:t>
      </w:r>
    </w:p>
    <w:p>
      <w:pPr>
        <w:spacing w:after="0" w:line="129"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The right to exercise the warrants terminate at the earlier of (i) the consummation of an acquisition of the Company, (ii) the warrant holder’s failure to fund a pro rata disbursement amount as requested by the Company pursuant to the terms of the promissory notes or (iii) five years from the effective date of the warrants.</w:t>
      </w:r>
    </w:p>
    <w:p>
      <w:pPr>
        <w:spacing w:after="0" w:line="72" w:lineRule="exact"/>
        <w:rPr>
          <w:sz w:val="20"/>
          <w:szCs w:val="20"/>
          <w:color w:val="auto"/>
        </w:rPr>
      </w:pPr>
    </w:p>
    <w:p>
      <w:pPr>
        <w:spacing w:after="0"/>
        <w:rPr>
          <w:sz w:val="20"/>
          <w:szCs w:val="20"/>
          <w:color w:val="auto"/>
        </w:rPr>
      </w:pPr>
      <w:r>
        <w:rPr>
          <w:rFonts w:ascii="Arial" w:cs="Arial" w:eastAsia="Arial" w:hAnsi="Arial"/>
          <w:sz w:val="18"/>
          <w:szCs w:val="18"/>
          <w:color w:val="auto"/>
        </w:rPr>
        <w:t>The future minimum principal payments on the outstanding convertible notes total $4,000,000 in 2003.</w:t>
      </w:r>
    </w:p>
    <w:p>
      <w:pPr>
        <w:spacing w:after="0" w:line="152" w:lineRule="exact"/>
        <w:rPr>
          <w:sz w:val="20"/>
          <w:szCs w:val="20"/>
          <w:color w:val="auto"/>
        </w:rPr>
      </w:pPr>
    </w:p>
    <w:p>
      <w:pPr>
        <w:ind w:right="8740" w:firstLine="8"/>
        <w:spacing w:after="0" w:line="373" w:lineRule="auto"/>
        <w:tabs>
          <w:tab w:leader="none" w:pos="176" w:val="left"/>
        </w:tabs>
        <w:numPr>
          <w:ilvl w:val="0"/>
          <w:numId w:val="8"/>
        </w:numPr>
        <w:rPr>
          <w:rFonts w:ascii="Arial" w:cs="Arial" w:eastAsia="Arial" w:hAnsi="Arial"/>
          <w:sz w:val="16"/>
          <w:szCs w:val="16"/>
          <w:b w:val="1"/>
          <w:bCs w:val="1"/>
          <w:color w:val="auto"/>
        </w:rPr>
      </w:pPr>
      <w:r>
        <w:rPr>
          <w:rFonts w:ascii="Arial" w:cs="Arial" w:eastAsia="Arial" w:hAnsi="Arial"/>
          <w:sz w:val="16"/>
          <w:szCs w:val="16"/>
          <w:b w:val="1"/>
          <w:bCs w:val="1"/>
          <w:color w:val="auto"/>
        </w:rPr>
        <w:t>Commitments and Contingencies Operating leases</w:t>
      </w:r>
    </w:p>
    <w:p>
      <w:pPr>
        <w:spacing w:after="0" w:line="1"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The Company leases its facilities and certain office equipment under noncancelable operating leases with various expiration dates through 2008. Under the terms of its facility leases,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274"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67575" cy="27940"/>
                    </a:xfrm>
                    <a:prstGeom prst="rect">
                      <a:avLst/>
                    </a:prstGeom>
                    <a:noFill/>
                  </pic:spPr>
                </pic:pic>
              </a:graphicData>
            </a:graphic>
          </wp:anchor>
        </w:drawing>
        <w:t>Silicon Energy Corp.</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46620" cy="88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6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Company is responsible for its share of common area and operating expenses. The Company has a standby letter of credit from a financial institution in lieu of a security deposit for the Company’s leased facility headquarters. In addition, the Company maintains a standby letter of credit collateralized by a $104,000 certificate of deposit for a satellite office. Rent expense under operating leases for the nine months ended September 30, 2003 was $834,000. The terms of the facility leases provide for rental payments on a graduated scale. The Company recognizes rent expense on a straight-line basis over the lease period and has accrued for rent expense incurred but not paid.</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color w:val="auto"/>
        </w:rPr>
        <w:t>At September 30, 2002, the minimum lease commitments under all leases were as follows (in thousands):</w:t>
      </w:r>
    </w:p>
    <w:p>
      <w:pPr>
        <w:spacing w:after="0" w:line="141" w:lineRule="exact"/>
        <w:rPr>
          <w:sz w:val="20"/>
          <w:szCs w:val="20"/>
          <w:color w:val="auto"/>
        </w:rPr>
      </w:pPr>
    </w:p>
    <w:tbl>
      <w:tblPr>
        <w:tblLayout w:type="fixed"/>
        <w:tblInd w:w="860" w:type="dxa"/>
        <w:tblCellMar>
          <w:top w:w="0" w:type="dxa"/>
          <w:left w:w="0" w:type="dxa"/>
          <w:bottom w:w="0" w:type="dxa"/>
          <w:right w:w="0" w:type="dxa"/>
        </w:tblCellMar>
      </w:tblPr>
      <w:tr>
        <w:trPr>
          <w:trHeight w:val="161"/>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Year Ended</w:t>
            </w:r>
          </w:p>
        </w:tc>
        <w:tc>
          <w:tcPr>
            <w:tcW w:w="2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89"/>
              </w:rPr>
              <w:t>Capital</w:t>
            </w: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tcPr>
          <w:p>
            <w:pPr>
              <w:jc w:val="right"/>
              <w:ind w:right="77"/>
              <w:spacing w:after="0"/>
              <w:rPr>
                <w:sz w:val="20"/>
                <w:szCs w:val="20"/>
                <w:color w:val="auto"/>
              </w:rPr>
            </w:pPr>
            <w:r>
              <w:rPr>
                <w:rFonts w:ascii="Arial" w:cs="Arial" w:eastAsia="Arial" w:hAnsi="Arial"/>
                <w:sz w:val="14"/>
                <w:szCs w:val="14"/>
                <w:b w:val="1"/>
                <w:bCs w:val="1"/>
                <w:color w:val="auto"/>
                <w:w w:val="93"/>
              </w:rPr>
              <w:t>Operating</w:t>
            </w:r>
          </w:p>
        </w:tc>
        <w:tc>
          <w:tcPr>
            <w:tcW w:w="0" w:type="dxa"/>
            <w:vAlign w:val="bottom"/>
          </w:tcPr>
          <w:p>
            <w:pPr>
              <w:spacing w:after="0"/>
              <w:rPr>
                <w:sz w:val="1"/>
                <w:szCs w:val="1"/>
                <w:color w:val="auto"/>
              </w:rPr>
            </w:pPr>
          </w:p>
        </w:tc>
      </w:tr>
      <w:tr>
        <w:trPr>
          <w:trHeight w:val="174"/>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December 31,</w:t>
            </w:r>
          </w:p>
        </w:tc>
        <w:tc>
          <w:tcPr>
            <w:tcW w:w="2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84"/>
              </w:rPr>
              <w:t>Leases</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tcPr>
          <w:p>
            <w:pPr>
              <w:jc w:val="right"/>
              <w:ind w:right="197"/>
              <w:spacing w:after="0"/>
              <w:rPr>
                <w:sz w:val="20"/>
                <w:szCs w:val="20"/>
                <w:color w:val="auto"/>
              </w:rPr>
            </w:pPr>
            <w:r>
              <w:rPr>
                <w:rFonts w:ascii="Arial" w:cs="Arial" w:eastAsia="Arial" w:hAnsi="Arial"/>
                <w:sz w:val="14"/>
                <w:szCs w:val="14"/>
                <w:b w:val="1"/>
                <w:bCs w:val="1"/>
                <w:color w:val="auto"/>
              </w:rPr>
              <w:t>Leases</w:t>
            </w: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45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2002</w:t>
            </w:r>
          </w:p>
        </w:tc>
        <w:tc>
          <w:tcPr>
            <w:tcW w:w="4520" w:type="dxa"/>
            <w:vAlign w:val="bottom"/>
            <w:shd w:val="clear" w:color="auto" w:fill="CCEEFF"/>
          </w:tcPr>
          <w:p>
            <w:pPr>
              <w:spacing w:after="0"/>
              <w:rPr>
                <w:sz w:val="18"/>
                <w:szCs w:val="18"/>
                <w:color w:val="auto"/>
              </w:rPr>
            </w:pP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2003</w:t>
            </w:r>
          </w:p>
        </w:tc>
        <w:tc>
          <w:tcPr>
            <w:tcW w:w="4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1,283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2004</w:t>
            </w:r>
          </w:p>
        </w:tc>
        <w:tc>
          <w:tcPr>
            <w:tcW w:w="45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tcPr>
          <w:p>
            <w:pPr>
              <w:ind w:left="300"/>
              <w:spacing w:after="0"/>
              <w:rPr>
                <w:sz w:val="20"/>
                <w:szCs w:val="20"/>
                <w:color w:val="auto"/>
              </w:rPr>
            </w:pPr>
            <w:r>
              <w:rPr>
                <w:rFonts w:ascii="Arial" w:cs="Arial" w:eastAsia="Arial" w:hAnsi="Arial"/>
                <w:sz w:val="18"/>
                <w:szCs w:val="18"/>
                <w:color w:val="auto"/>
              </w:rPr>
              <w:t>2005</w:t>
            </w:r>
          </w:p>
        </w:tc>
        <w:tc>
          <w:tcPr>
            <w:tcW w:w="452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0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2006</w:t>
            </w:r>
          </w:p>
        </w:tc>
        <w:tc>
          <w:tcPr>
            <w:tcW w:w="4520" w:type="dxa"/>
            <w:vAlign w:val="bottom"/>
            <w:shd w:val="clear" w:color="auto" w:fill="CCEEFF"/>
          </w:tcPr>
          <w:p>
            <w:pPr>
              <w:spacing w:after="0"/>
              <w:rPr>
                <w:sz w:val="18"/>
                <w:szCs w:val="18"/>
                <w:color w:val="auto"/>
              </w:rPr>
            </w:pP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tcPr>
          <w:p>
            <w:pPr>
              <w:ind w:left="300"/>
              <w:spacing w:after="0"/>
              <w:rPr>
                <w:sz w:val="20"/>
                <w:szCs w:val="20"/>
                <w:color w:val="auto"/>
              </w:rPr>
            </w:pPr>
            <w:r>
              <w:rPr>
                <w:rFonts w:ascii="Arial" w:cs="Arial" w:eastAsia="Arial" w:hAnsi="Arial"/>
                <w:sz w:val="18"/>
                <w:szCs w:val="18"/>
                <w:color w:val="auto"/>
              </w:rPr>
              <w:t>Thereafter</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80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minimum lease payments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2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3,638</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80" w:type="dxa"/>
            <w:vAlign w:val="bottom"/>
          </w:tcPr>
          <w:p>
            <w:pPr>
              <w:spacing w:after="0"/>
              <w:rPr>
                <w:sz w:val="9"/>
                <w:szCs w:val="9"/>
                <w:color w:val="auto"/>
              </w:rPr>
            </w:pPr>
          </w:p>
        </w:tc>
        <w:tc>
          <w:tcPr>
            <w:tcW w:w="5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800" w:type="dxa"/>
            <w:vAlign w:val="bottom"/>
            <w:tcBorders>
              <w:bottom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Less: Amounts representing interest</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Present value of minimum lease payments</w:t>
            </w:r>
          </w:p>
        </w:tc>
        <w:tc>
          <w:tcPr>
            <w:tcW w:w="2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560" w:type="dxa"/>
            <w:vAlign w:val="bottom"/>
            <w:gridSpan w:val="2"/>
          </w:tcPr>
          <w:p>
            <w:pPr>
              <w:spacing w:after="0"/>
              <w:rPr>
                <w:sz w:val="20"/>
                <w:szCs w:val="20"/>
                <w:color w:val="auto"/>
              </w:rPr>
            </w:pPr>
            <w:r>
              <w:rPr>
                <w:rFonts w:ascii="Arial" w:cs="Arial" w:eastAsia="Arial" w:hAnsi="Arial"/>
                <w:sz w:val="18"/>
                <w:szCs w:val="18"/>
                <w:color w:val="auto"/>
              </w:rPr>
              <w:t>Less: Current portion of capital lease obligations</w:t>
            </w:r>
          </w:p>
        </w:tc>
        <w:tc>
          <w:tcPr>
            <w:tcW w:w="21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vMerge w:val="restart"/>
          </w:tcPr>
          <w:p>
            <w:pPr>
              <w:spacing w:after="0"/>
              <w:rPr>
                <w:sz w:val="8"/>
                <w:szCs w:val="8"/>
                <w:color w:val="auto"/>
              </w:rPr>
            </w:pPr>
          </w:p>
        </w:tc>
        <w:tc>
          <w:tcPr>
            <w:tcW w:w="1040" w:type="dxa"/>
            <w:vAlign w:val="bottom"/>
          </w:tcPr>
          <w:p>
            <w:pPr>
              <w:spacing w:after="0"/>
              <w:rPr>
                <w:sz w:val="8"/>
                <w:szCs w:val="8"/>
                <w:color w:val="auto"/>
              </w:rPr>
            </w:pPr>
          </w:p>
        </w:tc>
        <w:tc>
          <w:tcPr>
            <w:tcW w:w="4520" w:type="dxa"/>
            <w:vAlign w:val="bottom"/>
          </w:tcPr>
          <w:p>
            <w:pPr>
              <w:spacing w:after="0"/>
              <w:rPr>
                <w:sz w:val="8"/>
                <w:szCs w:val="8"/>
                <w:color w:val="auto"/>
              </w:rPr>
            </w:pPr>
          </w:p>
        </w:tc>
        <w:tc>
          <w:tcPr>
            <w:tcW w:w="2180" w:type="dxa"/>
            <w:vAlign w:val="bottom"/>
          </w:tcPr>
          <w:p>
            <w:pPr>
              <w:spacing w:after="0"/>
              <w:rPr>
                <w:sz w:val="8"/>
                <w:szCs w:val="8"/>
                <w:color w:val="auto"/>
              </w:rPr>
            </w:pPr>
          </w:p>
        </w:tc>
        <w:tc>
          <w:tcPr>
            <w:tcW w:w="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portion of capital lease obligations</w:t>
            </w:r>
          </w:p>
        </w:tc>
        <w:tc>
          <w:tcPr>
            <w:tcW w:w="2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40" w:type="dxa"/>
            <w:vAlign w:val="bottom"/>
          </w:tcPr>
          <w:p>
            <w:pPr>
              <w:spacing w:after="0"/>
              <w:rPr>
                <w:sz w:val="9"/>
                <w:szCs w:val="9"/>
                <w:color w:val="auto"/>
              </w:rPr>
            </w:pPr>
          </w:p>
        </w:tc>
        <w:tc>
          <w:tcPr>
            <w:tcW w:w="4520" w:type="dxa"/>
            <w:vAlign w:val="bottom"/>
          </w:tcPr>
          <w:p>
            <w:pPr>
              <w:spacing w:after="0"/>
              <w:rPr>
                <w:sz w:val="9"/>
                <w:szCs w:val="9"/>
                <w:color w:val="auto"/>
              </w:rPr>
            </w:pPr>
          </w:p>
        </w:tc>
        <w:tc>
          <w:tcPr>
            <w:tcW w:w="2180" w:type="dxa"/>
            <w:vAlign w:val="bottom"/>
          </w:tcPr>
          <w:p>
            <w:pPr>
              <w:spacing w:after="0"/>
              <w:rPr>
                <w:sz w:val="9"/>
                <w:szCs w:val="9"/>
                <w:color w:val="auto"/>
              </w:rPr>
            </w:pPr>
          </w:p>
        </w:tc>
        <w:tc>
          <w:tcPr>
            <w:tcW w:w="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8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4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From time to time, the Company is engaged in legal and administrative proceedings, incidental to its normal business activities. Management believes that any liabilities resulting from such proceedings, or claims which are pending or known to be threatened, will not have a material adverse effect on the Company’s financial position or results of operations.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Subsequent Event</w:t>
      </w:r>
    </w:p>
    <w:p>
      <w:pPr>
        <w:spacing w:after="0" w:line="83"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On March 4, 2003, the Company consummated a definitive merger agreement with Itron, Inc. dated January 18, 2003 and amended on February 27, 2003 and February 28, 2003 to be acquired for total consideration of $71.2 million. As a result of the acquisition, the Company became a wholly owned subsidiary of Itron, Inc.</w:t>
      </w:r>
    </w:p>
    <w:p>
      <w:pPr>
        <w:spacing w:after="0" w:line="12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380"/>
          </w:cols>
          <w:pgMar w:left="240" w:top="274" w:right="279" w:bottom="1440" w:gutter="0" w:footer="0" w:header="0"/>
        </w:sectPr>
      </w:pPr>
    </w:p>
    <w:bookmarkStart w:id="48" w:name="page49"/>
    <w:bookmarkEnd w:id="48"/>
    <w:p>
      <w:pPr>
        <w:jc w:val="right"/>
        <w:spacing w:after="0"/>
        <w:rPr>
          <w:sz w:val="20"/>
          <w:szCs w:val="20"/>
          <w:color w:val="auto"/>
        </w:rPr>
      </w:pPr>
      <w:r>
        <w:rPr>
          <w:rFonts w:ascii="Arial" w:cs="Arial" w:eastAsia="Arial" w:hAnsi="Arial"/>
          <w:sz w:val="18"/>
          <w:szCs w:val="18"/>
          <w:b w:val="1"/>
          <w:bCs w:val="1"/>
          <w:color w:val="auto"/>
        </w:rPr>
        <w:t>Exhibit 99.4</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Condensed Consolidated Financial Information</w:t>
      </w:r>
    </w:p>
    <w:p>
      <w:pPr>
        <w:spacing w:after="0" w:line="83" w:lineRule="exact"/>
        <w:rPr>
          <w:sz w:val="20"/>
          <w:szCs w:val="20"/>
          <w:color w:val="auto"/>
        </w:rPr>
      </w:pPr>
    </w:p>
    <w:p>
      <w:pPr>
        <w:spacing w:after="0" w:line="290" w:lineRule="auto"/>
        <w:rPr>
          <w:sz w:val="20"/>
          <w:szCs w:val="20"/>
          <w:color w:val="auto"/>
        </w:rPr>
      </w:pPr>
      <w:r>
        <w:rPr>
          <w:rFonts w:ascii="Arial" w:cs="Arial" w:eastAsia="Arial" w:hAnsi="Arial"/>
          <w:sz w:val="16"/>
          <w:szCs w:val="16"/>
          <w:color w:val="auto"/>
        </w:rPr>
        <w:t xml:space="preserve">The following unaudited pro forma condensed consolidated balance sheet and statements of operations give effect to the acquisition of Silicon Energy Corp. (Silicon), which was completed on March 4, 2003. The acquisition has been accounted for under the purchase method of accounting in accordance with Statement of Financial Accounting Standards (SFAS) No. 141, </w:t>
      </w:r>
      <w:r>
        <w:rPr>
          <w:rFonts w:ascii="Arial" w:cs="Arial" w:eastAsia="Arial" w:hAnsi="Arial"/>
          <w:sz w:val="16"/>
          <w:szCs w:val="16"/>
          <w:i w:val="1"/>
          <w:iCs w:val="1"/>
          <w:color w:val="auto"/>
        </w:rPr>
        <w:t>Business Combinations.</w:t>
      </w:r>
      <w:r>
        <w:rPr>
          <w:rFonts w:ascii="Arial" w:cs="Arial" w:eastAsia="Arial" w:hAnsi="Arial"/>
          <w:sz w:val="16"/>
          <w:szCs w:val="16"/>
          <w:color w:val="auto"/>
        </w:rPr>
        <w:t xml:space="preserve"> Under the purchase method of accounting, the purchase price is allocated to the assets acquired and liabilities assumed based on their estimated fair values. The estimated fair values contained herein are preliminary in nature and are likely to change as management completes its assessment and independent appraisers complete their valuation of intangible assets. Such preliminary estimates of fair values of the assets and liabilities of Silicon have been consolidated with the recorded values of the assets and liabilities of Itron, Inc. and subsidiaries (Itron) in the unaudited pro forma condensed consolidated financial information.</w:t>
      </w:r>
    </w:p>
    <w:p>
      <w:pPr>
        <w:spacing w:after="0" w:line="105" w:lineRule="exact"/>
        <w:rPr>
          <w:sz w:val="20"/>
          <w:szCs w:val="20"/>
          <w:color w:val="auto"/>
        </w:rPr>
      </w:pPr>
    </w:p>
    <w:p>
      <w:pPr>
        <w:spacing w:after="0"/>
        <w:rPr>
          <w:sz w:val="20"/>
          <w:szCs w:val="20"/>
          <w:color w:val="auto"/>
        </w:rPr>
      </w:pPr>
      <w:r>
        <w:rPr>
          <w:rFonts w:ascii="Arial" w:cs="Arial" w:eastAsia="Arial" w:hAnsi="Arial"/>
          <w:sz w:val="15"/>
          <w:szCs w:val="15"/>
          <w:color w:val="auto"/>
        </w:rPr>
        <w:t>The unaudited pro forma condensed consolidated balance sheet has been prepared to reflect the acquisition of Silicon as if it had occurred on September 30, 2002.</w:t>
      </w:r>
    </w:p>
    <w:p>
      <w:pPr>
        <w:spacing w:after="0" w:line="50" w:lineRule="exact"/>
        <w:rPr>
          <w:sz w:val="20"/>
          <w:szCs w:val="20"/>
          <w:color w:val="auto"/>
        </w:rPr>
      </w:pPr>
    </w:p>
    <w:p>
      <w:pPr>
        <w:spacing w:after="0"/>
        <w:rPr>
          <w:sz w:val="20"/>
          <w:szCs w:val="20"/>
          <w:color w:val="auto"/>
        </w:rPr>
      </w:pPr>
      <w:r>
        <w:rPr>
          <w:rFonts w:ascii="Arial" w:cs="Arial" w:eastAsia="Arial" w:hAnsi="Arial"/>
          <w:sz w:val="16"/>
          <w:szCs w:val="16"/>
          <w:color w:val="auto"/>
        </w:rPr>
        <w:t>The two unaudited pro forma condensed statements of operations reflect the condensed consolidated results of operations of Itron and Silicon for the year ended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December 31, 2001 and the nine month period ended September 30, 2002, in both cases as if the acquisition had occurred on January 1, 2001.</w:t>
      </w:r>
    </w:p>
    <w:p>
      <w:pPr>
        <w:spacing w:after="0" w:line="174"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color w:val="auto"/>
        </w:rPr>
        <w:t>The unaudited pro forma condensed consolidated balance sheet and unaudited pro forma condensed consolidated statements of operations are presented for illustrative purposes only and are not necessarily indicative of the financial position or results of operations in future periods or the results that actually would have been realized had Itron and Silicon been a consolidated company during the specified periods. The unaudited pro forma condensed consolidated balance sheet and unaudited pro forma condensed consolidated statements of operations should be read in conjunction with the historical financial statements and notes thereto of Itron and Silicon.</w:t>
      </w:r>
    </w:p>
    <w:p>
      <w:pPr>
        <w:sectPr>
          <w:pgSz w:w="11900" w:h="16838" w:orient="portrait"/>
          <w:cols w:equalWidth="0" w:num="1">
            <w:col w:w="11420"/>
          </w:cols>
          <w:pgMar w:left="240" w:top="274" w:right="239" w:bottom="1440" w:gutter="0" w:footer="0" w:header="0"/>
        </w:sectPr>
      </w:pPr>
    </w:p>
    <w:bookmarkStart w:id="49" w:name="page50"/>
    <w:bookmarkEnd w:id="49"/>
    <w:p>
      <w:pPr>
        <w:ind w:left="5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77" w:lineRule="exact"/>
        <w:rPr>
          <w:sz w:val="20"/>
          <w:szCs w:val="20"/>
          <w:color w:val="auto"/>
        </w:rPr>
      </w:pPr>
    </w:p>
    <w:p>
      <w:pPr>
        <w:ind w:left="3380"/>
        <w:spacing w:after="0"/>
        <w:rPr>
          <w:sz w:val="20"/>
          <w:szCs w:val="20"/>
          <w:color w:val="auto"/>
        </w:rPr>
      </w:pPr>
      <w:r>
        <w:rPr>
          <w:rFonts w:ascii="Arial" w:cs="Arial" w:eastAsia="Arial" w:hAnsi="Arial"/>
          <w:sz w:val="18"/>
          <w:szCs w:val="18"/>
          <w:b w:val="1"/>
          <w:bCs w:val="1"/>
          <w:color w:val="auto"/>
        </w:rPr>
        <w:t>Unaudited Pro Forma Condensed Consolidated Balance Sheet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80" w:type="dxa"/>
            <w:vAlign w:val="bottom"/>
          </w:tcPr>
          <w:p>
            <w:pPr>
              <w:spacing w:after="0"/>
              <w:rPr>
                <w:sz w:val="14"/>
                <w:szCs w:val="14"/>
                <w:color w:val="auto"/>
              </w:rPr>
            </w:pPr>
          </w:p>
        </w:tc>
        <w:tc>
          <w:tcPr>
            <w:tcW w:w="680" w:type="dxa"/>
            <w:vAlign w:val="bottom"/>
            <w:gridSpan w:val="2"/>
          </w:tcPr>
          <w:p>
            <w:pPr>
              <w:jc w:val="right"/>
              <w:spacing w:after="0"/>
              <w:rPr>
                <w:sz w:val="20"/>
                <w:szCs w:val="20"/>
                <w:color w:val="auto"/>
              </w:rPr>
            </w:pPr>
            <w:r>
              <w:rPr>
                <w:rFonts w:ascii="Arial" w:cs="Arial" w:eastAsia="Arial" w:hAnsi="Arial"/>
                <w:sz w:val="14"/>
                <w:szCs w:val="14"/>
                <w:b w:val="1"/>
                <w:bCs w:val="1"/>
                <w:color w:val="auto"/>
                <w:w w:val="97"/>
              </w:rPr>
              <w:t>Historical</w:t>
            </w:r>
          </w:p>
        </w:tc>
        <w:tc>
          <w:tcPr>
            <w:tcW w:w="320" w:type="dxa"/>
            <w:vAlign w:val="bottom"/>
          </w:tcPr>
          <w:p>
            <w:pPr>
              <w:spacing w:after="0"/>
              <w:rPr>
                <w:sz w:val="14"/>
                <w:szCs w:val="14"/>
                <w:color w:val="auto"/>
              </w:rPr>
            </w:pPr>
          </w:p>
        </w:tc>
        <w:tc>
          <w:tcPr>
            <w:tcW w:w="1040" w:type="dxa"/>
            <w:vAlign w:val="bottom"/>
            <w:gridSpan w:val="3"/>
          </w:tcPr>
          <w:p>
            <w:pPr>
              <w:jc w:val="right"/>
              <w:ind w:right="420"/>
              <w:spacing w:after="0"/>
              <w:rPr>
                <w:sz w:val="20"/>
                <w:szCs w:val="20"/>
                <w:color w:val="auto"/>
              </w:rPr>
            </w:pPr>
            <w:r>
              <w:rPr>
                <w:rFonts w:ascii="Arial" w:cs="Arial" w:eastAsia="Arial" w:hAnsi="Arial"/>
                <w:sz w:val="14"/>
                <w:szCs w:val="14"/>
                <w:b w:val="1"/>
                <w:bCs w:val="1"/>
                <w:color w:val="auto"/>
                <w:w w:val="93"/>
              </w:rPr>
              <w:t>Historical</w:t>
            </w:r>
          </w:p>
        </w:tc>
        <w:tc>
          <w:tcPr>
            <w:tcW w:w="980" w:type="dxa"/>
            <w:vAlign w:val="bottom"/>
            <w:gridSpan w:val="4"/>
          </w:tcPr>
          <w:p>
            <w:pPr>
              <w:jc w:val="right"/>
              <w:ind w:right="280"/>
              <w:spacing w:after="0"/>
              <w:rPr>
                <w:sz w:val="20"/>
                <w:szCs w:val="20"/>
                <w:color w:val="auto"/>
              </w:rPr>
            </w:pPr>
            <w:r>
              <w:rPr>
                <w:rFonts w:ascii="Arial" w:cs="Arial" w:eastAsia="Arial" w:hAnsi="Arial"/>
                <w:sz w:val="14"/>
                <w:szCs w:val="14"/>
                <w:b w:val="1"/>
                <w:bCs w:val="1"/>
                <w:color w:val="auto"/>
                <w:w w:val="97"/>
              </w:rPr>
              <w:t>Pro Forma</w:t>
            </w:r>
          </w:p>
        </w:tc>
        <w:tc>
          <w:tcPr>
            <w:tcW w:w="940" w:type="dxa"/>
            <w:vAlign w:val="bottom"/>
          </w:tcPr>
          <w:p>
            <w:pPr>
              <w:spacing w:after="0"/>
              <w:rPr>
                <w:sz w:val="14"/>
                <w:szCs w:val="14"/>
                <w:color w:val="auto"/>
              </w:rPr>
            </w:pPr>
          </w:p>
        </w:tc>
        <w:tc>
          <w:tcPr>
            <w:tcW w:w="700" w:type="dxa"/>
            <w:vAlign w:val="bottom"/>
            <w:gridSpan w:val="3"/>
          </w:tcPr>
          <w:p>
            <w:pPr>
              <w:jc w:val="right"/>
              <w:ind w:right="40"/>
              <w:spacing w:after="0"/>
              <w:rPr>
                <w:sz w:val="20"/>
                <w:szCs w:val="20"/>
                <w:color w:val="auto"/>
              </w:rPr>
            </w:pPr>
            <w:r>
              <w:rPr>
                <w:rFonts w:ascii="Arial" w:cs="Arial" w:eastAsia="Arial" w:hAnsi="Arial"/>
                <w:sz w:val="14"/>
                <w:szCs w:val="14"/>
                <w:b w:val="1"/>
                <w:bCs w:val="1"/>
                <w:color w:val="auto"/>
                <w:w w:val="91"/>
              </w:rPr>
              <w:t>Pro Forma</w:t>
            </w:r>
          </w:p>
        </w:tc>
        <w:tc>
          <w:tcPr>
            <w:tcW w:w="0" w:type="dxa"/>
            <w:vAlign w:val="bottom"/>
          </w:tcPr>
          <w:p>
            <w:pPr>
              <w:spacing w:after="0"/>
              <w:rPr>
                <w:sz w:val="1"/>
                <w:szCs w:val="1"/>
                <w:color w:val="auto"/>
              </w:rPr>
            </w:pPr>
          </w:p>
        </w:tc>
      </w:tr>
      <w:tr>
        <w:trPr>
          <w:trHeight w:val="174"/>
        </w:trPr>
        <w:tc>
          <w:tcPr>
            <w:tcW w:w="6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Pr>
          <w:p>
            <w:pPr>
              <w:jc w:val="right"/>
              <w:ind w:right="93"/>
              <w:spacing w:after="0"/>
              <w:rPr>
                <w:sz w:val="20"/>
                <w:szCs w:val="20"/>
                <w:color w:val="auto"/>
              </w:rPr>
            </w:pPr>
            <w:r>
              <w:rPr>
                <w:rFonts w:ascii="Arial" w:cs="Arial" w:eastAsia="Arial" w:hAnsi="Arial"/>
                <w:sz w:val="14"/>
                <w:szCs w:val="14"/>
                <w:b w:val="1"/>
                <w:bCs w:val="1"/>
                <w:color w:val="auto"/>
              </w:rPr>
              <w:t>Itron</w:t>
            </w: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Silicon</w:t>
            </w:r>
          </w:p>
        </w:tc>
        <w:tc>
          <w:tcPr>
            <w:tcW w:w="980" w:type="dxa"/>
            <w:vAlign w:val="bottom"/>
            <w:gridSpan w:val="4"/>
          </w:tcPr>
          <w:p>
            <w:pPr>
              <w:ind w:left="20"/>
              <w:spacing w:after="0"/>
              <w:rPr>
                <w:sz w:val="20"/>
                <w:szCs w:val="20"/>
                <w:color w:val="auto"/>
              </w:rPr>
            </w:pPr>
            <w:r>
              <w:rPr>
                <w:rFonts w:ascii="Arial" w:cs="Arial" w:eastAsia="Arial" w:hAnsi="Arial"/>
                <w:sz w:val="14"/>
                <w:szCs w:val="14"/>
                <w:b w:val="1"/>
                <w:bCs w:val="1"/>
                <w:color w:val="auto"/>
              </w:rPr>
              <w:t>Adjustments</w:t>
            </w:r>
          </w:p>
        </w:tc>
        <w:tc>
          <w:tcPr>
            <w:tcW w:w="940" w:type="dxa"/>
            <w:vAlign w:val="bottom"/>
          </w:tcPr>
          <w:p>
            <w:pPr>
              <w:spacing w:after="0"/>
              <w:rPr>
                <w:sz w:val="15"/>
                <w:szCs w:val="15"/>
                <w:color w:val="auto"/>
              </w:rPr>
            </w:pPr>
          </w:p>
        </w:tc>
        <w:tc>
          <w:tcPr>
            <w:tcW w:w="700" w:type="dxa"/>
            <w:vAlign w:val="bottom"/>
            <w:gridSpan w:val="3"/>
          </w:tcPr>
          <w:p>
            <w:pPr>
              <w:jc w:val="right"/>
              <w:ind w:right="60"/>
              <w:spacing w:after="0"/>
              <w:rPr>
                <w:sz w:val="20"/>
                <w:szCs w:val="20"/>
                <w:color w:val="auto"/>
              </w:rPr>
            </w:pPr>
            <w:r>
              <w:rPr>
                <w:rFonts w:ascii="Arial" w:cs="Arial" w:eastAsia="Arial" w:hAnsi="Arial"/>
                <w:sz w:val="14"/>
                <w:szCs w:val="14"/>
                <w:b w:val="1"/>
                <w:bCs w:val="1"/>
                <w:color w:val="auto"/>
                <w:w w:val="90"/>
              </w:rPr>
              <w:t>Combined</w:t>
            </w:r>
          </w:p>
        </w:tc>
        <w:tc>
          <w:tcPr>
            <w:tcW w:w="0" w:type="dxa"/>
            <w:vAlign w:val="bottom"/>
          </w:tcPr>
          <w:p>
            <w:pPr>
              <w:spacing w:after="0"/>
              <w:rPr>
                <w:sz w:val="1"/>
                <w:szCs w:val="1"/>
                <w:color w:val="auto"/>
              </w:rPr>
            </w:pPr>
          </w:p>
        </w:tc>
      </w:tr>
      <w:tr>
        <w:trPr>
          <w:trHeight w:val="95"/>
        </w:trPr>
        <w:tc>
          <w:tcPr>
            <w:tcW w:w="6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Cash, cash equivalents and short-term investments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38,383</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4,570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(21,200)</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21,753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80"/>
              <w:spacing w:after="0"/>
              <w:rPr>
                <w:sz w:val="20"/>
                <w:szCs w:val="20"/>
                <w:color w:val="auto"/>
              </w:rPr>
            </w:pPr>
            <w:r>
              <w:rPr>
                <w:rFonts w:ascii="Arial" w:cs="Arial" w:eastAsia="Arial" w:hAnsi="Arial"/>
                <w:sz w:val="18"/>
                <w:szCs w:val="18"/>
                <w:color w:val="auto"/>
              </w:rPr>
              <w:t>Accounts receivable,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47,581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2,706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50,287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Inventories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19,334</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7,603</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1,953</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(809)</w:t>
            </w:r>
          </w:p>
        </w:tc>
        <w:tc>
          <w:tcPr>
            <w:tcW w:w="940" w:type="dxa"/>
            <w:vAlign w:val="bottom"/>
          </w:tcPr>
          <w:p>
            <w:pPr>
              <w:ind w:left="160"/>
              <w:spacing w:after="0"/>
              <w:rPr>
                <w:sz w:val="20"/>
                <w:szCs w:val="20"/>
                <w:color w:val="auto"/>
              </w:rPr>
            </w:pPr>
            <w:r>
              <w:rPr>
                <w:rFonts w:ascii="Arial" w:cs="Arial" w:eastAsia="Arial" w:hAnsi="Arial"/>
                <w:sz w:val="18"/>
                <w:szCs w:val="18"/>
                <w:color w:val="auto"/>
              </w:rPr>
              <w:t>(2a)</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8,747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 assets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112,901</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9,229</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2"/>
              </w:rPr>
              <w:t>(22,009)</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100,121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780" w:type="dxa"/>
            <w:vAlign w:val="bottom"/>
          </w:tcPr>
          <w:p>
            <w:pPr>
              <w:ind w:left="280"/>
              <w:spacing w:after="0"/>
              <w:rPr>
                <w:sz w:val="20"/>
                <w:szCs w:val="20"/>
                <w:color w:val="auto"/>
              </w:rPr>
            </w:pPr>
            <w:r>
              <w:rPr>
                <w:rFonts w:ascii="Arial" w:cs="Arial" w:eastAsia="Arial" w:hAnsi="Arial"/>
                <w:sz w:val="18"/>
                <w:szCs w:val="18"/>
                <w:color w:val="auto"/>
              </w:rPr>
              <w:t>Property, plant and equipment, net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28,945</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1,738</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(636)</w:t>
            </w:r>
          </w:p>
        </w:tc>
        <w:tc>
          <w:tcPr>
            <w:tcW w:w="940" w:type="dxa"/>
            <w:vAlign w:val="bottom"/>
          </w:tcPr>
          <w:p>
            <w:pPr>
              <w:ind w:left="160"/>
              <w:spacing w:after="0"/>
              <w:rPr>
                <w:sz w:val="20"/>
                <w:szCs w:val="20"/>
                <w:color w:val="auto"/>
              </w:rPr>
            </w:pPr>
            <w:r>
              <w:rPr>
                <w:rFonts w:ascii="Arial" w:cs="Arial" w:eastAsia="Arial" w:hAnsi="Arial"/>
                <w:sz w:val="18"/>
                <w:szCs w:val="18"/>
                <w:color w:val="auto"/>
              </w:rPr>
              <w:t>(2b)</w:t>
            </w: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30,047</w:t>
            </w:r>
          </w:p>
        </w:tc>
        <w:tc>
          <w:tcPr>
            <w:tcW w:w="0" w:type="dxa"/>
            <w:vAlign w:val="bottom"/>
          </w:tcPr>
          <w:p>
            <w:pPr>
              <w:spacing w:after="0"/>
              <w:rPr>
                <w:sz w:val="1"/>
                <w:szCs w:val="1"/>
                <w:color w:val="auto"/>
              </w:rPr>
            </w:pPr>
          </w:p>
        </w:tc>
      </w:tr>
      <w:tr>
        <w:trPr>
          <w:trHeight w:val="218"/>
        </w:trPr>
        <w:tc>
          <w:tcPr>
            <w:tcW w:w="6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Equipment used in outsourcing, net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11,908</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80"/>
              <w:spacing w:after="0"/>
              <w:rPr>
                <w:sz w:val="20"/>
                <w:szCs w:val="20"/>
                <w:color w:val="auto"/>
              </w:rPr>
            </w:pPr>
            <w:r>
              <w:rPr>
                <w:rFonts w:ascii="Arial" w:cs="Arial" w:eastAsia="Arial" w:hAnsi="Arial"/>
                <w:sz w:val="18"/>
                <w:szCs w:val="18"/>
                <w:color w:val="auto"/>
              </w:rPr>
              <w:t>Intangible assets, net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10,281</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1,356</w:t>
            </w: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14,944</w:t>
            </w:r>
          </w:p>
        </w:tc>
        <w:tc>
          <w:tcPr>
            <w:tcW w:w="2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(2c)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26,581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32,870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44,975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tcPr>
          <w:p>
            <w:pPr>
              <w:ind w:left="280"/>
              <w:spacing w:after="0"/>
              <w:rPr>
                <w:sz w:val="20"/>
                <w:szCs w:val="20"/>
                <w:color w:val="auto"/>
              </w:rPr>
            </w:pPr>
            <w:r>
              <w:rPr>
                <w:rFonts w:ascii="Arial" w:cs="Arial" w:eastAsia="Arial" w:hAnsi="Arial"/>
                <w:sz w:val="18"/>
                <w:szCs w:val="18"/>
                <w:color w:val="auto"/>
              </w:rPr>
              <w:t>Other long-term assets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32,901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175</w:t>
            </w: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9,084</w:t>
            </w:r>
          </w:p>
        </w:tc>
        <w:tc>
          <w:tcPr>
            <w:tcW w:w="220" w:type="dxa"/>
            <w:vAlign w:val="bottom"/>
          </w:tcPr>
          <w:p>
            <w:pPr>
              <w:spacing w:after="0"/>
              <w:rPr>
                <w:sz w:val="19"/>
                <w:szCs w:val="19"/>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(2e)</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42,160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assets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229,806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13,158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46,358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289,322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321"/>
        </w:trPr>
        <w:tc>
          <w:tcPr>
            <w:tcW w:w="6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SHAREHOLDERS’ EQUITY</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Accounts payable and accrued expenses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23,195</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2,238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(437)</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(2f)</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26,266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1,270</w:t>
            </w:r>
          </w:p>
        </w:tc>
        <w:tc>
          <w:tcPr>
            <w:tcW w:w="2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Wages and benefits payable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13,424</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(50)</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1,975</w:t>
            </w:r>
          </w:p>
        </w:tc>
        <w:tc>
          <w:tcPr>
            <w:tcW w:w="2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(4,374)</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(2h)</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12,500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12,500</w:t>
            </w:r>
          </w:p>
        </w:tc>
        <w:tc>
          <w:tcPr>
            <w:tcW w:w="2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11,740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5,021</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(1,502)</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(2i)</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15,259</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6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2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6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current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48,359</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12,930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9,382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70,671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780" w:type="dxa"/>
            <w:vAlign w:val="bottom"/>
          </w:tcPr>
          <w:p>
            <w:pPr>
              <w:ind w:left="280"/>
              <w:spacing w:after="0"/>
              <w:rPr>
                <w:sz w:val="20"/>
                <w:szCs w:val="20"/>
                <w:color w:val="auto"/>
              </w:rPr>
            </w:pPr>
            <w:r>
              <w:rPr>
                <w:rFonts w:ascii="Arial" w:cs="Arial" w:eastAsia="Arial" w:hAnsi="Arial"/>
                <w:sz w:val="18"/>
                <w:szCs w:val="18"/>
                <w:color w:val="auto"/>
              </w:rPr>
              <w:t>Long term debt</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4,939</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37,500</w:t>
            </w:r>
          </w:p>
        </w:tc>
        <w:tc>
          <w:tcPr>
            <w:tcW w:w="220" w:type="dxa"/>
            <w:vAlign w:val="bottom"/>
          </w:tcPr>
          <w:p>
            <w:pPr>
              <w:spacing w:after="0"/>
              <w:rPr>
                <w:sz w:val="24"/>
                <w:szCs w:val="24"/>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4"/>
                <w:szCs w:val="24"/>
                <w:color w:val="auto"/>
              </w:rPr>
            </w:pPr>
          </w:p>
        </w:tc>
        <w:tc>
          <w:tcPr>
            <w:tcW w:w="600" w:type="dxa"/>
            <w:vAlign w:val="bottom"/>
            <w:gridSpan w:val="2"/>
          </w:tcPr>
          <w:p>
            <w:pPr>
              <w:jc w:val="right"/>
              <w:ind w:right="20"/>
              <w:spacing w:after="0"/>
              <w:rPr>
                <w:sz w:val="20"/>
                <w:szCs w:val="20"/>
                <w:color w:val="auto"/>
              </w:rPr>
            </w:pPr>
            <w:r>
              <w:rPr>
                <w:rFonts w:ascii="Arial" w:cs="Arial" w:eastAsia="Arial" w:hAnsi="Arial"/>
                <w:sz w:val="18"/>
                <w:szCs w:val="18"/>
                <w:color w:val="auto"/>
              </w:rPr>
              <w:t>42,448</w:t>
            </w:r>
          </w:p>
        </w:tc>
        <w:tc>
          <w:tcPr>
            <w:tcW w:w="0" w:type="dxa"/>
            <w:vAlign w:val="bottom"/>
          </w:tcPr>
          <w:p>
            <w:pPr>
              <w:spacing w:after="0"/>
              <w:rPr>
                <w:sz w:val="1"/>
                <w:szCs w:val="1"/>
                <w:color w:val="auto"/>
              </w:rPr>
            </w:pPr>
          </w:p>
        </w:tc>
      </w:tr>
      <w:tr>
        <w:trPr>
          <w:trHeight w:val="218"/>
        </w:trPr>
        <w:tc>
          <w:tcPr>
            <w:tcW w:w="6780" w:type="dxa"/>
            <w:vAlign w:val="bottom"/>
            <w:shd w:val="clear" w:color="auto" w:fill="CCEEFF"/>
          </w:tcPr>
          <w:p>
            <w:pPr>
              <w:ind w:left="280"/>
              <w:spacing w:after="0"/>
              <w:rPr>
                <w:sz w:val="20"/>
                <w:szCs w:val="20"/>
                <w:color w:val="auto"/>
              </w:rPr>
            </w:pPr>
            <w:r>
              <w:rPr>
                <w:rFonts w:ascii="Arial" w:cs="Arial" w:eastAsia="Arial" w:hAnsi="Arial"/>
                <w:sz w:val="18"/>
                <w:szCs w:val="18"/>
                <w:color w:val="auto"/>
              </w:rPr>
              <w:t>Other long-term liabilities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16,798</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550</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345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(2j)</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17,693</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6780" w:type="dxa"/>
            <w:vAlign w:val="bottom"/>
          </w:tcPr>
          <w:p>
            <w:pPr>
              <w:ind w:left="280"/>
              <w:spacing w:after="0"/>
              <w:rPr>
                <w:sz w:val="20"/>
                <w:szCs w:val="20"/>
                <w:color w:val="auto"/>
              </w:rPr>
            </w:pPr>
            <w:r>
              <w:rPr>
                <w:rFonts w:ascii="Arial" w:cs="Arial" w:eastAsia="Arial" w:hAnsi="Arial"/>
                <w:sz w:val="18"/>
                <w:szCs w:val="18"/>
                <w:color w:val="auto"/>
              </w:rPr>
              <w:t>Redeemable convertible preferred stock</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52,482</w:t>
            </w:r>
          </w:p>
        </w:tc>
        <w:tc>
          <w:tcPr>
            <w:tcW w:w="3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w w:val="92"/>
              </w:rPr>
              <w:t>(52,482)</w:t>
            </w:r>
          </w:p>
        </w:tc>
        <w:tc>
          <w:tcPr>
            <w:tcW w:w="940" w:type="dxa"/>
            <w:vAlign w:val="bottom"/>
          </w:tcPr>
          <w:p>
            <w:pPr>
              <w:ind w:left="160"/>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4"/>
                <w:szCs w:val="24"/>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8"/>
        </w:trPr>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Shareholders’ equity/(deficit)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159,710</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w w:val="89"/>
              </w:rPr>
              <w:t>(52,813)</w:t>
            </w:r>
          </w:p>
        </w:tc>
        <w:tc>
          <w:tcPr>
            <w:tcW w:w="16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52,813</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158,510</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gridSpan w:val="3"/>
          </w:tcPr>
          <w:p>
            <w:pPr>
              <w:jc w:val="right"/>
              <w:ind w:right="180"/>
              <w:spacing w:after="0"/>
              <w:rPr>
                <w:sz w:val="20"/>
                <w:szCs w:val="20"/>
                <w:color w:val="auto"/>
              </w:rPr>
            </w:pPr>
            <w:r>
              <w:rPr>
                <w:rFonts w:ascii="Arial" w:cs="Arial" w:eastAsia="Arial" w:hAnsi="Arial"/>
                <w:sz w:val="18"/>
                <w:szCs w:val="18"/>
                <w:color w:val="auto"/>
              </w:rPr>
              <w:t>(1,200)</w:t>
            </w:r>
          </w:p>
        </w:tc>
        <w:tc>
          <w:tcPr>
            <w:tcW w:w="940" w:type="dxa"/>
            <w:vAlign w:val="bottom"/>
          </w:tcPr>
          <w:p>
            <w:pPr>
              <w:ind w:left="160"/>
              <w:spacing w:after="0"/>
              <w:rPr>
                <w:sz w:val="20"/>
                <w:szCs w:val="20"/>
                <w:color w:val="auto"/>
              </w:rPr>
            </w:pPr>
            <w:r>
              <w:rPr>
                <w:rFonts w:ascii="Arial" w:cs="Arial" w:eastAsia="Arial" w:hAnsi="Arial"/>
                <w:sz w:val="18"/>
                <w:szCs w:val="18"/>
                <w:color w:val="auto"/>
              </w:rPr>
              <w:t>(2k)</w:t>
            </w: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2"/>
        </w:trPr>
        <w:tc>
          <w:tcPr>
            <w:tcW w:w="6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6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80" w:type="dxa"/>
            <w:vAlign w:val="bottom"/>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vMerge w:val="restart"/>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6780" w:type="dxa"/>
            <w:vAlign w:val="bottom"/>
            <w:shd w:val="clear" w:color="auto" w:fill="CCEEFF"/>
          </w:tcPr>
          <w:p>
            <w:pPr>
              <w:ind w:left="540"/>
              <w:spacing w:after="0"/>
              <w:rPr>
                <w:sz w:val="20"/>
                <w:szCs w:val="20"/>
                <w:color w:val="auto"/>
              </w:rPr>
            </w:pPr>
            <w:r>
              <w:rPr>
                <w:rFonts w:ascii="Arial" w:cs="Arial" w:eastAsia="Arial" w:hAnsi="Arial"/>
                <w:sz w:val="18"/>
                <w:szCs w:val="18"/>
                <w:color w:val="auto"/>
              </w:rPr>
              <w:t>Total liabilities and shareholders’ equity</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229,806</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13,158</w:t>
            </w: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46,358</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289,322</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6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4307840</wp:posOffset>
            </wp:positionH>
            <wp:positionV relativeFrom="paragraph">
              <wp:posOffset>-3227705</wp:posOffset>
            </wp:positionV>
            <wp:extent cx="12700" cy="298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4728210</wp:posOffset>
            </wp:positionH>
            <wp:positionV relativeFrom="paragraph">
              <wp:posOffset>-3227705</wp:posOffset>
            </wp:positionV>
            <wp:extent cx="12700" cy="298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4359275</wp:posOffset>
            </wp:positionH>
            <wp:positionV relativeFrom="paragraph">
              <wp:posOffset>-3227705</wp:posOffset>
            </wp:positionV>
            <wp:extent cx="21590" cy="298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-3227705</wp:posOffset>
            </wp:positionV>
            <wp:extent cx="12700" cy="298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-3227705</wp:posOffset>
            </wp:positionV>
            <wp:extent cx="21590" cy="298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5346065</wp:posOffset>
            </wp:positionH>
            <wp:positionV relativeFrom="paragraph">
              <wp:posOffset>-3227705</wp:posOffset>
            </wp:positionV>
            <wp:extent cx="38735" cy="298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5603240</wp:posOffset>
            </wp:positionH>
            <wp:positionV relativeFrom="paragraph">
              <wp:posOffset>-3227705</wp:posOffset>
            </wp:positionV>
            <wp:extent cx="12700" cy="298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-3227705</wp:posOffset>
            </wp:positionV>
            <wp:extent cx="21590" cy="298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6066155</wp:posOffset>
            </wp:positionH>
            <wp:positionV relativeFrom="paragraph">
              <wp:posOffset>-3227705</wp:posOffset>
            </wp:positionV>
            <wp:extent cx="38735" cy="298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-3227705</wp:posOffset>
            </wp:positionV>
            <wp:extent cx="12700" cy="298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-3227705</wp:posOffset>
            </wp:positionV>
            <wp:extent cx="12700" cy="298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-3227705</wp:posOffset>
            </wp:positionV>
            <wp:extent cx="21590" cy="298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4307840</wp:posOffset>
            </wp:positionH>
            <wp:positionV relativeFrom="paragraph">
              <wp:posOffset>-29210</wp:posOffset>
            </wp:positionV>
            <wp:extent cx="1796415" cy="298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1796415" cy="29845"/>
                    </a:xfrm>
                    <a:prstGeom prst="rect">
                      <a:avLst/>
                    </a:prstGeom>
                    <a:noFill/>
                  </pic:spPr>
                </pic:pic>
              </a:graphicData>
            </a:graphic>
          </wp:anchor>
        </w:drawing>
        <w:drawing>
          <wp:anchor simplePos="0" relativeHeight="251657728" behindDoc="1" locked="0" layoutInCell="0" allowOverlap="1">
            <wp:simplePos x="0" y="0"/>
            <wp:positionH relativeFrom="column">
              <wp:posOffset>6820535</wp:posOffset>
            </wp:positionH>
            <wp:positionV relativeFrom="paragraph">
              <wp:posOffset>-29210</wp:posOffset>
            </wp:positionV>
            <wp:extent cx="12700" cy="298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-29210</wp:posOffset>
            </wp:positionV>
            <wp:extent cx="12700" cy="298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6871970</wp:posOffset>
            </wp:positionH>
            <wp:positionV relativeFrom="paragraph">
              <wp:posOffset>-29210</wp:posOffset>
            </wp:positionV>
            <wp:extent cx="21590" cy="298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consolidated financial information.</w:t>
      </w:r>
    </w:p>
    <w:p>
      <w:pPr>
        <w:sectPr>
          <w:pgSz w:w="11900" w:h="16838" w:orient="portrait"/>
          <w:cols w:equalWidth="0" w:num="1">
            <w:col w:w="11420"/>
          </w:cols>
          <w:pgMar w:left="240" w:top="274" w:right="239" w:bottom="1440" w:gutter="0" w:footer="0" w:header="0"/>
        </w:sectPr>
      </w:pPr>
    </w:p>
    <w:bookmarkStart w:id="50" w:name="page51"/>
    <w:bookmarkEnd w:id="50"/>
    <w:p>
      <w:pPr>
        <w:ind w:left="5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Historical</w:t>
            </w:r>
          </w:p>
        </w:tc>
        <w:tc>
          <w:tcPr>
            <w:tcW w:w="104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0"/>
              </w:rPr>
              <w:t>Historical</w:t>
            </w:r>
          </w:p>
        </w:tc>
        <w:tc>
          <w:tcPr>
            <w:tcW w:w="9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Pro Forma</w:t>
            </w:r>
          </w:p>
        </w:tc>
        <w:tc>
          <w:tcPr>
            <w:tcW w:w="94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Pro Forma</w:t>
            </w:r>
          </w:p>
        </w:tc>
      </w:tr>
      <w:tr>
        <w:trPr>
          <w:trHeight w:val="174"/>
        </w:trPr>
        <w:tc>
          <w:tcPr>
            <w:tcW w:w="59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Itron</w:t>
            </w:r>
          </w:p>
        </w:tc>
        <w:tc>
          <w:tcPr>
            <w:tcW w:w="100" w:type="dxa"/>
            <w:vAlign w:val="bottom"/>
          </w:tcPr>
          <w:p>
            <w:pPr>
              <w:spacing w:after="0"/>
              <w:rPr>
                <w:sz w:val="15"/>
                <w:szCs w:val="15"/>
                <w:color w:val="auto"/>
              </w:rPr>
            </w:pPr>
          </w:p>
        </w:tc>
        <w:tc>
          <w:tcPr>
            <w:tcW w:w="94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87"/>
              </w:rPr>
              <w:t>Silicon</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94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Combined</w:t>
            </w:r>
          </w:p>
        </w:tc>
      </w:tr>
      <w:tr>
        <w:trPr>
          <w:trHeight w:val="95"/>
        </w:trPr>
        <w:tc>
          <w:tcPr>
            <w:tcW w:w="5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207,571</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12,195</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219,760</w:t>
            </w:r>
          </w:p>
        </w:tc>
        <w:tc>
          <w:tcPr>
            <w:tcW w:w="60" w:type="dxa"/>
            <w:vAlign w:val="bottom"/>
            <w:shd w:val="clear" w:color="auto" w:fill="CCEEFF"/>
          </w:tcPr>
          <w:p>
            <w:pPr>
              <w:spacing w:after="0"/>
              <w:rPr>
                <w:sz w:val="18"/>
                <w:szCs w:val="18"/>
                <w:color w:val="auto"/>
              </w:rPr>
            </w:pPr>
          </w:p>
        </w:tc>
      </w:tr>
      <w:tr>
        <w:trPr>
          <w:trHeight w:val="222"/>
        </w:trPr>
        <w:tc>
          <w:tcPr>
            <w:tcW w:w="590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80"/>
              <w:spacing w:after="0"/>
              <w:rPr>
                <w:sz w:val="20"/>
                <w:szCs w:val="20"/>
                <w:color w:val="auto"/>
              </w:rPr>
            </w:pPr>
            <w:r>
              <w:rPr>
                <w:rFonts w:ascii="Arial" w:cs="Arial" w:eastAsia="Arial" w:hAnsi="Arial"/>
                <w:sz w:val="18"/>
                <w:szCs w:val="18"/>
                <w:color w:val="auto"/>
                <w:w w:val="86"/>
              </w:rPr>
              <w:t>112,084</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5,883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(294)</w:t>
            </w:r>
          </w:p>
        </w:tc>
        <w:tc>
          <w:tcPr>
            <w:tcW w:w="940" w:type="dxa"/>
            <w:vAlign w:val="bottom"/>
          </w:tcPr>
          <w:p>
            <w:pPr>
              <w:ind w:lef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117,673</w:t>
            </w:r>
          </w:p>
        </w:tc>
        <w:tc>
          <w:tcPr>
            <w:tcW w:w="60" w:type="dxa"/>
            <w:vAlign w:val="bottom"/>
          </w:tcPr>
          <w:p>
            <w:pPr>
              <w:spacing w:after="0"/>
              <w:rPr>
                <w:sz w:val="19"/>
                <w:szCs w:val="19"/>
                <w:color w:val="auto"/>
              </w:rPr>
            </w:pPr>
          </w:p>
        </w:tc>
      </w:tr>
      <w:tr>
        <w:trPr>
          <w:trHeight w:val="102"/>
        </w:trPr>
        <w:tc>
          <w:tcPr>
            <w:tcW w:w="5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95,487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6,312</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288</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102,087</w:t>
            </w:r>
          </w:p>
        </w:tc>
        <w:tc>
          <w:tcPr>
            <w:tcW w:w="60" w:type="dxa"/>
            <w:vAlign w:val="bottom"/>
            <w:shd w:val="clear" w:color="auto" w:fill="CCEEFF"/>
          </w:tcPr>
          <w:p>
            <w:pPr>
              <w:spacing w:after="0"/>
              <w:rPr>
                <w:sz w:val="18"/>
                <w:szCs w:val="18"/>
                <w:color w:val="auto"/>
              </w:rPr>
            </w:pPr>
          </w:p>
        </w:tc>
      </w:tr>
      <w:tr>
        <w:trPr>
          <w:trHeight w:val="216"/>
        </w:trPr>
        <w:tc>
          <w:tcPr>
            <w:tcW w:w="590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23,436</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7,846</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31,065</w:t>
            </w:r>
          </w:p>
        </w:tc>
        <w:tc>
          <w:tcPr>
            <w:tcW w:w="60" w:type="dxa"/>
            <w:vAlign w:val="bottom"/>
            <w:shd w:val="clear" w:color="auto" w:fill="CCEEFF"/>
          </w:tcPr>
          <w:p>
            <w:pPr>
              <w:spacing w:after="0"/>
              <w:rPr>
                <w:sz w:val="18"/>
                <w:szCs w:val="18"/>
                <w:color w:val="auto"/>
              </w:rPr>
            </w:pPr>
          </w:p>
        </w:tc>
      </w:tr>
      <w:tr>
        <w:trPr>
          <w:trHeight w:val="216"/>
        </w:trPr>
        <w:tc>
          <w:tcPr>
            <w:tcW w:w="5900" w:type="dxa"/>
            <w:vAlign w:val="bottom"/>
          </w:tcPr>
          <w:p>
            <w:pPr>
              <w:ind w:left="260"/>
              <w:spacing w:after="0"/>
              <w:rPr>
                <w:sz w:val="20"/>
                <w:szCs w:val="20"/>
                <w:color w:val="auto"/>
              </w:rPr>
            </w:pPr>
            <w:r>
              <w:rPr>
                <w:rFonts w:ascii="Arial" w:cs="Arial" w:eastAsia="Arial" w:hAnsi="Arial"/>
                <w:sz w:val="18"/>
                <w:szCs w:val="18"/>
                <w:color w:val="auto"/>
              </w:rPr>
              <w:t>Product development</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27,858</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4,113</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(173)</w:t>
            </w:r>
          </w:p>
        </w:tc>
        <w:tc>
          <w:tcPr>
            <w:tcW w:w="940" w:type="dxa"/>
            <w:vAlign w:val="bottom"/>
          </w:tcPr>
          <w:p>
            <w:pPr>
              <w:ind w:lef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31,798</w:t>
            </w:r>
          </w:p>
        </w:tc>
        <w:tc>
          <w:tcPr>
            <w:tcW w:w="60" w:type="dxa"/>
            <w:vAlign w:val="bottom"/>
          </w:tcPr>
          <w:p>
            <w:pPr>
              <w:spacing w:after="0"/>
              <w:rPr>
                <w:sz w:val="18"/>
                <w:szCs w:val="18"/>
                <w:color w:val="auto"/>
              </w:rPr>
            </w:pPr>
          </w:p>
        </w:tc>
      </w:tr>
      <w:tr>
        <w:trPr>
          <w:trHeight w:val="216"/>
        </w:trPr>
        <w:tc>
          <w:tcPr>
            <w:tcW w:w="5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16,272</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2,607</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18,798</w:t>
            </w:r>
          </w:p>
        </w:tc>
        <w:tc>
          <w:tcPr>
            <w:tcW w:w="60" w:type="dxa"/>
            <w:vAlign w:val="bottom"/>
            <w:shd w:val="clear" w:color="auto" w:fill="CCEEFF"/>
          </w:tcPr>
          <w:p>
            <w:pPr>
              <w:spacing w:after="0"/>
              <w:rPr>
                <w:sz w:val="18"/>
                <w:szCs w:val="18"/>
                <w:color w:val="auto"/>
              </w:rPr>
            </w:pPr>
          </w:p>
        </w:tc>
      </w:tr>
      <w:tr>
        <w:trPr>
          <w:trHeight w:val="216"/>
        </w:trPr>
        <w:tc>
          <w:tcPr>
            <w:tcW w:w="5900" w:type="dxa"/>
            <w:vAlign w:val="bottom"/>
          </w:tcPr>
          <w:p>
            <w:pPr>
              <w:ind w:left="260"/>
              <w:spacing w:after="0"/>
              <w:rPr>
                <w:sz w:val="20"/>
                <w:szCs w:val="20"/>
                <w:color w:val="auto"/>
              </w:rPr>
            </w:pPr>
            <w:r>
              <w:rPr>
                <w:rFonts w:ascii="Arial" w:cs="Arial" w:eastAsia="Arial" w:hAnsi="Arial"/>
                <w:sz w:val="18"/>
                <w:szCs w:val="18"/>
                <w:color w:val="auto"/>
              </w:rPr>
              <w:t>Amortization of intangibles</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1,552</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382</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2,576</w:t>
            </w:r>
          </w:p>
        </w:tc>
        <w:tc>
          <w:tcPr>
            <w:tcW w:w="940" w:type="dxa"/>
            <w:vAlign w:val="bottom"/>
          </w:tcPr>
          <w:p>
            <w:pPr>
              <w:ind w:lef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4,510</w:t>
            </w:r>
          </w:p>
        </w:tc>
        <w:tc>
          <w:tcPr>
            <w:tcW w:w="60" w:type="dxa"/>
            <w:vAlign w:val="bottom"/>
          </w:tcPr>
          <w:p>
            <w:pPr>
              <w:spacing w:after="0"/>
              <w:rPr>
                <w:sz w:val="18"/>
                <w:szCs w:val="18"/>
                <w:color w:val="auto"/>
              </w:rPr>
            </w:pPr>
          </w:p>
        </w:tc>
      </w:tr>
      <w:tr>
        <w:trPr>
          <w:trHeight w:val="216"/>
        </w:trPr>
        <w:tc>
          <w:tcPr>
            <w:tcW w:w="5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In-process research &amp; development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7,200</w:t>
            </w:r>
          </w:p>
        </w:tc>
        <w:tc>
          <w:tcPr>
            <w:tcW w:w="60" w:type="dxa"/>
            <w:vAlign w:val="bottom"/>
            <w:shd w:val="clear" w:color="auto" w:fill="CCEEFF"/>
          </w:tcPr>
          <w:p>
            <w:pPr>
              <w:spacing w:after="0"/>
              <w:rPr>
                <w:sz w:val="18"/>
                <w:szCs w:val="18"/>
                <w:color w:val="auto"/>
              </w:rPr>
            </w:pPr>
          </w:p>
        </w:tc>
      </w:tr>
      <w:tr>
        <w:trPr>
          <w:trHeight w:val="108"/>
        </w:trPr>
        <w:tc>
          <w:tcPr>
            <w:tcW w:w="5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90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76,318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14,948</w:t>
            </w: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2,105</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93,371</w:t>
            </w:r>
          </w:p>
        </w:tc>
        <w:tc>
          <w:tcPr>
            <w:tcW w:w="60" w:type="dxa"/>
            <w:vAlign w:val="bottom"/>
            <w:shd w:val="clear" w:color="auto" w:fill="CCEEFF"/>
          </w:tcPr>
          <w:p>
            <w:pPr>
              <w:spacing w:after="0"/>
              <w:rPr>
                <w:sz w:val="18"/>
                <w:szCs w:val="18"/>
                <w:color w:val="auto"/>
              </w:rPr>
            </w:pPr>
          </w:p>
        </w:tc>
      </w:tr>
      <w:tr>
        <w:trPr>
          <w:trHeight w:val="430"/>
        </w:trPr>
        <w:tc>
          <w:tcPr>
            <w:tcW w:w="5900" w:type="dxa"/>
            <w:vAlign w:val="bottom"/>
          </w:tcPr>
          <w:p>
            <w:pPr>
              <w:ind w:left="260"/>
              <w:spacing w:after="0"/>
              <w:rPr>
                <w:sz w:val="20"/>
                <w:szCs w:val="20"/>
                <w:color w:val="auto"/>
              </w:rPr>
            </w:pPr>
            <w:r>
              <w:rPr>
                <w:rFonts w:ascii="Arial" w:cs="Arial" w:eastAsia="Arial" w:hAnsi="Arial"/>
                <w:sz w:val="18"/>
                <w:szCs w:val="18"/>
                <w:color w:val="auto"/>
              </w:rPr>
              <w:t>Operating income/(loss)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19,169</w:t>
            </w: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(8,636)</w:t>
            </w:r>
          </w:p>
        </w:tc>
        <w:tc>
          <w:tcPr>
            <w:tcW w:w="120" w:type="dxa"/>
            <w:vAlign w:val="bottom"/>
          </w:tcPr>
          <w:p>
            <w:pPr>
              <w:spacing w:after="0"/>
              <w:rPr>
                <w:sz w:val="24"/>
                <w:szCs w:val="24"/>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(1,817)</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8,716</w:t>
            </w:r>
          </w:p>
        </w:tc>
        <w:tc>
          <w:tcPr>
            <w:tcW w:w="60" w:type="dxa"/>
            <w:vAlign w:val="bottom"/>
          </w:tcPr>
          <w:p>
            <w:pPr>
              <w:spacing w:after="0"/>
              <w:rPr>
                <w:sz w:val="24"/>
                <w:szCs w:val="24"/>
                <w:color w:val="auto"/>
              </w:rPr>
            </w:pPr>
          </w:p>
        </w:tc>
      </w:tr>
      <w:tr>
        <w:trPr>
          <w:trHeight w:val="218"/>
        </w:trPr>
        <w:tc>
          <w:tcPr>
            <w:tcW w:w="5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(299)</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(1,265)</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(1,496)</w:t>
            </w:r>
          </w:p>
        </w:tc>
      </w:tr>
      <w:tr>
        <w:trPr>
          <w:trHeight w:val="108"/>
        </w:trPr>
        <w:tc>
          <w:tcPr>
            <w:tcW w:w="5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Income/(loss) before income taxes</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19,237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(8,935)</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(3,082)</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7,220</w:t>
            </w:r>
          </w:p>
        </w:tc>
        <w:tc>
          <w:tcPr>
            <w:tcW w:w="60" w:type="dxa"/>
            <w:vAlign w:val="bottom"/>
            <w:shd w:val="clear" w:color="auto" w:fill="CCEEFF"/>
          </w:tcPr>
          <w:p>
            <w:pPr>
              <w:spacing w:after="0"/>
              <w:rPr>
                <w:sz w:val="18"/>
                <w:szCs w:val="18"/>
                <w:color w:val="auto"/>
              </w:rPr>
            </w:pPr>
          </w:p>
        </w:tc>
      </w:tr>
      <w:tr>
        <w:trPr>
          <w:trHeight w:val="222"/>
        </w:trPr>
        <w:tc>
          <w:tcPr>
            <w:tcW w:w="5900" w:type="dxa"/>
            <w:vAlign w:val="bottom"/>
          </w:tcPr>
          <w:p>
            <w:pPr>
              <w:ind w:left="20"/>
              <w:spacing w:after="0"/>
              <w:rPr>
                <w:sz w:val="20"/>
                <w:szCs w:val="20"/>
                <w:color w:val="auto"/>
              </w:rPr>
            </w:pPr>
            <w:r>
              <w:rPr>
                <w:rFonts w:ascii="Arial" w:cs="Arial" w:eastAsia="Arial" w:hAnsi="Arial"/>
                <w:sz w:val="18"/>
                <w:szCs w:val="18"/>
                <w:color w:val="auto"/>
              </w:rPr>
              <w:t>Income tax (provision)/benefit</w:t>
            </w: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(9,914)</w:t>
            </w:r>
          </w:p>
        </w:tc>
        <w:tc>
          <w:tcPr>
            <w:tcW w:w="100" w:type="dxa"/>
            <w:vAlign w:val="bottom"/>
          </w:tcPr>
          <w:p>
            <w:pPr>
              <w:spacing w:after="0"/>
              <w:rPr>
                <w:sz w:val="19"/>
                <w:szCs w:val="19"/>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4,362</w:t>
            </w:r>
          </w:p>
        </w:tc>
        <w:tc>
          <w:tcPr>
            <w:tcW w:w="940" w:type="dxa"/>
            <w:vAlign w:val="bottom"/>
          </w:tcPr>
          <w:p>
            <w:pPr>
              <w:ind w:left="1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(5,552)</w:t>
            </w:r>
          </w:p>
        </w:tc>
      </w:tr>
      <w:tr>
        <w:trPr>
          <w:trHeight w:val="102"/>
        </w:trPr>
        <w:tc>
          <w:tcPr>
            <w:tcW w:w="5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Borders>
              <w:bottom w:val="single" w:sz="8" w:color="auto"/>
            </w:tcBorders>
          </w:tcPr>
          <w:p>
            <w:pPr>
              <w:spacing w:after="0"/>
              <w:rPr>
                <w:sz w:val="8"/>
                <w:szCs w:val="8"/>
                <w:color w:val="auto"/>
              </w:rPr>
            </w:pPr>
          </w:p>
        </w:tc>
        <w:tc>
          <w:tcPr>
            <w:tcW w:w="62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5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(8,935)</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1,280</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60" w:type="dxa"/>
            <w:vAlign w:val="bottom"/>
            <w:shd w:val="clear" w:color="auto" w:fill="CCEEFF"/>
          </w:tcPr>
          <w:p>
            <w:pPr>
              <w:spacing w:after="0"/>
              <w:rPr>
                <w:sz w:val="18"/>
                <w:szCs w:val="18"/>
                <w:color w:val="auto"/>
              </w:rPr>
            </w:pPr>
          </w:p>
        </w:tc>
      </w:tr>
      <w:tr>
        <w:trPr>
          <w:trHeight w:val="430"/>
        </w:trPr>
        <w:tc>
          <w:tcPr>
            <w:tcW w:w="5900" w:type="dxa"/>
            <w:vAlign w:val="bottom"/>
          </w:tcPr>
          <w:p>
            <w:pPr>
              <w:ind w:left="20"/>
              <w:spacing w:after="0"/>
              <w:rPr>
                <w:sz w:val="20"/>
                <w:szCs w:val="20"/>
                <w:color w:val="auto"/>
              </w:rPr>
            </w:pPr>
            <w:r>
              <w:rPr>
                <w:rFonts w:ascii="Arial" w:cs="Arial" w:eastAsia="Arial" w:hAnsi="Arial"/>
                <w:sz w:val="18"/>
                <w:szCs w:val="18"/>
                <w:color w:val="auto"/>
              </w:rPr>
              <w:t>Dividend to preferred stock shareholders</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gridSpan w:val="2"/>
          </w:tcPr>
          <w:p>
            <w:pPr>
              <w:jc w:val="right"/>
              <w:ind w:right="4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8"/>
                <w:szCs w:val="18"/>
                <w:color w:val="auto"/>
              </w:rPr>
              <w:t>(2,435)</w:t>
            </w:r>
          </w:p>
        </w:tc>
        <w:tc>
          <w:tcPr>
            <w:tcW w:w="120" w:type="dxa"/>
            <w:vAlign w:val="bottom"/>
          </w:tcPr>
          <w:p>
            <w:pPr>
              <w:spacing w:after="0"/>
              <w:rPr>
                <w:sz w:val="24"/>
                <w:szCs w:val="24"/>
                <w:color w:val="auto"/>
              </w:rPr>
            </w:pP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2,435</w:t>
            </w:r>
          </w:p>
        </w:tc>
        <w:tc>
          <w:tcPr>
            <w:tcW w:w="940" w:type="dxa"/>
            <w:vAlign w:val="bottom"/>
          </w:tcPr>
          <w:p>
            <w:pPr>
              <w:ind w:lef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10"/>
        </w:trPr>
        <w:tc>
          <w:tcPr>
            <w:tcW w:w="5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Borders>
              <w:bottom w:val="single" w:sz="8" w:color="auto"/>
            </w:tcBorders>
          </w:tcPr>
          <w:p>
            <w:pPr>
              <w:spacing w:after="0"/>
              <w:rPr>
                <w:sz w:val="9"/>
                <w:szCs w:val="9"/>
                <w:color w:val="auto"/>
              </w:rPr>
            </w:pPr>
          </w:p>
        </w:tc>
        <w:tc>
          <w:tcPr>
            <w:tcW w:w="62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59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10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 available to common shareholders</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9,323</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w w:val="86"/>
              </w:rPr>
              <w:t>(11,370)</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3,715</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1,668</w:t>
            </w:r>
          </w:p>
        </w:tc>
        <w:tc>
          <w:tcPr>
            <w:tcW w:w="60" w:type="dxa"/>
            <w:vAlign w:val="bottom"/>
            <w:shd w:val="clear" w:color="auto" w:fill="CCEEFF"/>
          </w:tcPr>
          <w:p>
            <w:pPr>
              <w:spacing w:after="0"/>
              <w:rPr>
                <w:sz w:val="18"/>
                <w:szCs w:val="18"/>
                <w:color w:val="auto"/>
              </w:rPr>
            </w:pPr>
          </w:p>
        </w:tc>
      </w:tr>
      <w:tr>
        <w:trPr>
          <w:trHeight w:val="132"/>
        </w:trPr>
        <w:tc>
          <w:tcPr>
            <w:tcW w:w="59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105"/>
        </w:trPr>
        <w:tc>
          <w:tcPr>
            <w:tcW w:w="59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380" w:type="dxa"/>
            <w:vAlign w:val="bottom"/>
          </w:tcPr>
          <w:p>
            <w:pPr>
              <w:spacing w:after="0"/>
              <w:rPr>
                <w:sz w:val="9"/>
                <w:szCs w:val="9"/>
                <w:color w:val="auto"/>
              </w:rPr>
            </w:pPr>
          </w:p>
        </w:tc>
        <w:tc>
          <w:tcPr>
            <w:tcW w:w="100" w:type="dxa"/>
            <w:vAlign w:val="bottom"/>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 w:type="dxa"/>
            <w:vAlign w:val="bottom"/>
          </w:tcPr>
          <w:p>
            <w:pPr>
              <w:spacing w:after="0"/>
              <w:rPr>
                <w:sz w:val="9"/>
                <w:szCs w:val="9"/>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per common share</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w:t>
            </w:r>
          </w:p>
        </w:tc>
        <w:tc>
          <w:tcPr>
            <w:tcW w:w="60" w:type="dxa"/>
            <w:vAlign w:val="bottom"/>
            <w:shd w:val="clear" w:color="auto" w:fill="CCEEFF"/>
          </w:tcPr>
          <w:p>
            <w:pPr>
              <w:spacing w:after="0"/>
              <w:rPr>
                <w:sz w:val="18"/>
                <w:szCs w:val="18"/>
                <w:color w:val="auto"/>
              </w:rPr>
            </w:pPr>
          </w:p>
        </w:tc>
      </w:tr>
      <w:tr>
        <w:trPr>
          <w:trHeight w:val="222"/>
        </w:trPr>
        <w:tc>
          <w:tcPr>
            <w:tcW w:w="5900" w:type="dxa"/>
            <w:vAlign w:val="bottom"/>
          </w:tcPr>
          <w:p>
            <w:pPr>
              <w:ind w:left="20"/>
              <w:spacing w:after="0"/>
              <w:rPr>
                <w:sz w:val="20"/>
                <w:szCs w:val="20"/>
                <w:color w:val="auto"/>
              </w:rPr>
            </w:pPr>
            <w:r>
              <w:rPr>
                <w:rFonts w:ascii="Arial" w:cs="Arial" w:eastAsia="Arial" w:hAnsi="Arial"/>
                <w:sz w:val="18"/>
                <w:szCs w:val="18"/>
                <w:color w:val="auto"/>
              </w:rPr>
              <w:t>Diluted net income per common share</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.45</w:t>
            </w:r>
          </w:p>
        </w:tc>
        <w:tc>
          <w:tcPr>
            <w:tcW w:w="3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.08</w:t>
            </w:r>
          </w:p>
        </w:tc>
        <w:tc>
          <w:tcPr>
            <w:tcW w:w="60" w:type="dxa"/>
            <w:vAlign w:val="bottom"/>
          </w:tcPr>
          <w:p>
            <w:pPr>
              <w:spacing w:after="0"/>
              <w:rPr>
                <w:sz w:val="19"/>
                <w:szCs w:val="19"/>
                <w:color w:val="auto"/>
              </w:rPr>
            </w:pPr>
          </w:p>
        </w:tc>
      </w:tr>
      <w:tr>
        <w:trPr>
          <w:trHeight w:val="210"/>
        </w:trPr>
        <w:tc>
          <w:tcPr>
            <w:tcW w:w="59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59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Weighted average shares used to compute net income per common share</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5900" w:type="dxa"/>
            <w:vAlign w:val="bottom"/>
          </w:tcPr>
          <w:p>
            <w:pPr>
              <w:ind w:left="260"/>
              <w:spacing w:after="0"/>
              <w:rPr>
                <w:sz w:val="20"/>
                <w:szCs w:val="20"/>
                <w:color w:val="auto"/>
              </w:rPr>
            </w:pPr>
            <w:r>
              <w:rPr>
                <w:rFonts w:ascii="Arial" w:cs="Arial" w:eastAsia="Arial" w:hAnsi="Arial"/>
                <w:sz w:val="18"/>
                <w:szCs w:val="18"/>
                <w:color w:val="auto"/>
              </w:rPr>
              <w:t>Basic</w:t>
            </w: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18,955</w:t>
            </w:r>
          </w:p>
        </w:tc>
        <w:tc>
          <w:tcPr>
            <w:tcW w:w="3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18,955</w:t>
            </w:r>
          </w:p>
        </w:tc>
        <w:tc>
          <w:tcPr>
            <w:tcW w:w="60" w:type="dxa"/>
            <w:vAlign w:val="bottom"/>
          </w:tcPr>
          <w:p>
            <w:pPr>
              <w:spacing w:after="0"/>
              <w:rPr>
                <w:sz w:val="18"/>
                <w:szCs w:val="18"/>
                <w:color w:val="auto"/>
              </w:rPr>
            </w:pPr>
          </w:p>
        </w:tc>
      </w:tr>
      <w:tr>
        <w:trPr>
          <w:trHeight w:val="216"/>
        </w:trPr>
        <w:tc>
          <w:tcPr>
            <w:tcW w:w="590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21,247</w:t>
            </w:r>
          </w:p>
        </w:tc>
        <w:tc>
          <w:tcPr>
            <w:tcW w:w="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20,675</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4239260</wp:posOffset>
            </wp:positionH>
            <wp:positionV relativeFrom="paragraph">
              <wp:posOffset>-918845</wp:posOffset>
            </wp:positionV>
            <wp:extent cx="458470" cy="298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458470" cy="29845"/>
                    </a:xfrm>
                    <a:prstGeom prst="rect">
                      <a:avLst/>
                    </a:prstGeom>
                    <a:noFill/>
                  </pic:spPr>
                </pic:pic>
              </a:graphicData>
            </a:graphic>
          </wp:anchor>
        </w:drawing>
        <w:drawing>
          <wp:anchor simplePos="0" relativeHeight="251657728" behindDoc="1" locked="0" layoutInCell="0" allowOverlap="1">
            <wp:simplePos x="0" y="0"/>
            <wp:positionH relativeFrom="column">
              <wp:posOffset>4916805</wp:posOffset>
            </wp:positionH>
            <wp:positionV relativeFrom="paragraph">
              <wp:posOffset>-918845</wp:posOffset>
            </wp:positionV>
            <wp:extent cx="12700" cy="298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4968240</wp:posOffset>
            </wp:positionH>
            <wp:positionV relativeFrom="paragraph">
              <wp:posOffset>-918845</wp:posOffset>
            </wp:positionV>
            <wp:extent cx="21590" cy="298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-918845</wp:posOffset>
            </wp:positionV>
            <wp:extent cx="38735" cy="298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-918845</wp:posOffset>
            </wp:positionV>
            <wp:extent cx="501650" cy="298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501650"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-918845</wp:posOffset>
            </wp:positionV>
            <wp:extent cx="12700" cy="298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-918845</wp:posOffset>
            </wp:positionV>
            <wp:extent cx="21590" cy="298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-918845</wp:posOffset>
            </wp:positionV>
            <wp:extent cx="38735" cy="298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consolidated financial information.</w:t>
      </w:r>
    </w:p>
    <w:p>
      <w:pPr>
        <w:sectPr>
          <w:pgSz w:w="11900" w:h="16838" w:orient="portrait"/>
          <w:cols w:equalWidth="0" w:num="1">
            <w:col w:w="11420"/>
          </w:cols>
          <w:pgMar w:left="240" w:top="274" w:right="239" w:bottom="1440" w:gutter="0" w:footer="0" w:header="0"/>
        </w:sectPr>
      </w:pPr>
    </w:p>
    <w:bookmarkStart w:id="51" w:name="page52"/>
    <w:bookmarkEnd w:id="51"/>
    <w:p>
      <w:pPr>
        <w:ind w:left="5340"/>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67575" cy="27940"/>
                    </a:xfrm>
                    <a:prstGeom prst="rect">
                      <a:avLst/>
                    </a:prstGeom>
                    <a:noFill/>
                  </pic:spPr>
                </pic:pic>
              </a:graphicData>
            </a:graphic>
          </wp:anchor>
        </w:drawing>
        <w:t>Itron, Inc.</w:t>
      </w:r>
    </w:p>
    <w:p>
      <w:pPr>
        <w:spacing w:after="0" w:line="77" w:lineRule="exact"/>
        <w:rPr>
          <w:sz w:val="20"/>
          <w:szCs w:val="20"/>
          <w:color w:val="auto"/>
        </w:rPr>
      </w:pPr>
    </w:p>
    <w:p>
      <w:pPr>
        <w:ind w:left="3000"/>
        <w:spacing w:after="0"/>
        <w:rPr>
          <w:sz w:val="20"/>
          <w:szCs w:val="20"/>
          <w:color w:val="auto"/>
        </w:rPr>
      </w:pPr>
      <w:r>
        <w:rPr>
          <w:rFonts w:ascii="Arial" w:cs="Arial" w:eastAsia="Arial" w:hAnsi="Arial"/>
          <w:sz w:val="18"/>
          <w:szCs w:val="18"/>
          <w:b w:val="1"/>
          <w:bCs w:val="1"/>
          <w:color w:val="auto"/>
        </w:rPr>
        <w:t>Unaudited Pro Forma Condensed Consolidated Statement of Operations</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year ended December 31, 2001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per share data)</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60" w:type="dxa"/>
            <w:vAlign w:val="bottom"/>
          </w:tcPr>
          <w:p>
            <w:pPr>
              <w:spacing w:after="0"/>
              <w:rPr>
                <w:sz w:val="14"/>
                <w:szCs w:val="14"/>
                <w:color w:val="auto"/>
              </w:rPr>
            </w:pPr>
          </w:p>
        </w:tc>
        <w:tc>
          <w:tcPr>
            <w:tcW w:w="106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3"/>
              </w:rPr>
              <w:t>Historical</w:t>
            </w:r>
          </w:p>
        </w:tc>
        <w:tc>
          <w:tcPr>
            <w:tcW w:w="20" w:type="dxa"/>
            <w:vAlign w:val="bottom"/>
          </w:tcPr>
          <w:p>
            <w:pPr>
              <w:spacing w:after="0"/>
              <w:rPr>
                <w:sz w:val="14"/>
                <w:szCs w:val="14"/>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Historical</w:t>
            </w:r>
          </w:p>
        </w:tc>
        <w:tc>
          <w:tcPr>
            <w:tcW w:w="960" w:type="dxa"/>
            <w:vAlign w:val="bottom"/>
            <w:gridSpan w:val="3"/>
          </w:tcPr>
          <w:p>
            <w:pPr>
              <w:jc w:val="right"/>
              <w:ind w:right="280"/>
              <w:spacing w:after="0"/>
              <w:rPr>
                <w:sz w:val="20"/>
                <w:szCs w:val="20"/>
                <w:color w:val="auto"/>
              </w:rPr>
            </w:pPr>
            <w:r>
              <w:rPr>
                <w:rFonts w:ascii="Arial" w:cs="Arial" w:eastAsia="Arial" w:hAnsi="Arial"/>
                <w:sz w:val="14"/>
                <w:szCs w:val="14"/>
                <w:b w:val="1"/>
                <w:bCs w:val="1"/>
                <w:color w:val="auto"/>
                <w:w w:val="94"/>
              </w:rPr>
              <w:t>Pro Forma</w:t>
            </w:r>
          </w:p>
        </w:tc>
        <w:tc>
          <w:tcPr>
            <w:tcW w:w="940" w:type="dxa"/>
            <w:vAlign w:val="bottom"/>
          </w:tcPr>
          <w:p>
            <w:pPr>
              <w:spacing w:after="0"/>
              <w:rPr>
                <w:sz w:val="14"/>
                <w:szCs w:val="14"/>
                <w:color w:val="auto"/>
              </w:rPr>
            </w:pPr>
          </w:p>
        </w:tc>
        <w:tc>
          <w:tcPr>
            <w:tcW w:w="740" w:type="dxa"/>
            <w:vAlign w:val="bottom"/>
            <w:gridSpan w:val="3"/>
          </w:tcPr>
          <w:p>
            <w:pPr>
              <w:ind w:left="20"/>
              <w:spacing w:after="0"/>
              <w:rPr>
                <w:sz w:val="20"/>
                <w:szCs w:val="20"/>
                <w:color w:val="auto"/>
              </w:rPr>
            </w:pPr>
            <w:r>
              <w:rPr>
                <w:rFonts w:ascii="Arial" w:cs="Arial" w:eastAsia="Arial" w:hAnsi="Arial"/>
                <w:sz w:val="14"/>
                <w:szCs w:val="14"/>
                <w:b w:val="1"/>
                <w:bCs w:val="1"/>
                <w:color w:val="auto"/>
                <w:w w:val="99"/>
              </w:rPr>
              <w:t>Pro Forma</w:t>
            </w:r>
          </w:p>
        </w:tc>
      </w:tr>
      <w:tr>
        <w:trPr>
          <w:trHeight w:val="174"/>
        </w:trPr>
        <w:tc>
          <w:tcPr>
            <w:tcW w:w="6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60" w:type="dxa"/>
            <w:vAlign w:val="bottom"/>
            <w:gridSpan w:val="2"/>
          </w:tcPr>
          <w:p>
            <w:pPr>
              <w:jc w:val="right"/>
              <w:ind w:right="560"/>
              <w:spacing w:after="0"/>
              <w:rPr>
                <w:sz w:val="20"/>
                <w:szCs w:val="20"/>
                <w:color w:val="auto"/>
              </w:rPr>
            </w:pPr>
            <w:r>
              <w:rPr>
                <w:rFonts w:ascii="Arial" w:cs="Arial" w:eastAsia="Arial" w:hAnsi="Arial"/>
                <w:sz w:val="14"/>
                <w:szCs w:val="14"/>
                <w:b w:val="1"/>
                <w:bCs w:val="1"/>
                <w:color w:val="auto"/>
              </w:rPr>
              <w:t>Itron</w:t>
            </w:r>
          </w:p>
        </w:tc>
        <w:tc>
          <w:tcPr>
            <w:tcW w:w="20" w:type="dxa"/>
            <w:vAlign w:val="bottom"/>
          </w:tcPr>
          <w:p>
            <w:pPr>
              <w:spacing w:after="0"/>
              <w:rPr>
                <w:sz w:val="15"/>
                <w:szCs w:val="15"/>
                <w:color w:val="auto"/>
              </w:rPr>
            </w:pPr>
          </w:p>
        </w:tc>
        <w:tc>
          <w:tcPr>
            <w:tcW w:w="1040" w:type="dxa"/>
            <w:vAlign w:val="bottom"/>
            <w:gridSpan w:val="3"/>
          </w:tcPr>
          <w:p>
            <w:pPr>
              <w:jc w:val="center"/>
              <w:ind w:right="400"/>
              <w:spacing w:after="0"/>
              <w:rPr>
                <w:sz w:val="20"/>
                <w:szCs w:val="20"/>
                <w:color w:val="auto"/>
              </w:rPr>
            </w:pPr>
            <w:r>
              <w:rPr>
                <w:rFonts w:ascii="Arial" w:cs="Arial" w:eastAsia="Arial" w:hAnsi="Arial"/>
                <w:sz w:val="14"/>
                <w:szCs w:val="14"/>
                <w:b w:val="1"/>
                <w:bCs w:val="1"/>
                <w:color w:val="auto"/>
                <w:w w:val="87"/>
              </w:rPr>
              <w:t>Silicon</w:t>
            </w:r>
          </w:p>
        </w:tc>
        <w:tc>
          <w:tcPr>
            <w:tcW w:w="960" w:type="dxa"/>
            <w:vAlign w:val="bottom"/>
            <w:gridSpan w:val="3"/>
          </w:tcPr>
          <w:p>
            <w:pPr>
              <w:spacing w:after="0"/>
              <w:rPr>
                <w:sz w:val="20"/>
                <w:szCs w:val="20"/>
                <w:color w:val="auto"/>
              </w:rPr>
            </w:pPr>
            <w:r>
              <w:rPr>
                <w:rFonts w:ascii="Arial" w:cs="Arial" w:eastAsia="Arial" w:hAnsi="Arial"/>
                <w:sz w:val="14"/>
                <w:szCs w:val="14"/>
                <w:b w:val="1"/>
                <w:bCs w:val="1"/>
                <w:color w:val="auto"/>
              </w:rPr>
              <w:t>Adjustments</w:t>
            </w:r>
          </w:p>
        </w:tc>
        <w:tc>
          <w:tcPr>
            <w:tcW w:w="940" w:type="dxa"/>
            <w:vAlign w:val="bottom"/>
          </w:tcPr>
          <w:p>
            <w:pPr>
              <w:spacing w:after="0"/>
              <w:rPr>
                <w:sz w:val="15"/>
                <w:szCs w:val="15"/>
                <w:color w:val="auto"/>
              </w:rPr>
            </w:pPr>
          </w:p>
        </w:tc>
        <w:tc>
          <w:tcPr>
            <w:tcW w:w="74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Combined</w:t>
            </w:r>
          </w:p>
        </w:tc>
      </w:tr>
      <w:tr>
        <w:trPr>
          <w:trHeight w:val="95"/>
        </w:trPr>
        <w:tc>
          <w:tcPr>
            <w:tcW w:w="6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revenues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225,555</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1"/>
              </w:rPr>
              <w:t>$ 20,357</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245,906</w:t>
            </w:r>
          </w:p>
        </w:tc>
        <w:tc>
          <w:tcPr>
            <w:tcW w:w="60" w:type="dxa"/>
            <w:vAlign w:val="bottom"/>
            <w:shd w:val="clear" w:color="auto" w:fill="CCEEFF"/>
          </w:tcPr>
          <w:p>
            <w:pPr>
              <w:spacing w:after="0"/>
              <w:rPr>
                <w:sz w:val="18"/>
                <w:szCs w:val="18"/>
                <w:color w:val="auto"/>
              </w:rPr>
            </w:pPr>
          </w:p>
        </w:tc>
      </w:tr>
      <w:tr>
        <w:trPr>
          <w:trHeight w:val="222"/>
        </w:trPr>
        <w:tc>
          <w:tcPr>
            <w:tcW w:w="6660" w:type="dxa"/>
            <w:vAlign w:val="bottom"/>
          </w:tcPr>
          <w:p>
            <w:pPr>
              <w:ind w:left="20"/>
              <w:spacing w:after="0"/>
              <w:rPr>
                <w:sz w:val="20"/>
                <w:szCs w:val="20"/>
                <w:color w:val="auto"/>
              </w:rPr>
            </w:pPr>
            <w:r>
              <w:rPr>
                <w:rFonts w:ascii="Arial" w:cs="Arial" w:eastAsia="Arial" w:hAnsi="Arial"/>
                <w:sz w:val="18"/>
                <w:szCs w:val="18"/>
                <w:color w:val="auto"/>
              </w:rPr>
              <w:t>Cost of revenues</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127,696</w:t>
            </w:r>
          </w:p>
        </w:tc>
        <w:tc>
          <w:tcPr>
            <w:tcW w:w="38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6,883</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(201)</w:t>
            </w:r>
          </w:p>
        </w:tc>
        <w:tc>
          <w:tcPr>
            <w:tcW w:w="940" w:type="dxa"/>
            <w:vAlign w:val="bottom"/>
          </w:tcPr>
          <w:p>
            <w:pPr>
              <w:ind w:lef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w w:val="86"/>
              </w:rPr>
              <w:t>134,378</w:t>
            </w:r>
          </w:p>
        </w:tc>
        <w:tc>
          <w:tcPr>
            <w:tcW w:w="60" w:type="dxa"/>
            <w:vAlign w:val="bottom"/>
          </w:tcPr>
          <w:p>
            <w:pPr>
              <w:spacing w:after="0"/>
              <w:rPr>
                <w:sz w:val="19"/>
                <w:szCs w:val="19"/>
                <w:color w:val="auto"/>
              </w:rPr>
            </w:pPr>
          </w:p>
        </w:tc>
      </w:tr>
      <w:tr>
        <w:trPr>
          <w:trHeight w:val="102"/>
        </w:trPr>
        <w:tc>
          <w:tcPr>
            <w:tcW w:w="6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97,859</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13,474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111,528</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Sales and marketing</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26,523</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16,361</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(324)</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42,560</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ind w:left="260"/>
              <w:spacing w:after="0"/>
              <w:rPr>
                <w:sz w:val="20"/>
                <w:szCs w:val="20"/>
                <w:color w:val="auto"/>
              </w:rPr>
            </w:pPr>
            <w:r>
              <w:rPr>
                <w:rFonts w:ascii="Arial" w:cs="Arial" w:eastAsia="Arial" w:hAnsi="Arial"/>
                <w:sz w:val="18"/>
                <w:szCs w:val="18"/>
                <w:color w:val="auto"/>
              </w:rPr>
              <w:t>Product development</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30,000</w:t>
            </w:r>
          </w:p>
        </w:tc>
        <w:tc>
          <w:tcPr>
            <w:tcW w:w="3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9,589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(299)</w:t>
            </w:r>
          </w:p>
        </w:tc>
        <w:tc>
          <w:tcPr>
            <w:tcW w:w="940" w:type="dxa"/>
            <w:vAlign w:val="bottom"/>
          </w:tcPr>
          <w:p>
            <w:pPr>
              <w:ind w:left="16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39,290</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15,209</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5,674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(92)</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20,791</w:t>
            </w: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ind w:left="260"/>
              <w:spacing w:after="0"/>
              <w:rPr>
                <w:sz w:val="20"/>
                <w:szCs w:val="20"/>
                <w:color w:val="auto"/>
              </w:rPr>
            </w:pPr>
            <w:r>
              <w:rPr>
                <w:rFonts w:ascii="Arial" w:cs="Arial" w:eastAsia="Arial" w:hAnsi="Arial"/>
                <w:sz w:val="18"/>
                <w:szCs w:val="18"/>
                <w:color w:val="auto"/>
              </w:rPr>
              <w:t>Amortization of intangibles</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1,486</w:t>
            </w:r>
          </w:p>
        </w:tc>
        <w:tc>
          <w:tcPr>
            <w:tcW w:w="38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rPr>
              <w:t>774</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4,604</w:t>
            </w:r>
          </w:p>
        </w:tc>
        <w:tc>
          <w:tcPr>
            <w:tcW w:w="220" w:type="dxa"/>
            <w:vAlign w:val="bottom"/>
          </w:tcPr>
          <w:p>
            <w:pPr>
              <w:spacing w:after="0"/>
              <w:rPr>
                <w:sz w:val="18"/>
                <w:szCs w:val="18"/>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6,864</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In-process research &amp; development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ind w:left="3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22"/>
        </w:trPr>
        <w:tc>
          <w:tcPr>
            <w:tcW w:w="6660" w:type="dxa"/>
            <w:vAlign w:val="bottom"/>
          </w:tcPr>
          <w:p>
            <w:pPr>
              <w:ind w:left="2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(1,219)</w:t>
            </w:r>
          </w:p>
        </w:tc>
        <w:tc>
          <w:tcPr>
            <w:tcW w:w="20" w:type="dxa"/>
            <w:vAlign w:val="bottom"/>
          </w:tcPr>
          <w:p>
            <w:pPr>
              <w:spacing w:after="0"/>
              <w:rPr>
                <w:sz w:val="19"/>
                <w:szCs w:val="19"/>
                <w:color w:val="auto"/>
              </w:rPr>
            </w:pPr>
          </w:p>
        </w:tc>
        <w:tc>
          <w:tcPr>
            <w:tcW w:w="10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(1,219)</w:t>
            </w:r>
          </w:p>
        </w:tc>
      </w:tr>
      <w:tr>
        <w:trPr>
          <w:trHeight w:val="102"/>
        </w:trPr>
        <w:tc>
          <w:tcPr>
            <w:tcW w:w="6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6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Total operating expenses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71,999</w:t>
            </w:r>
          </w:p>
        </w:tc>
        <w:tc>
          <w:tcPr>
            <w:tcW w:w="38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32,398</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108,286</w:t>
            </w:r>
          </w:p>
        </w:tc>
        <w:tc>
          <w:tcPr>
            <w:tcW w:w="60" w:type="dxa"/>
            <w:vAlign w:val="bottom"/>
            <w:shd w:val="clear" w:color="auto" w:fill="CCEEFF"/>
          </w:tcPr>
          <w:p>
            <w:pPr>
              <w:spacing w:after="0"/>
              <w:rPr>
                <w:sz w:val="18"/>
                <w:szCs w:val="18"/>
                <w:color w:val="auto"/>
              </w:rPr>
            </w:pPr>
          </w:p>
        </w:tc>
      </w:tr>
      <w:tr>
        <w:trPr>
          <w:trHeight w:val="430"/>
        </w:trPr>
        <w:tc>
          <w:tcPr>
            <w:tcW w:w="6660" w:type="dxa"/>
            <w:vAlign w:val="bottom"/>
          </w:tcPr>
          <w:p>
            <w:pPr>
              <w:ind w:left="260"/>
              <w:spacing w:after="0"/>
              <w:rPr>
                <w:sz w:val="20"/>
                <w:szCs w:val="20"/>
                <w:color w:val="auto"/>
              </w:rPr>
            </w:pPr>
            <w:r>
              <w:rPr>
                <w:rFonts w:ascii="Arial" w:cs="Arial" w:eastAsia="Arial" w:hAnsi="Arial"/>
                <w:sz w:val="18"/>
                <w:szCs w:val="18"/>
                <w:color w:val="auto"/>
              </w:rPr>
              <w:t>Operating income/(loss)</w:t>
            </w: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25,860</w:t>
            </w:r>
          </w:p>
        </w:tc>
        <w:tc>
          <w:tcPr>
            <w:tcW w:w="380" w:type="dxa"/>
            <w:vAlign w:val="bottom"/>
          </w:tcPr>
          <w:p>
            <w:pPr>
              <w:spacing w:after="0"/>
              <w:rPr>
                <w:sz w:val="24"/>
                <w:szCs w:val="24"/>
                <w:color w:val="auto"/>
              </w:rPr>
            </w:pP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(18,924)</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gridSpan w:val="2"/>
          </w:tcPr>
          <w:p>
            <w:pPr>
              <w:jc w:val="right"/>
              <w:ind w:right="160"/>
              <w:spacing w:after="0"/>
              <w:rPr>
                <w:sz w:val="20"/>
                <w:szCs w:val="20"/>
                <w:color w:val="auto"/>
              </w:rPr>
            </w:pPr>
            <w:r>
              <w:rPr>
                <w:rFonts w:ascii="Arial" w:cs="Arial" w:eastAsia="Arial" w:hAnsi="Arial"/>
                <w:sz w:val="18"/>
                <w:szCs w:val="18"/>
                <w:color w:val="auto"/>
              </w:rPr>
              <w:t>(3,694)</w:t>
            </w: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3,242</w:t>
            </w:r>
          </w:p>
        </w:tc>
        <w:tc>
          <w:tcPr>
            <w:tcW w:w="60" w:type="dxa"/>
            <w:vAlign w:val="bottom"/>
          </w:tcPr>
          <w:p>
            <w:pPr>
              <w:spacing w:after="0"/>
              <w:rPr>
                <w:sz w:val="24"/>
                <w:szCs w:val="24"/>
                <w:color w:val="auto"/>
              </w:rPr>
            </w:pPr>
          </w:p>
        </w:tc>
      </w:tr>
      <w:tr>
        <w:trPr>
          <w:trHeight w:val="218"/>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income/(expense), net</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(4,494)</w:t>
            </w: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(2,701)</w:t>
            </w:r>
          </w:p>
        </w:tc>
        <w:tc>
          <w:tcPr>
            <w:tcW w:w="9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(6,602)</w:t>
            </w:r>
          </w:p>
        </w:tc>
      </w:tr>
      <w:tr>
        <w:trPr>
          <w:trHeight w:val="108"/>
        </w:trPr>
        <w:tc>
          <w:tcPr>
            <w:tcW w:w="6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Income/(loss) before income taxes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21,366</w:t>
            </w:r>
          </w:p>
        </w:tc>
        <w:tc>
          <w:tcPr>
            <w:tcW w:w="3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(18,331)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(6,395)</w:t>
            </w: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(3,360)</w:t>
            </w:r>
          </w:p>
        </w:tc>
      </w:tr>
      <w:tr>
        <w:trPr>
          <w:trHeight w:val="222"/>
        </w:trPr>
        <w:tc>
          <w:tcPr>
            <w:tcW w:w="6660" w:type="dxa"/>
            <w:vAlign w:val="bottom"/>
          </w:tcPr>
          <w:p>
            <w:pPr>
              <w:ind w:left="20"/>
              <w:spacing w:after="0"/>
              <w:rPr>
                <w:sz w:val="20"/>
                <w:szCs w:val="20"/>
                <w:color w:val="auto"/>
              </w:rPr>
            </w:pPr>
            <w:r>
              <w:rPr>
                <w:rFonts w:ascii="Arial" w:cs="Arial" w:eastAsia="Arial" w:hAnsi="Arial"/>
                <w:sz w:val="18"/>
                <w:szCs w:val="18"/>
                <w:color w:val="auto"/>
              </w:rPr>
              <w:t>Income tax (provision)/benefit</w:t>
            </w:r>
          </w:p>
        </w:tc>
        <w:tc>
          <w:tcPr>
            <w:tcW w:w="100" w:type="dxa"/>
            <w:vAlign w:val="bottom"/>
          </w:tcPr>
          <w:p>
            <w:pPr>
              <w:spacing w:after="0"/>
              <w:rPr>
                <w:sz w:val="19"/>
                <w:szCs w:val="19"/>
                <w:color w:val="auto"/>
              </w:rPr>
            </w:pPr>
          </w:p>
        </w:tc>
        <w:tc>
          <w:tcPr>
            <w:tcW w:w="960" w:type="dxa"/>
            <w:vAlign w:val="bottom"/>
            <w:gridSpan w:val="2"/>
          </w:tcPr>
          <w:p>
            <w:pPr>
              <w:jc w:val="right"/>
              <w:ind w:right="320"/>
              <w:spacing w:after="0"/>
              <w:rPr>
                <w:sz w:val="20"/>
                <w:szCs w:val="20"/>
                <w:color w:val="auto"/>
              </w:rPr>
            </w:pPr>
            <w:r>
              <w:rPr>
                <w:rFonts w:ascii="Arial" w:cs="Arial" w:eastAsia="Arial" w:hAnsi="Arial"/>
                <w:sz w:val="18"/>
                <w:szCs w:val="18"/>
                <w:color w:val="auto"/>
              </w:rPr>
              <w:t>(7,916)</w:t>
            </w:r>
          </w:p>
        </w:tc>
        <w:tc>
          <w:tcPr>
            <w:tcW w:w="20" w:type="dxa"/>
            <w:vAlign w:val="bottom"/>
          </w:tcPr>
          <w:p>
            <w:pPr>
              <w:spacing w:after="0"/>
              <w:rPr>
                <w:sz w:val="19"/>
                <w:szCs w:val="19"/>
                <w:color w:val="auto"/>
              </w:rPr>
            </w:pPr>
          </w:p>
        </w:tc>
        <w:tc>
          <w:tcPr>
            <w:tcW w:w="1040" w:type="dxa"/>
            <w:vAlign w:val="bottom"/>
            <w:gridSpan w:val="3"/>
          </w:tcPr>
          <w:p>
            <w:pPr>
              <w:ind w:left="3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9,210</w:t>
            </w:r>
          </w:p>
        </w:tc>
        <w:tc>
          <w:tcPr>
            <w:tcW w:w="220" w:type="dxa"/>
            <w:vAlign w:val="bottom"/>
          </w:tcPr>
          <w:p>
            <w:pPr>
              <w:spacing w:after="0"/>
              <w:rPr>
                <w:sz w:val="19"/>
                <w:szCs w:val="19"/>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1,294</w:t>
            </w:r>
          </w:p>
        </w:tc>
        <w:tc>
          <w:tcPr>
            <w:tcW w:w="60" w:type="dxa"/>
            <w:vAlign w:val="bottom"/>
          </w:tcPr>
          <w:p>
            <w:pPr>
              <w:spacing w:after="0"/>
              <w:rPr>
                <w:sz w:val="19"/>
                <w:szCs w:val="19"/>
                <w:color w:val="auto"/>
              </w:rPr>
            </w:pPr>
          </w:p>
        </w:tc>
      </w:tr>
      <w:tr>
        <w:trPr>
          <w:trHeight w:val="102"/>
        </w:trPr>
        <w:tc>
          <w:tcPr>
            <w:tcW w:w="666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Borders>
              <w:bottom w:val="single" w:sz="8" w:color="auto"/>
            </w:tcBorders>
          </w:tcPr>
          <w:p>
            <w:pPr>
              <w:spacing w:after="0"/>
              <w:rPr>
                <w:sz w:val="8"/>
                <w:szCs w:val="8"/>
                <w:color w:val="auto"/>
              </w:rPr>
            </w:pPr>
          </w:p>
        </w:tc>
        <w:tc>
          <w:tcPr>
            <w:tcW w:w="560" w:type="dxa"/>
            <w:vAlign w:val="bottom"/>
            <w:tcBorders>
              <w:bottom w:val="single" w:sz="8" w:color="auto"/>
            </w:tcBorders>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r>
      <w:tr>
        <w:trPr>
          <w:trHeight w:val="102"/>
        </w:trPr>
        <w:tc>
          <w:tcPr>
            <w:tcW w:w="6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3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5"/>
              </w:rPr>
              <w:t>$ (18,331)</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2,815</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(2,066)</w:t>
            </w:r>
          </w:p>
        </w:tc>
      </w:tr>
      <w:tr>
        <w:trPr>
          <w:trHeight w:val="430"/>
        </w:trPr>
        <w:tc>
          <w:tcPr>
            <w:tcW w:w="6660" w:type="dxa"/>
            <w:vAlign w:val="bottom"/>
          </w:tcPr>
          <w:p>
            <w:pPr>
              <w:ind w:left="20"/>
              <w:spacing w:after="0"/>
              <w:rPr>
                <w:sz w:val="20"/>
                <w:szCs w:val="20"/>
                <w:color w:val="auto"/>
              </w:rPr>
            </w:pPr>
            <w:r>
              <w:rPr>
                <w:rFonts w:ascii="Arial" w:cs="Arial" w:eastAsia="Arial" w:hAnsi="Arial"/>
                <w:sz w:val="18"/>
                <w:szCs w:val="18"/>
                <w:color w:val="auto"/>
              </w:rPr>
              <w:t>Dividend to preferred stock shareholders</w:t>
            </w:r>
          </w:p>
        </w:tc>
        <w:tc>
          <w:tcPr>
            <w:tcW w:w="100" w:type="dxa"/>
            <w:vAlign w:val="bottom"/>
          </w:tcPr>
          <w:p>
            <w:pPr>
              <w:spacing w:after="0"/>
              <w:rPr>
                <w:sz w:val="24"/>
                <w:szCs w:val="24"/>
                <w:color w:val="auto"/>
              </w:rPr>
            </w:pPr>
          </w:p>
        </w:tc>
        <w:tc>
          <w:tcPr>
            <w:tcW w:w="960" w:type="dxa"/>
            <w:vAlign w:val="bottom"/>
            <w:gridSpan w:val="2"/>
          </w:tcPr>
          <w:p>
            <w:pPr>
              <w:jc w:val="right"/>
              <w:ind w:right="460"/>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320"/>
              <w:spacing w:after="0"/>
              <w:rPr>
                <w:sz w:val="20"/>
                <w:szCs w:val="20"/>
                <w:color w:val="auto"/>
              </w:rPr>
            </w:pPr>
            <w:r>
              <w:rPr>
                <w:rFonts w:ascii="Arial" w:cs="Arial" w:eastAsia="Arial" w:hAnsi="Arial"/>
                <w:sz w:val="18"/>
                <w:szCs w:val="18"/>
                <w:color w:val="auto"/>
              </w:rPr>
              <w:t>(3,247)</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3,247</w:t>
            </w:r>
          </w:p>
        </w:tc>
        <w:tc>
          <w:tcPr>
            <w:tcW w:w="220" w:type="dxa"/>
            <w:vAlign w:val="bottom"/>
          </w:tcPr>
          <w:p>
            <w:pPr>
              <w:spacing w:after="0"/>
              <w:rPr>
                <w:sz w:val="24"/>
                <w:szCs w:val="24"/>
                <w:color w:val="auto"/>
              </w:rPr>
            </w:pPr>
          </w:p>
        </w:tc>
        <w:tc>
          <w:tcPr>
            <w:tcW w:w="940" w:type="dxa"/>
            <w:vAlign w:val="bottom"/>
          </w:tcPr>
          <w:p>
            <w:pPr>
              <w:ind w:left="1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110"/>
        </w:trPr>
        <w:tc>
          <w:tcPr>
            <w:tcW w:w="66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640" w:type="dxa"/>
            <w:vAlign w:val="bottom"/>
            <w:tcBorders>
              <w:bottom w:val="single" w:sz="8" w:color="auto"/>
            </w:tcBorders>
          </w:tcPr>
          <w:p>
            <w:pPr>
              <w:spacing w:after="0"/>
              <w:rPr>
                <w:sz w:val="9"/>
                <w:szCs w:val="9"/>
                <w:color w:val="auto"/>
              </w:rPr>
            </w:pPr>
          </w:p>
        </w:tc>
        <w:tc>
          <w:tcPr>
            <w:tcW w:w="380" w:type="dxa"/>
            <w:vAlign w:val="bottom"/>
          </w:tcPr>
          <w:p>
            <w:pPr>
              <w:spacing w:after="0"/>
              <w:rPr>
                <w:sz w:val="9"/>
                <w:szCs w:val="9"/>
                <w:color w:val="auto"/>
              </w:rPr>
            </w:pPr>
          </w:p>
        </w:tc>
        <w:tc>
          <w:tcPr>
            <w:tcW w:w="20" w:type="dxa"/>
            <w:vAlign w:val="bottom"/>
          </w:tcPr>
          <w:p>
            <w:pPr>
              <w:spacing w:after="0"/>
              <w:rPr>
                <w:sz w:val="9"/>
                <w:szCs w:val="9"/>
                <w:color w:val="auto"/>
              </w:rPr>
            </w:pPr>
          </w:p>
        </w:tc>
        <w:tc>
          <w:tcPr>
            <w:tcW w:w="180" w:type="dxa"/>
            <w:vAlign w:val="bottom"/>
            <w:tcBorders>
              <w:bottom w:val="single" w:sz="8" w:color="auto"/>
            </w:tcBorders>
          </w:tcPr>
          <w:p>
            <w:pPr>
              <w:spacing w:after="0"/>
              <w:rPr>
                <w:sz w:val="9"/>
                <w:szCs w:val="9"/>
                <w:color w:val="auto"/>
              </w:rPr>
            </w:pPr>
          </w:p>
        </w:tc>
        <w:tc>
          <w:tcPr>
            <w:tcW w:w="560" w:type="dxa"/>
            <w:vAlign w:val="bottom"/>
            <w:tcBorders>
              <w:bottom w:val="single" w:sz="8" w:color="auto"/>
            </w:tcBorders>
          </w:tcPr>
          <w:p>
            <w:pPr>
              <w:spacing w:after="0"/>
              <w:rPr>
                <w:sz w:val="9"/>
                <w:szCs w:val="9"/>
                <w:color w:val="auto"/>
              </w:rPr>
            </w:pPr>
          </w:p>
        </w:tc>
        <w:tc>
          <w:tcPr>
            <w:tcW w:w="2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60" w:type="dxa"/>
            <w:vAlign w:val="bottom"/>
          </w:tcPr>
          <w:p>
            <w:pPr>
              <w:spacing w:after="0"/>
              <w:rPr>
                <w:sz w:val="9"/>
                <w:szCs w:val="9"/>
                <w:color w:val="auto"/>
              </w:rPr>
            </w:pPr>
          </w:p>
        </w:tc>
      </w:tr>
      <w:tr>
        <w:trPr>
          <w:trHeight w:val="102"/>
        </w:trPr>
        <w:tc>
          <w:tcPr>
            <w:tcW w:w="666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640" w:type="dxa"/>
            <w:vAlign w:val="bottom"/>
          </w:tcPr>
          <w:p>
            <w:pPr>
              <w:spacing w:after="0"/>
              <w:rPr>
                <w:sz w:val="8"/>
                <w:szCs w:val="8"/>
                <w:color w:val="auto"/>
              </w:rPr>
            </w:pPr>
          </w:p>
        </w:tc>
        <w:tc>
          <w:tcPr>
            <w:tcW w:w="380" w:type="dxa"/>
            <w:vAlign w:val="bottom"/>
          </w:tcPr>
          <w:p>
            <w:pPr>
              <w:spacing w:after="0"/>
              <w:rPr>
                <w:sz w:val="8"/>
                <w:szCs w:val="8"/>
                <w:color w:val="auto"/>
              </w:rPr>
            </w:pPr>
          </w:p>
        </w:tc>
        <w:tc>
          <w:tcPr>
            <w:tcW w:w="20" w:type="dxa"/>
            <w:vAlign w:val="bottom"/>
          </w:tcPr>
          <w:p>
            <w:pPr>
              <w:spacing w:after="0"/>
              <w:rPr>
                <w:sz w:val="8"/>
                <w:szCs w:val="8"/>
                <w:color w:val="auto"/>
              </w:rPr>
            </w:pPr>
          </w:p>
        </w:tc>
        <w:tc>
          <w:tcPr>
            <w:tcW w:w="180" w:type="dxa"/>
            <w:vAlign w:val="bottom"/>
          </w:tcPr>
          <w:p>
            <w:pPr>
              <w:spacing w:after="0"/>
              <w:rPr>
                <w:sz w:val="8"/>
                <w:szCs w:val="8"/>
                <w:color w:val="auto"/>
              </w:rPr>
            </w:pPr>
          </w:p>
        </w:tc>
        <w:tc>
          <w:tcPr>
            <w:tcW w:w="560" w:type="dxa"/>
            <w:vAlign w:val="bottom"/>
          </w:tcPr>
          <w:p>
            <w:pPr>
              <w:spacing w:after="0"/>
              <w:rPr>
                <w:sz w:val="8"/>
                <w:szCs w:val="8"/>
                <w:color w:val="auto"/>
              </w:rPr>
            </w:pPr>
          </w:p>
        </w:tc>
        <w:tc>
          <w:tcPr>
            <w:tcW w:w="220" w:type="dxa"/>
            <w:vAlign w:val="bottom"/>
          </w:tcPr>
          <w:p>
            <w:pPr>
              <w:spacing w:after="0"/>
              <w:rPr>
                <w:sz w:val="8"/>
                <w:szCs w:val="8"/>
                <w:color w:val="auto"/>
              </w:rPr>
            </w:pPr>
          </w:p>
        </w:tc>
        <w:tc>
          <w:tcPr>
            <w:tcW w:w="94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income/(loss) available to common shareholders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13,450</w:t>
            </w:r>
          </w:p>
        </w:tc>
        <w:tc>
          <w:tcPr>
            <w:tcW w:w="3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w w:val="85"/>
              </w:rPr>
              <w:t>$ (21,578)</w:t>
            </w: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6,062</w:t>
            </w: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(2,066)</w:t>
            </w:r>
          </w:p>
        </w:tc>
      </w:tr>
      <w:tr>
        <w:trPr>
          <w:trHeight w:val="132"/>
        </w:trPr>
        <w:tc>
          <w:tcPr>
            <w:tcW w:w="66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640" w:type="dxa"/>
            <w:vAlign w:val="bottom"/>
            <w:tcBorders>
              <w:bottom w:val="single" w:sz="8" w:color="auto"/>
            </w:tcBorders>
          </w:tcPr>
          <w:p>
            <w:pPr>
              <w:spacing w:after="0"/>
              <w:rPr>
                <w:sz w:val="11"/>
                <w:szCs w:val="11"/>
                <w:color w:val="auto"/>
              </w:rPr>
            </w:pPr>
          </w:p>
        </w:tc>
        <w:tc>
          <w:tcPr>
            <w:tcW w:w="38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c>
          <w:tcPr>
            <w:tcW w:w="560" w:type="dxa"/>
            <w:vAlign w:val="bottom"/>
            <w:tcBorders>
              <w:bottom w:val="single" w:sz="8" w:color="auto"/>
            </w:tcBorders>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r>
      <w:tr>
        <w:trPr>
          <w:trHeight w:val="321"/>
        </w:trPr>
        <w:tc>
          <w:tcPr>
            <w:tcW w:w="6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60" w:type="dxa"/>
            <w:vAlign w:val="bottom"/>
          </w:tcPr>
          <w:p>
            <w:pPr>
              <w:spacing w:after="0"/>
              <w:rPr>
                <w:sz w:val="24"/>
                <w:szCs w:val="24"/>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income/(loss) per common share</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(0.13)</w:t>
            </w:r>
          </w:p>
        </w:tc>
      </w:tr>
      <w:tr>
        <w:trPr>
          <w:trHeight w:val="222"/>
        </w:trPr>
        <w:tc>
          <w:tcPr>
            <w:tcW w:w="6660" w:type="dxa"/>
            <w:vAlign w:val="bottom"/>
          </w:tcPr>
          <w:p>
            <w:pPr>
              <w:ind w:left="20"/>
              <w:spacing w:after="0"/>
              <w:rPr>
                <w:sz w:val="20"/>
                <w:szCs w:val="20"/>
                <w:color w:val="auto"/>
              </w:rPr>
            </w:pPr>
            <w:r>
              <w:rPr>
                <w:rFonts w:ascii="Arial" w:cs="Arial" w:eastAsia="Arial" w:hAnsi="Arial"/>
                <w:sz w:val="18"/>
                <w:szCs w:val="18"/>
                <w:color w:val="auto"/>
              </w:rPr>
              <w:t>Diluted net income/(loss) per common share</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.75</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(0.13)</w:t>
            </w:r>
          </w:p>
        </w:tc>
      </w:tr>
      <w:tr>
        <w:trPr>
          <w:trHeight w:val="210"/>
        </w:trPr>
        <w:tc>
          <w:tcPr>
            <w:tcW w:w="6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shares used to compute net income per common share</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r>
      <w:tr>
        <w:trPr>
          <w:trHeight w:val="216"/>
        </w:trPr>
        <w:tc>
          <w:tcPr>
            <w:tcW w:w="6660" w:type="dxa"/>
            <w:vAlign w:val="bottom"/>
          </w:tcPr>
          <w:p>
            <w:pPr>
              <w:ind w:left="260"/>
              <w:spacing w:after="0"/>
              <w:rPr>
                <w:sz w:val="20"/>
                <w:szCs w:val="20"/>
                <w:color w:val="auto"/>
              </w:rPr>
            </w:pPr>
            <w:r>
              <w:rPr>
                <w:rFonts w:ascii="Arial" w:cs="Arial" w:eastAsia="Arial" w:hAnsi="Arial"/>
                <w:sz w:val="18"/>
                <w:szCs w:val="18"/>
                <w:color w:val="auto"/>
              </w:rPr>
              <w:t>Basic</w:t>
            </w: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15,639</w:t>
            </w: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15,639</w:t>
            </w:r>
          </w:p>
        </w:tc>
        <w:tc>
          <w:tcPr>
            <w:tcW w:w="60" w:type="dxa"/>
            <w:vAlign w:val="bottom"/>
          </w:tcPr>
          <w:p>
            <w:pPr>
              <w:spacing w:after="0"/>
              <w:rPr>
                <w:sz w:val="18"/>
                <w:szCs w:val="18"/>
                <w:color w:val="auto"/>
              </w:rPr>
            </w:pPr>
          </w:p>
        </w:tc>
      </w:tr>
      <w:tr>
        <w:trPr>
          <w:trHeight w:val="216"/>
        </w:trPr>
        <w:tc>
          <w:tcPr>
            <w:tcW w:w="66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Diluted</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18,834</w:t>
            </w: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15,639</w:t>
            </w:r>
          </w:p>
        </w:tc>
        <w:tc>
          <w:tcPr>
            <w:tcW w:w="6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4231005</wp:posOffset>
            </wp:positionH>
            <wp:positionV relativeFrom="paragraph">
              <wp:posOffset>-1056005</wp:posOffset>
            </wp:positionV>
            <wp:extent cx="12700" cy="298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4282440</wp:posOffset>
            </wp:positionH>
            <wp:positionV relativeFrom="paragraph">
              <wp:posOffset>-1056005</wp:posOffset>
            </wp:positionV>
            <wp:extent cx="21590" cy="298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4651375</wp:posOffset>
            </wp:positionH>
            <wp:positionV relativeFrom="paragraph">
              <wp:posOffset>-1056005</wp:posOffset>
            </wp:positionV>
            <wp:extent cx="38735" cy="298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4908550</wp:posOffset>
            </wp:positionH>
            <wp:positionV relativeFrom="paragraph">
              <wp:posOffset>-1056005</wp:posOffset>
            </wp:positionV>
            <wp:extent cx="12700" cy="298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4959985</wp:posOffset>
            </wp:positionH>
            <wp:positionV relativeFrom="paragraph">
              <wp:posOffset>-1056005</wp:posOffset>
            </wp:positionV>
            <wp:extent cx="21590" cy="298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5311775</wp:posOffset>
            </wp:positionH>
            <wp:positionV relativeFrom="paragraph">
              <wp:posOffset>-1056005</wp:posOffset>
            </wp:positionV>
            <wp:extent cx="38735" cy="298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5568950</wp:posOffset>
            </wp:positionH>
            <wp:positionV relativeFrom="paragraph">
              <wp:posOffset>-1056005</wp:posOffset>
            </wp:positionV>
            <wp:extent cx="12700" cy="2984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5637530</wp:posOffset>
            </wp:positionH>
            <wp:positionV relativeFrom="paragraph">
              <wp:posOffset>-1056005</wp:posOffset>
            </wp:positionV>
            <wp:extent cx="21590" cy="2984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6031865</wp:posOffset>
            </wp:positionH>
            <wp:positionV relativeFrom="paragraph">
              <wp:posOffset>-1056005</wp:posOffset>
            </wp:positionV>
            <wp:extent cx="38735" cy="2984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6777990</wp:posOffset>
            </wp:positionH>
            <wp:positionV relativeFrom="paragraph">
              <wp:posOffset>-1056005</wp:posOffset>
            </wp:positionV>
            <wp:extent cx="12700" cy="2984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6829425</wp:posOffset>
            </wp:positionH>
            <wp:positionV relativeFrom="paragraph">
              <wp:posOffset>-1056005</wp:posOffset>
            </wp:positionV>
            <wp:extent cx="21590" cy="2984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7198360</wp:posOffset>
            </wp:positionH>
            <wp:positionV relativeFrom="paragraph">
              <wp:posOffset>-1056005</wp:posOffset>
            </wp:positionV>
            <wp:extent cx="38735" cy="2984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unaudited pro forma condensed consolidated financial information.</w:t>
      </w:r>
    </w:p>
    <w:p>
      <w:pPr>
        <w:sectPr>
          <w:pgSz w:w="11900" w:h="16838" w:orient="portrait"/>
          <w:cols w:equalWidth="0" w:num="1">
            <w:col w:w="11420"/>
          </w:cols>
          <w:pgMar w:left="240" w:top="274" w:right="239" w:bottom="1440" w:gutter="0" w:footer="0" w:header="0"/>
        </w:sectPr>
      </w:pPr>
    </w:p>
    <w:bookmarkStart w:id="52" w:name="page53"/>
    <w:bookmarkEnd w:id="52"/>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67575" cy="27940"/>
                    </a:xfrm>
                    <a:prstGeom prst="rect">
                      <a:avLst/>
                    </a:prstGeom>
                    <a:noFill/>
                  </pic:spPr>
                </pic:pic>
              </a:graphicData>
            </a:graphic>
          </wp:anchor>
        </w:drawing>
        <w:t>Notes to Unaudited Pro Forma Condensed Consolidated Financial Information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Purchase Price</w:t>
      </w:r>
    </w:p>
    <w:p>
      <w:pPr>
        <w:spacing w:after="0" w:line="83"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On March 4, 2003, Itron acquired Silicon for $71.2 million, plus other amounts (see below), of which Itron financed $50 million with a three year term loan. The interest on the term loan at closing was 3.8125% and will vary according to market rates and the Company’s consolidated leverage ratio. The amount of consideration is subject to a working capital adjustment that will be finalized within 45 days from closing. At closing, no working capital adjustment was deemed necessary. If a working capital adjustment is required, the amount of considerations will be adjusted accordingly.</w:t>
      </w:r>
    </w:p>
    <w:p>
      <w:pPr>
        <w:spacing w:after="0" w:line="99"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The unaudited condensed consolidated financial information reflects a preliminary allocation of the purchase price and represents Itron’s expectations of the significant tangible and intangible assets and liabilities that will be recognized in connection with the acquisition. The estimated fair values of the assets and liabilities are preliminary and are subject to future adjustments. The significant items which could change are intangible assets, deferred tax assets and goodwill. The valuations of the intangible assets are dependent on a report by an independent appraiser that has not yet been finalized. Deferred tax assets are subject to the completion of a tax study.</w:t>
      </w:r>
    </w:p>
    <w:p>
      <w:pPr>
        <w:spacing w:after="0" w:line="129" w:lineRule="exact"/>
        <w:rPr>
          <w:sz w:val="20"/>
          <w:szCs w:val="20"/>
          <w:color w:val="auto"/>
        </w:rPr>
      </w:pPr>
    </w:p>
    <w:p>
      <w:pPr>
        <w:spacing w:after="0"/>
        <w:rPr>
          <w:sz w:val="20"/>
          <w:szCs w:val="20"/>
          <w:color w:val="auto"/>
        </w:rPr>
      </w:pPr>
      <w:r>
        <w:rPr>
          <w:rFonts w:ascii="Arial" w:cs="Arial" w:eastAsia="Arial" w:hAnsi="Arial"/>
          <w:sz w:val="16"/>
          <w:szCs w:val="16"/>
          <w:color w:val="auto"/>
        </w:rPr>
        <w:t>The preliminary purchase price, which includes estimated direct transaction costs and other consideration, is summarized as follows (in thousands):</w:t>
      </w:r>
    </w:p>
    <w:p>
      <w:pPr>
        <w:spacing w:after="0" w:line="189" w:lineRule="exact"/>
        <w:rPr>
          <w:sz w:val="20"/>
          <w:szCs w:val="20"/>
          <w:color w:val="auto"/>
        </w:rPr>
      </w:pPr>
    </w:p>
    <w:tbl>
      <w:tblPr>
        <w:tblLayout w:type="fixed"/>
        <w:tblInd w:w="1440" w:type="dxa"/>
        <w:tblCellMar>
          <w:top w:w="0" w:type="dxa"/>
          <w:left w:w="0" w:type="dxa"/>
          <w:bottom w:w="0" w:type="dxa"/>
          <w:right w:w="0" w:type="dxa"/>
        </w:tblCellMar>
      </w:tblP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Cash paid</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$71,200</w:t>
            </w:r>
          </w:p>
        </w:tc>
        <w:tc>
          <w:tcPr>
            <w:tcW w:w="20" w:type="dxa"/>
            <w:vAlign w:val="bottom"/>
          </w:tcPr>
          <w:p>
            <w:pPr>
              <w:spacing w:after="0"/>
              <w:rPr>
                <w:sz w:val="18"/>
                <w:szCs w:val="18"/>
                <w:color w:val="auto"/>
              </w:rPr>
            </w:pPr>
          </w:p>
        </w:tc>
      </w:tr>
      <w:tr>
        <w:trPr>
          <w:trHeight w:val="216"/>
        </w:trPr>
        <w:tc>
          <w:tcPr>
            <w:tcW w:w="7960" w:type="dxa"/>
            <w:vAlign w:val="bottom"/>
          </w:tcPr>
          <w:p>
            <w:pPr>
              <w:spacing w:after="0"/>
              <w:rPr>
                <w:sz w:val="20"/>
                <w:szCs w:val="20"/>
                <w:color w:val="auto"/>
              </w:rPr>
            </w:pPr>
            <w:r>
              <w:rPr>
                <w:rFonts w:ascii="Arial" w:cs="Arial" w:eastAsia="Arial" w:hAnsi="Arial"/>
                <w:sz w:val="18"/>
                <w:szCs w:val="18"/>
                <w:color w:val="auto"/>
              </w:rPr>
              <w:t>Initial net working capital adjustment</w:t>
            </w:r>
          </w:p>
        </w:tc>
        <w:tc>
          <w:tcPr>
            <w:tcW w:w="580" w:type="dxa"/>
            <w:vAlign w:val="bottom"/>
          </w:tcPr>
          <w:p>
            <w:pPr>
              <w:jc w:val="right"/>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r>
      <w:tr>
        <w:trPr>
          <w:trHeight w:val="216"/>
        </w:trPr>
        <w:tc>
          <w:tcPr>
            <w:tcW w:w="7960" w:type="dxa"/>
            <w:vAlign w:val="bottom"/>
            <w:shd w:val="clear" w:color="auto" w:fill="CCEEFF"/>
          </w:tcPr>
          <w:p>
            <w:pPr>
              <w:spacing w:after="0"/>
              <w:rPr>
                <w:sz w:val="20"/>
                <w:szCs w:val="20"/>
                <w:color w:val="auto"/>
              </w:rPr>
            </w:pPr>
            <w:r>
              <w:rPr>
                <w:rFonts w:ascii="Arial" w:cs="Arial" w:eastAsia="Arial" w:hAnsi="Arial"/>
                <w:sz w:val="18"/>
                <w:szCs w:val="18"/>
                <w:color w:val="auto"/>
              </w:rPr>
              <w:t>Additional consideration paid to Silicon employees</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1,975</w:t>
            </w:r>
          </w:p>
        </w:tc>
        <w:tc>
          <w:tcPr>
            <w:tcW w:w="20" w:type="dxa"/>
            <w:vAlign w:val="bottom"/>
          </w:tcPr>
          <w:p>
            <w:pPr>
              <w:spacing w:after="0"/>
              <w:rPr>
                <w:sz w:val="18"/>
                <w:szCs w:val="18"/>
                <w:color w:val="auto"/>
              </w:rPr>
            </w:pPr>
          </w:p>
        </w:tc>
      </w:tr>
      <w:tr>
        <w:trPr>
          <w:trHeight w:val="222"/>
        </w:trPr>
        <w:tc>
          <w:tcPr>
            <w:tcW w:w="7960" w:type="dxa"/>
            <w:vAlign w:val="bottom"/>
          </w:tcPr>
          <w:p>
            <w:pPr>
              <w:spacing w:after="0"/>
              <w:rPr>
                <w:sz w:val="20"/>
                <w:szCs w:val="20"/>
                <w:color w:val="auto"/>
              </w:rPr>
            </w:pPr>
            <w:r>
              <w:rPr>
                <w:rFonts w:ascii="Arial" w:cs="Arial" w:eastAsia="Arial" w:hAnsi="Arial"/>
                <w:sz w:val="18"/>
                <w:szCs w:val="18"/>
                <w:color w:val="auto"/>
              </w:rPr>
              <w:t>Estimated direct transaction costs</w:t>
            </w:r>
          </w:p>
        </w:tc>
        <w:tc>
          <w:tcPr>
            <w:tcW w:w="580" w:type="dxa"/>
            <w:vAlign w:val="bottom"/>
          </w:tcPr>
          <w:p>
            <w:pPr>
              <w:jc w:val="right"/>
              <w:spacing w:after="0"/>
              <w:rPr>
                <w:sz w:val="20"/>
                <w:szCs w:val="20"/>
                <w:color w:val="auto"/>
              </w:rPr>
            </w:pPr>
            <w:r>
              <w:rPr>
                <w:rFonts w:ascii="Arial" w:cs="Arial" w:eastAsia="Arial" w:hAnsi="Arial"/>
                <w:sz w:val="18"/>
                <w:szCs w:val="18"/>
                <w:color w:val="auto"/>
              </w:rPr>
              <w:t>1,270</w:t>
            </w:r>
          </w:p>
        </w:tc>
        <w:tc>
          <w:tcPr>
            <w:tcW w:w="20" w:type="dxa"/>
            <w:vAlign w:val="bottom"/>
          </w:tcPr>
          <w:p>
            <w:pPr>
              <w:spacing w:after="0"/>
              <w:rPr>
                <w:sz w:val="19"/>
                <w:szCs w:val="19"/>
                <w:color w:val="auto"/>
              </w:rPr>
            </w:pPr>
          </w:p>
        </w:tc>
      </w:tr>
      <w:tr>
        <w:trPr>
          <w:trHeight w:val="102"/>
        </w:trPr>
        <w:tc>
          <w:tcPr>
            <w:tcW w:w="7960" w:type="dxa"/>
            <w:vAlign w:val="bottom"/>
          </w:tcPr>
          <w:p>
            <w:pPr>
              <w:spacing w:after="0"/>
              <w:rPr>
                <w:sz w:val="8"/>
                <w:szCs w:val="8"/>
                <w:color w:val="auto"/>
              </w:rPr>
            </w:pPr>
          </w:p>
        </w:tc>
        <w:tc>
          <w:tcPr>
            <w:tcW w:w="580" w:type="dxa"/>
            <w:vAlign w:val="bottom"/>
            <w:tcBorders>
              <w:bottom w:val="single" w:sz="8" w:color="auto"/>
            </w:tcBorders>
          </w:tcPr>
          <w:p>
            <w:pPr>
              <w:spacing w:after="0"/>
              <w:rPr>
                <w:sz w:val="8"/>
                <w:szCs w:val="8"/>
                <w:color w:val="auto"/>
              </w:rPr>
            </w:pPr>
          </w:p>
        </w:tc>
        <w:tc>
          <w:tcPr>
            <w:tcW w:w="20" w:type="dxa"/>
            <w:vAlign w:val="bottom"/>
          </w:tcPr>
          <w:p>
            <w:pPr>
              <w:spacing w:after="0"/>
              <w:rPr>
                <w:sz w:val="8"/>
                <w:szCs w:val="8"/>
                <w:color w:val="auto"/>
              </w:rPr>
            </w:pPr>
          </w:p>
        </w:tc>
      </w:tr>
      <w:tr>
        <w:trPr>
          <w:trHeight w:val="102"/>
        </w:trPr>
        <w:tc>
          <w:tcPr>
            <w:tcW w:w="79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r>
      <w:tr>
        <w:trPr>
          <w:trHeight w:val="216"/>
        </w:trPr>
        <w:tc>
          <w:tcPr>
            <w:tcW w:w="79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$74,445</w:t>
            </w:r>
          </w:p>
        </w:tc>
        <w:tc>
          <w:tcPr>
            <w:tcW w:w="20" w:type="dxa"/>
            <w:vAlign w:val="bottom"/>
          </w:tcPr>
          <w:p>
            <w:pPr>
              <w:spacing w:after="0"/>
              <w:rPr>
                <w:sz w:val="18"/>
                <w:szCs w:val="18"/>
                <w:color w:val="auto"/>
              </w:rPr>
            </w:pPr>
          </w:p>
        </w:tc>
      </w:tr>
      <w:tr>
        <w:trPr>
          <w:trHeight w:val="132"/>
        </w:trPr>
        <w:tc>
          <w:tcPr>
            <w:tcW w:w="7960" w:type="dxa"/>
            <w:vAlign w:val="bottom"/>
          </w:tcPr>
          <w:p>
            <w:pPr>
              <w:spacing w:after="0"/>
              <w:rPr>
                <w:sz w:val="11"/>
                <w:szCs w:val="11"/>
                <w:color w:val="auto"/>
              </w:rPr>
            </w:pPr>
          </w:p>
        </w:tc>
        <w:tc>
          <w:tcPr>
            <w:tcW w:w="58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5971540</wp:posOffset>
            </wp:positionH>
            <wp:positionV relativeFrom="paragraph">
              <wp:posOffset>-29210</wp:posOffset>
            </wp:positionV>
            <wp:extent cx="12700" cy="2984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-29210</wp:posOffset>
            </wp:positionV>
            <wp:extent cx="12700" cy="2984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-29210</wp:posOffset>
            </wp:positionV>
            <wp:extent cx="21590" cy="2984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21590" cy="29845"/>
                    </a:xfrm>
                    <a:prstGeom prst="rect">
                      <a:avLst/>
                    </a:prstGeom>
                    <a:noFill/>
                  </pic:spPr>
                </pic:pic>
              </a:graphicData>
            </a:graphic>
          </wp:anchor>
        </w:drawing>
      </w:r>
    </w:p>
    <w:p>
      <w:pPr>
        <w:spacing w:after="0" w:line="225" w:lineRule="exact"/>
        <w:rPr>
          <w:sz w:val="20"/>
          <w:szCs w:val="20"/>
          <w:color w:val="auto"/>
        </w:rPr>
      </w:pPr>
    </w:p>
    <w:p>
      <w:pPr>
        <w:ind w:right="560"/>
        <w:spacing w:after="0" w:line="268" w:lineRule="auto"/>
        <w:rPr>
          <w:sz w:val="20"/>
          <w:szCs w:val="20"/>
          <w:color w:val="auto"/>
        </w:rPr>
      </w:pPr>
      <w:r>
        <w:rPr>
          <w:rFonts w:ascii="Arial" w:cs="Arial" w:eastAsia="Arial" w:hAnsi="Arial"/>
          <w:sz w:val="18"/>
          <w:szCs w:val="18"/>
          <w:color w:val="auto"/>
        </w:rPr>
        <w:t>For pro forma purposes only, assuming the transaction was consummated on September 30, 2002 and not on the actual closing date of March 4, 2003, the preliminary allocation of the purchase price would be as follows (in thousands):</w:t>
      </w:r>
    </w:p>
    <w:p>
      <w:pPr>
        <w:spacing w:after="0" w:line="12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4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current assets and liabilities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Property, plant and equipment</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1,102</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9,259</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w w:val="83"/>
              </w:rPr>
              <w:t>17,500</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45,635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1440" w:type="dxa"/>
            <w:vAlign w:val="bottom"/>
          </w:tcPr>
          <w:p>
            <w:pPr>
              <w:spacing w:after="0"/>
              <w:rPr>
                <w:sz w:val="19"/>
                <w:szCs w:val="19"/>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Other long-term liabilities</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gridSpan w:val="2"/>
          </w:tcPr>
          <w:p>
            <w:pPr>
              <w:jc w:val="right"/>
              <w:spacing w:after="0"/>
              <w:rPr>
                <w:sz w:val="20"/>
                <w:szCs w:val="20"/>
                <w:color w:val="auto"/>
              </w:rPr>
            </w:pPr>
            <w:r>
              <w:rPr>
                <w:rFonts w:ascii="Arial" w:cs="Arial" w:eastAsia="Arial" w:hAnsi="Arial"/>
                <w:sz w:val="18"/>
                <w:szCs w:val="18"/>
                <w:color w:val="auto"/>
              </w:rPr>
              <w:t>(904)</w:t>
            </w: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Borders>
              <w:bottom w:val="single" w:sz="8" w:color="auto"/>
            </w:tcBorders>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assets acquired</w:t>
            </w: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3"/>
              </w:rPr>
              <w:t>74,445</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7800" w:type="dxa"/>
            <w:vAlign w:val="bottom"/>
            <w:gridSpan w:val="2"/>
            <w:vMerge w:val="restart"/>
          </w:tcPr>
          <w:p>
            <w:pPr>
              <w:spacing w:after="0"/>
              <w:rPr>
                <w:sz w:val="20"/>
                <w:szCs w:val="20"/>
                <w:color w:val="auto"/>
              </w:rPr>
            </w:pPr>
            <w:r>
              <w:rPr>
                <w:rFonts w:ascii="Arial" w:cs="Arial" w:eastAsia="Arial" w:hAnsi="Arial"/>
                <w:sz w:val="18"/>
                <w:szCs w:val="18"/>
                <w:color w:val="auto"/>
                <w:w w:val="91"/>
              </w:rPr>
              <w:t>The excess of the purchase price over the fair value of net assets acquired has been classified as goodwill.</w:t>
            </w: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Borders>
              <w:bottom w:val="single" w:sz="8" w:color="auto"/>
            </w:tcBorders>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7"/>
        </w:trPr>
        <w:tc>
          <w:tcPr>
            <w:tcW w:w="780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7800" w:type="dxa"/>
            <w:vAlign w:val="bottom"/>
            <w:gridSpan w:val="2"/>
          </w:tcPr>
          <w:p>
            <w:pPr>
              <w:spacing w:after="0"/>
              <w:rPr>
                <w:sz w:val="20"/>
                <w:szCs w:val="20"/>
                <w:color w:val="auto"/>
              </w:rPr>
            </w:pPr>
            <w:r>
              <w:rPr>
                <w:rFonts w:ascii="Arial" w:cs="Arial" w:eastAsia="Arial" w:hAnsi="Arial"/>
                <w:sz w:val="18"/>
                <w:szCs w:val="18"/>
                <w:color w:val="auto"/>
              </w:rPr>
              <w:t>Preliminary intangible assets are comprised of the following (in thousands):</w:t>
            </w: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6"/>
        </w:trPr>
        <w:tc>
          <w:tcPr>
            <w:tcW w:w="1440" w:type="dxa"/>
            <w:vAlign w:val="bottom"/>
          </w:tcPr>
          <w:p>
            <w:pPr>
              <w:spacing w:after="0"/>
              <w:rPr>
                <w:sz w:val="24"/>
                <w:szCs w:val="24"/>
                <w:color w:val="auto"/>
              </w:rPr>
            </w:pPr>
          </w:p>
        </w:tc>
        <w:tc>
          <w:tcPr>
            <w:tcW w:w="6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5"/>
              </w:rPr>
              <w:t>Weighted Average</w:t>
            </w:r>
          </w:p>
        </w:tc>
        <w:tc>
          <w:tcPr>
            <w:tcW w:w="0" w:type="dxa"/>
            <w:vAlign w:val="bottom"/>
          </w:tcPr>
          <w:p>
            <w:pPr>
              <w:spacing w:after="0"/>
              <w:rPr>
                <w:sz w:val="1"/>
                <w:szCs w:val="1"/>
                <w:color w:val="auto"/>
              </w:rPr>
            </w:pPr>
          </w:p>
        </w:tc>
      </w:tr>
      <w:tr>
        <w:trPr>
          <w:trHeight w:val="174"/>
        </w:trPr>
        <w:tc>
          <w:tcPr>
            <w:tcW w:w="1440" w:type="dxa"/>
            <w:vAlign w:val="bottom"/>
          </w:tcPr>
          <w:p>
            <w:pPr>
              <w:spacing w:after="0"/>
              <w:rPr>
                <w:sz w:val="15"/>
                <w:szCs w:val="15"/>
                <w:color w:val="auto"/>
              </w:rPr>
            </w:pPr>
          </w:p>
        </w:tc>
        <w:tc>
          <w:tcPr>
            <w:tcW w:w="6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60" w:type="dxa"/>
            <w:vAlign w:val="bottom"/>
            <w:gridSpan w:val="4"/>
          </w:tcPr>
          <w:p>
            <w:pPr>
              <w:jc w:val="center"/>
              <w:spacing w:after="0"/>
              <w:rPr>
                <w:sz w:val="20"/>
                <w:szCs w:val="20"/>
                <w:color w:val="auto"/>
              </w:rPr>
            </w:pPr>
            <w:r>
              <w:rPr>
                <w:rFonts w:ascii="Arial" w:cs="Arial" w:eastAsia="Arial" w:hAnsi="Arial"/>
                <w:sz w:val="14"/>
                <w:szCs w:val="14"/>
                <w:b w:val="1"/>
                <w:bCs w:val="1"/>
                <w:color w:val="auto"/>
                <w:w w:val="88"/>
              </w:rPr>
              <w:t>Useful Life (in months)</w:t>
            </w:r>
          </w:p>
        </w:tc>
        <w:tc>
          <w:tcPr>
            <w:tcW w:w="0" w:type="dxa"/>
            <w:vAlign w:val="bottom"/>
          </w:tcPr>
          <w:p>
            <w:pPr>
              <w:spacing w:after="0"/>
              <w:rPr>
                <w:sz w:val="1"/>
                <w:szCs w:val="1"/>
                <w:color w:val="auto"/>
              </w:rPr>
            </w:pPr>
          </w:p>
        </w:tc>
      </w:tr>
      <w:tr>
        <w:trPr>
          <w:trHeight w:val="95"/>
        </w:trPr>
        <w:tc>
          <w:tcPr>
            <w:tcW w:w="14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Borders>
              <w:bottom w:val="single" w:sz="8" w:color="auto"/>
            </w:tcBorders>
            <w:gridSpan w:val="2"/>
          </w:tcPr>
          <w:p>
            <w:pPr>
              <w:spacing w:after="0"/>
              <w:rPr>
                <w:sz w:val="8"/>
                <w:szCs w:val="8"/>
                <w:color w:val="auto"/>
              </w:rPr>
            </w:pPr>
          </w:p>
        </w:tc>
        <w:tc>
          <w:tcPr>
            <w:tcW w:w="480" w:type="dxa"/>
            <w:vAlign w:val="bottom"/>
            <w:tcBorders>
              <w:bottom w:val="single" w:sz="8" w:color="auto"/>
            </w:tcBorders>
          </w:tcPr>
          <w:p>
            <w:pPr>
              <w:spacing w:after="0"/>
              <w:rPr>
                <w:sz w:val="8"/>
                <w:szCs w:val="8"/>
                <w:color w:val="auto"/>
              </w:rPr>
            </w:pPr>
          </w:p>
        </w:tc>
        <w:tc>
          <w:tcPr>
            <w:tcW w:w="60" w:type="dxa"/>
            <w:vAlign w:val="bottom"/>
            <w:tcBorders>
              <w:bottom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In-process research and development</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3"/>
              </w:rPr>
              <w:t>$ 1,200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476"/>
              <w:spacing w:after="0"/>
              <w:rPr>
                <w:sz w:val="20"/>
                <w:szCs w:val="20"/>
                <w:color w:val="auto"/>
              </w:rPr>
            </w:pPr>
            <w:r>
              <w:rPr>
                <w:rFonts w:ascii="Arial" w:cs="Arial" w:eastAsia="Arial" w:hAnsi="Arial"/>
                <w:sz w:val="18"/>
                <w:szCs w:val="18"/>
                <w:color w:val="auto"/>
              </w:rPr>
              <w:t>NA</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Core developed technology</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5,900</w:t>
            </w:r>
          </w:p>
        </w:tc>
        <w:tc>
          <w:tcPr>
            <w:tcW w:w="240" w:type="dxa"/>
            <w:vAlign w:val="bottom"/>
          </w:tcPr>
          <w:p>
            <w:pPr>
              <w:spacing w:after="0"/>
              <w:rPr>
                <w:sz w:val="18"/>
                <w:szCs w:val="18"/>
                <w:color w:val="auto"/>
              </w:rPr>
            </w:pPr>
          </w:p>
        </w:tc>
        <w:tc>
          <w:tcPr>
            <w:tcW w:w="820" w:type="dxa"/>
            <w:vAlign w:val="bottom"/>
            <w:gridSpan w:val="2"/>
          </w:tcPr>
          <w:p>
            <w:pPr>
              <w:jc w:val="center"/>
              <w:ind w:left="476"/>
              <w:spacing w:after="0"/>
              <w:rPr>
                <w:sz w:val="20"/>
                <w:szCs w:val="20"/>
                <w:color w:val="auto"/>
              </w:rPr>
            </w:pPr>
            <w:r>
              <w:rPr>
                <w:rFonts w:ascii="Arial" w:cs="Arial" w:eastAsia="Arial" w:hAnsi="Arial"/>
                <w:sz w:val="18"/>
                <w:szCs w:val="18"/>
                <w:color w:val="auto"/>
                <w:w w:val="89"/>
              </w:rPr>
              <w:t>27</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3,400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476"/>
              <w:spacing w:after="0"/>
              <w:rPr>
                <w:sz w:val="20"/>
                <w:szCs w:val="20"/>
                <w:color w:val="auto"/>
              </w:rPr>
            </w:pPr>
            <w:r>
              <w:rPr>
                <w:rFonts w:ascii="Arial" w:cs="Arial" w:eastAsia="Arial" w:hAnsi="Arial"/>
                <w:sz w:val="18"/>
                <w:szCs w:val="18"/>
                <w:color w:val="auto"/>
                <w:w w:val="89"/>
              </w:rPr>
              <w:t>33</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Customer backlog</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2,500</w:t>
            </w:r>
          </w:p>
        </w:tc>
        <w:tc>
          <w:tcPr>
            <w:tcW w:w="240" w:type="dxa"/>
            <w:vAlign w:val="bottom"/>
          </w:tcPr>
          <w:p>
            <w:pPr>
              <w:spacing w:after="0"/>
              <w:rPr>
                <w:sz w:val="18"/>
                <w:szCs w:val="18"/>
                <w:color w:val="auto"/>
              </w:rPr>
            </w:pPr>
          </w:p>
        </w:tc>
        <w:tc>
          <w:tcPr>
            <w:tcW w:w="820" w:type="dxa"/>
            <w:vAlign w:val="bottom"/>
            <w:gridSpan w:val="2"/>
          </w:tcPr>
          <w:p>
            <w:pPr>
              <w:jc w:val="center"/>
              <w:ind w:left="476"/>
              <w:spacing w:after="0"/>
              <w:rPr>
                <w:sz w:val="20"/>
                <w:szCs w:val="20"/>
                <w:color w:val="auto"/>
              </w:rPr>
            </w:pPr>
            <w:r>
              <w:rPr>
                <w:rFonts w:ascii="Arial" w:cs="Arial" w:eastAsia="Arial" w:hAnsi="Arial"/>
                <w:sz w:val="18"/>
                <w:szCs w:val="18"/>
                <w:color w:val="auto"/>
                <w:w w:val="89"/>
              </w:rPr>
              <w:t>14</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 names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476"/>
              <w:spacing w:after="0"/>
              <w:rPr>
                <w:sz w:val="20"/>
                <w:szCs w:val="20"/>
                <w:color w:val="auto"/>
              </w:rPr>
            </w:pPr>
            <w:r>
              <w:rPr>
                <w:rFonts w:ascii="Arial" w:cs="Arial" w:eastAsia="Arial" w:hAnsi="Arial"/>
                <w:sz w:val="18"/>
                <w:szCs w:val="18"/>
                <w:color w:val="auto"/>
                <w:w w:val="89"/>
              </w:rPr>
              <w:t>40</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360" w:type="dxa"/>
            <w:vAlign w:val="bottom"/>
          </w:tcPr>
          <w:p>
            <w:pPr>
              <w:spacing w:after="0"/>
              <w:rPr>
                <w:sz w:val="20"/>
                <w:szCs w:val="20"/>
                <w:color w:val="auto"/>
              </w:rPr>
            </w:pPr>
            <w:r>
              <w:rPr>
                <w:rFonts w:ascii="Arial" w:cs="Arial" w:eastAsia="Arial" w:hAnsi="Arial"/>
                <w:sz w:val="18"/>
                <w:szCs w:val="18"/>
                <w:color w:val="auto"/>
              </w:rPr>
              <w:t>Partner relationships</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1,200</w:t>
            </w:r>
          </w:p>
        </w:tc>
        <w:tc>
          <w:tcPr>
            <w:tcW w:w="240" w:type="dxa"/>
            <w:vAlign w:val="bottom"/>
          </w:tcPr>
          <w:p>
            <w:pPr>
              <w:spacing w:after="0"/>
              <w:rPr>
                <w:sz w:val="18"/>
                <w:szCs w:val="18"/>
                <w:color w:val="auto"/>
              </w:rPr>
            </w:pPr>
          </w:p>
        </w:tc>
        <w:tc>
          <w:tcPr>
            <w:tcW w:w="820" w:type="dxa"/>
            <w:vAlign w:val="bottom"/>
            <w:gridSpan w:val="2"/>
          </w:tcPr>
          <w:p>
            <w:pPr>
              <w:jc w:val="center"/>
              <w:ind w:left="476"/>
              <w:spacing w:after="0"/>
              <w:rPr>
                <w:sz w:val="20"/>
                <w:szCs w:val="20"/>
                <w:color w:val="auto"/>
              </w:rPr>
            </w:pPr>
            <w:r>
              <w:rPr>
                <w:rFonts w:ascii="Arial" w:cs="Arial" w:eastAsia="Arial" w:hAnsi="Arial"/>
                <w:sz w:val="18"/>
                <w:szCs w:val="18"/>
                <w:color w:val="auto"/>
                <w:w w:val="89"/>
              </w:rPr>
              <w:t>13</w:t>
            </w:r>
          </w:p>
        </w:tc>
        <w:tc>
          <w:tcPr>
            <w:tcW w:w="4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Maintenance contracts renewals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1,100</w:t>
            </w:r>
          </w:p>
        </w:tc>
        <w:tc>
          <w:tcPr>
            <w:tcW w:w="2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center"/>
              <w:ind w:left="476"/>
              <w:spacing w:after="0"/>
              <w:rPr>
                <w:sz w:val="20"/>
                <w:szCs w:val="20"/>
                <w:color w:val="auto"/>
              </w:rPr>
            </w:pPr>
            <w:r>
              <w:rPr>
                <w:rFonts w:ascii="Arial" w:cs="Arial" w:eastAsia="Arial" w:hAnsi="Arial"/>
                <w:sz w:val="18"/>
                <w:szCs w:val="18"/>
                <w:color w:val="auto"/>
                <w:w w:val="89"/>
              </w:rPr>
              <w:t>34</w:t>
            </w: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08"/>
        </w:trPr>
        <w:tc>
          <w:tcPr>
            <w:tcW w:w="1440" w:type="dxa"/>
            <w:vAlign w:val="bottom"/>
          </w:tcPr>
          <w:p>
            <w:pPr>
              <w:spacing w:after="0"/>
              <w:rPr>
                <w:sz w:val="9"/>
                <w:szCs w:val="9"/>
                <w:color w:val="auto"/>
              </w:rPr>
            </w:pPr>
          </w:p>
        </w:tc>
        <w:tc>
          <w:tcPr>
            <w:tcW w:w="6360" w:type="dxa"/>
            <w:vAlign w:val="bottom"/>
          </w:tcPr>
          <w:p>
            <w:pPr>
              <w:spacing w:after="0"/>
              <w:rPr>
                <w:sz w:val="9"/>
                <w:szCs w:val="9"/>
                <w:color w:val="auto"/>
              </w:rPr>
            </w:pPr>
          </w:p>
        </w:tc>
        <w:tc>
          <w:tcPr>
            <w:tcW w:w="100" w:type="dxa"/>
            <w:vAlign w:val="bottom"/>
            <w:tcBorders>
              <w:bottom w:val="single" w:sz="8" w:color="auto"/>
            </w:tcBorders>
          </w:tcPr>
          <w:p>
            <w:pPr>
              <w:spacing w:after="0"/>
              <w:rPr>
                <w:sz w:val="9"/>
                <w:szCs w:val="9"/>
                <w:color w:val="auto"/>
              </w:rPr>
            </w:pPr>
          </w:p>
        </w:tc>
        <w:tc>
          <w:tcPr>
            <w:tcW w:w="480" w:type="dxa"/>
            <w:vAlign w:val="bottom"/>
            <w:tcBorders>
              <w:bottom w:val="single" w:sz="8" w:color="auto"/>
            </w:tcBorders>
          </w:tcPr>
          <w:p>
            <w:pPr>
              <w:spacing w:after="0"/>
              <w:rPr>
                <w:sz w:val="9"/>
                <w:szCs w:val="9"/>
                <w:color w:val="auto"/>
              </w:rPr>
            </w:pPr>
          </w:p>
        </w:tc>
        <w:tc>
          <w:tcPr>
            <w:tcW w:w="240" w:type="dxa"/>
            <w:vAlign w:val="bottom"/>
          </w:tcPr>
          <w:p>
            <w:pPr>
              <w:spacing w:after="0"/>
              <w:rPr>
                <w:sz w:val="9"/>
                <w:szCs w:val="9"/>
                <w:color w:val="auto"/>
              </w:rPr>
            </w:pPr>
          </w:p>
        </w:tc>
        <w:tc>
          <w:tcPr>
            <w:tcW w:w="720" w:type="dxa"/>
            <w:vAlign w:val="bottom"/>
          </w:tcPr>
          <w:p>
            <w:pPr>
              <w:spacing w:after="0"/>
              <w:rPr>
                <w:sz w:val="9"/>
                <w:szCs w:val="9"/>
                <w:color w:val="auto"/>
              </w:rPr>
            </w:pPr>
          </w:p>
        </w:tc>
        <w:tc>
          <w:tcPr>
            <w:tcW w:w="100" w:type="dxa"/>
            <w:vAlign w:val="bottom"/>
          </w:tcPr>
          <w:p>
            <w:pPr>
              <w:spacing w:after="0"/>
              <w:rPr>
                <w:sz w:val="9"/>
                <w:szCs w:val="9"/>
                <w:color w:val="auto"/>
              </w:rPr>
            </w:pPr>
          </w:p>
        </w:tc>
        <w:tc>
          <w:tcPr>
            <w:tcW w:w="480" w:type="dxa"/>
            <w:vAlign w:val="bottom"/>
          </w:tcPr>
          <w:p>
            <w:pPr>
              <w:spacing w:after="0"/>
              <w:rPr>
                <w:sz w:val="9"/>
                <w:szCs w:val="9"/>
                <w:color w:val="auto"/>
              </w:rPr>
            </w:pPr>
          </w:p>
        </w:tc>
        <w:tc>
          <w:tcPr>
            <w:tcW w:w="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1440" w:type="dxa"/>
            <w:vAlign w:val="bottom"/>
          </w:tcPr>
          <w:p>
            <w:pPr>
              <w:spacing w:after="0"/>
              <w:rPr>
                <w:sz w:val="8"/>
                <w:szCs w:val="8"/>
                <w:color w:val="auto"/>
              </w:rPr>
            </w:pPr>
          </w:p>
        </w:tc>
        <w:tc>
          <w:tcPr>
            <w:tcW w:w="636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240" w:type="dxa"/>
            <w:vAlign w:val="bottom"/>
          </w:tcPr>
          <w:p>
            <w:pPr>
              <w:spacing w:after="0"/>
              <w:rPr>
                <w:sz w:val="8"/>
                <w:szCs w:val="8"/>
                <w:color w:val="auto"/>
              </w:rPr>
            </w:pPr>
          </w:p>
        </w:tc>
        <w:tc>
          <w:tcPr>
            <w:tcW w:w="720" w:type="dxa"/>
            <w:vAlign w:val="bottom"/>
          </w:tcPr>
          <w:p>
            <w:pPr>
              <w:spacing w:after="0"/>
              <w:rPr>
                <w:sz w:val="8"/>
                <w:szCs w:val="8"/>
                <w:color w:val="auto"/>
              </w:rPr>
            </w:pPr>
          </w:p>
        </w:tc>
        <w:tc>
          <w:tcPr>
            <w:tcW w:w="100" w:type="dxa"/>
            <w:vAlign w:val="bottom"/>
          </w:tcPr>
          <w:p>
            <w:pPr>
              <w:spacing w:after="0"/>
              <w:rPr>
                <w:sz w:val="8"/>
                <w:szCs w:val="8"/>
                <w:color w:val="auto"/>
              </w:rPr>
            </w:pPr>
          </w:p>
        </w:tc>
        <w:tc>
          <w:tcPr>
            <w:tcW w:w="480" w:type="dxa"/>
            <w:vAlign w:val="bottom"/>
          </w:tcPr>
          <w:p>
            <w:pPr>
              <w:spacing w:after="0"/>
              <w:rPr>
                <w:sz w:val="8"/>
                <w:szCs w:val="8"/>
                <w:color w:val="auto"/>
              </w:rPr>
            </w:pPr>
          </w:p>
        </w:tc>
        <w:tc>
          <w:tcPr>
            <w:tcW w:w="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6360" w:type="dxa"/>
            <w:vAlign w:val="bottom"/>
            <w:shd w:val="clear" w:color="auto" w:fill="CCEEFF"/>
          </w:tcPr>
          <w:p>
            <w:pPr>
              <w:ind w:left="260"/>
              <w:spacing w:after="0"/>
              <w:rPr>
                <w:sz w:val="20"/>
                <w:szCs w:val="20"/>
                <w:color w:val="auto"/>
              </w:rPr>
            </w:pPr>
            <w:r>
              <w:rPr>
                <w:rFonts w:ascii="Arial" w:cs="Arial" w:eastAsia="Arial" w:hAnsi="Arial"/>
                <w:sz w:val="18"/>
                <w:szCs w:val="18"/>
                <w:color w:val="auto"/>
              </w:rPr>
              <w:t>Total intangible assets</w:t>
            </w:r>
          </w:p>
        </w:tc>
        <w:tc>
          <w:tcPr>
            <w:tcW w:w="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6"/>
              </w:rPr>
              <w:t>$17,500</w:t>
            </w:r>
          </w:p>
        </w:tc>
        <w:tc>
          <w:tcPr>
            <w:tcW w:w="24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29"/>
        </w:trPr>
        <w:tc>
          <w:tcPr>
            <w:tcW w:w="1440" w:type="dxa"/>
            <w:vAlign w:val="bottom"/>
          </w:tcPr>
          <w:p>
            <w:pPr>
              <w:spacing w:after="0"/>
              <w:rPr>
                <w:sz w:val="11"/>
                <w:szCs w:val="11"/>
                <w:color w:val="auto"/>
              </w:rPr>
            </w:pPr>
          </w:p>
        </w:tc>
        <w:tc>
          <w:tcPr>
            <w:tcW w:w="6360" w:type="dxa"/>
            <w:vAlign w:val="bottom"/>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5928995</wp:posOffset>
            </wp:positionH>
            <wp:positionV relativeFrom="paragraph">
              <wp:posOffset>-2325370</wp:posOffset>
            </wp:positionV>
            <wp:extent cx="12700" cy="2984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5980430</wp:posOffset>
            </wp:positionH>
            <wp:positionV relativeFrom="paragraph">
              <wp:posOffset>-2325370</wp:posOffset>
            </wp:positionV>
            <wp:extent cx="21590" cy="2984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6289040</wp:posOffset>
            </wp:positionH>
            <wp:positionV relativeFrom="paragraph">
              <wp:posOffset>-2325370</wp:posOffset>
            </wp:positionV>
            <wp:extent cx="38735" cy="2984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8735" cy="29845"/>
                    </a:xfrm>
                    <a:prstGeom prst="rect">
                      <a:avLst/>
                    </a:prstGeom>
                    <a:noFill/>
                  </pic:spPr>
                </pic:pic>
              </a:graphicData>
            </a:graphic>
          </wp:anchor>
        </w:drawing>
        <w:drawing>
          <wp:anchor simplePos="0" relativeHeight="251657728" behindDoc="1" locked="0" layoutInCell="0" allowOverlap="1">
            <wp:simplePos x="0" y="0"/>
            <wp:positionH relativeFrom="column">
              <wp:posOffset>4951095</wp:posOffset>
            </wp:positionH>
            <wp:positionV relativeFrom="paragraph">
              <wp:posOffset>-27305</wp:posOffset>
            </wp:positionV>
            <wp:extent cx="372745" cy="2984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372745" cy="29845"/>
                    </a:xfrm>
                    <a:prstGeom prst="rect">
                      <a:avLst/>
                    </a:prstGeom>
                    <a:noFill/>
                  </pic:spPr>
                </pic:pic>
              </a:graphicData>
            </a:graphic>
          </wp:anchor>
        </w:drawing>
      </w:r>
    </w:p>
    <w:p>
      <w:pPr>
        <w:sectPr>
          <w:pgSz w:w="11900" w:h="16838" w:orient="portrait"/>
          <w:cols w:equalWidth="0" w:num="1">
            <w:col w:w="11360"/>
          </w:cols>
          <w:pgMar w:left="240" w:top="274" w:right="299" w:bottom="1440" w:gutter="0" w:footer="0" w:header="0"/>
        </w:sectPr>
      </w:pPr>
    </w:p>
    <w:bookmarkStart w:id="53" w:name="page54"/>
    <w:bookmarkEnd w:id="53"/>
    <w:p>
      <w:pPr>
        <w:ind w:right="100"/>
        <w:spacing w:after="0" w:line="332"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The preliminary values assigned to the identifiable intangible assets were determined using the income approach by an independent appraiser. Under the income approach, the fair value reflects the present value of the projected cash flows that are expected to be generated by the products.</w:t>
      </w:r>
    </w:p>
    <w:p>
      <w:pPr>
        <w:spacing w:after="0" w:line="72" w:lineRule="exact"/>
        <w:rPr>
          <w:sz w:val="20"/>
          <w:szCs w:val="20"/>
          <w:color w:val="auto"/>
        </w:rPr>
      </w:pPr>
    </w:p>
    <w:p>
      <w:pPr>
        <w:ind w:right="600"/>
        <w:spacing w:after="0" w:line="268" w:lineRule="auto"/>
        <w:rPr>
          <w:sz w:val="20"/>
          <w:szCs w:val="20"/>
          <w:color w:val="auto"/>
        </w:rPr>
      </w:pPr>
      <w:r>
        <w:rPr>
          <w:rFonts w:ascii="Arial" w:cs="Arial" w:eastAsia="Arial" w:hAnsi="Arial"/>
          <w:sz w:val="18"/>
          <w:szCs w:val="18"/>
          <w:color w:val="auto"/>
        </w:rPr>
        <w:t>In-process research and development was written off to expense immediately after closing on March 4, 2003 (See Note 3). Other intangible assets will be amortized over the lives of the estimated discounted cash flows assumed in the valuation models.</w:t>
      </w:r>
    </w:p>
    <w:p>
      <w:pPr>
        <w:spacing w:after="0" w:line="118"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pro forma condensed consolidated financial information is intended for information purposes only, and does not purport to represent what the combined companies’ results of operations or financial position would actually have been had the transaction in fact occurred at an earlier date, or project the results for any future date or period.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Pro Forma Adjustments</w:t>
      </w:r>
    </w:p>
    <w:p>
      <w:pPr>
        <w:spacing w:after="0" w:line="83"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The following adjustments are reflected in the unaudited pro forma condensed combined balance sheet and unaudited pro forma condensed combined statements of operations to reflect the estimated impact of the merger on the historical combined results of Itron and Silicon:</w:t>
      </w:r>
    </w:p>
    <w:p>
      <w:pPr>
        <w:spacing w:after="0" w:line="118"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To record the purchase price cash payment.</w:t>
      </w:r>
    </w:p>
    <w:p>
      <w:pPr>
        <w:spacing w:after="0" w:line="157" w:lineRule="exact"/>
        <w:rPr>
          <w:rFonts w:ascii="Arial" w:cs="Arial" w:eastAsia="Arial" w:hAnsi="Arial"/>
          <w:sz w:val="18"/>
          <w:szCs w:val="18"/>
          <w:color w:val="auto"/>
        </w:rPr>
      </w:pPr>
    </w:p>
    <w:p>
      <w:pPr>
        <w:ind w:left="900" w:hanging="446"/>
        <w:spacing w:after="0" w:line="259" w:lineRule="auto"/>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following pro forma adjustments reflect the allocation of the excess purchase price to the assets and liabilities of Silicon. The adjustments reflect the difference between the book value and fair value of the acquired assets and liabilities assuming the acquisition was consummated on September 30, 2002 (in thousands).</w:t>
      </w:r>
    </w:p>
    <w:p>
      <w:pPr>
        <w:spacing w:after="0" w:line="135"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Total consideration</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74,445</w:t>
            </w:r>
          </w:p>
        </w:tc>
        <w:tc>
          <w:tcPr>
            <w:tcW w:w="200" w:type="dxa"/>
            <w:vAlign w:val="bottom"/>
            <w:shd w:val="clear" w:color="auto" w:fill="CCEEFF"/>
          </w:tcPr>
          <w:p>
            <w:pPr>
              <w:spacing w:after="0"/>
              <w:rPr>
                <w:sz w:val="18"/>
                <w:szCs w:val="18"/>
                <w:color w:val="auto"/>
              </w:rPr>
            </w:pPr>
          </w:p>
        </w:tc>
      </w:tr>
      <w:tr>
        <w:trPr>
          <w:trHeight w:val="222"/>
        </w:trPr>
        <w:tc>
          <w:tcPr>
            <w:tcW w:w="7560" w:type="dxa"/>
            <w:vAlign w:val="bottom"/>
          </w:tcPr>
          <w:p>
            <w:pPr>
              <w:spacing w:after="0"/>
              <w:rPr>
                <w:sz w:val="20"/>
                <w:szCs w:val="20"/>
                <w:color w:val="auto"/>
              </w:rPr>
            </w:pPr>
            <w:r>
              <w:rPr>
                <w:rFonts w:ascii="Arial" w:cs="Arial" w:eastAsia="Arial" w:hAnsi="Arial"/>
                <w:sz w:val="18"/>
                <w:szCs w:val="18"/>
                <w:color w:val="auto"/>
              </w:rPr>
              <w:t>Book value of Silicon</w:t>
            </w:r>
          </w:p>
        </w:tc>
        <w:tc>
          <w:tcPr>
            <w:tcW w:w="66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(331)</w:t>
            </w:r>
          </w:p>
        </w:tc>
      </w:tr>
      <w:tr>
        <w:trPr>
          <w:trHeight w:val="102"/>
        </w:trPr>
        <w:tc>
          <w:tcPr>
            <w:tcW w:w="7560" w:type="dxa"/>
            <w:vAlign w:val="bottom"/>
          </w:tcPr>
          <w:p>
            <w:pPr>
              <w:spacing w:after="0"/>
              <w:rPr>
                <w:sz w:val="8"/>
                <w:szCs w:val="8"/>
                <w:color w:val="auto"/>
              </w:rPr>
            </w:pPr>
          </w:p>
        </w:tc>
        <w:tc>
          <w:tcPr>
            <w:tcW w:w="660" w:type="dxa"/>
            <w:vAlign w:val="bottom"/>
            <w:tcBorders>
              <w:bottom w:val="single" w:sz="8" w:color="auto"/>
            </w:tcBorders>
          </w:tcPr>
          <w:p>
            <w:pPr>
              <w:spacing w:after="0"/>
              <w:rPr>
                <w:sz w:val="8"/>
                <w:szCs w:val="8"/>
                <w:color w:val="auto"/>
              </w:rPr>
            </w:pPr>
          </w:p>
        </w:tc>
        <w:tc>
          <w:tcPr>
            <w:tcW w:w="1040" w:type="dxa"/>
            <w:vAlign w:val="bottom"/>
            <w:tcBorders>
              <w:bottom w:val="single" w:sz="8" w:color="auto"/>
            </w:tcBorders>
          </w:tcPr>
          <w:p>
            <w:pPr>
              <w:spacing w:after="0"/>
              <w:rPr>
                <w:sz w:val="8"/>
                <w:szCs w:val="8"/>
                <w:color w:val="auto"/>
              </w:rPr>
            </w:pPr>
          </w:p>
        </w:tc>
        <w:tc>
          <w:tcPr>
            <w:tcW w:w="200" w:type="dxa"/>
            <w:vAlign w:val="bottom"/>
          </w:tcPr>
          <w:p>
            <w:pPr>
              <w:spacing w:after="0"/>
              <w:rPr>
                <w:sz w:val="8"/>
                <w:szCs w:val="8"/>
                <w:color w:val="auto"/>
              </w:rPr>
            </w:pPr>
          </w:p>
        </w:tc>
      </w:tr>
      <w:tr>
        <w:trPr>
          <w:trHeight w:val="102"/>
        </w:trPr>
        <w:tc>
          <w:tcPr>
            <w:tcW w:w="75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200" w:type="dxa"/>
            <w:vAlign w:val="bottom"/>
          </w:tcPr>
          <w:p>
            <w:pPr>
              <w:spacing w:after="0"/>
              <w:rPr>
                <w:sz w:val="8"/>
                <w:szCs w:val="8"/>
                <w:color w:val="auto"/>
              </w:rPr>
            </w:pPr>
          </w:p>
        </w:tc>
      </w:tr>
      <w:tr>
        <w:trPr>
          <w:trHeight w:val="216"/>
        </w:trPr>
        <w:tc>
          <w:tcPr>
            <w:tcW w:w="7560" w:type="dxa"/>
            <w:vAlign w:val="bottom"/>
            <w:shd w:val="clear" w:color="auto" w:fill="CCEEFF"/>
          </w:tcPr>
          <w:p>
            <w:pPr>
              <w:spacing w:after="0"/>
              <w:rPr>
                <w:sz w:val="20"/>
                <w:szCs w:val="20"/>
                <w:color w:val="auto"/>
              </w:rPr>
            </w:pPr>
            <w:r>
              <w:rPr>
                <w:rFonts w:ascii="Arial" w:cs="Arial" w:eastAsia="Arial" w:hAnsi="Arial"/>
                <w:sz w:val="18"/>
                <w:szCs w:val="18"/>
                <w:color w:val="auto"/>
              </w:rPr>
              <w:t>Excess consideration</w:t>
            </w:r>
          </w:p>
        </w:tc>
        <w:tc>
          <w:tcPr>
            <w:tcW w:w="660" w:type="dxa"/>
            <w:vAlign w:val="bottom"/>
            <w:shd w:val="clear" w:color="auto" w:fill="CCEEFF"/>
          </w:tcPr>
          <w:p>
            <w:pPr>
              <w:jc w:val="right"/>
              <w:ind w:right="472"/>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74,776</w:t>
            </w:r>
          </w:p>
        </w:tc>
        <w:tc>
          <w:tcPr>
            <w:tcW w:w="200" w:type="dxa"/>
            <w:vAlign w:val="bottom"/>
            <w:shd w:val="clear" w:color="auto" w:fill="CCEEFF"/>
          </w:tcPr>
          <w:p>
            <w:pPr>
              <w:spacing w:after="0"/>
              <w:rPr>
                <w:sz w:val="18"/>
                <w:szCs w:val="18"/>
                <w:color w:val="auto"/>
              </w:rPr>
            </w:pPr>
          </w:p>
        </w:tc>
      </w:tr>
      <w:tr>
        <w:trPr>
          <w:trHeight w:val="132"/>
        </w:trPr>
        <w:tc>
          <w:tcPr>
            <w:tcW w:w="7560" w:type="dxa"/>
            <w:vAlign w:val="bottom"/>
          </w:tcPr>
          <w:p>
            <w:pPr>
              <w:spacing w:after="0"/>
              <w:rPr>
                <w:sz w:val="11"/>
                <w:szCs w:val="11"/>
                <w:color w:val="auto"/>
              </w:rPr>
            </w:pPr>
          </w:p>
        </w:tc>
        <w:tc>
          <w:tcPr>
            <w:tcW w:w="66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tcPr>
          <w:p>
            <w:pPr>
              <w:spacing w:after="0"/>
              <w:rPr>
                <w:sz w:val="11"/>
                <w:szCs w:val="11"/>
                <w:color w:val="auto"/>
              </w:rPr>
            </w:pPr>
          </w:p>
        </w:tc>
        <w:tc>
          <w:tcPr>
            <w:tcW w:w="200" w:type="dxa"/>
            <w:vAlign w:val="bottom"/>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5422900</wp:posOffset>
            </wp:positionH>
            <wp:positionV relativeFrom="paragraph">
              <wp:posOffset>-29210</wp:posOffset>
            </wp:positionV>
            <wp:extent cx="12700" cy="2984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5586095</wp:posOffset>
            </wp:positionH>
            <wp:positionV relativeFrom="paragraph">
              <wp:posOffset>-29210</wp:posOffset>
            </wp:positionV>
            <wp:extent cx="21590" cy="2984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6494780</wp:posOffset>
            </wp:positionH>
            <wp:positionV relativeFrom="paragraph">
              <wp:posOffset>-29210</wp:posOffset>
            </wp:positionV>
            <wp:extent cx="38735" cy="2984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pacing w:after="0" w:line="225" w:lineRule="exact"/>
        <w:rPr>
          <w:sz w:val="20"/>
          <w:szCs w:val="20"/>
          <w:color w:val="auto"/>
        </w:rPr>
      </w:pPr>
    </w:p>
    <w:p>
      <w:pPr>
        <w:ind w:left="900"/>
        <w:spacing w:after="0"/>
        <w:rPr>
          <w:sz w:val="20"/>
          <w:szCs w:val="20"/>
          <w:color w:val="auto"/>
        </w:rPr>
      </w:pPr>
      <w:r>
        <w:rPr>
          <w:rFonts w:ascii="Arial" w:cs="Arial" w:eastAsia="Arial" w:hAnsi="Arial"/>
          <w:sz w:val="18"/>
          <w:szCs w:val="18"/>
          <w:color w:val="auto"/>
        </w:rPr>
        <w:t>The excess purchase price has been allocated as follows (in thousands):</w:t>
      </w:r>
    </w:p>
    <w:p>
      <w:pPr>
        <w:spacing w:after="0" w:line="166" w:lineRule="exact"/>
        <w:rPr>
          <w:sz w:val="20"/>
          <w:szCs w:val="20"/>
          <w:color w:val="auto"/>
        </w:rPr>
      </w:pPr>
    </w:p>
    <w:tbl>
      <w:tblPr>
        <w:tblLayout w:type="fixed"/>
        <w:tblInd w:w="98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a.</w:t>
            </w:r>
          </w:p>
        </w:tc>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Prepaid expenses</w:t>
            </w:r>
          </w:p>
        </w:tc>
        <w:tc>
          <w:tcPr>
            <w:tcW w:w="5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71"/>
              </w:rPr>
              <w:t>$</w:t>
            </w: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(809)</w:t>
            </w:r>
          </w:p>
        </w:tc>
        <w:tc>
          <w:tcPr>
            <w:tcW w:w="0" w:type="dxa"/>
            <w:vAlign w:val="bottom"/>
          </w:tcPr>
          <w:p>
            <w:pPr>
              <w:spacing w:after="0"/>
              <w:rPr>
                <w:sz w:val="1"/>
                <w:szCs w:val="1"/>
                <w:color w:val="auto"/>
              </w:rPr>
            </w:pPr>
          </w:p>
        </w:tc>
      </w:tr>
      <w:tr>
        <w:trPr>
          <w:trHeight w:val="430"/>
        </w:trPr>
        <w:tc>
          <w:tcPr>
            <w:tcW w:w="280" w:type="dxa"/>
            <w:vAlign w:val="bottom"/>
            <w:gridSpan w:val="2"/>
          </w:tcPr>
          <w:p>
            <w:pPr>
              <w:spacing w:after="0"/>
              <w:rPr>
                <w:sz w:val="20"/>
                <w:szCs w:val="20"/>
                <w:color w:val="auto"/>
              </w:rPr>
            </w:pPr>
            <w:r>
              <w:rPr>
                <w:rFonts w:ascii="Arial" w:cs="Arial" w:eastAsia="Arial" w:hAnsi="Arial"/>
                <w:sz w:val="18"/>
                <w:szCs w:val="18"/>
                <w:color w:val="auto"/>
              </w:rPr>
              <w:t>b.</w:t>
            </w:r>
          </w:p>
        </w:tc>
        <w:tc>
          <w:tcPr>
            <w:tcW w:w="7520" w:type="dxa"/>
            <w:vAlign w:val="bottom"/>
            <w:gridSpan w:val="2"/>
          </w:tcPr>
          <w:p>
            <w:pPr>
              <w:ind w:left="140"/>
              <w:spacing w:after="0"/>
              <w:rPr>
                <w:sz w:val="20"/>
                <w:szCs w:val="20"/>
                <w:color w:val="auto"/>
              </w:rPr>
            </w:pPr>
            <w:r>
              <w:rPr>
                <w:rFonts w:ascii="Arial" w:cs="Arial" w:eastAsia="Arial" w:hAnsi="Arial"/>
                <w:sz w:val="18"/>
                <w:szCs w:val="18"/>
                <w:color w:val="auto"/>
              </w:rPr>
              <w:t>Property, plant and equipment fair value adjustment</w:t>
            </w:r>
          </w:p>
        </w:tc>
        <w:tc>
          <w:tcPr>
            <w:tcW w:w="540" w:type="dxa"/>
            <w:vAlign w:val="bottom"/>
          </w:tcPr>
          <w:p>
            <w:pPr>
              <w:spacing w:after="0"/>
              <w:rPr>
                <w:sz w:val="24"/>
                <w:szCs w:val="24"/>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c.</w:t>
            </w:r>
          </w:p>
        </w:tc>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Acquired intangible assets</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520" w:type="dxa"/>
            <w:vAlign w:val="bottom"/>
            <w:gridSpan w:val="2"/>
          </w:tcPr>
          <w:p>
            <w:pPr>
              <w:ind w:left="140"/>
              <w:spacing w:after="0"/>
              <w:rPr>
                <w:sz w:val="20"/>
                <w:szCs w:val="20"/>
                <w:color w:val="auto"/>
              </w:rPr>
            </w:pPr>
            <w:r>
              <w:rPr>
                <w:rFonts w:ascii="Arial" w:cs="Arial" w:eastAsia="Arial" w:hAnsi="Arial"/>
                <w:sz w:val="18"/>
                <w:szCs w:val="18"/>
                <w:color w:val="auto"/>
              </w:rPr>
              <w:t>Eliminate Silicon’s intangible assets</w:t>
            </w:r>
          </w:p>
        </w:tc>
        <w:tc>
          <w:tcPr>
            <w:tcW w:w="54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(1,356)</w:t>
            </w: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Borders>
              <w:bottom w:val="single" w:sz="8" w:color="auto"/>
            </w:tcBorders>
          </w:tcPr>
          <w:p>
            <w:pPr>
              <w:spacing w:after="0"/>
              <w:rPr>
                <w:sz w:val="8"/>
                <w:szCs w:val="8"/>
                <w:color w:val="auto"/>
              </w:rPr>
            </w:pPr>
          </w:p>
        </w:tc>
        <w:tc>
          <w:tcPr>
            <w:tcW w:w="960" w:type="dxa"/>
            <w:vAlign w:val="bottom"/>
            <w:tcBorders>
              <w:bottom w:val="single" w:sz="8" w:color="auto"/>
            </w:tcBorders>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intangible assets, net</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14,944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80" w:type="dxa"/>
            <w:vAlign w:val="bottom"/>
            <w:gridSpan w:val="2"/>
          </w:tcPr>
          <w:p>
            <w:pPr>
              <w:spacing w:after="0"/>
              <w:rPr>
                <w:sz w:val="20"/>
                <w:szCs w:val="20"/>
                <w:color w:val="auto"/>
              </w:rPr>
            </w:pPr>
            <w:r>
              <w:rPr>
                <w:rFonts w:ascii="Arial" w:cs="Arial" w:eastAsia="Arial" w:hAnsi="Arial"/>
                <w:sz w:val="18"/>
                <w:szCs w:val="18"/>
                <w:color w:val="auto"/>
              </w:rPr>
              <w:t>d.</w:t>
            </w:r>
          </w:p>
        </w:tc>
        <w:tc>
          <w:tcPr>
            <w:tcW w:w="7520" w:type="dxa"/>
            <w:vAlign w:val="bottom"/>
            <w:gridSpan w:val="2"/>
          </w:tcPr>
          <w:p>
            <w:pPr>
              <w:ind w:left="140"/>
              <w:spacing w:after="0"/>
              <w:rPr>
                <w:sz w:val="20"/>
                <w:szCs w:val="20"/>
                <w:color w:val="auto"/>
              </w:rPr>
            </w:pPr>
            <w:r>
              <w:rPr>
                <w:rFonts w:ascii="Arial" w:cs="Arial" w:eastAsia="Arial" w:hAnsi="Arial"/>
                <w:sz w:val="18"/>
                <w:szCs w:val="18"/>
                <w:color w:val="auto"/>
              </w:rPr>
              <w:t>Goodwill</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45,635</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Eliminate Silicon’s goodwill</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60" w:type="dxa"/>
            <w:vAlign w:val="bottom"/>
          </w:tcPr>
          <w:p>
            <w:pPr>
              <w:spacing w:after="0"/>
              <w:rPr>
                <w:sz w:val="9"/>
                <w:szCs w:val="9"/>
                <w:color w:val="auto"/>
              </w:rPr>
            </w:pPr>
          </w:p>
        </w:tc>
        <w:tc>
          <w:tcPr>
            <w:tcW w:w="7500" w:type="dxa"/>
            <w:vAlign w:val="bottom"/>
          </w:tcPr>
          <w:p>
            <w:pPr>
              <w:spacing w:after="0"/>
              <w:rPr>
                <w:sz w:val="9"/>
                <w:szCs w:val="9"/>
                <w:color w:val="auto"/>
              </w:rPr>
            </w:pPr>
          </w:p>
        </w:tc>
        <w:tc>
          <w:tcPr>
            <w:tcW w:w="20" w:type="dxa"/>
            <w:vAlign w:val="bottom"/>
          </w:tcPr>
          <w:p>
            <w:pPr>
              <w:spacing w:after="0"/>
              <w:rPr>
                <w:sz w:val="9"/>
                <w:szCs w:val="9"/>
                <w:color w:val="auto"/>
              </w:rPr>
            </w:pPr>
          </w:p>
        </w:tc>
        <w:tc>
          <w:tcPr>
            <w:tcW w:w="540" w:type="dxa"/>
            <w:vAlign w:val="bottom"/>
            <w:tcBorders>
              <w:bottom w:val="single" w:sz="8" w:color="auto"/>
            </w:tcBorders>
          </w:tcPr>
          <w:p>
            <w:pPr>
              <w:spacing w:after="0"/>
              <w:rPr>
                <w:sz w:val="9"/>
                <w:szCs w:val="9"/>
                <w:color w:val="auto"/>
              </w:rPr>
            </w:pPr>
          </w:p>
        </w:tc>
        <w:tc>
          <w:tcPr>
            <w:tcW w:w="960" w:type="dxa"/>
            <w:vAlign w:val="bottom"/>
            <w:tcBorders>
              <w:bottom w:val="single" w:sz="8" w:color="auto"/>
            </w:tcBorders>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 w:type="dxa"/>
            <w:vAlign w:val="bottom"/>
          </w:tcPr>
          <w:p>
            <w:pPr>
              <w:spacing w:after="0"/>
              <w:rPr>
                <w:sz w:val="8"/>
                <w:szCs w:val="8"/>
                <w:color w:val="auto"/>
              </w:rPr>
            </w:pPr>
          </w:p>
        </w:tc>
        <w:tc>
          <w:tcPr>
            <w:tcW w:w="7500" w:type="dxa"/>
            <w:vAlign w:val="bottom"/>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tcPr>
          <w:p>
            <w:pPr>
              <w:spacing w:after="0"/>
              <w:rPr>
                <w:sz w:val="8"/>
                <w:szCs w:val="8"/>
                <w:color w:val="auto"/>
              </w:rPr>
            </w:pPr>
          </w:p>
        </w:tc>
        <w:tc>
          <w:tcPr>
            <w:tcW w:w="960" w:type="dxa"/>
            <w:vAlign w:val="bottom"/>
          </w:tcPr>
          <w:p>
            <w:pPr>
              <w:spacing w:after="0"/>
              <w:rPr>
                <w:sz w:val="8"/>
                <w:szCs w:val="8"/>
                <w:color w:val="auto"/>
              </w:rPr>
            </w:pPr>
          </w:p>
        </w:tc>
        <w:tc>
          <w:tcPr>
            <w:tcW w:w="16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Total goodwill</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44,975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80" w:type="dxa"/>
            <w:vAlign w:val="bottom"/>
            <w:gridSpan w:val="2"/>
          </w:tcPr>
          <w:p>
            <w:pPr>
              <w:spacing w:after="0"/>
              <w:rPr>
                <w:sz w:val="20"/>
                <w:szCs w:val="20"/>
                <w:color w:val="auto"/>
              </w:rPr>
            </w:pPr>
            <w:r>
              <w:rPr>
                <w:rFonts w:ascii="Arial" w:cs="Arial" w:eastAsia="Arial" w:hAnsi="Arial"/>
                <w:sz w:val="18"/>
                <w:szCs w:val="18"/>
                <w:color w:val="auto"/>
              </w:rPr>
              <w:t>e.</w:t>
            </w:r>
          </w:p>
        </w:tc>
        <w:tc>
          <w:tcPr>
            <w:tcW w:w="7520" w:type="dxa"/>
            <w:vAlign w:val="bottom"/>
            <w:gridSpan w:val="2"/>
          </w:tcPr>
          <w:p>
            <w:pPr>
              <w:ind w:left="140"/>
              <w:spacing w:after="0"/>
              <w:rPr>
                <w:sz w:val="20"/>
                <w:szCs w:val="20"/>
                <w:color w:val="auto"/>
              </w:rPr>
            </w:pPr>
            <w:r>
              <w:rPr>
                <w:rFonts w:ascii="Arial" w:cs="Arial" w:eastAsia="Arial" w:hAnsi="Arial"/>
                <w:sz w:val="18"/>
                <w:szCs w:val="18"/>
                <w:color w:val="auto"/>
              </w:rPr>
              <w:t>Deferred tax asset—long-term</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9,084</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f.</w:t>
            </w:r>
          </w:p>
        </w:tc>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Fair value adjustment to decrease accrued expenses</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80" w:type="dxa"/>
            <w:vAlign w:val="bottom"/>
            <w:gridSpan w:val="2"/>
          </w:tcPr>
          <w:p>
            <w:pPr>
              <w:spacing w:after="0"/>
              <w:rPr>
                <w:sz w:val="20"/>
                <w:szCs w:val="20"/>
                <w:color w:val="auto"/>
              </w:rPr>
            </w:pPr>
            <w:r>
              <w:rPr>
                <w:rFonts w:ascii="Arial" w:cs="Arial" w:eastAsia="Arial" w:hAnsi="Arial"/>
                <w:sz w:val="18"/>
                <w:szCs w:val="18"/>
                <w:color w:val="auto"/>
              </w:rPr>
              <w:t>g.</w:t>
            </w:r>
          </w:p>
        </w:tc>
        <w:tc>
          <w:tcPr>
            <w:tcW w:w="7520" w:type="dxa"/>
            <w:vAlign w:val="bottom"/>
            <w:gridSpan w:val="2"/>
          </w:tcPr>
          <w:p>
            <w:pPr>
              <w:ind w:left="140"/>
              <w:spacing w:after="0"/>
              <w:rPr>
                <w:sz w:val="20"/>
                <w:szCs w:val="20"/>
                <w:color w:val="auto"/>
              </w:rPr>
            </w:pPr>
            <w:r>
              <w:rPr>
                <w:rFonts w:ascii="Arial" w:cs="Arial" w:eastAsia="Arial" w:hAnsi="Arial"/>
                <w:sz w:val="18"/>
                <w:szCs w:val="18"/>
                <w:color w:val="auto"/>
              </w:rPr>
              <w:t>Remove accrual eliminated at acquisition</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h.</w:t>
            </w:r>
          </w:p>
        </w:tc>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Elimination of Silicon short-term debt</w:t>
            </w:r>
          </w:p>
        </w:tc>
        <w:tc>
          <w:tcPr>
            <w:tcW w:w="5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4,374</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280" w:type="dxa"/>
            <w:vAlign w:val="bottom"/>
            <w:gridSpan w:val="2"/>
          </w:tcPr>
          <w:p>
            <w:pPr>
              <w:spacing w:after="0"/>
              <w:rPr>
                <w:sz w:val="20"/>
                <w:szCs w:val="20"/>
                <w:color w:val="auto"/>
              </w:rPr>
            </w:pPr>
            <w:r>
              <w:rPr>
                <w:rFonts w:ascii="Arial" w:cs="Arial" w:eastAsia="Arial" w:hAnsi="Arial"/>
                <w:sz w:val="18"/>
                <w:szCs w:val="18"/>
                <w:color w:val="auto"/>
              </w:rPr>
              <w:t>i.</w:t>
            </w:r>
          </w:p>
        </w:tc>
        <w:tc>
          <w:tcPr>
            <w:tcW w:w="7520" w:type="dxa"/>
            <w:vAlign w:val="bottom"/>
            <w:gridSpan w:val="2"/>
          </w:tcPr>
          <w:p>
            <w:pPr>
              <w:ind w:left="140"/>
              <w:spacing w:after="0"/>
              <w:rPr>
                <w:sz w:val="20"/>
                <w:szCs w:val="20"/>
                <w:color w:val="auto"/>
              </w:rPr>
            </w:pPr>
            <w:r>
              <w:rPr>
                <w:rFonts w:ascii="Arial" w:cs="Arial" w:eastAsia="Arial" w:hAnsi="Arial"/>
                <w:sz w:val="18"/>
                <w:szCs w:val="18"/>
                <w:color w:val="auto"/>
              </w:rPr>
              <w:t>Deferred revenue estimated fair value adjustment</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1,502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20" w:type="dxa"/>
            <w:vAlign w:val="bottom"/>
            <w:vMerge w:val="restart"/>
          </w:tcPr>
          <w:p>
            <w:pPr>
              <w:spacing w:after="0"/>
              <w:rPr>
                <w:sz w:val="18"/>
                <w:szCs w:val="18"/>
                <w:color w:val="auto"/>
              </w:rPr>
            </w:pPr>
          </w:p>
        </w:tc>
        <w:tc>
          <w:tcPr>
            <w:tcW w:w="26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j.</w:t>
            </w:r>
          </w:p>
        </w:tc>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Other long-term obligations fair value adjustment</w:t>
            </w:r>
          </w:p>
        </w:tc>
        <w:tc>
          <w:tcPr>
            <w:tcW w:w="54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(345)</w:t>
            </w:r>
          </w:p>
        </w:tc>
        <w:tc>
          <w:tcPr>
            <w:tcW w:w="0" w:type="dxa"/>
            <w:vAlign w:val="bottom"/>
          </w:tcPr>
          <w:p>
            <w:pPr>
              <w:spacing w:after="0"/>
              <w:rPr>
                <w:sz w:val="1"/>
                <w:szCs w:val="1"/>
                <w:color w:val="auto"/>
              </w:rPr>
            </w:pPr>
          </w:p>
        </w:tc>
      </w:tr>
      <w:tr>
        <w:trPr>
          <w:trHeight w:val="431"/>
        </w:trPr>
        <w:tc>
          <w:tcPr>
            <w:tcW w:w="280" w:type="dxa"/>
            <w:vAlign w:val="bottom"/>
            <w:gridSpan w:val="2"/>
          </w:tcPr>
          <w:p>
            <w:pPr>
              <w:spacing w:after="0"/>
              <w:rPr>
                <w:sz w:val="20"/>
                <w:szCs w:val="20"/>
                <w:color w:val="auto"/>
              </w:rPr>
            </w:pPr>
            <w:r>
              <w:rPr>
                <w:rFonts w:ascii="Arial" w:cs="Arial" w:eastAsia="Arial" w:hAnsi="Arial"/>
                <w:sz w:val="18"/>
                <w:szCs w:val="18"/>
                <w:color w:val="auto"/>
              </w:rPr>
              <w:t>k.</w:t>
            </w:r>
          </w:p>
        </w:tc>
        <w:tc>
          <w:tcPr>
            <w:tcW w:w="7520" w:type="dxa"/>
            <w:vAlign w:val="bottom"/>
            <w:gridSpan w:val="2"/>
          </w:tcPr>
          <w:p>
            <w:pPr>
              <w:ind w:left="140"/>
              <w:spacing w:after="0"/>
              <w:rPr>
                <w:sz w:val="20"/>
                <w:szCs w:val="20"/>
                <w:color w:val="auto"/>
              </w:rPr>
            </w:pPr>
            <w:r>
              <w:rPr>
                <w:rFonts w:ascii="Arial" w:cs="Arial" w:eastAsia="Arial" w:hAnsi="Arial"/>
                <w:sz w:val="18"/>
                <w:szCs w:val="18"/>
                <w:color w:val="auto"/>
              </w:rPr>
              <w:t>In-process research and development</w:t>
            </w:r>
          </w:p>
        </w:tc>
        <w:tc>
          <w:tcPr>
            <w:tcW w:w="540" w:type="dxa"/>
            <w:vAlign w:val="bottom"/>
          </w:tcPr>
          <w:p>
            <w:pPr>
              <w:spacing w:after="0"/>
              <w:rPr>
                <w:sz w:val="24"/>
                <w:szCs w:val="24"/>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1,200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752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Excess consideration</w:t>
            </w:r>
          </w:p>
        </w:tc>
        <w:tc>
          <w:tcPr>
            <w:tcW w:w="540" w:type="dxa"/>
            <w:vAlign w:val="bottom"/>
            <w:shd w:val="clear" w:color="auto" w:fill="CCEEFF"/>
          </w:tcPr>
          <w:p>
            <w:pPr>
              <w:jc w:val="right"/>
              <w:ind w:right="383"/>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74,776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32"/>
        </w:trPr>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500" w:type="dxa"/>
            <w:vAlign w:val="bottom"/>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54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5568950</wp:posOffset>
            </wp:positionH>
            <wp:positionV relativeFrom="paragraph">
              <wp:posOffset>-29210</wp:posOffset>
            </wp:positionV>
            <wp:extent cx="12700" cy="2984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5714365</wp:posOffset>
            </wp:positionH>
            <wp:positionV relativeFrom="paragraph">
              <wp:posOffset>-29210</wp:posOffset>
            </wp:positionV>
            <wp:extent cx="21590" cy="2984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1590" cy="29845"/>
                    </a:xfrm>
                    <a:prstGeom prst="rect">
                      <a:avLst/>
                    </a:prstGeom>
                    <a:noFill/>
                  </pic:spPr>
                </pic:pic>
              </a:graphicData>
            </a:graphic>
          </wp:anchor>
        </w:drawing>
        <w:drawing>
          <wp:anchor simplePos="0" relativeHeight="251657728" behindDoc="1" locked="0" layoutInCell="0" allowOverlap="1">
            <wp:simplePos x="0" y="0"/>
            <wp:positionH relativeFrom="column">
              <wp:posOffset>6511925</wp:posOffset>
            </wp:positionH>
            <wp:positionV relativeFrom="paragraph">
              <wp:posOffset>-29210</wp:posOffset>
            </wp:positionV>
            <wp:extent cx="38735" cy="2984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8735" cy="29845"/>
                    </a:xfrm>
                    <a:prstGeom prst="rect">
                      <a:avLst/>
                    </a:prstGeom>
                    <a:noFill/>
                  </pic:spPr>
                </pic:pic>
              </a:graphicData>
            </a:graphic>
          </wp:anchor>
        </w:drawing>
      </w:r>
    </w:p>
    <w:p>
      <w:pPr>
        <w:sectPr>
          <w:pgSz w:w="11900" w:h="16838" w:orient="portrait"/>
          <w:cols w:equalWidth="0" w:num="1">
            <w:col w:w="11380"/>
          </w:cols>
          <w:pgMar w:left="240" w:top="428" w:right="279" w:bottom="1440" w:gutter="0" w:footer="0" w:header="0"/>
        </w:sectPr>
      </w:pPr>
    </w:p>
    <w:bookmarkStart w:id="54" w:name="page55"/>
    <w:bookmarkEnd w:id="54"/>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155575</wp:posOffset>
            </wp:positionH>
            <wp:positionV relativeFrom="page">
              <wp:posOffset>88900</wp:posOffset>
            </wp:positionV>
            <wp:extent cx="7267575" cy="279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67575" cy="27940"/>
                    </a:xfrm>
                    <a:prstGeom prst="rect">
                      <a:avLst/>
                    </a:prstGeom>
                    <a:noFill/>
                  </pic:spPr>
                </pic:pic>
              </a:graphicData>
            </a:graphic>
          </wp:anchor>
        </w:drawing>
        <w:t>To accrue for estimated transaction costs.</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accrue for compensation payable.</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record the debt incurred to facilitate acquisition.</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eliminate Silicon’s shareholders’ equity and redeemable preferred stock.</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eliminate intercompany transactions between Silicon and Itron.</w:t>
      </w:r>
    </w:p>
    <w:p>
      <w:pPr>
        <w:spacing w:after="0" w:line="157"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adjust depreciation expense using the straight-line method over a range of three to five years assuming the estimated fair values of Silicon’s property, plant and equipment at January 1, 2001.</w:t>
      </w:r>
    </w:p>
    <w:p>
      <w:pPr>
        <w:spacing w:after="0" w:line="118" w:lineRule="exact"/>
        <w:rPr>
          <w:rFonts w:ascii="Arial" w:cs="Arial" w:eastAsia="Arial" w:hAnsi="Arial"/>
          <w:sz w:val="18"/>
          <w:szCs w:val="18"/>
          <w:color w:val="auto"/>
        </w:rPr>
      </w:pPr>
    </w:p>
    <w:p>
      <w:pPr>
        <w:ind w:left="900" w:right="2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adjust amortization of amortizable intangible assets acquired based on estimated fair market value using the estimated lives defined above in Note 1.</w:t>
      </w:r>
    </w:p>
    <w:p>
      <w:pPr>
        <w:spacing w:after="0" w:line="118" w:lineRule="exact"/>
        <w:rPr>
          <w:rFonts w:ascii="Arial" w:cs="Arial" w:eastAsia="Arial" w:hAnsi="Arial"/>
          <w:sz w:val="18"/>
          <w:szCs w:val="18"/>
          <w:color w:val="auto"/>
        </w:rPr>
      </w:pPr>
    </w:p>
    <w:p>
      <w:pPr>
        <w:ind w:left="900" w:hanging="446"/>
        <w:spacing w:after="0" w:line="268"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eliminate interest expense on the Silicon line of credit that was paid in full at closing and to add the interest expense related to the debt incurred to facilitate the acquisition.</w:t>
      </w:r>
    </w:p>
    <w:p>
      <w:pPr>
        <w:spacing w:after="0" w:line="118"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record the tax (provision) benefit impact of Silicon and related pro forma adjustments at Itron’s statutory tax rate of 38.5%.</w:t>
      </w:r>
    </w:p>
    <w:p>
      <w:pPr>
        <w:spacing w:after="0" w:line="157"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To remove the accrual of dividends related to redeemable convertible preferred stock that was eliminated upon acquisition.</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In-Process Research and Development</w:t>
      </w:r>
    </w:p>
    <w:p>
      <w:pPr>
        <w:spacing w:after="0" w:line="8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As of March 4, 2003, Silicon was in the process of developing a new software product that had not yet reached technological feasibility. This project has been classified as in-process research and development. The fair value is estimated to be $1.2 million with estimated cost to complete of $760,000, substantially all of which will be completed in 2003.</w:t>
      </w:r>
    </w:p>
    <w:p>
      <w:pPr>
        <w:spacing w:after="0" w:line="127"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The material risks associated with the successful completion of the in-process technology are associated with Itron’s ability to successfully finish the development of the software. Itron expects to benefit from the in-process project as the individual products that contain the in-process technology are marketed and sold to end users. The release dates for each of the products incorporating the in-process technologies are varied. The fair value of the in-process research and development was determined using the income approach. Under the income approach, the fair value reflects the present value of the projected cash flows that are expected to be generated by the products incorporating the in-process research and development, if successful.</w:t>
      </w:r>
    </w:p>
    <w:p>
      <w:pPr>
        <w:spacing w:after="0" w:line="102" w:lineRule="exact"/>
        <w:rPr>
          <w:sz w:val="20"/>
          <w:szCs w:val="20"/>
          <w:color w:val="auto"/>
        </w:rPr>
      </w:pPr>
    </w:p>
    <w:p>
      <w:pPr>
        <w:ind w:right="100"/>
        <w:spacing w:after="0" w:line="332" w:lineRule="auto"/>
        <w:rPr>
          <w:sz w:val="20"/>
          <w:szCs w:val="20"/>
          <w:color w:val="auto"/>
        </w:rPr>
      </w:pPr>
      <w:r>
        <w:rPr>
          <w:rFonts w:ascii="Arial" w:cs="Arial" w:eastAsia="Arial" w:hAnsi="Arial"/>
          <w:sz w:val="16"/>
          <w:szCs w:val="16"/>
          <w:color w:val="auto"/>
        </w:rPr>
        <w:t>The projected cash flows were discounted to approximate fair value. The discount rate applicable to the cash flows of the project reflects the stage of completion and other risks inherent in the project. The discount rate used in the valuation of in-process research and development was 29 percent.</w:t>
      </w:r>
    </w:p>
    <w:p>
      <w:pPr>
        <w:spacing w:after="0" w:line="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Goodwill Amortization</w:t>
      </w:r>
    </w:p>
    <w:p>
      <w:pPr>
        <w:spacing w:after="0" w:line="83"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 xml:space="preserve">Under Financial Accounting Standards Board’s Statement No. 142 </w:t>
      </w:r>
      <w:r>
        <w:rPr>
          <w:rFonts w:ascii="Arial" w:cs="Arial" w:eastAsia="Arial" w:hAnsi="Arial"/>
          <w:sz w:val="16"/>
          <w:szCs w:val="16"/>
          <w:i w:val="1"/>
          <w:iCs w:val="1"/>
          <w:color w:val="auto"/>
        </w:rPr>
        <w:t>“Goodwill and Other Intangible Assets”</w:t>
      </w:r>
      <w:r>
        <w:rPr>
          <w:rFonts w:ascii="Arial" w:cs="Arial" w:eastAsia="Arial" w:hAnsi="Arial"/>
          <w:sz w:val="16"/>
          <w:szCs w:val="16"/>
          <w:color w:val="auto"/>
        </w:rPr>
        <w:t xml:space="preserve"> (SFAS No. 142), goodwill is no longer amortized but is subject to annual impairment tests. SFAS No. 142 was applicable for all acquisitions consummated after June 30, 2001. Effective January 1, 2002, Itron adopted SFAS No. 142. The pro forma statement of operations for the year ended December 31, 2001 assumes the acquisition took place on January 1, 2001, prior to the applicability of SFAS No. 142. However, this unaudited combined condensed pro forma statement of operations does not include the amortization of goodwill related to the acquisition of Silicon as such amortization would be an expense that is not expected to have a continuing impact on our financial statements. If we had amortized goodwill in fiscal year 2001, the amortization expense would have been approximately $225,000, assuming a 20 year life.</w:t>
      </w:r>
    </w:p>
    <w:p>
      <w:pPr>
        <w:sectPr>
          <w:pgSz w:w="11900" w:h="16838" w:orient="portrait"/>
          <w:cols w:equalWidth="0" w:num="1">
            <w:col w:w="11400"/>
          </w:cols>
          <w:pgMar w:left="240" w:top="428" w:right="259" w:bottom="1440" w:gutter="0" w:footer="0" w:header="0"/>
        </w:sectPr>
      </w:pPr>
    </w:p>
    <w:bookmarkStart w:id="55" w:name="page56"/>
    <w:bookmarkEnd w:id="55"/>
    <w:p>
      <w:pPr>
        <w:jc w:val="right"/>
        <w:spacing w:after="0"/>
        <w:rPr>
          <w:sz w:val="20"/>
          <w:szCs w:val="20"/>
          <w:color w:val="auto"/>
        </w:rPr>
      </w:pPr>
      <w:r>
        <w:rPr>
          <w:rFonts w:ascii="Arial" w:cs="Arial" w:eastAsia="Arial" w:hAnsi="Arial"/>
          <w:sz w:val="18"/>
          <w:szCs w:val="18"/>
          <w:b w:val="1"/>
          <w:bCs w:val="1"/>
          <w:color w:val="auto"/>
        </w:rPr>
        <w:t>Exhibit 99.5</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CONSENT OF INDEPENDENT ACCOUNTANTS</w:t>
      </w:r>
    </w:p>
    <w:p>
      <w:pPr>
        <w:spacing w:after="0" w:line="158"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We hereby consent to the incorporation by reference in the Registration Statement on Form S-8 (Nos. 333-04685, 333-28933, 333-63147, 333-81925, 333-86581, 333-40356, 333-84196, 333-89966 and 333-97571) of Itron, Inc. of our report dated February 15, 2002, except as to Note 12 which is as of May 29, 2002, relating to the financial statements of Silicon Energy Corp., which appears in the Current Report on Form 8-K of Itron, Inc. dated March 26, 2003.</w:t>
      </w:r>
    </w:p>
    <w:p>
      <w:pPr>
        <w:spacing w:after="0" w:line="93"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March 26, 2003</w:t>
      </w:r>
    </w:p>
    <w:sectPr>
      <w:pgSz w:w="11900" w:h="16838" w:orient="portrait"/>
      <w:cols w:equalWidth="0" w:num="1">
        <w:col w:w="11420"/>
      </w:cols>
      <w:pgMar w:left="240" w:top="27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1."/>
      <w:numFmt w:val="decimal"/>
      <w:start w:val="3"/>
    </w:lvl>
  </w:abstractNum>
  <w:abstractNum w:abstractNumId="5">
    <w:nsid w:val="7545E146"/>
    <w:multiLevelType w:val="hybridMultilevel"/>
    <w:lvl w:ilvl="0">
      <w:lvlJc w:val="left"/>
      <w:lvlText w:val="%1."/>
      <w:numFmt w:val="decimal"/>
      <w:start w:val="7"/>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7"/>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2019-12-13T15:41:58Z</dcterms:created>
  <dcterms:modified xsi:type="dcterms:W3CDTF">2019-12-13T15:41:58Z</dcterms:modified>
</cp:coreProperties>
</file>