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2)</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465741106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30,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46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660" w:type="dxa"/>
            <w:vAlign w:val="bottom"/>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46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660" w:type="dxa"/>
            <w:vAlign w:val="bottom"/>
            <w:vMerge w:val="restart"/>
          </w:tcPr>
          <w:p>
            <w:pPr>
              <w:ind w:left="1960"/>
              <w:spacing w:after="0"/>
              <w:rPr>
                <w:sz w:val="20"/>
                <w:szCs w:val="20"/>
                <w:color w:val="auto"/>
              </w:rPr>
            </w:pPr>
            <w:r>
              <w:rPr>
                <w:rFonts w:ascii="Arial" w:cs="Arial" w:eastAsia="Arial" w:hAnsi="Arial"/>
                <w:sz w:val="22"/>
                <w:szCs w:val="22"/>
                <w:color w:val="auto"/>
                <w:w w:val="85"/>
              </w:rPr>
              <w:t>167,140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460" w:type="dxa"/>
            <w:vAlign w:val="bottom"/>
            <w:vMerge w:val="continue"/>
          </w:tcPr>
          <w:p>
            <w:pPr>
              <w:spacing w:after="0"/>
              <w:rPr>
                <w:sz w:val="14"/>
                <w:szCs w:val="14"/>
                <w:color w:val="auto"/>
              </w:rPr>
            </w:pPr>
          </w:p>
        </w:tc>
        <w:tc>
          <w:tcPr>
            <w:tcW w:w="2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46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660" w:type="dxa"/>
            <w:vAlign w:val="bottom"/>
            <w:vMerge w:val="restart"/>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460" w:type="dxa"/>
            <w:vAlign w:val="bottom"/>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46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660" w:type="dxa"/>
            <w:vAlign w:val="bottom"/>
            <w:vMerge w:val="restart"/>
          </w:tcPr>
          <w:p>
            <w:pPr>
              <w:ind w:left="1960"/>
              <w:spacing w:after="0"/>
              <w:rPr>
                <w:sz w:val="20"/>
                <w:szCs w:val="20"/>
                <w:color w:val="auto"/>
              </w:rPr>
            </w:pPr>
            <w:r>
              <w:rPr>
                <w:rFonts w:ascii="Arial" w:cs="Arial" w:eastAsia="Arial" w:hAnsi="Arial"/>
                <w:sz w:val="22"/>
                <w:szCs w:val="22"/>
                <w:color w:val="auto"/>
                <w:w w:val="85"/>
              </w:rPr>
              <w:t>177,540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60" w:type="dxa"/>
            <w:vAlign w:val="bottom"/>
            <w:vMerge w:val="continue"/>
          </w:tcPr>
          <w:p>
            <w:pPr>
              <w:spacing w:after="0"/>
              <w:rPr>
                <w:sz w:val="7"/>
                <w:szCs w:val="7"/>
                <w:color w:val="auto"/>
              </w:rPr>
            </w:pPr>
          </w:p>
        </w:tc>
        <w:tc>
          <w:tcPr>
            <w:tcW w:w="2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54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177,540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0.72%</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40"/>
          </w:cols>
          <w:pgMar w:left="280" w:top="388" w:right="13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Itron,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2818 North Sullivan Road</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Spokane, WA 99216</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465741106</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18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177,540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0.72%</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167,140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177,540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[X]</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Julie A. Jenkins</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Julie A. Jenkins</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2006</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2019-12-13T15:39:48Z</dcterms:created>
  <dcterms:modified xsi:type="dcterms:W3CDTF">2019-12-13T15:39:48Z</dcterms:modified>
</cp:coreProperties>
</file>